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BURKART PHILIP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VP, Irrigation Businesses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08/28/2013</w:t>
            </w: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Pr>
          <w:p>
            <w:pPr>
              <w:ind w:left="160"/>
              <w:spacing w:after="0"/>
              <w:rPr>
                <w:sz w:val="20"/>
                <w:szCs w:val="20"/>
                <w:color w:val="auto"/>
              </w:rPr>
            </w:pPr>
            <w:r>
              <w:rPr>
                <w:rFonts w:ascii="Arial" w:cs="Arial" w:eastAsia="Arial" w:hAnsi="Arial"/>
                <w:sz w:val="17"/>
                <w:szCs w:val="17"/>
                <w:color w:val="0000FF"/>
              </w:rPr>
              <w:t>12,400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1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20.095</w:t>
            </w:r>
          </w:p>
        </w:tc>
        <w:tc>
          <w:tcPr>
            <w:tcW w:w="1260" w:type="dxa"/>
            <w:vAlign w:val="bottom"/>
            <w:gridSpan w:val="2"/>
          </w:tcPr>
          <w:p>
            <w:pPr>
              <w:jc w:val="center"/>
              <w:ind w:right="19"/>
              <w:spacing w:after="0"/>
              <w:rPr>
                <w:sz w:val="20"/>
                <w:szCs w:val="20"/>
                <w:color w:val="auto"/>
              </w:rPr>
            </w:pPr>
            <w:r>
              <w:rPr>
                <w:rFonts w:ascii="Arial" w:cs="Arial" w:eastAsia="Arial" w:hAnsi="Arial"/>
                <w:sz w:val="17"/>
                <w:szCs w:val="17"/>
                <w:color w:val="0000FF"/>
                <w:w w:val="94"/>
              </w:rPr>
              <w:t>101,466</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08/28/2013</w:t>
            </w: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ind w:left="160"/>
              <w:spacing w:after="0"/>
              <w:rPr>
                <w:sz w:val="20"/>
                <w:szCs w:val="20"/>
                <w:color w:val="auto"/>
              </w:rPr>
            </w:pPr>
            <w:r>
              <w:rPr>
                <w:rFonts w:ascii="Arial" w:cs="Arial" w:eastAsia="Arial" w:hAnsi="Arial"/>
                <w:sz w:val="17"/>
                <w:szCs w:val="17"/>
                <w:color w:val="0000FF"/>
              </w:rPr>
              <w:t>12,400</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89,066</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46,405.456</w:t>
            </w:r>
            <w:r>
              <w:rPr>
                <w:rFonts w:ascii="Arial" w:cs="Arial" w:eastAsia="Arial" w:hAnsi="Arial"/>
                <w:sz w:val="22"/>
                <w:szCs w:val="22"/>
                <w:color w:val="008000"/>
                <w:w w:val="89"/>
                <w:vertAlign w:val="superscript"/>
              </w:rPr>
              <w:t>(1)</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12,147.152</w:t>
            </w:r>
            <w:r>
              <w:rPr>
                <w:rFonts w:ascii="Arial" w:cs="Arial" w:eastAsia="Arial" w:hAnsi="Arial"/>
                <w:sz w:val="22"/>
                <w:szCs w:val="22"/>
                <w:color w:val="008000"/>
                <w:w w:val="89"/>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20.095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08/28/2013</w:t>
            </w:r>
          </w:p>
        </w:tc>
        <w:tc>
          <w:tcPr>
            <w:tcW w:w="118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12,400</w:t>
            </w:r>
          </w:p>
        </w:tc>
        <w:tc>
          <w:tcPr>
            <w:tcW w:w="820" w:type="dxa"/>
            <w:vAlign w:val="bottom"/>
          </w:tcPr>
          <w:p>
            <w:pPr>
              <w:ind w:left="120"/>
              <w:spacing w:after="0"/>
              <w:rPr>
                <w:sz w:val="20"/>
                <w:szCs w:val="20"/>
                <w:color w:val="auto"/>
              </w:rPr>
            </w:pPr>
            <w:r>
              <w:rPr>
                <w:rFonts w:ascii="Arial" w:cs="Arial" w:eastAsia="Arial" w:hAnsi="Arial"/>
                <w:sz w:val="13"/>
                <w:szCs w:val="13"/>
                <w:color w:val="0000FF"/>
              </w:rPr>
              <w:t>11/30/2006</w:t>
            </w:r>
          </w:p>
        </w:tc>
        <w:tc>
          <w:tcPr>
            <w:tcW w:w="760" w:type="dxa"/>
            <w:vAlign w:val="bottom"/>
          </w:tcPr>
          <w:p>
            <w:pPr>
              <w:ind w:left="80"/>
              <w:spacing w:after="0"/>
              <w:rPr>
                <w:sz w:val="20"/>
                <w:szCs w:val="20"/>
                <w:color w:val="auto"/>
              </w:rPr>
            </w:pPr>
            <w:r>
              <w:rPr>
                <w:rFonts w:ascii="Arial" w:cs="Arial" w:eastAsia="Arial" w:hAnsi="Arial"/>
                <w:sz w:val="13"/>
                <w:szCs w:val="13"/>
                <w:color w:val="0000FF"/>
              </w:rPr>
              <w:t>11/30/2015</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jc w:val="right"/>
              <w:ind w:right="11"/>
              <w:spacing w:after="0"/>
              <w:rPr>
                <w:sz w:val="20"/>
                <w:szCs w:val="20"/>
                <w:color w:val="auto"/>
              </w:rPr>
            </w:pPr>
            <w:r>
              <w:rPr>
                <w:rFonts w:ascii="Arial" w:cs="Arial" w:eastAsia="Arial" w:hAnsi="Arial"/>
                <w:sz w:val="17"/>
                <w:szCs w:val="17"/>
                <w:color w:val="0000FF"/>
              </w:rPr>
              <w:t>12,400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270.708 shares acquired under the dividend reinvestment feature of The Toro Company Investment, Savings &amp; ESOP (IS&amp;ESOP); and 86.573 shares acquired through issuer annual investment fund contributions to and revenue credit allocations in the IS&amp;ESOP.</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70.736 performance share units acquired by the reporting person under the dividend reinvestment feature of the The Toro Company Deferred Compensation Plan for Officers since the date of his last report.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08/29/2013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2019-12-17T02:22:21Z</dcterms:created>
  <dcterms:modified xsi:type="dcterms:W3CDTF">2019-12-17T02:22:21Z</dcterms:modified>
</cp:coreProperties>
</file>