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Select Equity Group,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4,905,975.00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4,905,975.00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4,905,975.00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Beneficial ownership based on 101,184,218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December 11, 2024, as reported on the Issuer's Annual Report on Form 10-K filed with the Securities Exchange Commission on December 18,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891092108</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George S. Loening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4,905,975.00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4,905,975.00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60"/>
          </w:cols>
          <w:pgMar w:left="320" w:top="166" w:right="419" w:bottom="0" w:gutter="0" w:footer="0" w:header="0"/>
          <w:type w:val="continuous"/>
        </w:sectPr>
      </w:pPr>
    </w:p>
    <w:bookmarkStart w:id="2" w:name="page3"/>
    <w:bookmarkEnd w:id="2"/>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4,905,975.00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Beneficial ownership based on 101,184,218 shares of Common Stock outstanding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December 11, 2024, as reported on the Issuer's Annual Report on Form 10-K filed with the Securities Exchange Commission on December 18,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Toro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8111 Lyndale Ave South, Bloomington, MN, 55420-1196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60" w:hanging="912"/>
        <w:spacing w:after="0" w:line="259" w:lineRule="auto"/>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13G is being filed jointly by Select Equity Group, L.P., a Delaware limited partnership ("Select LP"), and George S. Loening ("Loening"), who is the majority owner of Select LP and managing member of its general partner. Select LP and Loening are sometimes collectively referred to herein as the "Select Reporting Persons."</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business address of each of Select LP and Loening is 380 Lafayette Street, New York, New York 10003.</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George S. Loening is a United States citizen.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891092108</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40" w:right="5020" w:firstLine="8"/>
        <w:spacing w:after="0" w:line="531" w:lineRule="auto"/>
        <w:tabs>
          <w:tab w:leader="none" w:pos="9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 Item 4. Ownership</w:t>
      </w:r>
    </w:p>
    <w:p>
      <w:pPr>
        <w:sectPr>
          <w:pgSz w:w="11900" w:h="17038" w:orient="portrait"/>
          <w:cols w:equalWidth="0" w:num="1">
            <w:col w:w="11160"/>
          </w:cols>
          <w:pgMar w:left="320" w:top="111" w:right="419" w:bottom="0" w:gutter="0" w:footer="0" w:header="0"/>
        </w:sectPr>
      </w:pPr>
    </w:p>
    <w:bookmarkStart w:id="3" w:name="page4"/>
    <w:bookmarkEnd w:id="3"/>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4" w:lineRule="exact"/>
        <w:rPr>
          <w:sz w:val="20"/>
          <w:szCs w:val="20"/>
          <w:color w:val="auto"/>
        </w:rPr>
      </w:pPr>
    </w:p>
    <w:p>
      <w:pPr>
        <w:ind w:left="920" w:right="3660" w:firstLine="6"/>
        <w:spacing w:after="0" w:line="267" w:lineRule="auto"/>
        <w:tabs>
          <w:tab w:leader="none" w:pos="11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Equity Group, L.P. - 4,905,975 (ii) George S. Loening - 4,905,975 Percent of class:</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Select Equity Group, L.P. - 4.85% (ii) George S. Loening - 4.85%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Equity Group, L.P. - 0 (ii) George S. Loening - 0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Select Equity Group, L.P. - 4,905,975 (ii) George S. Loening - 4,905,975</w:t>
      </w:r>
    </w:p>
    <w:p>
      <w:pPr>
        <w:spacing w:after="0" w:line="287" w:lineRule="exact"/>
        <w:rPr>
          <w:sz w:val="20"/>
          <w:szCs w:val="20"/>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Equity Group, L.P. - 0 (ii) George S. Loening - 0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Select Equity Group, L.P. - 4,905,975 (ii) George S. Loening - 4,905,975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Select Equity Group,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Select Equity GP, LLC, its General Partner,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/s/ George S. Loening</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George S. Loening,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George S. Loening</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George S. Loening</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George S. Loening, an individual</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99.1 The identity and the Item 3 classification of the relevant subsidiary are: Select Equity Group, L.P., which is an Investment Adviser in accordance with Rule 13d-1(b)(1)(ii)(E).</w:t>
      </w:r>
    </w:p>
    <w:sectPr>
      <w:pgSz w:w="11900" w:h="16838" w:orient="portrait"/>
      <w:cols w:equalWidth="0" w:num="1">
        <w:col w:w="10880"/>
      </w:cols>
      <w:pgMar w:left="360" w:top="112"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9"/>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lowerRoman"/>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2025-02-14T15:44:50Z</dcterms:created>
  <dcterms:modified xsi:type="dcterms:W3CDTF">2025-02-14T15:44:50Z</dcterms:modified>
</cp:coreProperties>
</file>