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325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252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TWOMEY CHRISTOPHER A</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11/01/2011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859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80" w:type="dxa"/>
            <w:vAlign w:val="bottom"/>
            <w:tcBorders>
              <w:bottom w:val="single" w:sz="8" w:color="2C2C2C"/>
            </w:tcBorders>
          </w:tcPr>
          <w:p>
            <w:pPr>
              <w:jc w:val="center"/>
              <w:ind w:left="353"/>
              <w:spacing w:after="0"/>
              <w:rPr>
                <w:sz w:val="20"/>
                <w:szCs w:val="20"/>
                <w:color w:val="auto"/>
              </w:rPr>
            </w:pPr>
            <w:r>
              <w:rPr>
                <w:rFonts w:ascii="Arial" w:cs="Arial" w:eastAsia="Arial" w:hAnsi="Arial"/>
                <w:sz w:val="17"/>
                <w:szCs w:val="17"/>
                <w:color w:val="0000FF"/>
                <w:w w:val="98"/>
              </w:rPr>
              <w:t>859</w:t>
            </w: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3"/>
                <w:szCs w:val="23"/>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11/01/2011</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tcPr>
          <w:p>
            <w:pPr>
              <w:ind w:left="140"/>
              <w:spacing w:after="0"/>
              <w:rPr>
                <w:sz w:val="20"/>
                <w:szCs w:val="20"/>
                <w:color w:val="auto"/>
              </w:rPr>
            </w:pPr>
            <w:r>
              <w:rPr>
                <w:rFonts w:ascii="Arial" w:cs="Arial" w:eastAsia="Arial" w:hAnsi="Arial"/>
                <w:sz w:val="13"/>
                <w:szCs w:val="13"/>
                <w:color w:val="0000FF"/>
              </w:rPr>
              <w:t>V</w:t>
            </w:r>
          </w:p>
        </w:tc>
        <w:tc>
          <w:tcPr>
            <w:tcW w:w="740" w:type="dxa"/>
            <w:vAlign w:val="bottom"/>
          </w:tcPr>
          <w:p>
            <w:pPr>
              <w:ind w:left="320"/>
              <w:spacing w:after="0"/>
              <w:rPr>
                <w:sz w:val="20"/>
                <w:szCs w:val="20"/>
                <w:color w:val="auto"/>
              </w:rPr>
            </w:pPr>
            <w:r>
              <w:rPr>
                <w:rFonts w:ascii="Arial" w:cs="Arial" w:eastAsia="Arial" w:hAnsi="Arial"/>
                <w:sz w:val="17"/>
                <w:szCs w:val="17"/>
                <w:color w:val="0000FF"/>
              </w:rPr>
              <w:t>859</w:t>
            </w:r>
          </w:p>
        </w:tc>
        <w:tc>
          <w:tcPr>
            <w:tcW w:w="700" w:type="dxa"/>
            <w:vAlign w:val="bottom"/>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80" w:type="dxa"/>
            <w:vAlign w:val="bottom"/>
          </w:tcPr>
          <w:p>
            <w:pPr>
              <w:jc w:val="center"/>
              <w:ind w:left="353"/>
              <w:spacing w:after="0"/>
              <w:rPr>
                <w:sz w:val="20"/>
                <w:szCs w:val="20"/>
                <w:color w:val="auto"/>
              </w:rPr>
            </w:pPr>
            <w:r>
              <w:rPr>
                <w:rFonts w:ascii="Arial" w:cs="Arial" w:eastAsia="Arial" w:hAnsi="Arial"/>
                <w:sz w:val="17"/>
                <w:szCs w:val="17"/>
                <w:color w:val="0000FF"/>
                <w:w w:val="84"/>
              </w:rPr>
              <w:t>0</w:t>
            </w: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Christopher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18"/>
                <w:szCs w:val="18"/>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11/01/2011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tcPr>
          <w:p>
            <w:pPr>
              <w:ind w:left="140"/>
              <w:spacing w:after="0"/>
              <w:rPr>
                <w:sz w:val="20"/>
                <w:szCs w:val="20"/>
                <w:color w:val="auto"/>
              </w:rPr>
            </w:pPr>
            <w:r>
              <w:rPr>
                <w:rFonts w:ascii="Arial" w:cs="Arial" w:eastAsia="Arial" w:hAnsi="Arial"/>
                <w:sz w:val="13"/>
                <w:szCs w:val="13"/>
                <w:color w:val="0000FF"/>
              </w:rPr>
              <w:t>V</w:t>
            </w:r>
          </w:p>
        </w:tc>
        <w:tc>
          <w:tcPr>
            <w:tcW w:w="740" w:type="dxa"/>
            <w:vAlign w:val="bottom"/>
          </w:tcPr>
          <w:p>
            <w:pPr>
              <w:ind w:left="320"/>
              <w:spacing w:after="0"/>
              <w:rPr>
                <w:sz w:val="20"/>
                <w:szCs w:val="20"/>
                <w:color w:val="auto"/>
              </w:rPr>
            </w:pPr>
            <w:r>
              <w:rPr>
                <w:rFonts w:ascii="Arial" w:cs="Arial" w:eastAsia="Arial" w:hAnsi="Arial"/>
                <w:sz w:val="17"/>
                <w:szCs w:val="17"/>
                <w:color w:val="0000FF"/>
              </w:rPr>
              <w:t>859</w:t>
            </w:r>
          </w:p>
        </w:tc>
        <w:tc>
          <w:tcPr>
            <w:tcW w:w="70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26,417</w:t>
            </w:r>
          </w:p>
        </w:tc>
        <w:tc>
          <w:tcPr>
            <w:tcW w:w="340" w:type="dxa"/>
            <w:vAlign w:val="bottom"/>
          </w:tcPr>
          <w:p>
            <w:pPr>
              <w:spacing w:after="0"/>
              <w:rPr>
                <w:sz w:val="18"/>
                <w:szCs w:val="18"/>
                <w:color w:val="auto"/>
              </w:rPr>
            </w:pPr>
          </w:p>
        </w:tc>
        <w:tc>
          <w:tcPr>
            <w:tcW w:w="600" w:type="dxa"/>
            <w:vAlign w:val="bottom"/>
          </w:tcPr>
          <w:p>
            <w:pPr>
              <w:jc w:val="center"/>
              <w:ind w:right="34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A. Twomey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 Stock Units</w:t>
            </w: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2,246.983</w:t>
            </w:r>
            <w:r>
              <w:rPr>
                <w:rFonts w:ascii="Arial" w:cs="Arial" w:eastAsia="Arial" w:hAnsi="Arial"/>
                <w:sz w:val="22"/>
                <w:szCs w:val="22"/>
                <w:color w:val="008000"/>
                <w:w w:val="89"/>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7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1"/>
          </w:tcPr>
          <w:p>
            <w:pPr>
              <w:jc w:val="center"/>
              <w:ind w:left="5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52.96</w:t>
            </w:r>
          </w:p>
        </w:tc>
        <w:tc>
          <w:tcPr>
            <w:tcW w:w="1000" w:type="dxa"/>
            <w:vAlign w:val="bottom"/>
          </w:tcPr>
          <w:p>
            <w:pPr>
              <w:jc w:val="right"/>
              <w:ind w:right="138"/>
              <w:spacing w:after="0"/>
              <w:rPr>
                <w:sz w:val="20"/>
                <w:szCs w:val="20"/>
                <w:color w:val="auto"/>
              </w:rPr>
            </w:pPr>
            <w:r>
              <w:rPr>
                <w:rFonts w:ascii="Arial" w:cs="Arial" w:eastAsia="Arial" w:hAnsi="Arial"/>
                <w:sz w:val="13"/>
                <w:szCs w:val="13"/>
                <w:color w:val="0000FF"/>
              </w:rPr>
              <w:t>11/01/2011</w:t>
            </w:r>
          </w:p>
        </w:tc>
        <w:tc>
          <w:tcPr>
            <w:tcW w:w="1200" w:type="dxa"/>
            <w:vAlign w:val="bottom"/>
          </w:tcPr>
          <w:p>
            <w:pPr>
              <w:spacing w:after="0"/>
              <w:rPr>
                <w:sz w:val="18"/>
                <w:szCs w:val="18"/>
                <w:color w:val="auto"/>
              </w:rPr>
            </w:pPr>
          </w:p>
        </w:tc>
        <w:tc>
          <w:tcPr>
            <w:tcW w:w="62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(3)</w:t>
            </w:r>
          </w:p>
        </w:tc>
        <w:tc>
          <w:tcPr>
            <w:tcW w:w="20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2,512</w:t>
            </w:r>
          </w:p>
        </w:tc>
        <w:tc>
          <w:tcPr>
            <w:tcW w:w="300" w:type="dxa"/>
            <w:vAlign w:val="bottom"/>
          </w:tcPr>
          <w:p>
            <w:pPr>
              <w:spacing w:after="0"/>
              <w:rPr>
                <w:sz w:val="18"/>
                <w:szCs w:val="18"/>
                <w:color w:val="auto"/>
              </w:rPr>
            </w:pPr>
          </w:p>
        </w:tc>
        <w:tc>
          <w:tcPr>
            <w:tcW w:w="840" w:type="dxa"/>
            <w:vAlign w:val="bottom"/>
            <w:gridSpan w:val="3"/>
          </w:tcPr>
          <w:p>
            <w:pPr>
              <w:ind w:left="20"/>
              <w:spacing w:after="0" w:line="212" w:lineRule="exact"/>
              <w:rPr>
                <w:sz w:val="20"/>
                <w:szCs w:val="20"/>
                <w:color w:val="auto"/>
              </w:rPr>
            </w:pPr>
            <w:r>
              <w:rPr>
                <w:rFonts w:ascii="Arial" w:cs="Arial" w:eastAsia="Arial" w:hAnsi="Arial"/>
                <w:sz w:val="13"/>
                <w:szCs w:val="13"/>
                <w:color w:val="0000FF"/>
                <w:w w:val="96"/>
              </w:rPr>
              <w:t>11/01/2012</w:t>
            </w:r>
            <w:r>
              <w:rPr>
                <w:rFonts w:ascii="Arial" w:cs="Arial" w:eastAsia="Arial" w:hAnsi="Arial"/>
                <w:sz w:val="22"/>
                <w:szCs w:val="22"/>
                <w:color w:val="008000"/>
                <w:w w:val="96"/>
                <w:vertAlign w:val="superscript"/>
              </w:rPr>
              <w:t>(4)</w:t>
            </w:r>
          </w:p>
        </w:tc>
        <w:tc>
          <w:tcPr>
            <w:tcW w:w="740" w:type="dxa"/>
            <w:vAlign w:val="bottom"/>
          </w:tcPr>
          <w:p>
            <w:pPr>
              <w:ind w:left="60"/>
              <w:spacing w:after="0"/>
              <w:rPr>
                <w:sz w:val="20"/>
                <w:szCs w:val="20"/>
                <w:color w:val="auto"/>
              </w:rPr>
            </w:pPr>
            <w:r>
              <w:rPr>
                <w:rFonts w:ascii="Arial" w:cs="Arial" w:eastAsia="Arial" w:hAnsi="Arial"/>
                <w:sz w:val="13"/>
                <w:szCs w:val="13"/>
                <w:color w:val="0000FF"/>
              </w:rPr>
              <w:t>11/01/2021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93"/>
              </w:rPr>
              <w:t>2,512</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3"/>
                <w:szCs w:val="13"/>
                <w:color w:val="0000FF"/>
              </w:rPr>
              <w:t>2,512</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2" w:lineRule="exact"/>
        <w:rPr>
          <w:rFonts w:ascii="Arial" w:cs="Arial" w:eastAsia="Arial" w:hAnsi="Arial"/>
          <w:sz w:val="13"/>
          <w:szCs w:val="13"/>
          <w:color w:val="008000"/>
        </w:rPr>
      </w:pPr>
    </w:p>
    <w:p>
      <w:pPr>
        <w:ind w:left="40" w:right="1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29.77 common stock units acquired by the reporting person under the dividend reinvestment feature of The Toro Company Deferred Compensation Plan for Non-Employee Directors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in the year following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11/03/2011</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198" w:lineRule="exact"/>
        <w:rPr>
          <w:sz w:val="20"/>
          <w:szCs w:val="20"/>
          <w:color w:val="auto"/>
        </w:rPr>
      </w:pPr>
    </w:p>
    <w:p>
      <w:pPr>
        <w:ind w:right="3079" w:firstLine="8"/>
        <w:spacing w:after="0" w:line="252" w:lineRule="auto"/>
        <w:tabs>
          <w:tab w:leader="none" w:pos="83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2"/>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9" w:lineRule="exact"/>
        <w:rPr>
          <w:sz w:val="20"/>
          <w:szCs w:val="20"/>
          <w:color w:val="auto"/>
        </w:rPr>
      </w:pPr>
    </w:p>
    <w:p>
      <w:pPr>
        <w:jc w:val="both"/>
        <w:ind w:right="3499"/>
        <w:spacing w:after="0" w:line="253"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6" w:lineRule="exact"/>
        <w:rPr>
          <w:sz w:val="20"/>
          <w:szCs w:val="20"/>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Christopher A. Twomey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Christopher A. Twomey</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04/11/2011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70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2019-12-17T00:56:22Z</dcterms:created>
  <dcterms:modified xsi:type="dcterms:W3CDTF">2019-12-17T00:56:22Z</dcterms:modified>
</cp:coreProperties>
</file>