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64261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DAHL AMY 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12/21/2022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7"/>
          <w:szCs w:val="17"/>
          <w:color w:val="0000FF"/>
        </w:rPr>
        <w:t>VP, GC and Corporate Secretary</w:t>
      </w:r>
    </w:p>
    <w:p>
      <w:pPr>
        <w:spacing w:after="0" w:line="306"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55420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12/21/2022</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1"/>
              </w:rPr>
              <w:t>2,954</w:t>
            </w:r>
            <w:r>
              <w:rPr>
                <w:rFonts w:ascii="Times New Roman" w:cs="Times New Roman" w:eastAsia="Times New Roman" w:hAnsi="Times New Roman"/>
                <w:sz w:val="21"/>
                <w:szCs w:val="21"/>
                <w:color w:val="008000"/>
                <w:w w:val="91"/>
                <w:vertAlign w:val="superscript"/>
              </w:rPr>
              <w:t>(1)</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10,190.92</w:t>
            </w:r>
            <w:r>
              <w:rPr>
                <w:rFonts w:ascii="Times New Roman" w:cs="Times New Roman" w:eastAsia="Times New Roman" w:hAnsi="Times New Roman"/>
                <w:sz w:val="21"/>
                <w:szCs w:val="21"/>
                <w:color w:val="008000"/>
                <w:w w:val="92"/>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18,706.261</w:t>
            </w:r>
          </w:p>
        </w:tc>
        <w:tc>
          <w:tcPr>
            <w:tcW w:w="340" w:type="dxa"/>
            <w:vAlign w:val="bottom"/>
          </w:tcPr>
          <w:p>
            <w:pPr>
              <w:spacing w:after="0"/>
              <w:rPr>
                <w:sz w:val="22"/>
                <w:szCs w:val="22"/>
                <w:color w:val="auto"/>
              </w:rPr>
            </w:pPr>
          </w:p>
        </w:tc>
        <w:tc>
          <w:tcPr>
            <w:tcW w:w="54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3,824.562</w:t>
            </w:r>
            <w:r>
              <w:rPr>
                <w:rFonts w:ascii="Times New Roman" w:cs="Times New Roman" w:eastAsia="Times New Roman" w:hAnsi="Times New Roman"/>
                <w:sz w:val="21"/>
                <w:szCs w:val="21"/>
                <w:color w:val="008000"/>
                <w:w w:val="92"/>
                <w:vertAlign w:val="superscript"/>
              </w:rPr>
              <w:t>(3)</w:t>
            </w:r>
          </w:p>
        </w:tc>
        <w:tc>
          <w:tcPr>
            <w:tcW w:w="340" w:type="dxa"/>
            <w:vAlign w:val="bottom"/>
          </w:tcPr>
          <w:p>
            <w:pPr>
              <w:spacing w:after="0"/>
              <w:rPr>
                <w:sz w:val="17"/>
                <w:szCs w:val="17"/>
                <w:color w:val="auto"/>
              </w:rPr>
            </w:pPr>
          </w:p>
        </w:tc>
        <w:tc>
          <w:tcPr>
            <w:tcW w:w="540" w:type="dxa"/>
            <w:vAlign w:val="bottom"/>
            <w:vMerge w:val="restart"/>
          </w:tcPr>
          <w:p>
            <w:pPr>
              <w:jc w:val="center"/>
              <w:ind w:right="294"/>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111.15</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12/22/2022</w:t>
            </w:r>
          </w:p>
        </w:tc>
        <w:tc>
          <w:tcPr>
            <w:tcW w:w="1140" w:type="dxa"/>
            <w:vAlign w:val="bottom"/>
          </w:tcPr>
          <w:p>
            <w:pPr>
              <w:spacing w:after="0"/>
              <w:rPr>
                <w:sz w:val="16"/>
                <w:szCs w:val="16"/>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15,400</w:t>
            </w:r>
          </w:p>
        </w:tc>
        <w:tc>
          <w:tcPr>
            <w:tcW w:w="30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12/22/2032</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15,400</w:t>
            </w:r>
          </w:p>
        </w:tc>
        <w:tc>
          <w:tcPr>
            <w:tcW w:w="40" w:type="dxa"/>
            <w:vAlign w:val="bottom"/>
          </w:tcPr>
          <w:p>
            <w:pPr>
              <w:spacing w:after="0"/>
              <w:rPr>
                <w:sz w:val="16"/>
                <w:szCs w:val="16"/>
                <w:color w:val="auto"/>
              </w:rPr>
            </w:pPr>
          </w:p>
        </w:tc>
        <w:tc>
          <w:tcPr>
            <w:tcW w:w="7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15,400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jc w:val="both"/>
        <w:ind w:left="40" w:right="18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2020 to Fiscal 2022 Performance Period under The Toro Company Amended and Restated 2010 Equity and Incentive Plan, as amended and restated, as approved by the Issuer's Compensation &amp; Human Resources Committee of its Board of Directors on December 13, 2022, and which was conditioned upon and subject to confirmation by the Issuer's Fiscal 2022 financial results that were released on December 21, 2022. The reporting person has deferred the payout of her Performance Share Award under The Toro Company Deferred Compensation Plan for Officers (the "Deferred Plan") and, accordingly, the reporting person's Performance Share Award is paid in performance share units under the Deferred Plan.</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22.588 performance share units acquired by the reporting person since the date of her last report under the dividend reinvestment feature of the Deferred Plan.</w:t>
      </w:r>
    </w:p>
    <w:p>
      <w:pPr>
        <w:spacing w:after="0" w:line="43" w:lineRule="exact"/>
        <w:rPr>
          <w:rFonts w:ascii="Times New Roman" w:cs="Times New Roman" w:eastAsia="Times New Roman" w:hAnsi="Times New Roman"/>
          <w:sz w:val="13"/>
          <w:szCs w:val="13"/>
          <w:color w:val="008000"/>
        </w:rPr>
      </w:pPr>
    </w:p>
    <w:p>
      <w:pPr>
        <w:ind w:left="40" w:right="1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following shares of common stock acquired by the reporting person since the date of her last report: 1.704 shares acquired through regular individual and issuer matching contributions to The Toro Company Retirement Plan (the "Plan") and 11.923 net shares acquired under the dividend reinvestment feature of the Plan less quarterly non-discretionary administrative fees.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December 22, 2022 grant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Amy E. Dahl</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12/23/2022</w:t>
            </w: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97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2022-12-23T10:13:33Z</dcterms:created>
  <dcterms:modified xsi:type="dcterms:W3CDTF">2022-12-23T10:13:33Z</dcterms:modified>
</cp:coreProperties>
</file>