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Washington, D.C.  20549</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FORM 11-K</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(Mark One)</w:t>
      </w:r>
    </w:p>
    <w:p>
      <w:pPr>
        <w:pStyle w:val="TextBody"/>
        <w:bidi w:val="0"/>
        <w:spacing w:lineRule="auto" w:line="288" w:before="0" w:after="0"/>
        <w:ind w:left="0" w:right="0" w:firstLine="360"/>
        <w:jc w:val="center"/>
        <w:rPr/>
      </w:pPr>
      <w:r>
        <w:rPr>
          <w:color w:val="000000"/>
        </w:rPr>
        <w:t xml:space="preserve">☒      </w:t>
      </w:r>
      <w:r>
        <w:rPr>
          <w:rFonts w:ascii="Times New Roman;sans-serif" w:hAnsi="Times New Roman;sans-serif"/>
          <w:b/>
          <w:color w:val="000000"/>
          <w:sz w:val="24"/>
        </w:rPr>
        <w:t>ANNUAL REPORT PURSUANT TO SECTION 15(d) OF THE 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For the fiscal year ended December 31, 2022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OR</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360"/>
        <w:jc w:val="center"/>
        <w:rPr/>
      </w:pPr>
      <w:r>
        <w:rPr>
          <w:color w:val="000000"/>
        </w:rPr>
        <w:t>☐        </w:t>
      </w:r>
      <w:r>
        <w:rPr>
          <w:rFonts w:ascii="Times New Roman;sans-serif" w:hAnsi="Times New Roman;sans-serif"/>
          <w:b/>
          <w:color w:val="000000"/>
          <w:sz w:val="24"/>
        </w:rPr>
        <w:t>TRANSITION REPORT PURSUANT TO SECTION 15(d) OF THE 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For the transition period from _____________ to _____________</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pPr>
      <w:r>
        <w:rPr>
          <w:rFonts w:ascii="Times New Roman;sans-serif" w:hAnsi="Times New Roman;sans-serif"/>
          <w:b w:val="false"/>
          <w:color w:val="000000"/>
          <w:sz w:val="22"/>
        </w:rPr>
        <w:t>Commission file number: </w:t>
      </w:r>
      <w:r>
        <w:rPr>
          <w:rFonts w:ascii="Times New Roman;sans-serif" w:hAnsi="Times New Roman;sans-serif"/>
          <w:b/>
          <w:color w:val="000000"/>
          <w:sz w:val="22"/>
        </w:rPr>
        <w:t>1-8649</w:t>
      </w:r>
    </w:p>
    <w:p>
      <w:pPr>
        <w:pStyle w:val="TextBody"/>
        <w:bidi w:val="0"/>
        <w:spacing w:lineRule="auto" w:line="288" w:before="0" w:after="0"/>
        <w:jc w:val="center"/>
        <w:rPr>
          <w:color w:val="000000"/>
        </w:rPr>
      </w:pPr>
      <w:r>
        <w:rPr>
          <w:color w:val="000000"/>
        </w:rPr>
        <w:t> </w:t>
      </w:r>
    </w:p>
    <w:p>
      <w:pPr>
        <w:pStyle w:val="TextBody"/>
        <w:bidi w:val="0"/>
        <w:spacing w:lineRule="auto" w:line="288" w:before="0" w:after="240"/>
        <w:ind w:left="0" w:right="0" w:hanging="360"/>
        <w:jc w:val="center"/>
        <w:rPr>
          <w:rFonts w:ascii="Times New Roman;sans-serif" w:hAnsi="Times New Roman;sans-serif"/>
          <w:b w:val="false"/>
          <w:color w:val="000000"/>
          <w:sz w:val="22"/>
        </w:rPr>
      </w:pPr>
      <w:r>
        <w:rPr>
          <w:rFonts w:ascii="Times New Roman;sans-serif" w:hAnsi="Times New Roman;sans-serif"/>
          <w:b w:val="false"/>
          <w:color w:val="000000"/>
          <w:sz w:val="22"/>
        </w:rPr>
        <w:t>A. Full title of the plan and address of the plan, if different from that of the issuer named below:</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The Toro Company Retirement Plan</w:t>
      </w:r>
    </w:p>
    <w:p>
      <w:pPr>
        <w:pStyle w:val="TextBody"/>
        <w:bidi w:val="0"/>
        <w:spacing w:lineRule="auto" w:line="288" w:before="0" w:after="0"/>
        <w:jc w:val="center"/>
        <w:rPr>
          <w:color w:val="000000"/>
        </w:rPr>
      </w:pPr>
      <w:r>
        <w:rPr>
          <w:color w:val="000000"/>
        </w:rPr>
        <w:t> </w:t>
      </w:r>
    </w:p>
    <w:p>
      <w:pPr>
        <w:pStyle w:val="TextBody"/>
        <w:bidi w:val="0"/>
        <w:spacing w:lineRule="auto" w:line="288" w:before="0" w:after="240"/>
        <w:ind w:left="0" w:right="0" w:hanging="360"/>
        <w:jc w:val="center"/>
        <w:rPr>
          <w:rFonts w:ascii="Times New Roman;sans-serif" w:hAnsi="Times New Roman;sans-serif"/>
          <w:b w:val="false"/>
          <w:color w:val="000000"/>
          <w:sz w:val="22"/>
        </w:rPr>
      </w:pPr>
      <w:r>
        <w:rPr>
          <w:rFonts w:ascii="Times New Roman;sans-serif" w:hAnsi="Times New Roman;sans-serif"/>
          <w:b w:val="false"/>
          <w:color w:val="000000"/>
          <w:sz w:val="22"/>
        </w:rPr>
        <w:t>B. Name of issuer of the securities held pursuant to the plan and the address of its principal executive office:</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The Toro Company</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8111 Lyndale Avenue South</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Bloomington, MN 55420-1196</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TORO COMPANY RETIREMENT PLAN</w:t>
      </w:r>
    </w:p>
    <w:p>
      <w:pPr>
        <w:pStyle w:val="TextBody"/>
        <w:bidi w:val="0"/>
        <w:spacing w:lineRule="auto" w:line="288" w:before="300" w:after="30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6762" w:type="dxa"/>
        <w:jc w:val="center"/>
        <w:tblInd w:w="0" w:type="dxa"/>
        <w:tblLayout w:type="fixed"/>
        <w:tblCellMar>
          <w:top w:w="28" w:type="dxa"/>
          <w:left w:w="28" w:type="dxa"/>
          <w:bottom w:w="28" w:type="dxa"/>
          <w:right w:w="28" w:type="dxa"/>
        </w:tblCellMar>
      </w:tblPr>
      <w:tblGrid>
        <w:gridCol w:w="1841"/>
        <w:gridCol w:w="1617"/>
        <w:gridCol w:w="1627"/>
        <w:gridCol w:w="109"/>
        <w:gridCol w:w="109"/>
        <w:gridCol w:w="109"/>
        <w:gridCol w:w="395"/>
        <w:gridCol w:w="395"/>
        <w:gridCol w:w="560"/>
      </w:tblGrid>
      <w:tr>
        <w:trPr/>
        <w:tc>
          <w:tcPr>
            <w:tcW w:w="1841"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 xml:space="preserve">Page Number </w:t>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6253955dcb42c6b8baec0ba96728eb_4">
              <w:r>
                <w:rPr>
                  <w:rStyle w:val="InternetLink"/>
                  <w:rFonts w:ascii="Times New Roman;sans-serif" w:hAnsi="Times New Roman;sans-serif"/>
                  <w:b w:val="false"/>
                  <w:color w:val="000080"/>
                  <w:sz w:val="20"/>
                  <w:u w:val="single"/>
                </w:rPr>
                <w:t xml:space="preserve">Report of </w:t>
              </w:r>
            </w:hyperlink>
            <w:hyperlink w:anchor="id26253955dcb42c6b8baec0ba96728eb_4">
              <w:r>
                <w:rPr>
                  <w:rStyle w:val="InternetLink"/>
                  <w:rFonts w:ascii="Times New Roman;sans-serif" w:hAnsi="Times New Roman;sans-serif"/>
                  <w:b w:val="false"/>
                  <w:color w:val="000080"/>
                  <w:sz w:val="20"/>
                  <w:u w:val="single"/>
                </w:rPr>
                <w:t>Independent</w:t>
              </w:r>
            </w:hyperlink>
            <w:hyperlink w:anchor="id26253955dcb42c6b8baec0ba96728eb_4">
              <w:r>
                <w:rPr>
                  <w:rStyle w:val="InternetLink"/>
                  <w:rFonts w:ascii="Times New Roman;sans-serif" w:hAnsi="Times New Roman;sans-serif"/>
                  <w:b w:val="false"/>
                  <w:color w:val="000080"/>
                  <w:sz w:val="20"/>
                  <w:u w:val="single"/>
                </w:rPr>
                <w:t xml:space="preserve"> Registered Public Accounting F</w:t>
              </w:r>
            </w:hyperlink>
            <w:hyperlink w:anchor="id26253955dcb42c6b8baec0ba96728eb_4">
              <w:r>
                <w:rPr>
                  <w:rStyle w:val="InternetLink"/>
                  <w:rFonts w:ascii="Times New Roman;sans-serif" w:hAnsi="Times New Roman;sans-serif"/>
                  <w:b w:val="false"/>
                  <w:color w:val="000080"/>
                  <w:sz w:val="20"/>
                  <w:u w:val="single"/>
                </w:rPr>
                <w:t>irm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26253955dcb42c6b8baec0ba96728eb_4">
              <w:r>
                <w:rPr>
                  <w:rStyle w:val="InternetLink"/>
                  <w:rFonts w:ascii="Times New Roman;sans-serif" w:hAnsi="Times New Roman;sans-serif"/>
                  <w:b w:val="false"/>
                  <w:color w:val="0000FF"/>
                  <w:sz w:val="20"/>
                  <w:u w:val="single"/>
                </w:rPr>
                <w:t>1</w:t>
              </w:r>
            </w:hyperlink>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6253955dcb42c6b8baec0ba96728eb_7">
              <w:r>
                <w:rPr>
                  <w:rStyle w:val="InternetLink"/>
                  <w:rFonts w:ascii="Times New Roman;sans-serif" w:hAnsi="Times New Roman;sans-serif"/>
                  <w:b w:val="false"/>
                  <w:color w:val="0000FF"/>
                  <w:sz w:val="20"/>
                  <w:u w:val="single"/>
                </w:rPr>
                <w:t>Statements of Net Assets Available for Benefits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26253955dcb42c6b8baec0ba96728eb_7">
              <w:r>
                <w:rPr>
                  <w:rStyle w:val="InternetLink"/>
                  <w:rFonts w:ascii="Times New Roman;sans-serif" w:hAnsi="Times New Roman;sans-serif"/>
                  <w:b w:val="false"/>
                  <w:color w:val="0000FF"/>
                  <w:sz w:val="20"/>
                  <w:u w:val="single"/>
                </w:rPr>
                <w:t>2</w:t>
              </w:r>
            </w:hyperlink>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6253955dcb42c6b8baec0ba96728eb_10">
              <w:r>
                <w:rPr>
                  <w:rStyle w:val="InternetLink"/>
                  <w:rFonts w:ascii="Times New Roman;sans-serif" w:hAnsi="Times New Roman;sans-serif"/>
                  <w:b w:val="false"/>
                  <w:color w:val="0000FF"/>
                  <w:sz w:val="20"/>
                  <w:u w:val="single"/>
                </w:rPr>
                <w:t>Statements of Changes in Net Assets Available for Benefits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26253955dcb42c6b8baec0ba96728eb_10">
              <w:r>
                <w:rPr>
                  <w:rStyle w:val="InternetLink"/>
                  <w:rFonts w:ascii="Times New Roman;sans-serif" w:hAnsi="Times New Roman;sans-serif"/>
                  <w:b w:val="false"/>
                  <w:color w:val="0000FF"/>
                  <w:sz w:val="20"/>
                  <w:u w:val="single"/>
                </w:rPr>
                <w:t>3</w:t>
              </w:r>
            </w:hyperlink>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6253955dcb42c6b8baec0ba96728eb_13">
              <w:r>
                <w:rPr>
                  <w:rStyle w:val="InternetLink"/>
                  <w:rFonts w:ascii="Times New Roman;sans-serif" w:hAnsi="Times New Roman;sans-serif"/>
                  <w:b w:val="false"/>
                  <w:color w:val="0000FF"/>
                  <w:sz w:val="20"/>
                  <w:u w:val="single"/>
                </w:rPr>
                <w:t>Notes to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26253955dcb42c6b8baec0ba96728eb_13">
              <w:r>
                <w:rPr>
                  <w:rStyle w:val="InternetLink"/>
                  <w:rFonts w:ascii="Times New Roman;sans-serif" w:hAnsi="Times New Roman;sans-serif"/>
                  <w:b w:val="false"/>
                  <w:color w:val="0000FF"/>
                  <w:sz w:val="20"/>
                  <w:u w:val="single"/>
                </w:rPr>
                <w:t>4</w:t>
              </w:r>
            </w:hyperlink>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6253955dcb42c6b8baec0ba96728eb_34">
              <w:r>
                <w:rPr>
                  <w:rStyle w:val="InternetLink"/>
                  <w:rFonts w:ascii="Times New Roman;sans-serif" w:hAnsi="Times New Roman;sans-serif"/>
                  <w:b w:val="false"/>
                  <w:color w:val="0000FF"/>
                  <w:sz w:val="20"/>
                  <w:u w:val="single"/>
                </w:rPr>
                <w:t>Schedule H, line 4i - Schedule of Assets (Held at End of Year)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26253955dcb42c6b8baec0ba96728eb_34">
              <w:r>
                <w:rPr>
                  <w:rStyle w:val="InternetLink"/>
                  <w:rFonts w:ascii="Times New Roman;sans-serif" w:hAnsi="Times New Roman;sans-serif"/>
                  <w:b w:val="false"/>
                  <w:color w:val="0000FF"/>
                  <w:sz w:val="20"/>
                  <w:u w:val="single"/>
                </w:rPr>
                <w:t>9</w:t>
              </w:r>
            </w:hyperlink>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6253955dcb42c6b8baec0ba96728eb_37">
              <w:r>
                <w:rPr>
                  <w:rStyle w:val="InternetLink"/>
                  <w:rFonts w:ascii="Times New Roman;sans-serif" w:hAnsi="Times New Roman;sans-serif"/>
                  <w:b w:val="false"/>
                  <w:color w:val="0000FF"/>
                  <w:sz w:val="20"/>
                  <w:u w:val="single"/>
                </w:rPr>
                <w:t>Signatures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26253955dcb42c6b8baec0ba96728eb_37">
              <w:r>
                <w:rPr>
                  <w:rStyle w:val="InternetLink"/>
                  <w:rFonts w:ascii="Times New Roman;sans-serif" w:hAnsi="Times New Roman;sans-serif"/>
                  <w:b w:val="false"/>
                  <w:color w:val="0000FF"/>
                  <w:sz w:val="20"/>
                  <w:u w:val="single"/>
                </w:rPr>
                <w:t>10</w:t>
              </w:r>
            </w:hyperlink>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6253955dcb42c6b8baec0ba96728eb_40">
              <w:r>
                <w:rPr>
                  <w:rStyle w:val="InternetLink"/>
                  <w:rFonts w:ascii="Times New Roman;sans-serif" w:hAnsi="Times New Roman;sans-serif"/>
                  <w:b w:val="false"/>
                  <w:color w:val="0000FF"/>
                  <w:sz w:val="20"/>
                  <w:u w:val="single"/>
                </w:rPr>
                <w:t>Exhibit Index</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26253955dcb42c6b8baec0ba96728eb_40">
              <w:r>
                <w:rPr>
                  <w:rStyle w:val="InternetLink"/>
                  <w:rFonts w:ascii="Times New Roman;sans-serif" w:hAnsi="Times New Roman;sans-serif"/>
                  <w:b w:val="false"/>
                  <w:color w:val="0000FF"/>
                  <w:sz w:val="20"/>
                  <w:u w:val="single"/>
                </w:rPr>
                <w:t>11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before="120" w:after="12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the Plan Participants and Plan Administrator</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Toro Company Retirement Plan:</w:t>
      </w:r>
    </w:p>
    <w:p>
      <w:pPr>
        <w:pStyle w:val="TextBody"/>
        <w:bidi w:val="0"/>
        <w:spacing w:before="0" w:after="120"/>
        <w:jc w:val="both"/>
        <w:rPr/>
      </w:pPr>
      <w:r>
        <w:rPr/>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Opinion on the Financial Statements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statements of net assets available for benefits of The Toro Company Retirement Plan (the Plan) as of December 31, 2022 and 2021, and the related statements of changes in net assets available for benefits for the years ended December 31, 2022 and 2021, and the related notes (collectively, the financial statements). In our opinion, the financial statements present fairly, in all material respects, the net assets available for benefits of the Plan as of December 31, 2022 and 2021, and the changes in net assets available for benefits for the years ended December 31, 2022 and 2021, in conformity with U.S. generally accepted accounting principles.</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Basis for Opinion</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These financial statements are the responsibility of the Plan's management. Our responsibility is to express an opinion on these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Accompanying Supplemental Information</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Schedule H, line 4i - Schedule of Assets (Held at End of Year) as of December 31, 2022 has been subjected to audit procedures performed in conjunction with the audit of the Plan's financial statements.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pStyle w:val="TextBody"/>
        <w:bidi w:val="0"/>
        <w:spacing w:before="120" w:after="120"/>
        <w:jc w:val="both"/>
        <w:rPr/>
      </w:pPr>
      <w:r>
        <w:rPr/>
      </w:r>
    </w:p>
    <w:tbl>
      <w:tblPr>
        <w:tblW w:w="1349" w:type="dxa"/>
        <w:jc w:val="left"/>
        <w:tblInd w:w="0" w:type="dxa"/>
        <w:tblLayout w:type="fixed"/>
        <w:tblCellMar>
          <w:top w:w="28" w:type="dxa"/>
          <w:left w:w="28" w:type="dxa"/>
          <w:bottom w:w="28" w:type="dxa"/>
          <w:right w:w="28" w:type="dxa"/>
        </w:tblCellMar>
      </w:tblPr>
      <w:tblGrid>
        <w:gridCol w:w="430"/>
        <w:gridCol w:w="378"/>
        <w:gridCol w:w="541"/>
      </w:tblGrid>
      <w:tr>
        <w:trPr/>
        <w:tc>
          <w:tcPr>
            <w:tcW w:w="430"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KPMG LLP</w:t>
            </w:r>
          </w:p>
        </w:tc>
      </w:tr>
    </w:tbl>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have not been able to determine the specific year that we began serving as the Plan's auditor; however, we are aware that we have served as the Plan's auditor since at least 1993.</w:t>
      </w:r>
    </w:p>
    <w:tbl>
      <w:tblPr>
        <w:tblW w:w="1605" w:type="dxa"/>
        <w:jc w:val="left"/>
        <w:tblInd w:w="0" w:type="dxa"/>
        <w:tblLayout w:type="fixed"/>
        <w:tblCellMar>
          <w:top w:w="28" w:type="dxa"/>
          <w:left w:w="28" w:type="dxa"/>
          <w:bottom w:w="28" w:type="dxa"/>
          <w:right w:w="28" w:type="dxa"/>
        </w:tblCellMar>
      </w:tblPr>
      <w:tblGrid>
        <w:gridCol w:w="513"/>
        <w:gridCol w:w="451"/>
        <w:gridCol w:w="641"/>
      </w:tblGrid>
      <w:tr>
        <w:trPr/>
        <w:tc>
          <w:tcPr>
            <w:tcW w:w="513"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 Moines, Iowa</w:t>
            </w:r>
          </w:p>
        </w:tc>
      </w:tr>
      <w:tr>
        <w:trPr/>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26, 2023</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center"/>
        <w:rPr>
          <w:rFonts w:ascii="Times New Roman;sans-serif" w:hAnsi="Times New Roman;sans-serif"/>
          <w:b/>
          <w:color w:val="000000"/>
          <w:sz w:val="20"/>
        </w:rPr>
      </w:pPr>
      <w:r>
        <w:rPr>
          <w:rFonts w:ascii="Times New Roman;sans-serif" w:hAnsi="Times New Roman;sans-serif"/>
          <w:b/>
          <w:color w:val="000000"/>
          <w:sz w:val="20"/>
        </w:rPr>
        <w:t>THE TORO COMPANY RETIREMENT PLAN</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Statements of Net Assets Available for Benefits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December 31, 2022 and 2021 </w:t>
      </w:r>
    </w:p>
    <w:p>
      <w:pPr>
        <w:pStyle w:val="TextBody"/>
        <w:bidi w:val="0"/>
        <w:spacing w:before="0" w:after="0"/>
        <w:jc w:val="center"/>
        <w:rPr/>
      </w:pPr>
      <w:r>
        <w:rPr/>
      </w:r>
    </w:p>
    <w:tbl>
      <w:tblPr>
        <w:tblW w:w="9051" w:type="dxa"/>
        <w:jc w:val="center"/>
        <w:tblInd w:w="0" w:type="dxa"/>
        <w:tblLayout w:type="fixed"/>
        <w:tblCellMar>
          <w:top w:w="28" w:type="dxa"/>
          <w:left w:w="28" w:type="dxa"/>
          <w:bottom w:w="28" w:type="dxa"/>
          <w:right w:w="28" w:type="dxa"/>
        </w:tblCellMar>
      </w:tblPr>
      <w:tblGrid>
        <w:gridCol w:w="1827"/>
        <w:gridCol w:w="1603"/>
        <w:gridCol w:w="1610"/>
        <w:gridCol w:w="109"/>
        <w:gridCol w:w="109"/>
        <w:gridCol w:w="109"/>
        <w:gridCol w:w="211"/>
        <w:gridCol w:w="1336"/>
        <w:gridCol w:w="109"/>
        <w:gridCol w:w="109"/>
        <w:gridCol w:w="109"/>
        <w:gridCol w:w="109"/>
        <w:gridCol w:w="211"/>
        <w:gridCol w:w="1336"/>
        <w:gridCol w:w="154"/>
      </w:tblGrid>
      <w:tr>
        <w:trPr/>
        <w:tc>
          <w:tcPr>
            <w:tcW w:w="1827"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50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held by trustee,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1,303,394,348 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1,496,323,531 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Employer contribution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16,203,517 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14,395,906 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contribution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receivable on The Toro Company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1,192,570 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receivable from participants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540,220 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receivable due to investments in transit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receivables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18,487,660 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16,788,696 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 available for benefits</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1,321,882,008 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1,513,112,227 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417" w:before="0" w:after="0"/>
        <w:jc w:val="center"/>
        <w:rPr>
          <w:rFonts w:ascii="Times New Roman;sans-serif" w:hAnsi="Times New Roman;sans-serif"/>
          <w:b/>
          <w:color w:val="000000"/>
          <w:sz w:val="20"/>
        </w:rPr>
      </w:pPr>
      <w:r>
        <w:rPr>
          <w:rFonts w:ascii="Times New Roman;sans-serif" w:hAnsi="Times New Roman;sans-serif"/>
          <w:b/>
          <w:color w:val="000000"/>
          <w:sz w:val="20"/>
        </w:rPr>
        <w:t>THE TORO COMPANY RETIREMENT PLAN</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Statements of Changes in Net Assets Available for Benefits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Years Ended December 31, 2022 and 2021</w:t>
      </w:r>
    </w:p>
    <w:p>
      <w:pPr>
        <w:pStyle w:val="TextBody"/>
        <w:bidi w:val="0"/>
        <w:spacing w:before="0" w:after="0"/>
        <w:jc w:val="center"/>
        <w:rPr/>
      </w:pPr>
      <w:r>
        <w:rPr/>
      </w:r>
    </w:p>
    <w:tbl>
      <w:tblPr>
        <w:tblW w:w="9216" w:type="dxa"/>
        <w:jc w:val="center"/>
        <w:tblInd w:w="0" w:type="dxa"/>
        <w:tblLayout w:type="fixed"/>
        <w:tblCellMar>
          <w:top w:w="28" w:type="dxa"/>
          <w:left w:w="28" w:type="dxa"/>
          <w:bottom w:w="28" w:type="dxa"/>
          <w:right w:w="28" w:type="dxa"/>
        </w:tblCellMar>
      </w:tblPr>
      <w:tblGrid>
        <w:gridCol w:w="1886"/>
        <w:gridCol w:w="1657"/>
        <w:gridCol w:w="1662"/>
        <w:gridCol w:w="109"/>
        <w:gridCol w:w="109"/>
        <w:gridCol w:w="109"/>
        <w:gridCol w:w="211"/>
        <w:gridCol w:w="1336"/>
        <w:gridCol w:w="109"/>
        <w:gridCol w:w="109"/>
        <w:gridCol w:w="109"/>
        <w:gridCol w:w="109"/>
        <w:gridCol w:w="211"/>
        <w:gridCol w:w="1336"/>
        <w:gridCol w:w="154"/>
      </w:tblGrid>
      <w:tr>
        <w:trPr/>
        <w:tc>
          <w:tcPr>
            <w:tcW w:w="1886"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52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(loss) income: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(depreciation) appreciation in the fair value of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(149,422,652)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141,904,290 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19,802,826 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34,530,372 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(loss) income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(129,619,826)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176,434,662 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Employer cash contributions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36,112,362 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32,503,675 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contributions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41,716,671 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37,293,815 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Rollover contributions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7,484,632 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7,663,177 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contributions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85,313,665 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77,460,667 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Deductions from net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(146,420,222)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(163,793,230)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Administrative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(503,836)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(502,961)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deductions from net 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(146,924,058)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(164,296,191)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increase in net assets available for benefits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(191,230,219)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89,599,138 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r>
      <w:tr>
        <w:trPr/>
        <w:tc>
          <w:tcPr>
            <w:tcW w:w="5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 available for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of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1,513,112,227 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1,423,513,089 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 of year</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1,321,882,008 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1,513,112,227 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417" w:before="0" w:after="0"/>
        <w:jc w:val="center"/>
        <w:rPr>
          <w:rFonts w:ascii="Times New Roman;sans-serif" w:hAnsi="Times New Roman;sans-serif"/>
          <w:b/>
          <w:color w:val="000000"/>
          <w:sz w:val="20"/>
        </w:rPr>
      </w:pPr>
      <w:r>
        <w:rPr>
          <w:rFonts w:ascii="Times New Roman;sans-serif" w:hAnsi="Times New Roman;sans-serif"/>
          <w:b/>
          <w:color w:val="000000"/>
          <w:sz w:val="20"/>
        </w:rPr>
        <w:t>THE TORO COMPANY RETIREMENT PLAN</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December 31, 2022 and 2021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391" w:type="dxa"/>
        <w:jc w:val="left"/>
        <w:tblInd w:w="0" w:type="dxa"/>
        <w:tblLayout w:type="fixed"/>
        <w:tblCellMar>
          <w:top w:w="28" w:type="dxa"/>
          <w:left w:w="28" w:type="dxa"/>
          <w:bottom w:w="28" w:type="dxa"/>
          <w:right w:w="28" w:type="dxa"/>
        </w:tblCellMar>
      </w:tblPr>
      <w:tblGrid>
        <w:gridCol w:w="130"/>
        <w:gridCol w:w="115"/>
        <w:gridCol w:w="116"/>
        <w:gridCol w:w="886"/>
        <w:gridCol w:w="886"/>
        <w:gridCol w:w="125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48"/>
              </w:rPr>
            </w:pPr>
            <w:r>
              <w:rPr>
                <w:rFonts w:ascii="Times New Roman;sans-serif" w:hAnsi="Times New Roman;sans-serif"/>
                <w:b/>
                <w:color w:val="000000"/>
                <w:sz w:val="48"/>
              </w:rPr>
              <w:t>1</w:t>
            </w:r>
          </w:p>
        </w:tc>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Summary Description of Plan</w:t>
            </w:r>
          </w:p>
        </w:tc>
      </w:tr>
    </w:tbl>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description of The Toro Company Retirement Plan ("Plan") is provided for general information purposes only. Current and former employees ("Participants") of The Toro Company ("Company" or "Plan Administrator") and its related companies that adopt the Plan should refer to the Plan document, amended and restated effective January 1, 2016, and subsequent amendments for a more complete description of the Plan's provisions.</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General</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Plan is a defined contribution plan formed for the purpose of providing retirement benefits to Participants. The Plan is subject to the provisions of the Employee Retirement Income Security Act of 1974 ("ERISA"). There is a profit-sharing portion and an employee stock ownership plan ("ESOP") portion of the Plan. The portions of Participant accounts that hold the Company's common stock, par value $1.00 per share ("Common Stock"), are included in the ESOP portion of the Plan. The portions of Participant accounts that do not hold the Company's Common Stock are included in the profit-sharing portion of the Plan.</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Eligibility for Participation in Plan</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Current employees of the Company are eligible to contribute to the Plan through their own salary reduction contributions after they have completed 30 consecutive days of employment. Once eligible, employees become automatically enrolled to make salary reduction contributions and become Participants, unless they affirmatively elect otherwise. </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Contributions and Vesting</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Upon becoming eligible to contribute to the Plan, Participants are automatically enrolled to contribute four percent of their pre-tax compensation to the Plan through salary reduction contributions. However, Participants may affirmatively elect otherwise, either not to contribute to the Plan, to contribute at a different pre-tax rate, or to contribute on an after-tax basis with a Roth option. Participants who are automatically enrolled are automatically covered by an escalation provision that increases their rate of pre-tax contribution by one percent each calendar year, not to exceed 15 percent of the Participant's pre-tax compensation, beginning on the first payday on or after the first day of June, unless the Participant affirmatively elects otherwise. The Plan states that total contributions, including both pre-tax contributions and after-tax contributions, as applicable, cannot exceed 50 percent of a Participant's compensation. Participants can elect to contribute on a pre-tax, or after-tax basis under the Roth option, at a rate of their choosing, ranging from one percent to 50 percent of their compensation, in one percent increments, subject to contribution limits set by federal tax law and published by the United States Internal Revenue Service (“IRS”). Participants are immediately 100 percent vested in their own salary reduction contributions.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makes matching contributions to the Plan with respect to a Participant's salary reduction contributions. These matching contributions are equal to 100 percent of a Participant's salary reduction contributions, including catch-up contributions, not to exceed four percent of the Participant's eligible compensation. Such matching contributions vest in full upon completion of two years of vesting service, which is defined as a Plan year in which a Participant is credited with at least one hour of service.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Participants may also be eligible for discretionary annual contributions that may be made by the Company to the Plan on their behalf, which could include contributions in cash or contributions to the ESOP portion of the Plan in the form of Common Stock. Participants are eligible to receive discretionary annual contributions in a given year, if applicable, if they have already met the eligibility requirements to be a Participant in the Plan, were employed by the Company on the last day of the respective Plan year, and have completed 1,000 hours of service during the respective Plan year.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Discretionary annual contributions made by the Company in cash are invested based on a Participant's selection of investment options, and thus could be included in either the ESOP portion of the Plan or the profit-sharing portion of the Plan depending on the Participant's investment elections. To the extent that a discretionary annual cash contribution is made by the Company for a Plan year, it is allocated among eligible Participants based on each Participant's eligible compensation for the Plan year, plus the Participant's eligible compensation above the Social Security taxable wage base. Discretionary annual cash contributions of $15.7 million and $14.0 million, respectively, were recorded by the Company on behalf of Participants related to the Plan year ended December 31, 2022, paid in 2023, and December 31, 2021, paid in 2022. To the extent that a discretionary annual contribution is made by the Company for a Plan year in the form of Common Stock, it is allocated based on the Participant's eligible compensation for the Plan year. The Company did not make ESOP contributions in the form of Common Stock during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Plan years ended December 31, 2022 and 2021. Discretionary annual contributions made by the Company, including both contributions in cash and in the form of Common Stock, and earnings attributable thereto, vest at a rate of 20 percent after one year of vesting service, with an additional 20 percent vesting each year of vesting service thereafter until the Participant is 100 percent vested. </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Rollovers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Participants may make rollover contributions to the Plan representing distributions from other qualified retirement plans. Participants are allowed to subsequently withdraw or transfer such amounts that they previously rolled into the Plan. Transfers of Participants’ interests are made by Fidelity Management Trust Company, acting as the trustee of the Plan ("Trustee"), and are recorded when paid or transferred, respectively.</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Investment of Participant Accounts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Participants may choose to have their accounts, including those initially invested in Common Stock, invested in any of the investment options made available under the Plan or, subject to certain limitations, in Common Stock. No more than 25 percent of a Participant's contributions, and contributions made by the Company on their behalf, may be invested in Common Stock. Reallocations of investments in a Participant’s account cannot be made to Common Stock if more than 25 percent of the Participant’s account is invested in Common Stock. All contributions to the Plan are made to a trust that holds all of the assets of the Plan.</w:t>
      </w:r>
    </w:p>
    <w:p>
      <w:pPr>
        <w:pStyle w:val="TextBody"/>
        <w:bidi w:val="0"/>
        <w:spacing w:lineRule="auto" w:line="288" w:before="120" w:after="120"/>
        <w:jc w:val="both"/>
        <w:rPr/>
      </w:pPr>
      <w:r>
        <w:rPr>
          <w:rFonts w:ascii="Times New Roman;sans-serif" w:hAnsi="Times New Roman;sans-serif"/>
          <w:b/>
          <w:i/>
          <w:color w:val="000000"/>
          <w:sz w:val="20"/>
        </w:rPr>
        <w:t>Forfeiture</w:t>
      </w:r>
      <w:r>
        <w:rPr>
          <w:color w:val="000000"/>
        </w:rPr>
        <w:t xml:space="preserve">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Upon a Participant's termination of service due to resignation, discharge, or retirement prior to the Plan's retirement age of 65, the unvested portion of such Participant's account balance is forfeited. During the years ended December 31, 2022 and 2021, forfeited non-vested contributions and earnings attributable thereto, including matching contributions and discretionary annual contributions, as applicable, totaled $0.4 million and $0.3 million, respectively. Forfeited amounts are used to offset future Company contributions. </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Payment of Benefits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Upon a Participant's termination of service due to death, disability, resignation, discharge, or retirement, such Participant, or a designated beneficiary in the event of termination of service due to death or disability, is eligible to receive distribution payments in the form of a lump-sum payment or in installments in an amount equal to the value of such Participant's vested interest in the Plan. Participants may request hardship withdrawals under IRS guidelines in the event of a defined financial hardship which cannot be reasonably met from other resources of the Participant. In addition, at age 59½, Participants are able to take in-service withdrawals in an amount equal to the value of the Participant's vested interest in the Plan. To the extent an account is invested in Common Stock, a withdrawal or distribution can be in the form of Common Stock or cash. Benefit payments are made by the Trustee and are recorded when paid or transferred, respectively.</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Acquisitions</w:t>
      </w:r>
    </w:p>
    <w:p>
      <w:pPr>
        <w:pStyle w:val="TextBody"/>
        <w:bidi w:val="0"/>
        <w:spacing w:lineRule="auto" w:line="288" w:before="12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Intimidator Group 401(k) Retirement Plan</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13, 2022, the Company completed its acquisition of the privately held Intimidator Group. The Intimidator Group 401(k) Retirement Plan was terminated prior to the acquisition and was liquidated after the acquisition. Participants were given the option to take a distribution or roll over their accounts into the Plan or an IRA of their choosing. In the absence of an affirmative election, TTC forced a direct rollover into an IRA with Millennium Trust. </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Termination Rights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Although the Company has not expressed any intention to do so, the Company has the right under the Plan to discontinue contributions to the Plan at any time and may also terminate the Plan at any time subject to the provisions set forth in ERISA. In the event of termination of the Plan, Participant account balances would become fully vested and would be distributed to Participants.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770" w:type="dxa"/>
        <w:jc w:val="left"/>
        <w:tblInd w:w="0" w:type="dxa"/>
        <w:tblLayout w:type="fixed"/>
        <w:tblCellMar>
          <w:top w:w="28" w:type="dxa"/>
          <w:left w:w="28" w:type="dxa"/>
          <w:bottom w:w="28" w:type="dxa"/>
          <w:right w:w="28" w:type="dxa"/>
        </w:tblCellMar>
      </w:tblPr>
      <w:tblGrid>
        <w:gridCol w:w="130"/>
        <w:gridCol w:w="115"/>
        <w:gridCol w:w="116"/>
        <w:gridCol w:w="1290"/>
        <w:gridCol w:w="1290"/>
        <w:gridCol w:w="182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82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48"/>
              </w:rPr>
            </w:pPr>
            <w:r>
              <w:rPr>
                <w:rFonts w:ascii="Times New Roman;sans-serif" w:hAnsi="Times New Roman;sans-serif"/>
                <w:b/>
                <w:color w:val="000000"/>
                <w:sz w:val="48"/>
              </w:rPr>
              <w:t>2</w:t>
            </w:r>
          </w:p>
        </w:tc>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Summary of Significant Accounting Policies</w:t>
            </w:r>
          </w:p>
        </w:tc>
      </w:tr>
    </w:tbl>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Financial Statements of the Plan are prepared in accordance with United States generally accepted accounting principles ("U.S. GAAP") and are presented on the accrual basis of accounting.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Accounting Estimates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the Financial Statements and any Supplemental Schedules in conformity with U.S. GAAP requires the Plan Administrator to make estimates and assumptions that affect the reported amounts of net assets available for benefits and disclosure of contingent assets and liabilities as of the date of the Financial Statements and the reported amounts of changes in net assets available for benefits during the reporting period. Actual results could differ from those estimates.</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Risks and Uncertainties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Plan has investments in a variety of investment funds that, in general, are exposed to various risks, such as interest rate and credit risk, as well as overall market volatility. Due to the level of risk associated with certain investments, it is reasonably possible that changes in the values of the investments will occur in the near term and that such changes could materially affect the amounts reported in the Statements of Net Assets Available for Benefits.</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Valuation of Investments and Income Recognition</w:t>
      </w:r>
    </w:p>
    <w:p>
      <w:pPr>
        <w:pStyle w:val="TextBody"/>
        <w:bidi w:val="0"/>
        <w:spacing w:lineRule="auto" w:line="288" w:before="120" w:after="120"/>
        <w:jc w:val="both"/>
        <w:rPr/>
      </w:pPr>
      <w:r>
        <w:rPr>
          <w:rFonts w:ascii="Times New Roman;sans-serif" w:hAnsi="Times New Roman;sans-serif"/>
          <w:b w:val="false"/>
          <w:color w:val="000000"/>
          <w:sz w:val="20"/>
        </w:rPr>
        <w:t xml:space="preserve">The Plan's investments are stated at fair value. Fair value is the price that would be received to sell an asset or paid to transfer a liability in an orderly transaction between market participants as of the measurement date. Refer to Note 3, </w:t>
      </w:r>
      <w:r>
        <w:rPr>
          <w:rFonts w:ascii="Times New Roman;sans-serif" w:hAnsi="Times New Roman;sans-serif"/>
          <w:b w:val="false"/>
          <w:i/>
          <w:color w:val="000000"/>
          <w:sz w:val="20"/>
        </w:rPr>
        <w:t>Fair Value Measurement</w:t>
      </w:r>
      <w:r>
        <w:rPr>
          <w:rFonts w:ascii="Times New Roman;sans-serif" w:hAnsi="Times New Roman;sans-serif"/>
          <w:b w:val="false"/>
          <w:color w:val="000000"/>
          <w:sz w:val="20"/>
        </w:rPr>
        <w:t>, for additional information regarding the fair value measurements of the Plan's investments. Purchases and sales of all investments are recorded on a trade-date basis. Net appreciation, or depreciation, includes the Plan's gains, or losses, respectively, on investments bought and sold, as well as held during the year and is reflected in the Statements of Changes in Net Assets Available for Benefits. Interest is recorded on an accrual basis. Dividends are recorded on the ex-dividend date.</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Concentrations of Risk</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2022 and 2021, approximately 31 percent and 27 percent of the investments of the Plan, respectively, were invested in Common Stock. As a result of this concentration, net assets available for benefits are particularly sensitive to changes in the fair value of investments in Common Stock. The underlying value of the Common Stock is entirely dependent upon the performance of the Company and the market’s evaluation of such performance and other factors.</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Notes Receivable from Participants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general, the Plan does not permit loans to Participants from their individual accounts. However, outstanding Participant loans transferred into the Plan as a result of a plan merger with, and into, the Plan remain outstanding in accordance with the existing terms of the promissory notes and plan loan policies in effect immediately before the merger. Participant loans are recorded as notes receivable from participants on the Statements of Net Assets Available for Benefits. Such Participant loans are valued at the unpaid principal balance plus any accrued but unpaid interest. Interest income is recorded on the accrual basis and related fees are recorded as administrative expense when incurred. No allowance for current expected credit losses has been recorded on the outstanding Participant loan balance as of December 31, 2022 or 2021.</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Indirect Investments in Fully Benefit-Responsive Investment Contracts</w:t>
      </w:r>
    </w:p>
    <w:p>
      <w:pPr>
        <w:pStyle w:val="TextBody"/>
        <w:bidi w:val="0"/>
        <w:spacing w:lineRule="auto" w:line="288" w:before="120" w:after="120"/>
        <w:jc w:val="both"/>
        <w:rPr/>
      </w:pPr>
      <w:r>
        <w:rPr>
          <w:rFonts w:ascii="Times New Roman;sans-serif" w:hAnsi="Times New Roman;sans-serif"/>
          <w:b w:val="false"/>
          <w:color w:val="000000"/>
          <w:sz w:val="20"/>
        </w:rPr>
        <w:t xml:space="preserve">The Plan indirectly invests in fully benefit-responsive investment contracts and security-backed contracts through the Plan's investment in the Vanguard Retirement Savings Trust IV, held as of December 31, 2022 and 2021. An investment contract is a contract issued by a financial institution to provide a consistent return to the buyer of the contract for a specified period of time. A security-backed contract has similar characteristics as a traditional investment contract and is comprised of two parts: the first part is a fixed-income security or portfolio of fixed-income securities; the second part is a contract value guarantee provided by a third party. Investments in the Vanguard Retirement Savings Trust IV were recorded at a fair value of $57.6 million and $63.5 million as of December 31, 2022 and 2021, respectively. Investments in the Vanguard Retirement Savings Trust IV are categorized as common collective trust funds for the years ended December 31, 2022 and 2021 in Note 3, </w:t>
      </w:r>
      <w:r>
        <w:rPr>
          <w:rFonts w:ascii="Times New Roman;sans-serif" w:hAnsi="Times New Roman;sans-serif"/>
          <w:b w:val="false"/>
          <w:i/>
          <w:color w:val="000000"/>
          <w:sz w:val="20"/>
        </w:rPr>
        <w:t>Fair Value Measurement</w:t>
      </w:r>
      <w:r>
        <w:rPr>
          <w:rFonts w:ascii="Times New Roman;sans-serif" w:hAnsi="Times New Roman;sans-serif"/>
          <w:b w:val="false"/>
          <w:color w:val="000000"/>
          <w:sz w:val="20"/>
        </w:rPr>
        <w:t xml:space="preserve">. The yield earned by the Vanguard Retirement Savings Trust IV was approximately three percent as of December 31, 2022 and 2021. </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Administrative Expenses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Administrative costs of the Plan are shared by the Company and Participants, depending upon the type of administrative cost, and are recorded when the expense has been incurred. Investment management fees are netted against investment income.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tbl>
      <w:tblPr>
        <w:tblW w:w="2955" w:type="dxa"/>
        <w:jc w:val="left"/>
        <w:tblInd w:w="0" w:type="dxa"/>
        <w:tblLayout w:type="fixed"/>
        <w:tblCellMar>
          <w:top w:w="28" w:type="dxa"/>
          <w:left w:w="28" w:type="dxa"/>
          <w:bottom w:w="28" w:type="dxa"/>
          <w:right w:w="28" w:type="dxa"/>
        </w:tblCellMar>
      </w:tblPr>
      <w:tblGrid>
        <w:gridCol w:w="130"/>
        <w:gridCol w:w="115"/>
        <w:gridCol w:w="116"/>
        <w:gridCol w:w="759"/>
        <w:gridCol w:w="759"/>
        <w:gridCol w:w="1076"/>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48"/>
              </w:rPr>
            </w:pPr>
            <w:r>
              <w:rPr>
                <w:rFonts w:ascii="Times New Roman;sans-serif" w:hAnsi="Times New Roman;sans-serif"/>
                <w:b/>
                <w:color w:val="000000"/>
                <w:sz w:val="48"/>
              </w:rPr>
              <w:t>3</w:t>
            </w:r>
          </w:p>
        </w:tc>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Fair Value Measurement</w:t>
            </w:r>
          </w:p>
        </w:tc>
      </w:tr>
    </w:tbl>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Plan categorizes its assets and liabilities into one of three levels based on the assumptions (inputs) used in valuing the asset or liability. Level 1 provides the most reliable measure of fair value, while Level 3 generally requires significant management judgment. The three levels are defined as follows:</w:t>
      </w:r>
    </w:p>
    <w:p>
      <w:pPr>
        <w:pStyle w:val="TextBody"/>
        <w:bidi w:val="0"/>
        <w:spacing w:lineRule="auto" w:line="288" w:before="120" w:after="120"/>
        <w:ind w:left="0" w:right="0" w:firstLine="720"/>
        <w:jc w:val="both"/>
        <w:rPr/>
      </w:pPr>
      <w:r>
        <w:rPr>
          <w:rFonts w:ascii="Times New Roman;sans-serif" w:hAnsi="Times New Roman;sans-serif"/>
          <w:b/>
          <w:color w:val="000000"/>
          <w:sz w:val="20"/>
        </w:rPr>
        <w:t>Level 1</w:t>
      </w:r>
      <w:r>
        <w:rPr>
          <w:rFonts w:ascii="Times New Roman;sans-serif" w:hAnsi="Times New Roman;sans-serif"/>
          <w:b w:val="false"/>
          <w:color w:val="000000"/>
          <w:sz w:val="20"/>
        </w:rPr>
        <w:t>: Unadjusted quoted prices in active markets for identical assets or liabilities.</w:t>
      </w:r>
    </w:p>
    <w:p>
      <w:pPr>
        <w:pStyle w:val="TextBody"/>
        <w:bidi w:val="0"/>
        <w:spacing w:lineRule="auto" w:line="288" w:before="120" w:after="120"/>
        <w:jc w:val="both"/>
        <w:rPr/>
      </w:pPr>
      <w:r>
        <w:rPr>
          <w:rFonts w:ascii="Times New Roman;sans-serif" w:hAnsi="Times New Roman;sans-serif"/>
          <w:b/>
          <w:color w:val="000000"/>
          <w:sz w:val="20"/>
        </w:rPr>
        <w:t>Level 2</w:t>
      </w:r>
      <w:r>
        <w:rPr>
          <w:rFonts w:ascii="Times New Roman;sans-serif" w:hAnsi="Times New Roman;sans-serif"/>
          <w:b w:val="false"/>
          <w:color w:val="000000"/>
          <w:sz w:val="20"/>
        </w:rPr>
        <w:t>: Observable inputs other than Level 1 prices, such as quoted prices for similar assets or liabilities in active markets; quoted prices for identical assets or liabilities in markets that are not active; or other inputs that are observable or can be corroborated by observable market data for substantially the full term of the assets or liabilities.</w:t>
      </w:r>
    </w:p>
    <w:p>
      <w:pPr>
        <w:pStyle w:val="TextBody"/>
        <w:bidi w:val="0"/>
        <w:spacing w:lineRule="auto" w:line="288" w:before="120" w:after="120"/>
        <w:jc w:val="both"/>
        <w:rPr/>
      </w:pPr>
      <w:r>
        <w:rPr>
          <w:rFonts w:ascii="Times New Roman;sans-serif" w:hAnsi="Times New Roman;sans-serif"/>
          <w:b/>
          <w:color w:val="000000"/>
          <w:sz w:val="20"/>
        </w:rPr>
        <w:t>Level 3</w:t>
      </w:r>
      <w:r>
        <w:rPr>
          <w:rFonts w:ascii="Times New Roman;sans-serif" w:hAnsi="Times New Roman;sans-serif"/>
          <w:b w:val="false"/>
          <w:color w:val="000000"/>
          <w:sz w:val="20"/>
        </w:rPr>
        <w:t>: Unobservable inputs reflecting management’s assumptions about the inputs used in pricing the asset or liability.</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asset or liability's fair value measurement level within the fair value hierarchy is based on the lowest level of any input that is significant to the fair value measurement. Valuation techniques maximize the use of relevant observable inputs and minimize the use of unobservable inputs.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Plan's investments in mutual funds, money market funds, and Common Stock are classified as Level 1 assets in the fair value hierarchy. Mutual funds and investments in Common Stock are valued based on the unadjusted closing market price reported on the active market on which the individual securities are traded. Money market funds are open-end, actively traded mutual funds that are registered with the United States Securities and Exchange Commission and are valued at the daily closing price as reported by the fund. Investments held within the self-directed brokerage account are classified as Level 1 assets in the fair value hierarchy and primarily consist of mutual funds and common stocks that are valued based on the unadjusted closing market price reported on the active market on which the individual securities are traded. The Plan's investments in common collective trust funds are classified as Level 2 assets in the fair value hierarchy. Common collective trust funds have the characteristics of a structure similar to a mutual fund and are valued based on the readily determinable quoted market price that each fund publishes at the end of each day. While the underlying assets in a common collective trust fund are actively traded on an exchange, the funds themselves are not and, therefore, are classified as Level 2 assets in the fair value hierarchy.</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Plan's assets measured at fair value as of December 31, 2022 and 2021 are summarized below:</w:t>
      </w:r>
    </w:p>
    <w:tbl>
      <w:tblPr>
        <w:tblW w:w="9769" w:type="dxa"/>
        <w:jc w:val="center"/>
        <w:tblInd w:w="0" w:type="dxa"/>
        <w:tblLayout w:type="fixed"/>
        <w:tblCellMar>
          <w:top w:w="28" w:type="dxa"/>
          <w:left w:w="28" w:type="dxa"/>
          <w:bottom w:w="28" w:type="dxa"/>
          <w:right w:w="28" w:type="dxa"/>
        </w:tblCellMar>
      </w:tblPr>
      <w:tblGrid>
        <w:gridCol w:w="1091"/>
        <w:gridCol w:w="958"/>
        <w:gridCol w:w="965"/>
        <w:gridCol w:w="109"/>
        <w:gridCol w:w="109"/>
        <w:gridCol w:w="109"/>
        <w:gridCol w:w="211"/>
        <w:gridCol w:w="1336"/>
        <w:gridCol w:w="109"/>
        <w:gridCol w:w="109"/>
        <w:gridCol w:w="109"/>
        <w:gridCol w:w="109"/>
        <w:gridCol w:w="211"/>
        <w:gridCol w:w="1186"/>
        <w:gridCol w:w="109"/>
        <w:gridCol w:w="109"/>
        <w:gridCol w:w="109"/>
        <w:gridCol w:w="109"/>
        <w:gridCol w:w="211"/>
        <w:gridCol w:w="1186"/>
        <w:gridCol w:w="109"/>
        <w:gridCol w:w="109"/>
        <w:gridCol w:w="109"/>
        <w:gridCol w:w="109"/>
        <w:gridCol w:w="213"/>
        <w:gridCol w:w="411"/>
        <w:gridCol w:w="155"/>
      </w:tblGrid>
      <w:tr>
        <w:trPr/>
        <w:tc>
          <w:tcPr>
            <w:tcW w:w="1091"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Level 3</w:t>
            </w:r>
          </w:p>
        </w:tc>
      </w:tr>
      <w:tr>
        <w:trPr/>
        <w:tc>
          <w:tcPr>
            <w:tcW w:w="30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Mutual funds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375,940,692 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375,940,692 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Common collective trust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494,017,569 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494,017,569 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19,187,015 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19,187,015 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Self-directed brokerage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16,447,674 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16,447,674 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The Toro Company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397,801,398 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397,801,398 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Investments at fair value</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3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1,303,394,348 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809,376,779 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494,017,569 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769" w:type="dxa"/>
        <w:jc w:val="center"/>
        <w:tblInd w:w="0" w:type="dxa"/>
        <w:tblLayout w:type="fixed"/>
        <w:tblCellMar>
          <w:top w:w="28" w:type="dxa"/>
          <w:left w:w="28" w:type="dxa"/>
          <w:bottom w:w="28" w:type="dxa"/>
          <w:right w:w="28" w:type="dxa"/>
        </w:tblCellMar>
      </w:tblPr>
      <w:tblGrid>
        <w:gridCol w:w="1091"/>
        <w:gridCol w:w="958"/>
        <w:gridCol w:w="965"/>
        <w:gridCol w:w="109"/>
        <w:gridCol w:w="109"/>
        <w:gridCol w:w="109"/>
        <w:gridCol w:w="211"/>
        <w:gridCol w:w="1336"/>
        <w:gridCol w:w="109"/>
        <w:gridCol w:w="109"/>
        <w:gridCol w:w="109"/>
        <w:gridCol w:w="109"/>
        <w:gridCol w:w="211"/>
        <w:gridCol w:w="1186"/>
        <w:gridCol w:w="109"/>
        <w:gridCol w:w="109"/>
        <w:gridCol w:w="109"/>
        <w:gridCol w:w="109"/>
        <w:gridCol w:w="211"/>
        <w:gridCol w:w="1186"/>
        <w:gridCol w:w="109"/>
        <w:gridCol w:w="109"/>
        <w:gridCol w:w="109"/>
        <w:gridCol w:w="109"/>
        <w:gridCol w:w="213"/>
        <w:gridCol w:w="411"/>
        <w:gridCol w:w="155"/>
      </w:tblGrid>
      <w:tr>
        <w:trPr/>
        <w:tc>
          <w:tcPr>
            <w:tcW w:w="1091"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Level 3</w:t>
            </w:r>
          </w:p>
        </w:tc>
      </w:tr>
      <w:tr>
        <w:trPr/>
        <w:tc>
          <w:tcPr>
            <w:tcW w:w="30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Mutual funds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497,047,351 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497,047,351 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Common collective trust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569,520,812 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569,520,812 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13,532,972 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13,532,972 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Self-directed brokerage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19,044,902 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19,044,902 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The Toro Company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397,177,494 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397,177,494 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Investments at fair value</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3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1,496,323,531 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926,802,719 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569,520,812 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20" w:after="1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tbl>
      <w:tblPr>
        <w:tblW w:w="3495" w:type="dxa"/>
        <w:jc w:val="left"/>
        <w:tblInd w:w="0" w:type="dxa"/>
        <w:tblLayout w:type="fixed"/>
        <w:tblCellMar>
          <w:top w:w="28" w:type="dxa"/>
          <w:left w:w="28" w:type="dxa"/>
          <w:bottom w:w="28" w:type="dxa"/>
          <w:right w:w="28" w:type="dxa"/>
        </w:tblCellMar>
      </w:tblPr>
      <w:tblGrid>
        <w:gridCol w:w="130"/>
        <w:gridCol w:w="115"/>
        <w:gridCol w:w="116"/>
        <w:gridCol w:w="917"/>
        <w:gridCol w:w="917"/>
        <w:gridCol w:w="1300"/>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48"/>
              </w:rPr>
            </w:pPr>
            <w:r>
              <w:rPr>
                <w:rFonts w:ascii="Times New Roman;sans-serif" w:hAnsi="Times New Roman;sans-serif"/>
                <w:b/>
                <w:color w:val="000000"/>
                <w:sz w:val="48"/>
              </w:rPr>
              <w:t>4</w:t>
            </w:r>
          </w:p>
        </w:tc>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Party-in-Interest Transactions</w:t>
            </w:r>
          </w:p>
        </w:tc>
      </w:tr>
    </w:tbl>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the Trustee and the Company are parties-in-interest with respect to the Plan. The Plan’s investments are held by the Trustee, and some of the investment funds available to Participants include investment funds under a self-directed brokerage account and money market funds and mutual funds managed by the Trustee. Transactions between the Plan and the Trustee are exempt from being considered as "prohibited transactions" under ERISA Section 408(b). The Plan had no prohibited transactions with parties-in-interest during 2022 and 2021.</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Transactions involving Common Stock qualify as party-in-interest transactions that are exempt from the prohibited transaction rules under ERISA. At December 31, 2022 and 2021, the Plan held 3,514,031 and 3,975,233 shares of Common Stock, respectively, with a cost basis of approximately $73.9 million and $75.8 million, respectively. During the years ended December 31, 2022 and 2021, the Plan recorded dividend income on shares of Common Stock of $4.6 million and $4.5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055" w:type="dxa"/>
        <w:jc w:val="left"/>
        <w:tblInd w:w="0" w:type="dxa"/>
        <w:tblLayout w:type="fixed"/>
        <w:tblCellMar>
          <w:top w:w="28" w:type="dxa"/>
          <w:left w:w="28" w:type="dxa"/>
          <w:bottom w:w="28" w:type="dxa"/>
          <w:right w:w="28" w:type="dxa"/>
        </w:tblCellMar>
      </w:tblPr>
      <w:tblGrid>
        <w:gridCol w:w="130"/>
        <w:gridCol w:w="115"/>
        <w:gridCol w:w="116"/>
        <w:gridCol w:w="496"/>
        <w:gridCol w:w="496"/>
        <w:gridCol w:w="702"/>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48"/>
              </w:rPr>
            </w:pPr>
            <w:r>
              <w:rPr>
                <w:rFonts w:ascii="Times New Roman;sans-serif" w:hAnsi="Times New Roman;sans-serif"/>
                <w:b/>
                <w:color w:val="000000"/>
                <w:sz w:val="48"/>
              </w:rPr>
              <w:t>5</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Plan Tax Status</w:t>
            </w:r>
          </w:p>
        </w:tc>
      </w:tr>
    </w:tbl>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Plan Administrator received a favorable determination letter dated November 1, 2017 from the IRS stating that the Plan constitutes a qualified plan under Section 401(a) of the United States Internal Revenue Code ("IRC") and that the trust created under the Plan is exempt from federal income tax under Section 501(a) of the IRC. The Plan Administrator believes that the Plan is designed and is currently being operated in compliance with the applicable requirements of the IRC.</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U.S. GAAP requires the Plan Administrator to evaluate tax positions taken by the Plan and recognize a tax liability, or asset, if the Plan has taken an uncertain position that more likely than not would not be sustained upon examination by the IRS. The Plan Administrator has concluded that as of December 31, 2022, there are no uncertain tax positions taken or expected to be taken. The Plan is subject to routine audits by taxing jurisdictions; however, there are currently no audits for any tax periods in progress. The Plan's management believes that the Plan is no longer subject to income tax examinations for years prior to 2018.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325" w:type="dxa"/>
        <w:jc w:val="left"/>
        <w:tblInd w:w="0" w:type="dxa"/>
        <w:tblLayout w:type="fixed"/>
        <w:tblCellMar>
          <w:top w:w="28" w:type="dxa"/>
          <w:left w:w="28" w:type="dxa"/>
          <w:bottom w:w="28" w:type="dxa"/>
          <w:right w:w="28" w:type="dxa"/>
        </w:tblCellMar>
      </w:tblPr>
      <w:tblGrid>
        <w:gridCol w:w="130"/>
        <w:gridCol w:w="115"/>
        <w:gridCol w:w="116"/>
        <w:gridCol w:w="575"/>
        <w:gridCol w:w="575"/>
        <w:gridCol w:w="81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48"/>
              </w:rPr>
            </w:pPr>
            <w:r>
              <w:rPr>
                <w:rFonts w:ascii="Times New Roman;sans-serif" w:hAnsi="Times New Roman;sans-serif"/>
                <w:b/>
                <w:color w:val="000000"/>
                <w:sz w:val="48"/>
              </w:rPr>
              <w:t>6</w:t>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Subsequent Events</w:t>
            </w:r>
          </w:p>
        </w:tc>
      </w:tr>
    </w:tbl>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evaluated all subsequent events through June 26, 2023, the date that the Financial Statements were available to be issued, and concluded that no subsequent events have occurred that would require recognition in the Financial Statements or disclosure in the Notes to the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417" w:before="0" w:after="0"/>
        <w:jc w:val="center"/>
        <w:rPr>
          <w:rFonts w:ascii="Times New Roman;sans-serif" w:hAnsi="Times New Roman;sans-serif"/>
          <w:b/>
          <w:color w:val="000000"/>
          <w:sz w:val="20"/>
        </w:rPr>
      </w:pPr>
      <w:r>
        <w:rPr>
          <w:rFonts w:ascii="Times New Roman;sans-serif" w:hAnsi="Times New Roman;sans-serif"/>
          <w:b/>
          <w:color w:val="000000"/>
          <w:sz w:val="20"/>
        </w:rPr>
        <w:t>THE TORO COMPANY RETIREMENT PLAN</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Schedule H, line 4i - Schedule of Assets (Held at End of Year)</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2022</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988"/>
        <w:gridCol w:w="797"/>
        <w:gridCol w:w="800"/>
        <w:gridCol w:w="109"/>
        <w:gridCol w:w="109"/>
        <w:gridCol w:w="109"/>
        <w:gridCol w:w="1320"/>
        <w:gridCol w:w="1320"/>
        <w:gridCol w:w="1324"/>
        <w:gridCol w:w="109"/>
        <w:gridCol w:w="109"/>
        <w:gridCol w:w="109"/>
        <w:gridCol w:w="155"/>
        <w:gridCol w:w="155"/>
        <w:gridCol w:w="156"/>
        <w:gridCol w:w="109"/>
        <w:gridCol w:w="109"/>
        <w:gridCol w:w="109"/>
        <w:gridCol w:w="196"/>
        <w:gridCol w:w="1186"/>
        <w:gridCol w:w="1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Identity of Issue, Borrower, Lessor, or Similar Party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Description of Investment, Including Maturity Date, Rate of Interest, Collateral, Par or Maturity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Current Value</w:t>
            </w:r>
          </w:p>
        </w:tc>
      </w:tr>
      <w:tr>
        <w:trPr/>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 Rowe Price International Discovery Fund I Class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Mutual Fund</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14,148,480 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Vanguard Institutional Index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Mutual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201,009,397 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Vanguard Mid-Cap Index Fund Institutional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Mutual Fund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56,559,190 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Vanguard Small-Cap Index Fund Institutional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Mutual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12,072,084 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Vanguard Explorer Fund Admiral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Mutual Fund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21,196,573 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Goldman Sachs Small Cap Value Fund Institutional Class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Mutual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21,204,867 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PIMCO International Bond Fund (Unhedged) Institutional Class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Mutual Fund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2,795,281 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PGIM Total Return Bond Fund Class R6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Mutual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7,162,112 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American Funds EuroPacific Growth Fund® Class R-6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Mutual Fund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26,247,787 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Fidelity U.S. Bond Index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Mutual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13,544,921 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Vanguard Retirement Savings Trust IV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Collective Trust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57,558,646 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Vanguard Target Retirement Income Trust 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Collective Trust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9,758,092 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Vanguard Target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Collective Trust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22,805,802 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Vanguard Target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Collective Trust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79,432,886 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Vanguard Target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Collective Trust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84,170,702 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Vanguard Target 2035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Collective Trust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68,957,934 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Vanguard Target 2040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Collective Trust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54,171,644 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Vanguard Target 2045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Collective Trust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44,768,673 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Vanguard Target 2050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Collective Trust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31,379,885 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Vanguard Target 2055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Collective Trust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24,609,491 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Vanguard Target 2060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Collective Trust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11,309,069 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Vanguard Target 2065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Collective Trust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5,094,745 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Fidelity Treasury Only Money Market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Money Market Fund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19,187,015 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Fidelity Brokerage Link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Pooled Brokerage Account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16,447,674 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Toro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Toro Company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397,801,398 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Participant Loan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Notes receivable from participants***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131,713 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receivable due to investments in transit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Other receivable due to investments in transit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202,659 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9"/>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964"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1,303,728,720 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16"/>
        </w:rPr>
      </w:pPr>
      <w:r>
        <w:rPr>
          <w:rFonts w:ascii="Times New Roman;sans-serif" w:hAnsi="Times New Roman;sans-serif"/>
          <w:b w:val="false"/>
          <w:color w:val="000000"/>
          <w:sz w:val="16"/>
        </w:rPr>
        <w:t>*    Party-in-interest as defined by ERISA.</w:t>
      </w:r>
    </w:p>
    <w:p>
      <w:pPr>
        <w:pStyle w:val="TextBody"/>
        <w:bidi w:val="0"/>
        <w:spacing w:lineRule="auto" w:line="288" w:before="60" w:after="283"/>
        <w:jc w:val="both"/>
        <w:rPr>
          <w:rFonts w:ascii="Times New Roman;sans-serif" w:hAnsi="Times New Roman;sans-serif"/>
          <w:b w:val="false"/>
          <w:color w:val="000000"/>
          <w:sz w:val="16"/>
        </w:rPr>
      </w:pPr>
      <w:r>
        <w:rPr>
          <w:rFonts w:ascii="Times New Roman;sans-serif" w:hAnsi="Times New Roman;sans-serif"/>
          <w:b w:val="false"/>
          <w:color w:val="000000"/>
          <w:sz w:val="16"/>
        </w:rPr>
        <w:t>**    Cost information is not required for Participant-directed investments and therefore is not included.</w:t>
      </w:r>
    </w:p>
    <w:p>
      <w:pPr>
        <w:pStyle w:val="TextBody"/>
        <w:bidi w:val="0"/>
        <w:spacing w:lineRule="auto" w:line="288" w:before="60" w:after="283"/>
        <w:jc w:val="both"/>
        <w:rPr>
          <w:rFonts w:ascii="Times New Roman;sans-serif" w:hAnsi="Times New Roman;sans-serif"/>
          <w:b w:val="false"/>
          <w:color w:val="000000"/>
          <w:sz w:val="16"/>
        </w:rPr>
      </w:pPr>
      <w:r>
        <w:rPr>
          <w:rFonts w:ascii="Times New Roman;sans-serif" w:hAnsi="Times New Roman;sans-serif"/>
          <w:b w:val="false"/>
          <w:color w:val="000000"/>
          <w:sz w:val="16"/>
        </w:rPr>
        <w:t>***    70 loans outstanding with 1-5 year terms, maturing no later than September 2025, and interest rates of 4.25% - 6.50%.</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See accompanying Report of Independent Registered Public Accounting Firm.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trustees (or other persons who administer the employee benefit plan) have duly caused this annual report to be signed on its behalf by the undersigned hereunto duly authorized.</w:t>
      </w:r>
    </w:p>
    <w:p>
      <w:pPr>
        <w:pStyle w:val="TextBody"/>
        <w:bidi w:val="0"/>
        <w:spacing w:before="0" w:after="0"/>
        <w:jc w:val="both"/>
        <w:rPr/>
      </w:pPr>
      <w:r>
        <w:rPr/>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504"/>
        <w:gridCol w:w="444"/>
        <w:gridCol w:w="446"/>
        <w:gridCol w:w="2575"/>
        <w:gridCol w:w="2571"/>
        <w:gridCol w:w="3665"/>
      </w:tblGrid>
      <w:tr>
        <w:trPr/>
        <w:tc>
          <w:tcPr>
            <w:tcW w:w="50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575" w:type="dxa"/>
            <w:tcBorders/>
            <w:vAlign w:val="center"/>
          </w:tcPr>
          <w:p>
            <w:pPr>
              <w:pStyle w:val="TableContents"/>
              <w:bidi w:val="0"/>
              <w:spacing w:before="0" w:after="283"/>
              <w:jc w:val="left"/>
              <w:rPr>
                <w:sz w:val="4"/>
                <w:szCs w:val="4"/>
              </w:rPr>
            </w:pPr>
            <w:r>
              <w:rPr>
                <w:sz w:val="4"/>
                <w:szCs w:val="4"/>
              </w:rPr>
            </w:r>
          </w:p>
        </w:tc>
        <w:tc>
          <w:tcPr>
            <w:tcW w:w="2571" w:type="dxa"/>
            <w:tcBorders/>
            <w:vAlign w:val="center"/>
          </w:tcPr>
          <w:p>
            <w:pPr>
              <w:pStyle w:val="TableContents"/>
              <w:bidi w:val="0"/>
              <w:spacing w:before="0" w:after="283"/>
              <w:jc w:val="left"/>
              <w:rPr>
                <w:sz w:val="4"/>
                <w:szCs w:val="4"/>
              </w:rPr>
            </w:pPr>
            <w:r>
              <w:rPr>
                <w:sz w:val="4"/>
                <w:szCs w:val="4"/>
              </w:rPr>
            </w:r>
          </w:p>
        </w:tc>
        <w:tc>
          <w:tcPr>
            <w:tcW w:w="3665"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Toro Company Retirement Plan</w:t>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sz w:val="20"/>
              </w:rPr>
            </w:pPr>
            <w:r>
              <w:rPr>
                <w:rFonts w:ascii="Times New Roman;sans-serif" w:hAnsi="Times New Roman;sans-serif"/>
                <w:b w:val="false"/>
                <w:sz w:val="20"/>
              </w:rPr>
            </w:r>
          </w:p>
        </w:tc>
      </w:tr>
      <w:tr>
        <w:trPr/>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June 26, 2023</w:t>
            </w:r>
          </w:p>
        </w:tc>
        <w:tc>
          <w:tcPr>
            <w:tcW w:w="8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Angela C. Drake</w:t>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Angela C. Drake</w:t>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Vice President, Chief Financial Officer of The Toro Company (duly authorized officer, principal financial officer, and principal accounting officer)</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Index</w:t>
      </w:r>
    </w:p>
    <w:tbl>
      <w:tblPr>
        <w:tblW w:w="6538" w:type="dxa"/>
        <w:jc w:val="center"/>
        <w:tblInd w:w="0" w:type="dxa"/>
        <w:tblLayout w:type="fixed"/>
        <w:tblCellMar>
          <w:top w:w="28" w:type="dxa"/>
          <w:left w:w="28" w:type="dxa"/>
          <w:bottom w:w="28" w:type="dxa"/>
          <w:right w:w="28" w:type="dxa"/>
        </w:tblCellMar>
      </w:tblPr>
      <w:tblGrid>
        <w:gridCol w:w="538"/>
        <w:gridCol w:w="472"/>
        <w:gridCol w:w="474"/>
        <w:gridCol w:w="1476"/>
        <w:gridCol w:w="1476"/>
        <w:gridCol w:w="2102"/>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2102"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 Number</w:t>
            </w:r>
          </w:p>
        </w:tc>
        <w:tc>
          <w:tcPr>
            <w:tcW w:w="505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148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505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left"/>
              <w:rPr/>
            </w:pPr>
            <w:hyperlink w:anchor="ttc06262023exhibit231.htm">
              <w:r>
                <w:rPr>
                  <w:rStyle w:val="InternetLink"/>
                  <w:rFonts w:ascii="Times New Roman;sans-serif" w:hAnsi="Times New Roman;sans-serif"/>
                  <w:b w:val="false"/>
                  <w:color w:val="0000FF"/>
                  <w:sz w:val="20"/>
                  <w:u w:val="single"/>
                </w:rPr>
                <w:t>Consent of Independent Registered Public Accounting Firm.</w:t>
              </w:r>
            </w:hyperlink>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23.1</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Consent of Independent Registered Public Accounting Firm</w:t>
      </w:r>
    </w:p>
    <w:p>
      <w:pPr>
        <w:pStyle w:val="TextBody"/>
        <w:bidi w:val="0"/>
        <w:spacing w:before="0" w:after="0"/>
        <w:jc w:val="center"/>
        <w:rPr/>
      </w:pPr>
      <w:r>
        <w:rPr/>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We consent to the incorporation by reference in the registration statements (No. 033-59563, 333-11860, 333-100004, 333-119504, and 333-215251) on Form S-8 of our report dated June 26, 2023, with respect to the financial statements and supplemental schedule of The Toro Company Retirement Plan.</w:t>
      </w:r>
    </w:p>
    <w:p>
      <w:pPr>
        <w:pStyle w:val="TextBody"/>
        <w:bidi w:val="0"/>
        <w:spacing w:before="0" w:after="0"/>
        <w:jc w:val="both"/>
        <w:rPr/>
      </w:pPr>
      <w:r>
        <w:rPr/>
      </w:r>
    </w:p>
    <w:tbl>
      <w:tblPr>
        <w:tblW w:w="1676" w:type="dxa"/>
        <w:jc w:val="left"/>
        <w:tblInd w:w="0" w:type="dxa"/>
        <w:tblLayout w:type="fixed"/>
        <w:tblCellMar>
          <w:top w:w="28" w:type="dxa"/>
          <w:left w:w="28" w:type="dxa"/>
          <w:bottom w:w="28" w:type="dxa"/>
          <w:right w:w="28" w:type="dxa"/>
        </w:tblCellMar>
      </w:tblPr>
      <w:tblGrid>
        <w:gridCol w:w="470"/>
        <w:gridCol w:w="414"/>
        <w:gridCol w:w="420"/>
        <w:gridCol w:w="109"/>
        <w:gridCol w:w="109"/>
        <w:gridCol w:w="154"/>
      </w:tblGrid>
      <w:tr>
        <w:trPr/>
        <w:tc>
          <w:tcPr>
            <w:tcW w:w="47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KPMG LLP</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tbl>
      <w:tblPr>
        <w:tblW w:w="1931" w:type="dxa"/>
        <w:jc w:val="left"/>
        <w:tblInd w:w="0" w:type="dxa"/>
        <w:tblLayout w:type="fixed"/>
        <w:tblCellMar>
          <w:top w:w="28" w:type="dxa"/>
          <w:left w:w="28" w:type="dxa"/>
          <w:bottom w:w="28" w:type="dxa"/>
          <w:right w:w="28" w:type="dxa"/>
        </w:tblCellMar>
      </w:tblPr>
      <w:tblGrid>
        <w:gridCol w:w="565"/>
        <w:gridCol w:w="495"/>
        <w:gridCol w:w="499"/>
        <w:gridCol w:w="109"/>
        <w:gridCol w:w="109"/>
        <w:gridCol w:w="154"/>
      </w:tblGrid>
      <w:tr>
        <w:trPr/>
        <w:tc>
          <w:tcPr>
            <w:tcW w:w="56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 Moines, Iowa</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26, 2023</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4562</Words>
  <Characters>25351</Characters>
  <CharactersWithSpaces>29618</CharactersWithSpaces>
  <Paragraphs>486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