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8-A</w:t>
      </w:r>
    </w:p>
    <w:p>
      <w:pPr>
        <w:spacing w:after="0" w:line="200" w:lineRule="exact"/>
        <w:rPr>
          <w:sz w:val="24"/>
          <w:szCs w:val="24"/>
          <w:color w:val="auto"/>
        </w:rPr>
      </w:pPr>
    </w:p>
    <w:p>
      <w:pPr>
        <w:spacing w:after="0" w:line="209" w:lineRule="exact"/>
        <w:rPr>
          <w:sz w:val="24"/>
          <w:szCs w:val="24"/>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58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41-0580470</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of incorporation or organization)</w:t>
            </w:r>
          </w:p>
        </w:tc>
        <w:tc>
          <w:tcPr>
            <w:tcW w:w="4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(IRS EmployerIdentification No.)</w:t>
            </w:r>
          </w:p>
        </w:tc>
      </w:tr>
      <w:tr>
        <w:trPr>
          <w:trHeight w:val="608"/>
        </w:trPr>
        <w:tc>
          <w:tcPr>
            <w:tcW w:w="5700" w:type="dxa"/>
            <w:vAlign w:val="bottom"/>
            <w:gridSpan w:val="3"/>
          </w:tcPr>
          <w:p>
            <w:pPr>
              <w:spacing w:after="0"/>
              <w:rPr>
                <w:sz w:val="20"/>
                <w:szCs w:val="20"/>
                <w:color w:val="auto"/>
              </w:rPr>
            </w:pPr>
            <w:r>
              <w:rPr>
                <w:rFonts w:ascii="Courier New" w:cs="Courier New" w:eastAsia="Courier New" w:hAnsi="Courier New"/>
                <w:sz w:val="18"/>
                <w:szCs w:val="18"/>
                <w:color w:val="auto"/>
              </w:rPr>
              <w:t>8111 Lyndale Avenue South, Bloomington, Minnesota</w:t>
            </w:r>
          </w:p>
        </w:tc>
        <w:tc>
          <w:tcPr>
            <w:tcW w:w="29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55420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1060" w:type="dxa"/>
            <w:vAlign w:val="bottom"/>
          </w:tcPr>
          <w:p>
            <w:pPr>
              <w:spacing w:after="0"/>
              <w:rPr>
                <w:sz w:val="17"/>
                <w:szCs w:val="17"/>
                <w:color w:val="auto"/>
              </w:rPr>
            </w:pPr>
          </w:p>
        </w:tc>
        <w:tc>
          <w:tcPr>
            <w:tcW w:w="29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Title of</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each class</w:t>
            </w:r>
          </w:p>
        </w:tc>
        <w:tc>
          <w:tcPr>
            <w:tcW w:w="4220" w:type="dxa"/>
            <w:vAlign w:val="bottom"/>
          </w:tcPr>
          <w:p>
            <w:pPr>
              <w:ind w:left="840"/>
              <w:spacing w:after="0"/>
              <w:rPr>
                <w:sz w:val="20"/>
                <w:szCs w:val="20"/>
                <w:color w:val="auto"/>
              </w:rPr>
            </w:pPr>
            <w:r>
              <w:rPr>
                <w:rFonts w:ascii="Courier New" w:cs="Courier New" w:eastAsia="Courier New" w:hAnsi="Courier New"/>
                <w:sz w:val="18"/>
                <w:szCs w:val="18"/>
                <w:color w:val="auto"/>
              </w:rPr>
              <w:t>Name of each exchange on which</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so</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c>
          <w:tcPr>
            <w:tcW w:w="4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each class is to be registered</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Preferred Share Purchase Rights</w:t>
            </w:r>
          </w:p>
        </w:tc>
        <w:tc>
          <w:tcPr>
            <w:tcW w:w="4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New York Stock Exchange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0" w:lineRule="exact"/>
        <w:rPr>
          <w:sz w:val="24"/>
          <w:szCs w:val="24"/>
          <w:color w:val="auto"/>
        </w:rPr>
      </w:pPr>
    </w:p>
    <w:p>
      <w:pPr>
        <w:spacing w:after="0" w:line="204"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INFORMATION REQUIRED IN REGISTRATION STATEMENT</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SECURITIES TO BE REGISTERED.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4"/>
          <w:szCs w:val="24"/>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On May 20, 1998, the Board of Directors of The Toro Company (the "Company") declared a dividend of one preferred share purchase right (a "Right") for each outstanding share of common stock, par value $1.00 per share, of the Company (the "Common Shares"). The dividend is payable at the close of business on June 14, 1998 (the "Record Date") to the stockholders of record on that date. The description and terms of the Rights are set forth in a Rights Agreement (the "Rights Agreement"), dated as of May 20, 1998, between the Company and Norwest Bank of Minnesota, N.A., as Rights Agent (the "Rights Agent").</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Purchase Price</w:t>
      </w:r>
    </w:p>
    <w:p>
      <w:pPr>
        <w:spacing w:after="0" w:line="207" w:lineRule="exact"/>
        <w:rPr>
          <w:sz w:val="24"/>
          <w:szCs w:val="24"/>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Each Right entitles the registered holder to purchase from the Company one one-hundredth of a share of Series B Junior Participating Voting Preferred Stock, par value $1.00 per share, of the Company (the "Preferred Shares") at a price of $180 per one one-hundredth of a Preferred Share (the "Purchase Price"), subject to adjustment.</w:t>
      </w:r>
    </w:p>
    <w:p>
      <w:pPr>
        <w:sectPr>
          <w:pgSz w:w="11900" w:h="16838" w:orient="portrait"/>
          <w:cols w:equalWidth="0" w:num="1">
            <w:col w:w="10219"/>
          </w:cols>
          <w:pgMar w:left="24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Flip-In</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In the event that any person or group of affiliated or associated persons becomes an Acquiring Person (as defined below), each holder of a Right, other than Rights beneficially owned by the Acquiring Person (which will thereafter be void), will thereafter have the right to receive upon exercise that number of Common Shares having a market value of two times the exercise price of the Right.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Flip-Over</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If the Company is acquired in a merger or other business combination transaction or 50% or more of its consolidated assets or earning power are sold after a person or group has become an Acquiring Person, each holder of a Right (other than the Acquiring Person) will thereafter have the right to receive, upon exercise thereof, that number of shares of common stock of the acquiring company which at the time of such transaction will have a market value of two times the exercise price of the Right.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and Detachment</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Until the Distribution Date (as defined below), the Rights will be evidenced, with respect to any of the Common Share certificates outstanding as of the Record Date, by such Common Share certificate with a copy of this Summary of Rights attached thereto. Until the Distribution Date (or earlier redemption or expiration of the Rights), the Rights will be transferred with and only with the Common Shares, and transfer of those certificates will also constitute transfer of the Rights.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2" w:name="page3"/>
    <w:bookmarkEnd w:id="2"/>
    <w:p>
      <w:pPr>
        <w:ind w:right="1779" w:firstLine="2002"/>
        <w:spacing w:after="0" w:line="237" w:lineRule="auto"/>
        <w:rPr>
          <w:sz w:val="20"/>
          <w:szCs w:val="20"/>
          <w:color w:val="auto"/>
        </w:rPr>
      </w:pPr>
      <w:r>
        <w:rPr>
          <w:rFonts w:ascii="Courier New" w:cs="Courier New" w:eastAsia="Courier New" w:hAnsi="Courier New"/>
          <w:sz w:val="18"/>
          <w:szCs w:val="18"/>
          <w:color w:val="auto"/>
        </w:rPr>
        <w:t>As soon as practicable following the Distribution Date, separate certificates evidencing the Rights ("Right Certificates") will be mailed to holders of record of the Common Shares as of the close of business on the Distribution Date and such separate Right Certificates alone will thereafter evidence the Rights.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 Date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Distribution Date is the earlier of:</w:t>
      </w:r>
    </w:p>
    <w:p>
      <w:pPr>
        <w:spacing w:after="0" w:line="207" w:lineRule="exact"/>
        <w:rPr>
          <w:sz w:val="20"/>
          <w:szCs w:val="20"/>
          <w:color w:val="auto"/>
        </w:rPr>
      </w:pPr>
    </w:p>
    <w:p>
      <w:pPr>
        <w:ind w:left="960" w:right="1879" w:firstLine="944"/>
        <w:spacing w:after="0" w:line="237" w:lineRule="auto"/>
        <w:tabs>
          <w:tab w:leader="none" w:pos="2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days following a public announcement that a person or group of affiliated or associated persons (an "Acquiring Person") have acquired beneficial ownership of 15% or more of the outstanding Common Shares; or</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business days (or such later date as may be determined by action of the Board of Directors prior to such time as any person or group of affiliated persons becomes an Acquiring Person) following the commencement of, or announcement of an intention to make, a tender offer or exchange offer the consummation of which would result in the beneficial ownership by a person or group of 15% or more of the outstanding Common Shares.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Exercisability</w:t>
      </w:r>
    </w:p>
    <w:p>
      <w:pPr>
        <w:spacing w:after="0" w:line="207"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The Rights are not exercisable until the Distribution Date. The Rights will expire at the close of business on June 14, 2008 (the "Final Expiration Date"), unless the Final Expiration Date is extended or unless the Rights are earlier redeemed or exchanged by the Company, in each case, as described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Purchase Price payable, and the number of Preferred Shares or other securities or property issuable, upon exercise of the Rights are subject to adjustment from time to time to prevent dilution in the event of stock dividends, stock splits, reclassifications or certain distributions with respect to the Preferred Shares. The number of outstanding Rights and the number of one one-hundredths of a Preferred Share issuable upon exercise of each Right are also subject to adjustment if, prior to the Distribution Date, there is a stock split of the Common Shares or a stock dividend on the Common Shares payable in Common Shares or subdivisions, consolidations or combinations of the Common Shares.</w:t>
      </w:r>
    </w:p>
    <w:p>
      <w:pPr>
        <w:spacing w:after="0" w:line="21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require an adjustment of at least 1% in such Purchase Price. No fractional Preferred Shares will be issued (other than fractions which are integral multiples of one one-hundredth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Preferred Shares purchasable upon exercise of the Rights will not be redeemable. Each Preferred Share will be entitled to a minimum preferential quarterly dividend payment of $1 per share but will be entitled to an aggregate dividend of 100 times the dividend declared per Common Share. In the event of liquidation, the holders of the Preferred Shares will be entitled to a minimum preferential liquidation payment of $100 per share but will be entitled to an aggregate payment of 100 times the payment made per Common Share. Each Preferred Share will have 100 votes, voting together with the Common Shares. Finally, in the event of any merger, consolidation or other transaction in which Common Shares are exchanged, each Preferred Share will be entitled to receive 100 times the amount received per Common Share. These rights are protected by customary antidilution provisions.</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The value of the one one-hundredth interest in a Preferred Share purchasable upon exercise of each Right should, because of the nature of the Preferred Shares' dividend, liquidation and voting rights, approximate the value of one Common Share.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At any time after any person or group becomes an Acquiring Person and prior to the acquisition by such person or group of 50% or more of the outstanding Common Shares, the Board of Directors of the Company may exchange the Rights (other than Rights owned by the Acquiring Person, which will have become void), in whole or in part, at an exchange ratio of one Common Share, or one one-hundredth of a Preferred Share per Right (subject to adjustment).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At any time prior to the time any person becomes an Acquiring Person, the Board of Directors of the Company may redeem the Rights in whole, but not in part, at a price of $.01 per Right (the "Redemption Price"). The redemption of the Rights may be made effective at such time on such basis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terms of the Rights may be amended by the Board of Directors of the Company without the consent of the holders of the Rights, including an amendment to lower certain thresholds described above to not less than the greater of (i) the sum of .001% and the largest percentage of the outstanding Common Shares then known to the Company to be beneficially owned by any person or group of affiliated or associated persons and (ii) 10%, except that from and after such time as any person or group of affiliated or associated persons becomes an Acquiring Person no such amendment may adversely affect the interests of the holders of the Rights.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as Holders</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stockholder of the Company, including, without limitation, the right to vote or to receive dividends.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 Information</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A copy of the Rights Agreement is filed as Exhibit 1 hereto and is incorporated herein by reference. The foregoing summary description of the Rights does not purport to be complete and is qualified in its entirety by reference to such exhibit.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2000" w:right="1779" w:hanging="623"/>
        <w:spacing w:after="0" w:line="271" w:lineRule="auto"/>
        <w:tabs>
          <w:tab w:leader="none" w:pos="20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Agreement, dated as of May 20, 1998, between The Toro Company and Norwest Bank of Minnesota, N.A., which includes the form of Certificate of Designation of the Preferred Shares as Exhibit A, the form of Right Certificate as Exhibit B and the Summary of Rights as Exhibit C (incorporated by reference to Exhibit 1 to The Toro Company's Current Report on Form 8-K, dated May 27,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Pursuant to the requirements of Section 12 of the Securities Exchange Act of 1934, the registrant has duly caused this registration statement to be signed on its behalf by the undersigned, thereunto duly authorized.</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May 27, 1998</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THE TORO COMPANY</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J. Lawrence McIntyre</w:t>
      </w:r>
    </w:p>
    <w:p>
      <w:pPr>
        <w:ind w:left="4860"/>
        <w:spacing w:after="0" w:line="238" w:lineRule="auto"/>
        <w:tabs>
          <w:tab w:leader="none" w:pos="5580" w:val="left"/>
        </w:tabs>
        <w:rPr>
          <w:sz w:val="20"/>
          <w:szCs w:val="20"/>
          <w:color w:val="auto"/>
        </w:rPr>
      </w:pPr>
      <w:r>
        <w:rPr>
          <w:rFonts w:ascii="Courier New" w:cs="Courier New" w:eastAsia="Courier New" w:hAnsi="Courier New"/>
          <w:sz w:val="18"/>
          <w:szCs w:val="18"/>
          <w:color w:val="auto"/>
        </w:rPr>
        <w:t>Name:</w:t>
        <w:tab/>
        <w:t>J. Lawrence McIntyre</w:t>
      </w:r>
    </w:p>
    <w:p>
      <w:pPr>
        <w:ind w:left="4860"/>
        <w:spacing w:after="0"/>
        <w:rPr>
          <w:sz w:val="20"/>
          <w:szCs w:val="20"/>
          <w:color w:val="auto"/>
        </w:rPr>
      </w:pPr>
      <w:r>
        <w:rPr>
          <w:rFonts w:ascii="Courier New" w:cs="Courier New" w:eastAsia="Courier New" w:hAnsi="Courier New"/>
          <w:sz w:val="18"/>
          <w:szCs w:val="18"/>
          <w:color w:val="auto"/>
        </w:rPr>
        <w:t>Title: Vice President, Secretary</w:t>
      </w:r>
    </w:p>
    <w:p>
      <w:pPr>
        <w:ind w:left="5600"/>
        <w:spacing w:after="0" w:line="237" w:lineRule="auto"/>
        <w:rPr>
          <w:sz w:val="20"/>
          <w:szCs w:val="20"/>
          <w:color w:val="auto"/>
        </w:rPr>
      </w:pPr>
      <w:r>
        <w:rPr>
          <w:rFonts w:ascii="Courier New" w:cs="Courier New" w:eastAsia="Courier New" w:hAnsi="Courier New"/>
          <w:sz w:val="18"/>
          <w:szCs w:val="18"/>
          <w:color w:val="auto"/>
        </w:rPr>
        <w:t>and General Counsel</w:t>
      </w:r>
    </w:p>
    <w:p>
      <w:pPr>
        <w:sectPr>
          <w:pgSz w:w="11900" w:h="16838" w:orient="portrait"/>
          <w:cols w:equalWidth="0" w:num="1">
            <w:col w:w="10219"/>
          </w:cols>
          <w:pgMar w:left="240" w:top="919" w:right="1440" w:bottom="1440" w:gutter="0" w:footer="0" w:header="0"/>
        </w:sectPr>
      </w:pPr>
    </w:p>
    <w:bookmarkStart w:id="6" w:name="page7"/>
    <w:bookmarkEnd w:id="6"/>
    <w:p>
      <w:pPr>
        <w:ind w:left="3580"/>
        <w:spacing w:after="0"/>
        <w:rPr>
          <w:sz w:val="20"/>
          <w:szCs w:val="20"/>
          <w:color w:val="auto"/>
        </w:rPr>
      </w:pPr>
      <w:r>
        <w:rPr>
          <w:rFonts w:ascii="Courier New" w:cs="Courier New" w:eastAsia="Courier New" w:hAnsi="Courier New"/>
          <w:sz w:val="18"/>
          <w:szCs w:val="18"/>
          <w:color w:val="auto"/>
        </w:rPr>
        <w:t>EXHIBIT LIST</w:t>
      </w:r>
    </w:p>
    <w:p>
      <w:pPr>
        <w:spacing w:after="0" w:line="200" w:lineRule="exact"/>
        <w:rPr>
          <w:sz w:val="20"/>
          <w:szCs w:val="20"/>
          <w:color w:val="auto"/>
        </w:rPr>
      </w:pPr>
    </w:p>
    <w:p>
      <w:pPr>
        <w:spacing w:after="0" w:line="204"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Page No.</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3259" w:hanging="632"/>
        <w:spacing w:after="0" w:line="268"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Agreement, dated as of May 20, 1998, between The Toro Company and Norwest Bank of Minnesota, N.A., which includes the form of Certificate of Designation of the Preferred Shares as Exhibit A, the form of Right Certificate</w:t>
      </w:r>
    </w:p>
    <w:p>
      <w:pPr>
        <w:ind w:left="640" w:right="2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Exhibit B and the Summary of Rights as Exhibit C (incorporated by reference to Exhibit 1 to The Toro Company's Current</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Report on Form 8-K, dated May 27,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2019-12-13T14:05:25Z</dcterms:created>
  <dcterms:modified xsi:type="dcterms:W3CDTF">2019-12-13T14:05:25Z</dcterms:modified>
</cp:coreProperties>
</file>