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MEYER KAREN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TORO CO</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08/29/2003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vice president administration</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3"/>
            <w:vMerge w:val="restart"/>
          </w:tcPr>
          <w:p>
            <w:pPr>
              <w:spacing w:after="0"/>
              <w:rPr>
                <w:sz w:val="20"/>
                <w:szCs w:val="20"/>
                <w:color w:val="auto"/>
              </w:rPr>
            </w:pPr>
            <w:r>
              <w:rPr>
                <w:rFonts w:ascii="Arial" w:cs="Arial" w:eastAsia="Arial" w:hAnsi="Arial"/>
                <w:sz w:val="18"/>
                <w:szCs w:val="18"/>
                <w:color w:val="0000FF"/>
              </w:rPr>
              <w:t>BLOOMINGTON MN</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0000FF"/>
              </w:rPr>
              <w:t>55420</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4"/>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08/29/2003</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6,000</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46.98</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880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jc w:val="center"/>
              <w:ind w:left="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sold 6,000 shares to the Company in a private transaction.</w:t>
      </w:r>
    </w:p>
    <w:p>
      <w:pPr>
        <w:spacing w:after="0" w:line="41" w:lineRule="exact"/>
        <w:rPr>
          <w:rFonts w:ascii="Arial" w:cs="Arial" w:eastAsia="Arial" w:hAnsi="Arial"/>
          <w:sz w:val="14"/>
          <w:szCs w:val="14"/>
          <w:color w:val="008000"/>
        </w:rPr>
      </w:pPr>
    </w:p>
    <w:p>
      <w:pPr>
        <w:ind w:left="40" w:right="4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 addition, the reporting person owns direct 11,086.561 Common Stock Units, 5,543.194 Matching Units and 47,599.154 Performance Share Units in The Toro Company Performance Share Plan and 19,607.128 shares indirectly in The Toro Company Investment, Savings &amp; ESOP.</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6"/>
              </w:rPr>
              <w:t>N. Jeanne Ryan, Power of</w:t>
            </w:r>
          </w:p>
        </w:tc>
        <w:tc>
          <w:tcPr>
            <w:tcW w:w="28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09/03/2003</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8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2019-12-16T04:09:22Z</dcterms:created>
  <dcterms:modified xsi:type="dcterms:W3CDTF">2019-12-16T04:09:22Z</dcterms:modified>
</cp:coreProperties>
</file>