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March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20"/>
          <w:szCs w:val="20"/>
          <w:color w:val="auto"/>
        </w:rPr>
        <w:t>The Toro Company (“TTC”) held its 2024 Annual Meeting of Shareholders on March 19, 2024. The final results for each proposal submitted to a vote of TTC’s shareholders at the meeting were as follows: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One—Election of two</w:t>
            </w: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75"/>
        </w:trPr>
        <w:tc>
          <w:tcPr>
            <w:tcW w:w="25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director nominees, each to serve</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for a term ending at the 2027</w:t>
            </w: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Gary L. Ellis</w:t>
            </w:r>
          </w:p>
        </w:tc>
        <w:tc>
          <w:tcPr>
            <w:tcW w:w="2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79,234,404</w:t>
            </w:r>
          </w:p>
        </w:tc>
        <w:tc>
          <w:tcPr>
            <w:tcW w:w="280" w:type="dxa"/>
            <w:vAlign w:val="bottom"/>
          </w:tcPr>
          <w:p>
            <w:pPr>
              <w:spacing w:after="0"/>
              <w:rPr>
                <w:sz w:val="20"/>
                <w:szCs w:val="20"/>
                <w:color w:val="auto"/>
              </w:rPr>
            </w:pPr>
          </w:p>
        </w:tc>
        <w:tc>
          <w:tcPr>
            <w:tcW w:w="20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9,886,401</w:t>
            </w:r>
          </w:p>
        </w:tc>
        <w:tc>
          <w:tcPr>
            <w:tcW w:w="280" w:type="dxa"/>
            <w:vAlign w:val="bottom"/>
          </w:tcPr>
          <w:p>
            <w:pPr>
              <w:spacing w:after="0"/>
              <w:rPr>
                <w:sz w:val="20"/>
                <w:szCs w:val="20"/>
                <w:color w:val="auto"/>
              </w:rPr>
            </w:pPr>
          </w:p>
        </w:tc>
        <w:tc>
          <w:tcPr>
            <w:tcW w:w="18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6,592,679</w:t>
            </w:r>
          </w:p>
        </w:tc>
        <w:tc>
          <w:tcPr>
            <w:tcW w:w="0" w:type="dxa"/>
            <w:vAlign w:val="bottom"/>
          </w:tcPr>
          <w:p>
            <w:pPr>
              <w:spacing w:after="0"/>
              <w:rPr>
                <w:sz w:val="1"/>
                <w:szCs w:val="1"/>
                <w:color w:val="auto"/>
              </w:rPr>
            </w:pPr>
          </w:p>
        </w:tc>
      </w:tr>
      <w:tr>
        <w:trPr>
          <w:trHeight w:val="27"/>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Jill M. Pemberton</w:t>
            </w: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60" w:type="dxa"/>
            <w:vAlign w:val="bottom"/>
            <w:vMerge w:val="continue"/>
          </w:tcPr>
          <w:p>
            <w:pPr>
              <w:spacing w:after="0"/>
              <w:rPr>
                <w:sz w:val="19"/>
                <w:szCs w:val="19"/>
                <w:color w:val="auto"/>
              </w:rPr>
            </w:pPr>
          </w:p>
        </w:tc>
        <w:tc>
          <w:tcPr>
            <w:tcW w:w="20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81,643,116</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7,477,689</w:t>
            </w:r>
          </w:p>
        </w:tc>
        <w:tc>
          <w:tcPr>
            <w:tcW w:w="280" w:type="dxa"/>
            <w:vAlign w:val="bottom"/>
          </w:tcPr>
          <w:p>
            <w:pPr>
              <w:spacing w:after="0"/>
              <w:rPr>
                <w:sz w:val="19"/>
                <w:szCs w:val="19"/>
                <w:color w:val="auto"/>
              </w:rPr>
            </w:pPr>
          </w:p>
        </w:tc>
        <w:tc>
          <w:tcPr>
            <w:tcW w:w="15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6,592,679</w:t>
            </w:r>
          </w:p>
        </w:tc>
        <w:tc>
          <w:tcPr>
            <w:tcW w:w="0" w:type="dxa"/>
            <w:vAlign w:val="bottom"/>
          </w:tcPr>
          <w:p>
            <w:pPr>
              <w:spacing w:after="0"/>
              <w:rPr>
                <w:sz w:val="1"/>
                <w:szCs w:val="1"/>
                <w:color w:val="auto"/>
              </w:rPr>
            </w:pPr>
          </w:p>
        </w:tc>
      </w:tr>
      <w:tr>
        <w:trPr>
          <w:trHeight w:val="22"/>
        </w:trPr>
        <w:tc>
          <w:tcPr>
            <w:tcW w:w="25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Two—Ratification</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4"/>
        </w:trPr>
        <w:tc>
          <w:tcPr>
            <w:tcW w:w="2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of the selection of KPMG</w:t>
            </w: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LLP as TTC’s independent</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registered public accounting</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firm for TTC’s fiscal year</w:t>
            </w: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October 31, 2024</w:t>
            </w:r>
          </w:p>
        </w:tc>
        <w:tc>
          <w:tcPr>
            <w:tcW w:w="20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92,328,599</w:t>
            </w:r>
          </w:p>
        </w:tc>
        <w:tc>
          <w:tcPr>
            <w:tcW w:w="300" w:type="dxa"/>
            <w:vAlign w:val="bottom"/>
          </w:tcPr>
          <w:p>
            <w:pPr>
              <w:spacing w:after="0"/>
              <w:rPr>
                <w:sz w:val="20"/>
                <w:szCs w:val="20"/>
                <w:color w:val="auto"/>
              </w:rPr>
            </w:pPr>
          </w:p>
        </w:tc>
        <w:tc>
          <w:tcPr>
            <w:tcW w:w="2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3,204,862</w:t>
            </w:r>
          </w:p>
        </w:tc>
        <w:tc>
          <w:tcPr>
            <w:tcW w:w="280" w:type="dxa"/>
            <w:vAlign w:val="bottom"/>
          </w:tcPr>
          <w:p>
            <w:pPr>
              <w:spacing w:after="0"/>
              <w:rPr>
                <w:sz w:val="20"/>
                <w:szCs w:val="20"/>
                <w:color w:val="auto"/>
              </w:rPr>
            </w:pPr>
          </w:p>
        </w:tc>
        <w:tc>
          <w:tcPr>
            <w:tcW w:w="2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180,023</w:t>
            </w:r>
          </w:p>
        </w:tc>
        <w:tc>
          <w:tcPr>
            <w:tcW w:w="280" w:type="dxa"/>
            <w:vAlign w:val="bottom"/>
          </w:tcPr>
          <w:p>
            <w:pPr>
              <w:spacing w:after="0"/>
              <w:rPr>
                <w:sz w:val="20"/>
                <w:szCs w:val="20"/>
                <w:color w:val="auto"/>
              </w:rPr>
            </w:pPr>
          </w:p>
        </w:tc>
        <w:tc>
          <w:tcPr>
            <w:tcW w:w="202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Three—</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Advisory approval of</w:t>
            </w: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20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81,439,126</w:t>
            </w:r>
          </w:p>
        </w:tc>
        <w:tc>
          <w:tcPr>
            <w:tcW w:w="280" w:type="dxa"/>
            <w:vAlign w:val="bottom"/>
          </w:tcPr>
          <w:p>
            <w:pPr>
              <w:spacing w:after="0"/>
              <w:rPr>
                <w:sz w:val="20"/>
                <w:szCs w:val="20"/>
                <w:color w:val="auto"/>
              </w:rPr>
            </w:pPr>
          </w:p>
        </w:tc>
        <w:tc>
          <w:tcPr>
            <w:tcW w:w="20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6,866,533</w:t>
            </w:r>
          </w:p>
        </w:tc>
        <w:tc>
          <w:tcPr>
            <w:tcW w:w="280" w:type="dxa"/>
            <w:vAlign w:val="bottom"/>
          </w:tcPr>
          <w:p>
            <w:pPr>
              <w:spacing w:after="0"/>
              <w:rPr>
                <w:sz w:val="20"/>
                <w:szCs w:val="20"/>
                <w:color w:val="auto"/>
              </w:rPr>
            </w:pPr>
          </w:p>
        </w:tc>
        <w:tc>
          <w:tcPr>
            <w:tcW w:w="20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815,146</w:t>
            </w:r>
          </w:p>
        </w:tc>
        <w:tc>
          <w:tcPr>
            <w:tcW w:w="320" w:type="dxa"/>
            <w:vAlign w:val="bottom"/>
          </w:tcPr>
          <w:p>
            <w:pPr>
              <w:spacing w:after="0"/>
              <w:rPr>
                <w:sz w:val="20"/>
                <w:szCs w:val="20"/>
                <w:color w:val="auto"/>
              </w:rPr>
            </w:pPr>
          </w:p>
        </w:tc>
        <w:tc>
          <w:tcPr>
            <w:tcW w:w="2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6,592,679</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Each of the director nominees in Proposal One was elected by TTC’s shareholders to serve for a term ending at the 2027 annual meeting of shareholders by the required vote. Regarding TTC’s other directors (i) each of Jeffrey L. Harmening, Joyce A. Mullen, Richard M. Olson and James C. O’Rourke continue to serve as a director for a term ending at TTC’s 2025 Annual Meeting of Shareholders; and (ii) each of Dianne C. Craig, Eric P. Hansotia and D. Christian Koch continue to serve as a director for a term ending at TTC’s 2026 Annual Meeting of Shareholders.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Proposal Two was approved by TTC’s shareholders by the required vote.</w:t>
      </w:r>
    </w:p>
    <w:p>
      <w:pPr>
        <w:spacing w:after="0" w:line="24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With respect to Proposal Three, TTC’s shareholders approved, on an advisory basis, the executive compensation of TTC’s named executive officers, as disclosed in TTC’s proxy statement pursuant to the compensation disclosure rules of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9440" w:type="dxa"/>
            <w:vAlign w:val="bottom"/>
          </w:tcPr>
          <w:p>
            <w:pPr>
              <w:spacing w:after="0"/>
              <w:rPr>
                <w:sz w:val="22"/>
                <w:szCs w:val="22"/>
                <w:color w:val="auto"/>
              </w:rPr>
            </w:pPr>
          </w:p>
        </w:tc>
      </w:tr>
      <w:tr>
        <w:trPr>
          <w:trHeight w:val="484"/>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58"/>
        </w:trPr>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94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March 22, 2024</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sectPr>
      <w:pgSz w:w="11900" w:h="16838" w:orient="portrait"/>
      <w:cols w:equalWidth="0" w:num="1">
        <w:col w:w="11020"/>
      </w:cols>
      <w:pgMar w:left="320" w:top="88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2024-03-22T09:06:34Z</dcterms:created>
  <dcterms:modified xsi:type="dcterms:W3CDTF">2024-03-22T09:06:34Z</dcterms:modified>
</cp:coreProperties>
</file>