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15" w:lineRule="exact"/>
        <w:rPr>
          <w:sz w:val="24"/>
          <w:szCs w:val="24"/>
          <w:color w:val="auto"/>
        </w:rPr>
      </w:pPr>
    </w:p>
    <w:p>
      <w:pPr>
        <w:jc w:val="center"/>
        <w:ind w:right="-101"/>
        <w:spacing w:after="0"/>
        <w:rPr>
          <w:sz w:val="20"/>
          <w:szCs w:val="20"/>
          <w:color w:val="auto"/>
        </w:rPr>
      </w:pPr>
      <w:r>
        <w:rPr>
          <w:rFonts w:ascii="Arial" w:cs="Arial" w:eastAsia="Arial" w:hAnsi="Arial"/>
          <w:sz w:val="29"/>
          <w:szCs w:val="29"/>
          <w:b w:val="1"/>
          <w:bCs w:val="1"/>
          <w:color w:val="auto"/>
        </w:rPr>
        <w:t>UNITED STATES</w:t>
      </w:r>
    </w:p>
    <w:p>
      <w:pPr>
        <w:spacing w:after="0" w:line="46" w:lineRule="exact"/>
        <w:rPr>
          <w:sz w:val="24"/>
          <w:szCs w:val="24"/>
          <w:color w:val="auto"/>
        </w:rPr>
      </w:pPr>
    </w:p>
    <w:p>
      <w:pPr>
        <w:jc w:val="center"/>
        <w:ind w:right="-101"/>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01"/>
        <w:spacing w:after="0"/>
        <w:rPr>
          <w:sz w:val="20"/>
          <w:szCs w:val="20"/>
          <w:color w:val="auto"/>
        </w:rPr>
      </w:pPr>
      <w:r>
        <w:rPr>
          <w:rFonts w:ascii="Arial" w:cs="Arial" w:eastAsia="Arial" w:hAnsi="Arial"/>
          <w:sz w:val="20"/>
          <w:szCs w:val="20"/>
          <w:b w:val="1"/>
          <w:bCs w:val="1"/>
          <w:color w:val="auto"/>
        </w:rPr>
        <w:t>Washington, D.C. 20549</w:t>
      </w:r>
    </w:p>
    <w:p>
      <w:pPr>
        <w:spacing w:after="0" w:line="111" w:lineRule="exact"/>
        <w:rPr>
          <w:sz w:val="24"/>
          <w:szCs w:val="24"/>
          <w:color w:val="auto"/>
        </w:rPr>
      </w:pPr>
    </w:p>
    <w:p>
      <w:pPr>
        <w:jc w:val="center"/>
        <w:ind w:right="-101"/>
        <w:spacing w:after="0"/>
        <w:rPr>
          <w:sz w:val="20"/>
          <w:szCs w:val="20"/>
          <w:color w:val="auto"/>
        </w:rPr>
      </w:pPr>
      <w:r>
        <w:rPr>
          <w:rFonts w:ascii="Arial" w:cs="Arial" w:eastAsia="Arial" w:hAnsi="Arial"/>
          <w:sz w:val="29"/>
          <w:szCs w:val="29"/>
          <w:b w:val="1"/>
          <w:bCs w:val="1"/>
          <w:color w:val="auto"/>
        </w:rPr>
        <w:t>SCHEDULE 14A</w:t>
      </w:r>
    </w:p>
    <w:p>
      <w:pPr>
        <w:spacing w:after="0" w:line="36" w:lineRule="exact"/>
        <w:rPr>
          <w:sz w:val="24"/>
          <w:szCs w:val="24"/>
          <w:color w:val="auto"/>
        </w:rPr>
      </w:pPr>
    </w:p>
    <w:p>
      <w:pPr>
        <w:jc w:val="center"/>
        <w:ind w:right="-101"/>
        <w:spacing w:after="0"/>
        <w:rPr>
          <w:sz w:val="20"/>
          <w:szCs w:val="20"/>
          <w:color w:val="auto"/>
        </w:rPr>
      </w:pPr>
      <w:r>
        <w:rPr>
          <w:rFonts w:ascii="Arial" w:cs="Arial" w:eastAsia="Arial" w:hAnsi="Arial"/>
          <w:sz w:val="20"/>
          <w:szCs w:val="20"/>
          <w:b w:val="1"/>
          <w:bCs w:val="1"/>
          <w:color w:val="auto"/>
        </w:rPr>
        <w:t>(Rule 14a-101)</w:t>
      </w:r>
    </w:p>
    <w:p>
      <w:pPr>
        <w:spacing w:after="0" w:line="114" w:lineRule="exact"/>
        <w:rPr>
          <w:sz w:val="24"/>
          <w:szCs w:val="24"/>
          <w:color w:val="auto"/>
        </w:rPr>
      </w:pPr>
    </w:p>
    <w:p>
      <w:pPr>
        <w:jc w:val="center"/>
        <w:ind w:right="-101"/>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ind w:right="-101"/>
        <w:spacing w:after="0"/>
        <w:rPr>
          <w:sz w:val="20"/>
          <w:szCs w:val="20"/>
          <w:color w:val="auto"/>
        </w:rPr>
      </w:pPr>
      <w:r>
        <w:rPr>
          <w:rFonts w:ascii="Arial" w:cs="Arial" w:eastAsia="Arial" w:hAnsi="Arial"/>
          <w:sz w:val="20"/>
          <w:szCs w:val="20"/>
          <w:b w:val="1"/>
          <w:bCs w:val="1"/>
          <w:color w:val="auto"/>
        </w:rPr>
        <w:t>Securities Exchange Act of 1934</w:t>
      </w:r>
    </w:p>
    <w:p>
      <w:pPr>
        <w:sectPr>
          <w:pgSz w:w="11900" w:h="16838" w:orient="portrait"/>
          <w:cols w:equalWidth="0" w:num="1">
            <w:col w:w="11342"/>
          </w:cols>
          <w:pgMar w:left="238" w:top="237" w:right="319" w:bottom="1440" w:gutter="0" w:footer="0" w:header="0"/>
        </w:sectPr>
      </w:pPr>
    </w:p>
    <w:p>
      <w:pPr>
        <w:spacing w:after="0" w:line="101" w:lineRule="exact"/>
        <w:rPr>
          <w:sz w:val="24"/>
          <w:szCs w:val="24"/>
          <w:color w:val="auto"/>
        </w:rPr>
      </w:pPr>
    </w:p>
    <w:p>
      <w:pPr>
        <w:ind w:left="2"/>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4" w:lineRule="exact"/>
        <w:rPr>
          <w:sz w:val="24"/>
          <w:szCs w:val="24"/>
          <w:color w:val="auto"/>
        </w:rPr>
      </w:pPr>
    </w:p>
    <w:p>
      <w:pPr>
        <w:sectPr>
          <w:pgSz w:w="11900" w:h="16838" w:orient="portrait"/>
          <w:cols w:equalWidth="0" w:num="3">
            <w:col w:w="2422" w:space="720"/>
            <w:col w:w="2980" w:space="100"/>
            <w:col w:w="5120"/>
          </w:cols>
          <w:pgMar w:left="238" w:top="237" w:right="31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342"/>
          </w:cols>
          <w:pgMar w:left="238" w:top="237" w:right="319" w:bottom="1440" w:gutter="0" w:footer="0" w:header="0"/>
          <w:type w:val="continuous"/>
        </w:sectPr>
      </w:pPr>
    </w:p>
    <w:p>
      <w:pPr>
        <w:spacing w:after="0" w:line="171" w:lineRule="exact"/>
        <w:rPr>
          <w:sz w:val="24"/>
          <w:szCs w:val="24"/>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5"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63" w:lineRule="exact"/>
        <w:rPr>
          <w:rFonts w:ascii="MS PGothic" w:cs="MS PGothic" w:eastAsia="MS PGothic" w:hAnsi="MS PGothic"/>
          <w:sz w:val="16"/>
          <w:szCs w:val="16"/>
          <w:color w:val="auto"/>
        </w:rPr>
      </w:pPr>
    </w:p>
    <w:p>
      <w:pPr>
        <w:ind w:left="2"/>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127"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5"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306" w:lineRule="exact"/>
        <w:rPr>
          <w:sz w:val="24"/>
          <w:szCs w:val="24"/>
          <w:color w:val="auto"/>
        </w:rPr>
      </w:pPr>
    </w:p>
    <w:p>
      <w:pPr>
        <w:jc w:val="center"/>
        <w:ind w:right="-101"/>
        <w:spacing w:after="0"/>
        <w:rPr>
          <w:sz w:val="20"/>
          <w:szCs w:val="20"/>
          <w:color w:val="auto"/>
        </w:rPr>
      </w:pPr>
      <w:r>
        <w:rPr>
          <w:rFonts w:ascii="Arial" w:cs="Arial" w:eastAsia="Arial" w:hAnsi="Arial"/>
          <w:sz w:val="39"/>
          <w:szCs w:val="39"/>
          <w:b w:val="1"/>
          <w:bCs w:val="1"/>
          <w:color w:val="auto"/>
        </w:rPr>
        <w:t>The Toro Company</w:t>
      </w:r>
    </w:p>
    <w:p>
      <w:pPr>
        <w:spacing w:after="0" w:line="54" w:lineRule="exact"/>
        <w:rPr>
          <w:sz w:val="24"/>
          <w:szCs w:val="24"/>
          <w:color w:val="auto"/>
        </w:rPr>
      </w:pPr>
    </w:p>
    <w:p>
      <w:pPr>
        <w:jc w:val="center"/>
        <w:ind w:right="-101"/>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318" w:lineRule="exact"/>
        <w:rPr>
          <w:sz w:val="24"/>
          <w:szCs w:val="24"/>
          <w:color w:val="auto"/>
        </w:rPr>
      </w:pPr>
    </w:p>
    <w:p>
      <w:pPr>
        <w:ind w:left="2"/>
        <w:spacing w:after="0"/>
        <w:rPr>
          <w:sz w:val="20"/>
          <w:szCs w:val="20"/>
          <w:color w:val="auto"/>
        </w:rPr>
      </w:pPr>
      <w:r>
        <w:rPr>
          <w:rFonts w:ascii="Arial" w:cs="Arial" w:eastAsia="Arial" w:hAnsi="Arial"/>
          <w:sz w:val="16"/>
          <w:szCs w:val="16"/>
          <w:color w:val="auto"/>
        </w:rPr>
        <w:t>Payment of Filing Fee (Check the appropriate box):</w:t>
      </w:r>
    </w:p>
    <w:p>
      <w:pPr>
        <w:spacing w:after="0" w:line="171" w:lineRule="exact"/>
        <w:rPr>
          <w:sz w:val="24"/>
          <w:szCs w:val="24"/>
          <w:color w:val="auto"/>
        </w:rPr>
      </w:pPr>
    </w:p>
    <w:p>
      <w:pPr>
        <w:ind w:left="462" w:hanging="462"/>
        <w:spacing w:after="0"/>
        <w:tabs>
          <w:tab w:leader="none" w:pos="46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98" w:lineRule="exact"/>
        <w:rPr>
          <w:sz w:val="24"/>
          <w:szCs w:val="24"/>
          <w:color w:val="auto"/>
        </w:rPr>
      </w:pPr>
    </w:p>
    <w:p>
      <w:pPr>
        <w:ind w:left="462" w:hanging="462"/>
        <w:spacing w:after="0"/>
        <w:tabs>
          <w:tab w:leader="none" w:pos="46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97" w:lineRule="exact"/>
        <w:rPr>
          <w:rFonts w:ascii="MS PGothic" w:cs="MS PGothic" w:eastAsia="MS PGothic" w:hAnsi="MS PGothic"/>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73"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48" w:lineRule="exact"/>
        <w:rPr>
          <w:rFonts w:ascii="Arial" w:cs="Arial" w:eastAsia="Arial" w:hAnsi="Arial"/>
          <w:sz w:val="16"/>
          <w:szCs w:val="16"/>
          <w:color w:val="auto"/>
        </w:rPr>
      </w:pPr>
    </w:p>
    <w:p>
      <w:pPr>
        <w:ind w:left="902" w:hanging="449"/>
        <w:spacing w:after="0" w:line="255" w:lineRule="auto"/>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5"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48"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5" w:lineRule="exact"/>
        <w:rPr>
          <w:rFonts w:ascii="Arial" w:cs="Arial" w:eastAsia="Arial" w:hAnsi="Arial"/>
          <w:sz w:val="16"/>
          <w:szCs w:val="16"/>
          <w:color w:val="auto"/>
        </w:rPr>
      </w:pPr>
    </w:p>
    <w:p>
      <w:pPr>
        <w:ind w:left="462" w:hanging="462"/>
        <w:spacing w:after="0"/>
        <w:tabs>
          <w:tab w:leader="none" w:pos="46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9" w:lineRule="exact"/>
        <w:rPr>
          <w:rFonts w:ascii="MS PGothic" w:cs="MS PGothic" w:eastAsia="MS PGothic" w:hAnsi="MS PGothic"/>
          <w:sz w:val="16"/>
          <w:szCs w:val="16"/>
          <w:color w:val="auto"/>
        </w:rPr>
      </w:pPr>
    </w:p>
    <w:p>
      <w:pPr>
        <w:ind w:left="462" w:right="540" w:hanging="462"/>
        <w:spacing w:after="0" w:line="255" w:lineRule="auto"/>
        <w:tabs>
          <w:tab w:leader="none" w:pos="46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3" w:lineRule="exact"/>
        <w:rPr>
          <w:rFonts w:ascii="MS PGothic" w:cs="MS PGothic" w:eastAsia="MS PGothic" w:hAnsi="MS PGothic"/>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61"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73"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61"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wp:posOffset>
            </wp:positionH>
            <wp:positionV relativeFrom="paragraph">
              <wp:posOffset>-1944370</wp:posOffset>
            </wp:positionV>
            <wp:extent cx="69945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-1796415</wp:posOffset>
            </wp:positionV>
            <wp:extent cx="69945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-1531620</wp:posOffset>
            </wp:positionV>
            <wp:extent cx="69945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-1383665</wp:posOffset>
            </wp:positionV>
            <wp:extent cx="69945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-1236345</wp:posOffset>
            </wp:positionV>
            <wp:extent cx="69945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-450215</wp:posOffset>
            </wp:positionV>
            <wp:extent cx="69945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-294640</wp:posOffset>
            </wp:positionV>
            <wp:extent cx="69945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-131445</wp:posOffset>
            </wp:positionV>
            <wp:extent cx="69945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54610</wp:posOffset>
            </wp:positionV>
            <wp:extent cx="70027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78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610235</wp:posOffset>
            </wp:positionV>
            <wp:extent cx="729996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42"/>
          </w:cols>
          <w:pgMar w:left="238" w:top="237"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64"/>
          <w:szCs w:val="64"/>
          <w:b w:val="1"/>
          <w:bCs w:val="1"/>
          <w:color w:val="C00000"/>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2"/>
          <w:szCs w:val="42"/>
          <w:color w:val="auto"/>
        </w:rPr>
        <w:t>NOTICE OF 2019</w:t>
      </w:r>
    </w:p>
    <w:p>
      <w:pPr>
        <w:spacing w:after="0"/>
        <w:rPr>
          <w:sz w:val="20"/>
          <w:szCs w:val="20"/>
          <w:color w:val="auto"/>
        </w:rPr>
      </w:pPr>
      <w:r>
        <w:rPr>
          <w:rFonts w:ascii="Arial" w:cs="Arial" w:eastAsia="Arial" w:hAnsi="Arial"/>
          <w:sz w:val="42"/>
          <w:szCs w:val="42"/>
          <w:color w:val="auto"/>
        </w:rPr>
        <w:t>ANNUAL MEETING AND</w:t>
      </w:r>
    </w:p>
    <w:p>
      <w:pPr>
        <w:spacing w:after="0" w:line="102" w:lineRule="exact"/>
        <w:rPr>
          <w:sz w:val="20"/>
          <w:szCs w:val="20"/>
          <w:color w:val="auto"/>
        </w:rPr>
      </w:pPr>
    </w:p>
    <w:p>
      <w:pPr>
        <w:spacing w:after="0"/>
        <w:rPr>
          <w:sz w:val="20"/>
          <w:szCs w:val="20"/>
          <w:color w:val="auto"/>
        </w:rPr>
      </w:pPr>
      <w:r>
        <w:rPr>
          <w:rFonts w:ascii="Arial" w:cs="Arial" w:eastAsia="Arial" w:hAnsi="Arial"/>
          <w:sz w:val="59"/>
          <w:szCs w:val="59"/>
          <w:color w:val="auto"/>
        </w:rPr>
        <w:t>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39"/>
          <w:szCs w:val="39"/>
          <w:color w:val="auto"/>
        </w:rPr>
        <w:t>FOR MARCH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3732530</wp:posOffset>
            </wp:positionV>
            <wp:extent cx="729996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2251075</wp:posOffset>
            </wp:positionV>
            <wp:extent cx="5220970" cy="933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0970" cy="93345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10"/>
          </w:tcPr>
          <w:p>
            <w:pPr>
              <w:ind w:left="8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20"/>
                <w:szCs w:val="20"/>
                <w:color w:val="auto"/>
              </w:rPr>
            </w:pPr>
          </w:p>
        </w:tc>
      </w:tr>
      <w:tr>
        <w:trPr>
          <w:trHeight w:val="387"/>
        </w:trPr>
        <w:tc>
          <w:tcPr>
            <w:tcW w:w="2300" w:type="dxa"/>
            <w:vAlign w:val="bottom"/>
            <w:tcBorders>
              <w:bottom w:val="single" w:sz="8" w:color="0000EE"/>
            </w:tcBorders>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LETTER TO SHAREHOLDERS</w:t>
              </w:r>
            </w:hyperlink>
          </w:p>
        </w:tc>
        <w:tc>
          <w:tcPr>
            <w:tcW w:w="5680" w:type="dxa"/>
            <w:vAlign w:val="bottom"/>
            <w:gridSpan w:val="29"/>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iii</w:t>
            </w:r>
          </w:p>
        </w:tc>
      </w:tr>
      <w:tr>
        <w:trPr>
          <w:trHeight w:val="213"/>
        </w:trPr>
        <w:tc>
          <w:tcPr>
            <w:tcW w:w="7980" w:type="dxa"/>
            <w:vAlign w:val="bottom"/>
            <w:gridSpan w:val="47"/>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NOTICE OF 2019 ANNUAL MEETING OF SHAREHOLDERS</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v</w:t>
            </w:r>
          </w:p>
        </w:tc>
      </w:tr>
      <w:tr>
        <w:trPr>
          <w:trHeight w:val="213"/>
        </w:trPr>
        <w:tc>
          <w:tcPr>
            <w:tcW w:w="4460" w:type="dxa"/>
            <w:vAlign w:val="bottom"/>
            <w:tcBorders>
              <w:top w:val="single" w:sz="8" w:color="0000EE"/>
            </w:tcBorders>
            <w:gridSpan w:val="36"/>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EXECUTIVE SUMMARY</w:t>
              </w:r>
            </w:hyperlink>
          </w:p>
        </w:tc>
        <w:tc>
          <w:tcPr>
            <w:tcW w:w="3520" w:type="dxa"/>
            <w:vAlign w:val="bottom"/>
            <w:gridSpan w:val="11"/>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vii</w:t>
            </w:r>
          </w:p>
        </w:tc>
      </w:tr>
      <w:tr>
        <w:trPr>
          <w:trHeight w:val="213"/>
        </w:trPr>
        <w:tc>
          <w:tcPr>
            <w:tcW w:w="158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9"/>
              </w:rPr>
            </w:pPr>
            <w:hyperlink w:anchor="page13">
              <w:r>
                <w:rPr>
                  <w:rFonts w:ascii="Arial" w:cs="Arial" w:eastAsia="Arial" w:hAnsi="Arial"/>
                  <w:sz w:val="16"/>
                  <w:szCs w:val="16"/>
                  <w:color w:val="0000EE"/>
                  <w:w w:val="99"/>
                </w:rPr>
                <w:t>PROXY STATEMENT</w:t>
              </w:r>
            </w:hyperlink>
          </w:p>
        </w:tc>
        <w:tc>
          <w:tcPr>
            <w:tcW w:w="220" w:type="dxa"/>
            <w:vAlign w:val="bottom"/>
            <w:tcBorders>
              <w:top w:val="single" w:sz="8" w:color="0000EE"/>
            </w:tcBorders>
            <w:gridSpan w:val="3"/>
          </w:tcPr>
          <w:p>
            <w:pPr>
              <w:spacing w:after="0"/>
              <w:rPr>
                <w:sz w:val="18"/>
                <w:szCs w:val="18"/>
                <w:color w:val="auto"/>
              </w:rPr>
            </w:pPr>
          </w:p>
        </w:tc>
        <w:tc>
          <w:tcPr>
            <w:tcW w:w="6180" w:type="dxa"/>
            <w:vAlign w:val="bottom"/>
            <w:gridSpan w:val="39"/>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13"/>
        </w:trPr>
        <w:tc>
          <w:tcPr>
            <w:tcW w:w="7980" w:type="dxa"/>
            <w:vAlign w:val="bottom"/>
            <w:gridSpan w:val="47"/>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GENERAL INFORMATION ABOUT THE 2019 ANNUAL MEETING AND VOTING</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0"/>
        </w:trPr>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8"/>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80" w:type="dxa"/>
            <w:vAlign w:val="bottom"/>
            <w:tcBorders>
              <w:bottom w:val="single" w:sz="8" w:color="0000EE"/>
            </w:tcBorders>
            <w:gridSpan w:val="44"/>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Important Notice Regarding the Availability of Proxy Materials for the Shareholder Meeting To Be Held on</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64"/>
        </w:trPr>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60" w:type="dxa"/>
            <w:vAlign w:val="bottom"/>
            <w:gridSpan w:val="44"/>
          </w:tcPr>
          <w:p>
            <w:pPr>
              <w:spacing w:after="0" w:line="164" w:lineRule="exact"/>
              <w:rPr>
                <w:rFonts w:ascii="Arial" w:cs="Arial" w:eastAsia="Arial" w:hAnsi="Arial"/>
                <w:sz w:val="16"/>
                <w:szCs w:val="16"/>
                <w:color w:val="0000EE"/>
              </w:rPr>
            </w:pPr>
            <w:hyperlink w:anchor="page13">
              <w:r>
                <w:rPr>
                  <w:rFonts w:ascii="Arial" w:cs="Arial" w:eastAsia="Arial" w:hAnsi="Arial"/>
                  <w:sz w:val="16"/>
                  <w:szCs w:val="16"/>
                  <w:color w:val="0000EE"/>
                </w:rPr>
                <w:t>Tuesday, March 19, 2019</w:t>
              </w:r>
            </w:hyperlink>
          </w:p>
        </w:tc>
        <w:tc>
          <w:tcPr>
            <w:tcW w:w="260" w:type="dxa"/>
            <w:vAlign w:val="bottom"/>
          </w:tcPr>
          <w:p>
            <w:pPr>
              <w:jc w:val="right"/>
              <w:spacing w:after="0" w:line="164" w:lineRule="exact"/>
              <w:rPr>
                <w:sz w:val="20"/>
                <w:szCs w:val="20"/>
                <w:color w:val="auto"/>
              </w:rPr>
            </w:pPr>
            <w:r>
              <w:rPr>
                <w:rFonts w:ascii="Arial" w:cs="Arial" w:eastAsia="Arial" w:hAnsi="Arial"/>
                <w:sz w:val="16"/>
                <w:szCs w:val="16"/>
                <w:color w:val="C00000"/>
              </w:rPr>
              <w:t>1</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When and Where Will the Annual Meeting Be Held?</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30"/>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What Are the Purposes of the Annual Meeting?</w:t>
              </w:r>
            </w:hyperlink>
          </w:p>
        </w:tc>
        <w:tc>
          <w:tcPr>
            <w:tcW w:w="320" w:type="dxa"/>
            <w:vAlign w:val="bottom"/>
            <w:tcBorders>
              <w:top w:val="single" w:sz="8" w:color="0000EE"/>
            </w:tcBorders>
          </w:tcPr>
          <w:p>
            <w:pPr>
              <w:spacing w:after="0"/>
              <w:rPr>
                <w:sz w:val="17"/>
                <w:szCs w:val="17"/>
                <w:color w:val="auto"/>
              </w:rPr>
            </w:pPr>
          </w:p>
        </w:tc>
        <w:tc>
          <w:tcPr>
            <w:tcW w:w="3920" w:type="dxa"/>
            <w:vAlign w:val="bottom"/>
            <w:gridSpan w:val="14"/>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188"/>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80" w:type="dxa"/>
            <w:vAlign w:val="bottom"/>
            <w:tcBorders>
              <w:bottom w:val="single" w:sz="8" w:color="0000EE"/>
            </w:tcBorders>
            <w:gridSpan w:val="4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Are There Any Matters To Be Voted On at the Annual Meeting that Are Not Included in this Proxy</w:t>
              </w:r>
            </w:hyperlink>
          </w:p>
        </w:tc>
        <w:tc>
          <w:tcPr>
            <w:tcW w:w="68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r>
      <w:tr>
        <w:trPr>
          <w:trHeight w:val="164"/>
        </w:trPr>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60" w:type="dxa"/>
            <w:vAlign w:val="bottom"/>
            <w:gridSpan w:val="44"/>
          </w:tcPr>
          <w:p>
            <w:pPr>
              <w:spacing w:after="0" w:line="164" w:lineRule="exact"/>
              <w:rPr>
                <w:rFonts w:ascii="Arial" w:cs="Arial" w:eastAsia="Arial" w:hAnsi="Arial"/>
                <w:sz w:val="16"/>
                <w:szCs w:val="16"/>
                <w:color w:val="0000EE"/>
              </w:rPr>
            </w:pPr>
            <w:hyperlink w:anchor="page13">
              <w:r>
                <w:rPr>
                  <w:rFonts w:ascii="Arial" w:cs="Arial" w:eastAsia="Arial" w:hAnsi="Arial"/>
                  <w:sz w:val="16"/>
                  <w:szCs w:val="16"/>
                  <w:color w:val="0000EE"/>
                </w:rPr>
                <w:t>Statement?</w:t>
              </w:r>
            </w:hyperlink>
          </w:p>
        </w:tc>
        <w:tc>
          <w:tcPr>
            <w:tcW w:w="260" w:type="dxa"/>
            <w:vAlign w:val="bottom"/>
          </w:tcPr>
          <w:p>
            <w:pPr>
              <w:jc w:val="right"/>
              <w:spacing w:after="0" w:line="164" w:lineRule="exact"/>
              <w:rPr>
                <w:sz w:val="20"/>
                <w:szCs w:val="20"/>
                <w:color w:val="auto"/>
              </w:rPr>
            </w:pPr>
            <w:r>
              <w:rPr>
                <w:rFonts w:ascii="Arial" w:cs="Arial" w:eastAsia="Arial" w:hAnsi="Arial"/>
                <w:sz w:val="16"/>
                <w:szCs w:val="16"/>
                <w:color w:val="C00000"/>
              </w:rPr>
              <w:t>1</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3"/>
        </w:trPr>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60" w:type="dxa"/>
            <w:vAlign w:val="bottom"/>
            <w:gridSpan w:val="45"/>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Who Is Entitled to Vote and How Many Shares Must Be Present to Hold the Annual Meeting?</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How Do I Vote My Shares?</w:t>
              </w:r>
            </w:hyperlink>
          </w:p>
        </w:tc>
        <w:tc>
          <w:tcPr>
            <w:tcW w:w="4740" w:type="dxa"/>
            <w:vAlign w:val="bottom"/>
            <w:tcBorders>
              <w:top w:val="single" w:sz="8" w:color="0000EE"/>
            </w:tcBorders>
            <w:gridSpan w:val="25"/>
          </w:tcPr>
          <w:p>
            <w:pPr>
              <w:spacing w:after="0"/>
              <w:rPr>
                <w:sz w:val="17"/>
                <w:szCs w:val="17"/>
                <w:color w:val="auto"/>
              </w:rPr>
            </w:pPr>
          </w:p>
        </w:tc>
        <w:tc>
          <w:tcPr>
            <w:tcW w:w="960" w:type="dxa"/>
            <w:vAlign w:val="bottom"/>
            <w:gridSpan w:val="5"/>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w:t>
            </w:r>
          </w:p>
        </w:tc>
      </w:tr>
      <w:tr>
        <w:trPr>
          <w:trHeight w:val="213"/>
        </w:trPr>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tcBorders>
              <w:bottom w:val="single" w:sz="8" w:color="0000EE"/>
            </w:tcBorders>
            <w:gridSpan w:val="39"/>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How Does the Board Recommend that I Vote and What Vote is Required for Each Proposal?</w:t>
              </w:r>
            </w:hyperlink>
          </w:p>
        </w:tc>
        <w:tc>
          <w:tcPr>
            <w:tcW w:w="980" w:type="dxa"/>
            <w:vAlign w:val="bottom"/>
            <w:gridSpan w:val="6"/>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0000EE"/>
            </w:tcBorders>
            <w:gridSpan w:val="1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How Will My Shares Be Voted?</w:t>
              </w:r>
            </w:hyperlink>
          </w:p>
        </w:tc>
        <w:tc>
          <w:tcPr>
            <w:tcW w:w="5400" w:type="dxa"/>
            <w:vAlign w:val="bottom"/>
            <w:gridSpan w:val="26"/>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3</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80" w:type="dxa"/>
            <w:vAlign w:val="bottom"/>
            <w:tcBorders>
              <w:bottom w:val="single" w:sz="8" w:color="0000EE"/>
            </w:tcBorders>
            <w:gridSpan w:val="38"/>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What Does It Mean If I Receive More Than One Notice or Set of Proxy Materials?</w:t>
              </w:r>
            </w:hyperlink>
          </w:p>
        </w:tc>
        <w:tc>
          <w:tcPr>
            <w:tcW w:w="1780" w:type="dxa"/>
            <w:vAlign w:val="bottom"/>
            <w:gridSpan w:val="7"/>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3</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How Can I Revoke or Change My Vote?</w:t>
              </w:r>
            </w:hyperlink>
          </w:p>
        </w:tc>
        <w:tc>
          <w:tcPr>
            <w:tcW w:w="4760" w:type="dxa"/>
            <w:vAlign w:val="bottom"/>
            <w:gridSpan w:val="20"/>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3</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Who Will Count the Votes?</w:t>
              </w:r>
            </w:hyperlink>
          </w:p>
        </w:tc>
        <w:tc>
          <w:tcPr>
            <w:tcW w:w="5720" w:type="dxa"/>
            <w:vAlign w:val="bottom"/>
            <w:gridSpan w:val="31"/>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4</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How Will Business Be Conducted at the Annual Meeting?</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4</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24"/>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How Can I Attend the Annual Meeting?</w:t>
              </w:r>
            </w:hyperlink>
          </w:p>
        </w:tc>
        <w:tc>
          <w:tcPr>
            <w:tcW w:w="1320" w:type="dxa"/>
            <w:vAlign w:val="bottom"/>
            <w:tcBorders>
              <w:top w:val="single" w:sz="8" w:color="0000EE"/>
            </w:tcBorders>
            <w:gridSpan w:val="10"/>
          </w:tcPr>
          <w:p>
            <w:pPr>
              <w:spacing w:after="0"/>
              <w:rPr>
                <w:sz w:val="17"/>
                <w:szCs w:val="17"/>
                <w:color w:val="auto"/>
              </w:rPr>
            </w:pPr>
          </w:p>
        </w:tc>
        <w:tc>
          <w:tcPr>
            <w:tcW w:w="3520" w:type="dxa"/>
            <w:vAlign w:val="bottom"/>
            <w:gridSpan w:val="11"/>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4</w:t>
            </w:r>
          </w:p>
        </w:tc>
      </w:tr>
      <w:tr>
        <w:trPr>
          <w:trHeight w:val="213"/>
        </w:trPr>
        <w:tc>
          <w:tcPr>
            <w:tcW w:w="3560" w:type="dxa"/>
            <w:vAlign w:val="bottom"/>
            <w:tcBorders>
              <w:bottom w:val="single" w:sz="8" w:color="0000EE"/>
            </w:tcBorders>
            <w:gridSpan w:val="30"/>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PROPOSAL ONE—ELECTION OF DIRECTORS</w:t>
              </w:r>
            </w:hyperlink>
          </w:p>
        </w:tc>
        <w:tc>
          <w:tcPr>
            <w:tcW w:w="4420" w:type="dxa"/>
            <w:vAlign w:val="bottom"/>
            <w:gridSpan w:val="17"/>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Number of Directors; Board Structure</w:t>
              </w:r>
            </w:hyperlink>
          </w:p>
        </w:tc>
        <w:tc>
          <w:tcPr>
            <w:tcW w:w="4960" w:type="dxa"/>
            <w:vAlign w:val="bottom"/>
            <w:gridSpan w:val="23"/>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Nominees for Director</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Board Recommendation</w:t>
              </w:r>
            </w:hyperlink>
          </w:p>
        </w:tc>
        <w:tc>
          <w:tcPr>
            <w:tcW w:w="5880" w:type="dxa"/>
            <w:vAlign w:val="bottom"/>
            <w:gridSpan w:val="33"/>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Information About Director Nominees and Continuing Directors</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6</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3"/>
        </w:trPr>
        <w:tc>
          <w:tcPr>
            <w:tcW w:w="7980" w:type="dxa"/>
            <w:vAlign w:val="bottom"/>
            <w:gridSpan w:val="47"/>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CORPORATE GOVERNANCE</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13</w:t>
            </w:r>
          </w:p>
        </w:tc>
      </w:tr>
      <w:tr>
        <w:trPr>
          <w:trHeight w:val="20"/>
        </w:trPr>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21"/>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Corporate Governance Guidelines</w:t>
              </w:r>
            </w:hyperlink>
          </w:p>
        </w:tc>
        <w:tc>
          <w:tcPr>
            <w:tcW w:w="5180" w:type="dxa"/>
            <w:vAlign w:val="bottom"/>
            <w:gridSpan w:val="24"/>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13</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bottom w:val="single" w:sz="8" w:color="0000EE"/>
            </w:tcBorders>
            <w:gridSpan w:val="17"/>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Board Leadership Structure</w:t>
              </w:r>
            </w:hyperlink>
          </w:p>
        </w:tc>
        <w:tc>
          <w:tcPr>
            <w:tcW w:w="5640" w:type="dxa"/>
            <w:vAlign w:val="bottom"/>
            <w:gridSpan w:val="28"/>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13</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Director Independence</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14</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Director Attendance; Executive Sessions</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14</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top w:val="single" w:sz="8" w:color="0000EE"/>
            </w:tcBorders>
            <w:gridSpan w:val="26"/>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Board Committees</w:t>
              </w:r>
            </w:hyperlink>
          </w:p>
        </w:tc>
        <w:tc>
          <w:tcPr>
            <w:tcW w:w="4720" w:type="dxa"/>
            <w:vAlign w:val="bottom"/>
            <w:gridSpan w:val="19"/>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15</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Board’s Role in Risk Oversight</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17</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0000EE"/>
            </w:tcBorders>
            <w:gridSpan w:val="20"/>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Executive Compensation Process</w:t>
              </w:r>
            </w:hyperlink>
          </w:p>
        </w:tc>
        <w:tc>
          <w:tcPr>
            <w:tcW w:w="5220" w:type="dxa"/>
            <w:vAlign w:val="bottom"/>
            <w:gridSpan w:val="25"/>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18</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EE"/>
            </w:tcBorders>
            <w:gridSpan w:val="2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Director Nomination and Refreshment Process</w:t>
              </w:r>
            </w:hyperlink>
          </w:p>
        </w:tc>
        <w:tc>
          <w:tcPr>
            <w:tcW w:w="4280" w:type="dxa"/>
            <w:vAlign w:val="bottom"/>
            <w:gridSpan w:val="16"/>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19</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Director Compensation</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20</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gridSpan w:val="45"/>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Related Person Transactions and Policies and Procedures Regarding Related Person Transactions</w:t>
              </w:r>
            </w:hyperlink>
          </w:p>
        </w:tc>
        <w:tc>
          <w:tcPr>
            <w:tcW w:w="260" w:type="dxa"/>
            <w:vAlign w:val="bottom"/>
          </w:tcPr>
          <w:p>
            <w:pPr>
              <w:jc w:val="right"/>
              <w:spacing w:after="0"/>
              <w:rPr>
                <w:sz w:val="20"/>
                <w:szCs w:val="20"/>
                <w:color w:val="auto"/>
              </w:rPr>
            </w:pPr>
            <w:r>
              <w:rPr>
                <w:rFonts w:ascii="Arial" w:cs="Arial" w:eastAsia="Arial" w:hAnsi="Arial"/>
                <w:sz w:val="16"/>
                <w:szCs w:val="16"/>
                <w:color w:val="C00000"/>
              </w:rPr>
              <w:t>23</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top w:val="single" w:sz="8" w:color="0000EE"/>
            </w:tcBorders>
            <w:gridSpan w:val="4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Board of Directors Business Ethics Policy Statement</w:t>
              </w:r>
            </w:hyperlink>
          </w:p>
        </w:tc>
        <w:tc>
          <w:tcPr>
            <w:tcW w:w="500" w:type="dxa"/>
            <w:vAlign w:val="bottom"/>
            <w:gridSpan w:val="2"/>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23</w:t>
            </w: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1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80" w:type="dxa"/>
            <w:vAlign w:val="bottom"/>
            <w:tcBorders>
              <w:bottom w:val="single" w:sz="8" w:color="0000EE"/>
            </w:tcBorders>
            <w:gridSpan w:val="38"/>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Code of Conduct and Code of Ethics for our CEO and Senior Financial Personnel</w:t>
              </w:r>
            </w:hyperlink>
          </w:p>
        </w:tc>
        <w:tc>
          <w:tcPr>
            <w:tcW w:w="1780" w:type="dxa"/>
            <w:vAlign w:val="bottom"/>
            <w:gridSpan w:val="7"/>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23</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33"/>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Communications with Directors; Complaint Procedures</w:t>
              </w:r>
            </w:hyperlink>
          </w:p>
        </w:tc>
        <w:tc>
          <w:tcPr>
            <w:tcW w:w="3700" w:type="dxa"/>
            <w:vAlign w:val="bottom"/>
            <w:gridSpan w:val="12"/>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24</w:t>
            </w:r>
          </w:p>
        </w:tc>
      </w:tr>
      <w:tr>
        <w:trPr>
          <w:trHeight w:val="164"/>
        </w:trPr>
        <w:tc>
          <w:tcPr>
            <w:tcW w:w="7980" w:type="dxa"/>
            <w:vAlign w:val="bottom"/>
            <w:gridSpan w:val="47"/>
          </w:tcPr>
          <w:p>
            <w:pPr>
              <w:spacing w:after="0" w:line="164" w:lineRule="exact"/>
              <w:rPr>
                <w:rFonts w:ascii="Arial" w:cs="Arial" w:eastAsia="Arial" w:hAnsi="Arial"/>
                <w:sz w:val="16"/>
                <w:szCs w:val="16"/>
                <w:color w:val="0000EE"/>
              </w:rPr>
            </w:pPr>
            <w:hyperlink w:anchor="page37">
              <w:r>
                <w:rPr>
                  <w:rFonts w:ascii="Arial" w:cs="Arial" w:eastAsia="Arial" w:hAnsi="Arial"/>
                  <w:sz w:val="16"/>
                  <w:szCs w:val="16"/>
                  <w:color w:val="0000EE"/>
                </w:rPr>
                <w:t>PROPOSAL TWO—RATIFICATION OF SELECTION OF INDEPENDENT REGISTERED PUBLIC</w:t>
              </w:r>
            </w:hyperlink>
          </w:p>
        </w:tc>
        <w:tc>
          <w:tcPr>
            <w:tcW w:w="260" w:type="dxa"/>
            <w:vAlign w:val="bottom"/>
          </w:tcPr>
          <w:p>
            <w:pPr>
              <w:spacing w:after="0"/>
              <w:rPr>
                <w:sz w:val="14"/>
                <w:szCs w:val="14"/>
                <w:color w:val="auto"/>
              </w:rPr>
            </w:pPr>
          </w:p>
        </w:tc>
      </w:tr>
      <w:tr>
        <w:trPr>
          <w:trHeight w:val="164"/>
        </w:trPr>
        <w:tc>
          <w:tcPr>
            <w:tcW w:w="7060" w:type="dxa"/>
            <w:vAlign w:val="bottom"/>
            <w:tcBorders>
              <w:top w:val="single" w:sz="8" w:color="0000EE"/>
            </w:tcBorders>
            <w:gridSpan w:val="43"/>
          </w:tcPr>
          <w:p>
            <w:pPr>
              <w:ind w:left="200"/>
              <w:spacing w:after="0" w:line="164" w:lineRule="exact"/>
              <w:rPr>
                <w:rFonts w:ascii="Arial" w:cs="Arial" w:eastAsia="Arial" w:hAnsi="Arial"/>
                <w:sz w:val="16"/>
                <w:szCs w:val="16"/>
                <w:color w:val="0000EE"/>
              </w:rPr>
            </w:pPr>
            <w:hyperlink w:anchor="page37">
              <w:r>
                <w:rPr>
                  <w:rFonts w:ascii="Arial" w:cs="Arial" w:eastAsia="Arial" w:hAnsi="Arial"/>
                  <w:sz w:val="16"/>
                  <w:szCs w:val="16"/>
                  <w:color w:val="0000EE"/>
                </w:rPr>
                <w:t>ACCOUNTING FIRM</w:t>
              </w:r>
            </w:hyperlink>
          </w:p>
        </w:tc>
        <w:tc>
          <w:tcPr>
            <w:tcW w:w="920" w:type="dxa"/>
            <w:vAlign w:val="bottom"/>
            <w:gridSpan w:val="4"/>
          </w:tcPr>
          <w:p>
            <w:pPr>
              <w:spacing w:after="0"/>
              <w:rPr>
                <w:sz w:val="14"/>
                <w:szCs w:val="14"/>
                <w:color w:val="auto"/>
              </w:rPr>
            </w:pPr>
          </w:p>
        </w:tc>
        <w:tc>
          <w:tcPr>
            <w:tcW w:w="260" w:type="dxa"/>
            <w:vAlign w:val="bottom"/>
          </w:tcPr>
          <w:p>
            <w:pPr>
              <w:jc w:val="right"/>
              <w:spacing w:after="0" w:line="164" w:lineRule="exact"/>
              <w:rPr>
                <w:sz w:val="20"/>
                <w:szCs w:val="20"/>
                <w:color w:val="auto"/>
              </w:rPr>
            </w:pPr>
            <w:r>
              <w:rPr>
                <w:rFonts w:ascii="Arial" w:cs="Arial" w:eastAsia="Arial" w:hAnsi="Arial"/>
                <w:sz w:val="16"/>
                <w:szCs w:val="16"/>
                <w:color w:val="C00000"/>
              </w:rPr>
              <w:t>25</w:t>
            </w: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330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35"/>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Selection of Independent Registered Public Accounting Firm</w:t>
              </w:r>
            </w:hyperlink>
          </w:p>
        </w:tc>
        <w:tc>
          <w:tcPr>
            <w:tcW w:w="3300" w:type="dxa"/>
            <w:vAlign w:val="bottom"/>
            <w:gridSpan w:val="10"/>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25</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27"/>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Audit, Audit-Related, Tax and Other Fees</w:t>
              </w:r>
            </w:hyperlink>
          </w:p>
        </w:tc>
        <w:tc>
          <w:tcPr>
            <w:tcW w:w="4680" w:type="dxa"/>
            <w:vAlign w:val="bottom"/>
            <w:gridSpan w:val="18"/>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25</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0000EE"/>
            </w:tcBorders>
            <w:gridSpan w:val="23"/>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Pre-Approval Policies and Procedures</w:t>
              </w:r>
            </w:hyperlink>
          </w:p>
        </w:tc>
        <w:tc>
          <w:tcPr>
            <w:tcW w:w="4900" w:type="dxa"/>
            <w:vAlign w:val="bottom"/>
            <w:gridSpan w:val="22"/>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25</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Board Recommendation</w:t>
              </w:r>
            </w:hyperlink>
          </w:p>
        </w:tc>
        <w:tc>
          <w:tcPr>
            <w:tcW w:w="5900" w:type="dxa"/>
            <w:vAlign w:val="bottom"/>
            <w:gridSpan w:val="34"/>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25</w:t>
            </w:r>
          </w:p>
        </w:tc>
      </w:tr>
      <w:tr>
        <w:trPr>
          <w:trHeight w:val="201"/>
        </w:trPr>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0000EE"/>
            </w:tcBorders>
            <w:gridSpan w:val="10"/>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Audit Committee Report</w:t>
              </w:r>
            </w:hyperlink>
          </w:p>
        </w:tc>
        <w:tc>
          <w:tcPr>
            <w:tcW w:w="5920" w:type="dxa"/>
            <w:vAlign w:val="bottom"/>
            <w:gridSpan w:val="35"/>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C00000"/>
              </w:rPr>
              <w:t>26</w:t>
            </w:r>
          </w:p>
        </w:tc>
      </w:tr>
    </w:tbl>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240" w:type="dxa"/>
            <w:vAlign w:val="bottom"/>
            <w:gridSpan w:val="2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1000" w:type="dxa"/>
            <w:vAlign w:val="bottom"/>
          </w:tcPr>
          <w:p>
            <w:pPr>
              <w:spacing w:after="0"/>
              <w:rPr>
                <w:sz w:val="16"/>
                <w:szCs w:val="16"/>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72"/>
        </w:trPr>
        <w:tc>
          <w:tcPr>
            <w:tcW w:w="7240" w:type="dxa"/>
            <w:vAlign w:val="bottom"/>
            <w:gridSpan w:val="2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PROPOSAL THREE—ADVISORY APPROVAL OF OUR EXECUTIVE COMPENSATION</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27</w:t>
            </w:r>
          </w:p>
        </w:tc>
      </w:tr>
      <w:tr>
        <w:trPr>
          <w:trHeight w:val="201"/>
        </w:trPr>
        <w:tc>
          <w:tcPr>
            <w:tcW w:w="320" w:type="dxa"/>
            <w:vAlign w:val="bottom"/>
            <w:tcBorders>
              <w:top w:val="single" w:sz="8" w:color="0000EE"/>
            </w:tcBorders>
          </w:tcPr>
          <w:p>
            <w:pPr>
              <w:spacing w:after="0"/>
              <w:rPr>
                <w:sz w:val="17"/>
                <w:szCs w:val="17"/>
                <w:color w:val="auto"/>
              </w:rPr>
            </w:pPr>
          </w:p>
        </w:tc>
        <w:tc>
          <w:tcPr>
            <w:tcW w:w="1760" w:type="dxa"/>
            <w:vAlign w:val="bottom"/>
            <w:tcBorders>
              <w:top w:val="single" w:sz="8" w:color="0000EE"/>
              <w:bottom w:val="single" w:sz="8" w:color="0000EE"/>
            </w:tcBorders>
            <w:gridSpan w:val="6"/>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Board Recommendation</w:t>
              </w:r>
            </w:hyperlink>
          </w:p>
        </w:tc>
        <w:tc>
          <w:tcPr>
            <w:tcW w:w="4340" w:type="dxa"/>
            <w:vAlign w:val="bottom"/>
            <w:tcBorders>
              <w:top w:val="single" w:sz="8" w:color="0000EE"/>
            </w:tcBorders>
            <w:gridSpan w:val="19"/>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28</w:t>
            </w:r>
          </w:p>
        </w:tc>
      </w:tr>
      <w:tr>
        <w:trPr>
          <w:trHeight w:val="201"/>
        </w:trPr>
        <w:tc>
          <w:tcPr>
            <w:tcW w:w="7240" w:type="dxa"/>
            <w:vAlign w:val="bottom"/>
            <w:gridSpan w:val="27"/>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EXECUTIVE COMPENSATION</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29</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3980" w:type="dxa"/>
            <w:vAlign w:val="bottom"/>
            <w:tcBorders>
              <w:bottom w:val="single" w:sz="8" w:color="0000EE"/>
            </w:tcBorders>
            <w:gridSpan w:val="20"/>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Compensation &amp; Human Resources Committee Report</w:t>
              </w:r>
            </w:hyperlink>
          </w:p>
        </w:tc>
        <w:tc>
          <w:tcPr>
            <w:tcW w:w="2940" w:type="dxa"/>
            <w:vAlign w:val="bottom"/>
            <w:gridSpan w:val="6"/>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29</w:t>
            </w:r>
          </w:p>
        </w:tc>
      </w:tr>
      <w:tr>
        <w:trPr>
          <w:trHeight w:val="201"/>
        </w:trPr>
        <w:tc>
          <w:tcPr>
            <w:tcW w:w="320" w:type="dxa"/>
            <w:vAlign w:val="bottom"/>
          </w:tcPr>
          <w:p>
            <w:pPr>
              <w:spacing w:after="0"/>
              <w:rPr>
                <w:sz w:val="17"/>
                <w:szCs w:val="17"/>
                <w:color w:val="auto"/>
              </w:rPr>
            </w:pPr>
          </w:p>
        </w:tc>
        <w:tc>
          <w:tcPr>
            <w:tcW w:w="2860" w:type="dxa"/>
            <w:vAlign w:val="bottom"/>
            <w:tcBorders>
              <w:bottom w:val="single" w:sz="8" w:color="0000EE"/>
            </w:tcBorders>
            <w:gridSpan w:val="14"/>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Compensation Discussion and Analysis</w:t>
              </w:r>
            </w:hyperlink>
          </w:p>
        </w:tc>
        <w:tc>
          <w:tcPr>
            <w:tcW w:w="4060" w:type="dxa"/>
            <w:vAlign w:val="bottom"/>
            <w:gridSpan w:val="12"/>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29</w:t>
            </w:r>
          </w:p>
        </w:tc>
      </w:tr>
      <w:tr>
        <w:trPr>
          <w:trHeight w:val="201"/>
        </w:trPr>
        <w:tc>
          <w:tcPr>
            <w:tcW w:w="320" w:type="dxa"/>
            <w:vAlign w:val="bottom"/>
          </w:tcPr>
          <w:p>
            <w:pPr>
              <w:spacing w:after="0"/>
              <w:rPr>
                <w:sz w:val="17"/>
                <w:szCs w:val="17"/>
                <w:color w:val="auto"/>
              </w:rPr>
            </w:pPr>
          </w:p>
        </w:tc>
        <w:tc>
          <w:tcPr>
            <w:tcW w:w="4080" w:type="dxa"/>
            <w:vAlign w:val="bottom"/>
            <w:tcBorders>
              <w:bottom w:val="single" w:sz="8" w:color="0000EE"/>
            </w:tcBorders>
            <w:gridSpan w:val="21"/>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Assessment of Risk Related to Compensation Programs</w:t>
              </w:r>
            </w:hyperlink>
          </w:p>
        </w:tc>
        <w:tc>
          <w:tcPr>
            <w:tcW w:w="2840" w:type="dxa"/>
            <w:vAlign w:val="bottom"/>
            <w:gridSpan w:val="5"/>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43</w:t>
            </w: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Summary Compensation Table</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44</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All Other Compensation for Fiscal 2018</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45</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Grants of Plan-Based Awards for Fiscal 2018</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46</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Outstanding Equity Awards at Fiscal Year-End for 2018</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48</w:t>
            </w:r>
          </w:p>
        </w:tc>
      </w:tr>
      <w:tr>
        <w:trPr>
          <w:trHeight w:val="201"/>
        </w:trPr>
        <w:tc>
          <w:tcPr>
            <w:tcW w:w="320" w:type="dxa"/>
            <w:vAlign w:val="bottom"/>
          </w:tcPr>
          <w:p>
            <w:pPr>
              <w:spacing w:after="0"/>
              <w:rPr>
                <w:sz w:val="17"/>
                <w:szCs w:val="17"/>
                <w:color w:val="auto"/>
              </w:rPr>
            </w:pPr>
          </w:p>
        </w:tc>
        <w:tc>
          <w:tcPr>
            <w:tcW w:w="3980" w:type="dxa"/>
            <w:vAlign w:val="bottom"/>
            <w:tcBorders>
              <w:top w:val="single" w:sz="8" w:color="0000EE"/>
            </w:tcBorders>
            <w:gridSpan w:val="20"/>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Option Exercises and Stock Vested for Fiscal 2018</w:t>
              </w:r>
            </w:hyperlink>
          </w:p>
        </w:tc>
        <w:tc>
          <w:tcPr>
            <w:tcW w:w="2940" w:type="dxa"/>
            <w:vAlign w:val="bottom"/>
            <w:gridSpan w:val="6"/>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49</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Nonqualified Deferred Compensation for Fiscal 2018</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50</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4300" w:type="dxa"/>
            <w:vAlign w:val="bottom"/>
            <w:tcBorders>
              <w:bottom w:val="single" w:sz="8" w:color="0000EE"/>
            </w:tcBorders>
            <w:gridSpan w:val="23"/>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Potential Payments Upon Termination or Change In Control</w:t>
              </w:r>
            </w:hyperlink>
          </w:p>
        </w:tc>
        <w:tc>
          <w:tcPr>
            <w:tcW w:w="2620" w:type="dxa"/>
            <w:vAlign w:val="bottom"/>
            <w:gridSpan w:val="3"/>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53</w:t>
            </w:r>
          </w:p>
        </w:tc>
      </w:tr>
      <w:tr>
        <w:trPr>
          <w:trHeight w:val="201"/>
        </w:trPr>
        <w:tc>
          <w:tcPr>
            <w:tcW w:w="32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Pay Ratio Disclosure</w:t>
              </w:r>
            </w:hyperlink>
          </w:p>
        </w:tc>
        <w:tc>
          <w:tcPr>
            <w:tcW w:w="5400" w:type="dxa"/>
            <w:vAlign w:val="bottom"/>
            <w:gridSpan w:val="21"/>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58</w:t>
            </w:r>
          </w:p>
        </w:tc>
      </w:tr>
      <w:tr>
        <w:trPr>
          <w:trHeight w:val="201"/>
        </w:trPr>
        <w:tc>
          <w:tcPr>
            <w:tcW w:w="1620" w:type="dxa"/>
            <w:vAlign w:val="bottom"/>
            <w:tcBorders>
              <w:bottom w:val="single" w:sz="8" w:color="0000EE"/>
            </w:tcBorders>
            <w:gridSpan w:val="4"/>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STOCK OWNERSHIP</w:t>
              </w:r>
            </w:hyperlink>
          </w:p>
        </w:tc>
        <w:tc>
          <w:tcPr>
            <w:tcW w:w="5620" w:type="dxa"/>
            <w:vAlign w:val="bottom"/>
            <w:gridSpan w:val="23"/>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59</w:t>
            </w:r>
          </w:p>
        </w:tc>
      </w:tr>
      <w:tr>
        <w:trPr>
          <w:trHeight w:val="201"/>
        </w:trPr>
        <w:tc>
          <w:tcPr>
            <w:tcW w:w="320" w:type="dxa"/>
            <w:vAlign w:val="bottom"/>
          </w:tcPr>
          <w:p>
            <w:pPr>
              <w:spacing w:after="0"/>
              <w:rPr>
                <w:sz w:val="17"/>
                <w:szCs w:val="17"/>
                <w:color w:val="auto"/>
              </w:rPr>
            </w:pPr>
          </w:p>
        </w:tc>
        <w:tc>
          <w:tcPr>
            <w:tcW w:w="2120" w:type="dxa"/>
            <w:vAlign w:val="bottom"/>
            <w:tcBorders>
              <w:bottom w:val="single" w:sz="8" w:color="0000EE"/>
            </w:tcBorders>
            <w:gridSpan w:val="9"/>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Significant Beneficial Owners</w:t>
              </w:r>
            </w:hyperlink>
          </w:p>
        </w:tc>
        <w:tc>
          <w:tcPr>
            <w:tcW w:w="4800" w:type="dxa"/>
            <w:vAlign w:val="bottom"/>
            <w:gridSpan w:val="17"/>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59</w:t>
            </w: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Directors and Executive Officers</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60</w:t>
            </w:r>
          </w:p>
        </w:tc>
      </w:tr>
      <w:tr>
        <w:trPr>
          <w:trHeight w:val="201"/>
        </w:trPr>
        <w:tc>
          <w:tcPr>
            <w:tcW w:w="320" w:type="dxa"/>
            <w:vAlign w:val="bottom"/>
          </w:tcPr>
          <w:p>
            <w:pPr>
              <w:spacing w:after="0"/>
              <w:rPr>
                <w:sz w:val="17"/>
                <w:szCs w:val="17"/>
                <w:color w:val="auto"/>
              </w:rPr>
            </w:pPr>
          </w:p>
        </w:tc>
        <w:tc>
          <w:tcPr>
            <w:tcW w:w="2320" w:type="dxa"/>
            <w:vAlign w:val="bottom"/>
            <w:tcBorders>
              <w:top w:val="single" w:sz="8" w:color="0000EE"/>
            </w:tcBorders>
            <w:gridSpan w:val="12"/>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Stock Ownership Guidelines</w:t>
              </w:r>
            </w:hyperlink>
          </w:p>
        </w:tc>
        <w:tc>
          <w:tcPr>
            <w:tcW w:w="4600" w:type="dxa"/>
            <w:vAlign w:val="bottom"/>
            <w:gridSpan w:val="14"/>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62</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Section 16(a) Beneficial Ownership Reporting Compliance</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62</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620" w:type="dxa"/>
            <w:vAlign w:val="bottom"/>
            <w:tcBorders>
              <w:bottom w:val="single" w:sz="8" w:color="0000EE"/>
            </w:tcBorders>
            <w:gridSpan w:val="18"/>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EQUITY COMPENSATION PLAN INFORMATION</w:t>
              </w:r>
            </w:hyperlink>
          </w:p>
        </w:tc>
        <w:tc>
          <w:tcPr>
            <w:tcW w:w="3620" w:type="dxa"/>
            <w:vAlign w:val="bottom"/>
            <w:gridSpan w:val="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62</w:t>
            </w:r>
          </w:p>
        </w:tc>
      </w:tr>
      <w:tr>
        <w:trPr>
          <w:trHeight w:val="201"/>
        </w:trPr>
        <w:tc>
          <w:tcPr>
            <w:tcW w:w="7240" w:type="dxa"/>
            <w:vAlign w:val="bottom"/>
            <w:gridSpan w:val="27"/>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OTHER INFORMATION</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63</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6920" w:type="dxa"/>
            <w:vAlign w:val="bottom"/>
            <w:gridSpan w:val="26"/>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Shareholder Proposals and Director Nominations for the 2020 Annual Meeting</w:t>
              </w:r>
            </w:hyperlink>
          </w:p>
        </w:tc>
        <w:tc>
          <w:tcPr>
            <w:tcW w:w="1000" w:type="dxa"/>
            <w:vAlign w:val="bottom"/>
          </w:tcPr>
          <w:p>
            <w:pPr>
              <w:jc w:val="right"/>
              <w:spacing w:after="0"/>
              <w:rPr>
                <w:sz w:val="20"/>
                <w:szCs w:val="20"/>
                <w:color w:val="auto"/>
              </w:rPr>
            </w:pPr>
            <w:r>
              <w:rPr>
                <w:rFonts w:ascii="Arial" w:cs="Arial" w:eastAsia="Arial" w:hAnsi="Arial"/>
                <w:sz w:val="16"/>
                <w:szCs w:val="16"/>
                <w:color w:val="C00000"/>
              </w:rPr>
              <w:t>63</w:t>
            </w:r>
          </w:p>
        </w:tc>
      </w:tr>
      <w:tr>
        <w:trPr>
          <w:trHeight w:val="201"/>
        </w:trPr>
        <w:tc>
          <w:tcPr>
            <w:tcW w:w="320" w:type="dxa"/>
            <w:vAlign w:val="bottom"/>
          </w:tcPr>
          <w:p>
            <w:pPr>
              <w:spacing w:after="0"/>
              <w:rPr>
                <w:sz w:val="17"/>
                <w:szCs w:val="17"/>
                <w:color w:val="auto"/>
              </w:rPr>
            </w:pPr>
          </w:p>
        </w:tc>
        <w:tc>
          <w:tcPr>
            <w:tcW w:w="5640" w:type="dxa"/>
            <w:vAlign w:val="bottom"/>
            <w:tcBorders>
              <w:top w:val="single" w:sz="8" w:color="0000EE"/>
            </w:tcBorders>
            <w:gridSpan w:val="24"/>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Householding of Annual Meeting Materials</w:t>
              </w:r>
            </w:hyperlink>
          </w:p>
        </w:tc>
        <w:tc>
          <w:tcPr>
            <w:tcW w:w="1280" w:type="dxa"/>
            <w:vAlign w:val="bottom"/>
            <w:gridSpan w:val="2"/>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63</w:t>
            </w:r>
          </w:p>
        </w:tc>
      </w:tr>
      <w:tr>
        <w:trPr>
          <w:trHeight w:val="201"/>
        </w:trPr>
        <w:tc>
          <w:tcPr>
            <w:tcW w:w="320" w:type="dxa"/>
            <w:vAlign w:val="bottom"/>
          </w:tcPr>
          <w:p>
            <w:pPr>
              <w:spacing w:after="0"/>
              <w:rPr>
                <w:sz w:val="17"/>
                <w:szCs w:val="17"/>
                <w:color w:val="auto"/>
              </w:rPr>
            </w:pPr>
          </w:p>
        </w:tc>
        <w:tc>
          <w:tcPr>
            <w:tcW w:w="3060" w:type="dxa"/>
            <w:vAlign w:val="bottom"/>
            <w:tcBorders>
              <w:top w:val="single" w:sz="8" w:color="0000EE"/>
            </w:tcBorders>
            <w:gridSpan w:val="15"/>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Annual Report</w:t>
              </w:r>
            </w:hyperlink>
          </w:p>
        </w:tc>
        <w:tc>
          <w:tcPr>
            <w:tcW w:w="3860" w:type="dxa"/>
            <w:vAlign w:val="bottom"/>
            <w:gridSpan w:val="11"/>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63</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466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2260" w:type="dxa"/>
            <w:vAlign w:val="bottom"/>
            <w:tcBorders>
              <w:bottom w:val="single" w:sz="8" w:color="0000EE"/>
            </w:tcBorders>
            <w:gridSpan w:val="11"/>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Cost and Method of Solicitation</w:t>
              </w:r>
            </w:hyperlink>
          </w:p>
        </w:tc>
        <w:tc>
          <w:tcPr>
            <w:tcW w:w="4660" w:type="dxa"/>
            <w:vAlign w:val="bottom"/>
            <w:gridSpan w:val="15"/>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C00000"/>
              </w:rPr>
              <w:t>64</w:t>
            </w:r>
          </w:p>
        </w:tc>
      </w:tr>
    </w:tbl>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C00000"/>
        </w:rPr>
        <w:t>NOTE ABOUT FORWARD LOOKING STATEMENTS</w:t>
      </w:r>
    </w:p>
    <w:p>
      <w:pPr>
        <w:spacing w:after="0" w:line="118" w:lineRule="exact"/>
        <w:rPr>
          <w:sz w:val="20"/>
          <w:szCs w:val="20"/>
          <w:color w:val="auto"/>
        </w:rPr>
      </w:pPr>
    </w:p>
    <w:p>
      <w:pPr>
        <w:ind w:firstLine="408"/>
        <w:spacing w:after="0"/>
        <w:rPr>
          <w:sz w:val="20"/>
          <w:szCs w:val="20"/>
          <w:color w:val="auto"/>
        </w:rPr>
      </w:pPr>
      <w:r>
        <w:rPr>
          <w:rFonts w:ascii="Arial" w:cs="Arial" w:eastAsia="Arial" w:hAnsi="Arial"/>
          <w:sz w:val="16"/>
          <w:szCs w:val="16"/>
          <w:color w:val="auto"/>
        </w:rPr>
        <w:t>Certain statements in this proxy statement are “forward-looking statements” within the meaning of Section 27A of the Securities Act of 1933, as amended, and Section 21E of the Securities Exchange Act of 1934, as amended, or Exchange Act, and are subject to the safe harbor created by those sections. Forward-looking statements are based on our current expectations of future events, and are generally identified by words such as "expect," "strive," "looking ahead," "outlook," "guidance," "forecast," "goal," "optimistic," "anticipate," "continue," "plan," "estimate," "project," "believe," "should," "could," "will," "would," "possible," "may," "likely," "intend," "can," "seek," "potential," "pro forma," or the negative thereof and similar expressions or future dates. Forward-looking statements involve risks and uncertainties that could cause actual results to differ materially from those projected or implied. The most significant factors known to us that could materially adversely affect our business, reputation, operations, industry, financial position, or future financial performance are described in our most recent Annual Report on Form 10-K filed with the Securities and Exchange Commission, or SEC, on December 22, 2018, in Part I, Item 1A, “Risk Factors.” You should not place undue reliance on any forward-looking statement, which speaks only as of the date made, and should recognize that forward-looking statements are predictions of future results, which may not occur as anticipated. Actual results could differ materially from those anticipated in the forward-looking statements and from historical results, due to the risks and uncertainties described in our Annual Report on Form 10-K, including in Part I, Item 1A, “Risk Factors,” as well as others that we may consider immaterial or do not anticipate at this time. The risks and uncertainties described in our Annual Report on Form 10-K are not exclusive and further information concerning our company and our businesses, including factors that potentially could materially affect our operating results or financial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that we file with or furnish to the SEC.</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6129655</wp:posOffset>
            </wp:positionH>
            <wp:positionV relativeFrom="paragraph">
              <wp:posOffset>186690</wp:posOffset>
            </wp:positionV>
            <wp:extent cx="1128395" cy="739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8395" cy="73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Worldwide Headquarters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rPr>
          <w:sz w:val="20"/>
          <w:szCs w:val="20"/>
          <w:color w:val="auto"/>
        </w:rPr>
      </w:pPr>
      <w:r>
        <w:rPr>
          <w:rFonts w:ascii="Arial" w:cs="Arial" w:eastAsia="Arial" w:hAnsi="Arial"/>
          <w:sz w:val="16"/>
          <w:szCs w:val="16"/>
          <w:color w:val="auto"/>
        </w:rPr>
        <w:t>Bloomington, MN 55420-1196</w:t>
      </w:r>
    </w:p>
    <w:p>
      <w:pPr>
        <w:spacing w:after="0"/>
        <w:rPr>
          <w:sz w:val="20"/>
          <w:szCs w:val="20"/>
          <w:color w:val="auto"/>
        </w:rPr>
      </w:pPr>
      <w:r>
        <w:rPr>
          <w:rFonts w:ascii="Arial" w:cs="Arial" w:eastAsia="Arial" w:hAnsi="Arial"/>
          <w:sz w:val="16"/>
          <w:szCs w:val="16"/>
          <w:color w:val="auto"/>
        </w:rPr>
        <w:t>952-888-8801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February 5, 2019</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96" w:lineRule="exact"/>
        <w:rPr>
          <w:sz w:val="20"/>
          <w:szCs w:val="20"/>
          <w:color w:val="auto"/>
        </w:rPr>
      </w:pPr>
    </w:p>
    <w:p>
      <w:pPr>
        <w:ind w:right="280" w:firstLine="408"/>
        <w:spacing w:after="0" w:line="255" w:lineRule="auto"/>
        <w:rPr>
          <w:sz w:val="20"/>
          <w:szCs w:val="20"/>
          <w:color w:val="auto"/>
        </w:rPr>
      </w:pPr>
      <w:r>
        <w:rPr>
          <w:rFonts w:ascii="Arial" w:cs="Arial" w:eastAsia="Arial" w:hAnsi="Arial"/>
          <w:sz w:val="16"/>
          <w:szCs w:val="16"/>
          <w:color w:val="auto"/>
        </w:rPr>
        <w:t>It is my pleasure to invite you to join us for The Toro Company 2019 Annual Meeting of Shareholders to be held on Tuesday, March 19, 2019, at 1:30 p.m., Central Daylight Time, at our worldwide headquarters in Bloomington, Minnesota.</w:t>
      </w:r>
    </w:p>
    <w:p>
      <w:pPr>
        <w:spacing w:after="0" w:line="173" w:lineRule="exact"/>
        <w:rPr>
          <w:sz w:val="20"/>
          <w:szCs w:val="20"/>
          <w:color w:val="auto"/>
        </w:rPr>
      </w:pPr>
    </w:p>
    <w:p>
      <w:pPr>
        <w:ind w:right="80" w:firstLine="408"/>
        <w:spacing w:after="0" w:line="247" w:lineRule="auto"/>
        <w:rPr>
          <w:sz w:val="20"/>
          <w:szCs w:val="20"/>
          <w:color w:val="auto"/>
        </w:rPr>
      </w:pPr>
      <w:r>
        <w:rPr>
          <w:rFonts w:ascii="Arial" w:cs="Arial" w:eastAsia="Arial" w:hAnsi="Arial"/>
          <w:sz w:val="16"/>
          <w:szCs w:val="16"/>
          <w:color w:val="auto"/>
        </w:rPr>
        <w:t>Details about the annual meeting, nominees for election to the Board of Directors and other matters to be acted on at the annual meeting are presented in the notice and proxy statement that follow. Information regarding admission to the meeting, or listening to a live, audio webcast of the meeting if you are unable to attend in person, can be found on page 4 of the proxy statement.</w:t>
      </w:r>
    </w:p>
    <w:p>
      <w:pPr>
        <w:spacing w:after="0" w:line="179" w:lineRule="exact"/>
        <w:rPr>
          <w:sz w:val="20"/>
          <w:szCs w:val="20"/>
          <w:color w:val="auto"/>
        </w:rPr>
      </w:pPr>
    </w:p>
    <w:p>
      <w:pPr>
        <w:jc w:val="both"/>
        <w:ind w:firstLine="408"/>
        <w:spacing w:after="0" w:line="247"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behalf of your Toro Board of Directors and Management, thank you for your continued interest in and support for our Company.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1322705" cy="451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270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color w:val="C00000"/>
        </w:rPr>
        <w:t>RICHARD M. OLSON</w:t>
      </w:r>
    </w:p>
    <w:p>
      <w:pPr>
        <w:ind w:left="20"/>
        <w:spacing w:after="0"/>
        <w:rPr>
          <w:sz w:val="20"/>
          <w:szCs w:val="20"/>
          <w:color w:val="auto"/>
        </w:rPr>
      </w:pPr>
      <w:r>
        <w:rPr>
          <w:rFonts w:ascii="Arial" w:cs="Arial" w:eastAsia="Arial" w:hAnsi="Arial"/>
          <w:sz w:val="16"/>
          <w:szCs w:val="16"/>
          <w:color w:val="auto"/>
        </w:rPr>
        <w:t>Chairman of the Board,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280" w:right="2360"/>
        <w:spacing w:after="0" w:line="250" w:lineRule="auto"/>
        <w:rPr>
          <w:sz w:val="20"/>
          <w:szCs w:val="20"/>
          <w:color w:val="auto"/>
        </w:rPr>
      </w:pPr>
      <w:r>
        <w:rPr>
          <w:rFonts w:ascii="Arial" w:cs="Arial" w:eastAsia="Arial" w:hAnsi="Arial"/>
          <w:sz w:val="16"/>
          <w:szCs w:val="16"/>
          <w:b w:val="1"/>
          <w:bCs w:val="1"/>
          <w:color w:val="C00000"/>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6129655</wp:posOffset>
            </wp:positionH>
            <wp:positionV relativeFrom="paragraph">
              <wp:posOffset>186690</wp:posOffset>
            </wp:positionV>
            <wp:extent cx="1128395" cy="739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8395" cy="73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C00000"/>
        </w:rPr>
        <w:t>NOTICE OF 2019 ANNUAL MEETING OF SHAREHOLDERS</w:t>
      </w:r>
    </w:p>
    <w:p>
      <w:pPr>
        <w:sectPr>
          <w:pgSz w:w="11900" w:h="16838" w:orient="portrait"/>
          <w:cols w:equalWidth="0" w:num="1">
            <w:col w:w="11420"/>
          </w:cols>
          <w:pgMar w:left="240" w:top="140"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Tuesday, March 19, 2019</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1:30 p.m., Central Daylight Time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8111 Lyndale Avenue South, Bloomington, Minnesota, 55420-1196</w:t>
      </w:r>
    </w:p>
    <w:p>
      <w:pPr>
        <w:spacing w:after="0" w:line="200" w:lineRule="exact"/>
        <w:rPr>
          <w:sz w:val="20"/>
          <w:szCs w:val="20"/>
          <w:color w:val="auto"/>
        </w:rPr>
      </w:pPr>
    </w:p>
    <w:p>
      <w:pPr>
        <w:sectPr>
          <w:pgSz w:w="11900" w:h="16838" w:orient="portrait"/>
          <w:cols w:equalWidth="0" w:num="2">
            <w:col w:w="740" w:space="560"/>
            <w:col w:w="10120"/>
          </w:cols>
          <w:pgMar w:left="240" w:top="140" w:right="23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Webcast: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www.thetorocompany.com</w:t>
      </w:r>
    </w:p>
    <w:p>
      <w:pPr>
        <w:spacing w:after="0" w:line="200" w:lineRule="exact"/>
        <w:rPr>
          <w:sz w:val="20"/>
          <w:szCs w:val="20"/>
          <w:color w:val="auto"/>
        </w:rPr>
      </w:pPr>
    </w:p>
    <w:p>
      <w:pPr>
        <w:sectPr>
          <w:pgSz w:w="11900" w:h="16838" w:orient="portrait"/>
          <w:cols w:equalWidth="0" w:num="2">
            <w:col w:w="720" w:space="580"/>
            <w:col w:w="10120"/>
          </w:cols>
          <w:pgMar w:left="240" w:top="140" w:right="239" w:bottom="1440" w:gutter="0" w:footer="0" w:header="0"/>
          <w:type w:val="continuous"/>
        </w:sectPr>
      </w:pPr>
    </w:p>
    <w:p>
      <w:pPr>
        <w:spacing w:after="0" w:line="106" w:lineRule="exact"/>
        <w:rPr>
          <w:sz w:val="20"/>
          <w:szCs w:val="20"/>
          <w:color w:val="auto"/>
        </w:rPr>
      </w:pPr>
    </w:p>
    <w:p>
      <w:pPr>
        <w:ind w:left="1300" w:right="320" w:hanging="1604"/>
        <w:spacing w:after="0" w:line="255" w:lineRule="auto"/>
        <w:tabs>
          <w:tab w:leader="none" w:pos="1280" w:val="left"/>
        </w:tabs>
        <w:rPr>
          <w:sz w:val="20"/>
          <w:szCs w:val="20"/>
          <w:color w:val="auto"/>
        </w:rPr>
      </w:pPr>
      <w:r>
        <w:rPr>
          <w:rFonts w:ascii="Arial" w:cs="Arial" w:eastAsia="Arial" w:hAnsi="Arial"/>
          <w:sz w:val="16"/>
          <w:szCs w:val="16"/>
          <w:b w:val="1"/>
          <w:bCs w:val="1"/>
          <w:color w:val="auto"/>
        </w:rPr>
        <w:t>Agenda:</w:t>
      </w:r>
      <w:r>
        <w:rPr>
          <w:sz w:val="20"/>
          <w:szCs w:val="20"/>
          <w:color w:val="auto"/>
        </w:rPr>
        <w:tab/>
      </w:r>
      <w:r>
        <w:rPr>
          <w:rFonts w:ascii="Arial" w:cs="Arial" w:eastAsia="Arial" w:hAnsi="Arial"/>
          <w:sz w:val="16"/>
          <w:szCs w:val="16"/>
          <w:color w:val="C00000"/>
        </w:rPr>
        <w:t xml:space="preserve">1. </w:t>
      </w:r>
      <w:r>
        <w:rPr>
          <w:rFonts w:ascii="Arial" w:cs="Arial" w:eastAsia="Arial" w:hAnsi="Arial"/>
          <w:sz w:val="16"/>
          <w:szCs w:val="16"/>
          <w:color w:val="000000"/>
        </w:rPr>
        <w:t>To elect as directors the four nominees named in the attached proxy statement, each to serve for a term of three years ending at the</w:t>
      </w:r>
      <w:r>
        <w:rPr>
          <w:rFonts w:ascii="Arial" w:cs="Arial" w:eastAsia="Arial" w:hAnsi="Arial"/>
          <w:sz w:val="16"/>
          <w:szCs w:val="16"/>
          <w:color w:val="C00000"/>
        </w:rPr>
        <w:t xml:space="preserve"> </w:t>
      </w:r>
      <w:r>
        <w:rPr>
          <w:rFonts w:ascii="Arial" w:cs="Arial" w:eastAsia="Arial" w:hAnsi="Arial"/>
          <w:sz w:val="16"/>
          <w:szCs w:val="16"/>
          <w:color w:val="000000"/>
        </w:rPr>
        <w:t>2022 Annual Meeting of Shareholders;</w:t>
      </w:r>
    </w:p>
    <w:p>
      <w:pPr>
        <w:spacing w:after="0" w:line="58" w:lineRule="exact"/>
        <w:rPr>
          <w:sz w:val="20"/>
          <w:szCs w:val="20"/>
          <w:color w:val="auto"/>
        </w:rPr>
      </w:pPr>
    </w:p>
    <w:p>
      <w:pPr>
        <w:ind w:left="1580" w:hanging="271"/>
        <w:spacing w:after="0"/>
        <w:tabs>
          <w:tab w:leader="none" w:pos="1580" w:val="left"/>
        </w:tabs>
        <w:numPr>
          <w:ilvl w:val="0"/>
          <w:numId w:val="4"/>
        </w:numPr>
        <w:rPr>
          <w:rFonts w:ascii="Arial" w:cs="Arial" w:eastAsia="Arial" w:hAnsi="Arial"/>
          <w:sz w:val="16"/>
          <w:szCs w:val="16"/>
          <w:color w:val="C00000"/>
        </w:rPr>
      </w:pPr>
      <w:r>
        <w:rPr>
          <w:rFonts w:ascii="Arial" w:cs="Arial" w:eastAsia="Arial" w:hAnsi="Arial"/>
          <w:sz w:val="16"/>
          <w:szCs w:val="16"/>
          <w:color w:val="auto"/>
        </w:rPr>
        <w:t>To ratify the selection of KPMG LLP as our independent registered public accounting firm for our fiscal year ending October 31, 2019;</w:t>
      </w:r>
    </w:p>
    <w:p>
      <w:pPr>
        <w:spacing w:after="0" w:line="73" w:lineRule="exact"/>
        <w:rPr>
          <w:rFonts w:ascii="Arial" w:cs="Arial" w:eastAsia="Arial" w:hAnsi="Arial"/>
          <w:sz w:val="16"/>
          <w:szCs w:val="16"/>
          <w:color w:val="C00000"/>
        </w:rPr>
      </w:pPr>
    </w:p>
    <w:p>
      <w:pPr>
        <w:ind w:left="1580" w:hanging="271"/>
        <w:spacing w:after="0"/>
        <w:tabs>
          <w:tab w:leader="none" w:pos="1580" w:val="left"/>
        </w:tabs>
        <w:numPr>
          <w:ilvl w:val="0"/>
          <w:numId w:val="4"/>
        </w:numPr>
        <w:rPr>
          <w:rFonts w:ascii="Arial" w:cs="Arial" w:eastAsia="Arial" w:hAnsi="Arial"/>
          <w:sz w:val="16"/>
          <w:szCs w:val="16"/>
          <w:color w:val="C00000"/>
        </w:rPr>
      </w:pPr>
      <w:r>
        <w:rPr>
          <w:rFonts w:ascii="Arial" w:cs="Arial" w:eastAsia="Arial" w:hAnsi="Arial"/>
          <w:sz w:val="16"/>
          <w:szCs w:val="16"/>
          <w:color w:val="auto"/>
        </w:rPr>
        <w:t>To approve, on an advisory basis, our executive compensation; and</w:t>
      </w:r>
    </w:p>
    <w:p>
      <w:pPr>
        <w:spacing w:after="0" w:line="73" w:lineRule="exact"/>
        <w:rPr>
          <w:rFonts w:ascii="Arial" w:cs="Arial" w:eastAsia="Arial" w:hAnsi="Arial"/>
          <w:sz w:val="16"/>
          <w:szCs w:val="16"/>
          <w:color w:val="C00000"/>
        </w:rPr>
      </w:pPr>
    </w:p>
    <w:p>
      <w:pPr>
        <w:ind w:left="1580" w:hanging="271"/>
        <w:spacing w:after="0"/>
        <w:tabs>
          <w:tab w:leader="none" w:pos="1580" w:val="left"/>
        </w:tabs>
        <w:numPr>
          <w:ilvl w:val="0"/>
          <w:numId w:val="4"/>
        </w:numPr>
        <w:rPr>
          <w:rFonts w:ascii="Arial" w:cs="Arial" w:eastAsia="Arial" w:hAnsi="Arial"/>
          <w:sz w:val="16"/>
          <w:szCs w:val="16"/>
          <w:color w:val="C00000"/>
        </w:rPr>
      </w:pPr>
      <w:r>
        <w:rPr>
          <w:rFonts w:ascii="Arial" w:cs="Arial" w:eastAsia="Arial" w:hAnsi="Arial"/>
          <w:sz w:val="16"/>
          <w:szCs w:val="16"/>
          <w:color w:val="auto"/>
        </w:rPr>
        <w:t>To transact any other business properly brought before the annual meeting or any adjournment or postponement of the annual meeting.</w:t>
      </w:r>
    </w:p>
    <w:p>
      <w:pPr>
        <w:spacing w:after="0" w:line="122" w:lineRule="exact"/>
        <w:rPr>
          <w:sz w:val="20"/>
          <w:szCs w:val="20"/>
          <w:color w:val="auto"/>
        </w:rPr>
      </w:pPr>
    </w:p>
    <w:p>
      <w:pPr>
        <w:jc w:val="both"/>
        <w:ind w:right="160" w:firstLine="408"/>
        <w:spacing w:after="0" w:line="244" w:lineRule="auto"/>
        <w:rPr>
          <w:sz w:val="20"/>
          <w:szCs w:val="20"/>
          <w:color w:val="auto"/>
        </w:rPr>
      </w:pPr>
      <w:r>
        <w:rPr>
          <w:rFonts w:ascii="Arial" w:cs="Arial" w:eastAsia="Arial" w:hAnsi="Arial"/>
          <w:sz w:val="16"/>
          <w:szCs w:val="16"/>
          <w:color w:val="auto"/>
        </w:rPr>
        <w:t>We currently are not aware of any other business to be brought before the annual meeting. Shareholders of record at the close of business on January 22, 2019, the record date, will be entitled to vote at the annual meeting or at any adjournment or postponement of the annual meeting. A shareholder list will be available at our corporate offices beginning March 8, 2019, during our normal business hours for examination by any shareholder registered on our stock ledger as of the record date for any purpose germane to the annual meeting.</w:t>
      </w:r>
    </w:p>
    <w:p>
      <w:pPr>
        <w:spacing w:after="0" w:line="85" w:lineRule="exact"/>
        <w:rPr>
          <w:sz w:val="20"/>
          <w:szCs w:val="20"/>
          <w:color w:val="auto"/>
        </w:rPr>
      </w:pPr>
    </w:p>
    <w:p>
      <w:pPr>
        <w:ind w:firstLine="408"/>
        <w:spacing w:after="0" w:line="244" w:lineRule="auto"/>
        <w:rPr>
          <w:sz w:val="20"/>
          <w:szCs w:val="20"/>
          <w:color w:val="auto"/>
        </w:rPr>
      </w:pPr>
      <w:r>
        <w:rPr>
          <w:rFonts w:ascii="Arial" w:cs="Arial" w:eastAsia="Arial" w:hAnsi="Arial"/>
          <w:sz w:val="16"/>
          <w:szCs w:val="16"/>
          <w:color w:val="auto"/>
        </w:rPr>
        <w:t>Your vote is important. A majority of the outstanding shares of our common stock must be represented either in person or by proxy to constitute a quorum for the conduct of business. Please promptly vote your shares by following the instructions for voting contained in the Notice Regarding the Availability of Proxy Materials or, if you received a paper or electronic copy of our proxy materials, by completing, signing, dating and returning your proxy card or by Internet, telephone or mobile device voting as described on your proxy card.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February 5, 2019</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132715</wp:posOffset>
            </wp:positionV>
            <wp:extent cx="1299210" cy="318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9210" cy="31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color w:val="C00000"/>
        </w:rPr>
        <w:t>TIMOTHY P. DORDELL</w:t>
      </w:r>
    </w:p>
    <w:p>
      <w:pPr>
        <w:ind w:left="20"/>
        <w:spacing w:after="0"/>
        <w:rPr>
          <w:sz w:val="20"/>
          <w:szCs w:val="20"/>
          <w:color w:val="auto"/>
        </w:rPr>
      </w:pPr>
      <w:r>
        <w:rPr>
          <w:rFonts w:ascii="Arial" w:cs="Arial" w:eastAsia="Arial" w:hAnsi="Arial"/>
          <w:sz w:val="16"/>
          <w:szCs w:val="16"/>
          <w:color w:val="auto"/>
        </w:rPr>
        <w:t>Vice President, Secretary and General Counsel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EXECUTIVE SUMMARY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Business Overview</w:t>
      </w:r>
    </w:p>
    <w:p>
      <w:pPr>
        <w:spacing w:after="0" w:line="112" w:lineRule="exact"/>
        <w:rPr>
          <w:sz w:val="20"/>
          <w:szCs w:val="20"/>
          <w:color w:val="auto"/>
        </w:rPr>
      </w:pPr>
    </w:p>
    <w:p>
      <w:pPr>
        <w:ind w:right="100" w:firstLine="408"/>
        <w:spacing w:after="0" w:line="243" w:lineRule="auto"/>
        <w:rPr>
          <w:sz w:val="20"/>
          <w:szCs w:val="20"/>
          <w:color w:val="auto"/>
        </w:rPr>
      </w:pPr>
      <w:r>
        <w:rPr>
          <w:rFonts w:ascii="Arial" w:cs="Arial" w:eastAsia="Arial" w:hAnsi="Arial"/>
          <w:sz w:val="16"/>
          <w:szCs w:val="16"/>
          <w:color w:val="auto"/>
        </w:rPr>
        <w:t>The Toro Company is a leading worldwide provider of innovative solutions for the outdoor environment, including professional turf maintenance equipment and services, turf irrigation systems, landscaping equipment and lighting products, snow and ice management products, agricultural irrigation systems, rental and specialty construction equipment, and residential yard and snow thrower products. Through a strong network of professional distributors, dealers and retailers in more than 125 countries, we proudly offer a wide range of products across a family of global brands to help customers care for golf courses, landscapes, sports fields, public green spaces, commercial and residential properties and agricultural fields.</w:t>
      </w:r>
    </w:p>
    <w:p>
      <w:pPr>
        <w:spacing w:after="0" w:line="164" w:lineRule="exact"/>
        <w:rPr>
          <w:sz w:val="20"/>
          <w:szCs w:val="20"/>
          <w:color w:val="auto"/>
        </w:rPr>
      </w:pPr>
    </w:p>
    <w:tbl>
      <w:tblPr>
        <w:tblLayout w:type="fixed"/>
        <w:tblInd w:w="1730" w:type="dxa"/>
        <w:tblCellMar>
          <w:top w:w="0" w:type="dxa"/>
          <w:left w:w="0" w:type="dxa"/>
          <w:bottom w:w="0" w:type="dxa"/>
          <w:right w:w="0" w:type="dxa"/>
        </w:tblCellMar>
      </w:tblPr>
      <w:tr>
        <w:trPr>
          <w:trHeight w:val="256"/>
        </w:trPr>
        <w:tc>
          <w:tcPr>
            <w:tcW w:w="25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OUR PURPOSE</w:t>
            </w:r>
          </w:p>
        </w:tc>
        <w:tc>
          <w:tcPr>
            <w:tcW w:w="80" w:type="dxa"/>
            <w:vAlign w:val="bottom"/>
            <w:tcBorders>
              <w:right w:val="single" w:sz="8" w:color="auto"/>
            </w:tcBorders>
          </w:tcPr>
          <w:p>
            <w:pPr>
              <w:spacing w:after="0"/>
              <w:rPr>
                <w:sz w:val="22"/>
                <w:szCs w:val="22"/>
                <w:color w:val="auto"/>
              </w:rPr>
            </w:pPr>
          </w:p>
        </w:tc>
        <w:tc>
          <w:tcPr>
            <w:tcW w:w="2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OUR VISION</w:t>
            </w:r>
          </w:p>
        </w:tc>
        <w:tc>
          <w:tcPr>
            <w:tcW w:w="8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OUR MISSION</w:t>
            </w:r>
          </w:p>
        </w:tc>
      </w:tr>
      <w:tr>
        <w:trPr>
          <w:trHeight w:val="209"/>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To help our</w:t>
            </w:r>
          </w:p>
        </w:tc>
        <w:tc>
          <w:tcPr>
            <w:tcW w:w="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To be the most trusted</w:t>
            </w:r>
          </w:p>
        </w:tc>
        <w:tc>
          <w:tcPr>
            <w:tcW w:w="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To deliver superior</w:t>
            </w:r>
          </w:p>
        </w:tc>
      </w:tr>
      <w:tr>
        <w:trPr>
          <w:trHeight w:val="184"/>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customers enrich the</w:t>
            </w: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leader in solutions for the</w:t>
            </w:r>
          </w:p>
        </w:tc>
        <w:tc>
          <w:tcPr>
            <w:tcW w:w="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innovation and to</w:t>
            </w:r>
          </w:p>
        </w:tc>
      </w:tr>
      <w:tr>
        <w:trPr>
          <w:trHeight w:val="184"/>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beauty, productivity</w:t>
            </w: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outdoor environment.</w:t>
            </w:r>
          </w:p>
        </w:tc>
        <w:tc>
          <w:tcPr>
            <w:tcW w:w="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deliver superior</w:t>
            </w:r>
          </w:p>
        </w:tc>
      </w:tr>
      <w:tr>
        <w:trPr>
          <w:trHeight w:val="184"/>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and sustainability</w:t>
            </w: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Every day.</w:t>
            </w:r>
          </w:p>
        </w:tc>
        <w:tc>
          <w:tcPr>
            <w:tcW w:w="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customer care.</w:t>
            </w:r>
          </w:p>
        </w:tc>
      </w:tr>
      <w:tr>
        <w:trPr>
          <w:trHeight w:val="196"/>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of the land.</w:t>
            </w:r>
          </w:p>
        </w:tc>
        <w:tc>
          <w:tcPr>
            <w:tcW w:w="8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Everywhere.</w:t>
            </w:r>
          </w:p>
        </w:tc>
        <w:tc>
          <w:tcPr>
            <w:tcW w:w="8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shd w:val="clear" w:color="auto" w:fill="D9D9D9"/>
          </w:tcPr>
          <w:p>
            <w:pPr>
              <w:spacing w:after="0"/>
              <w:rPr>
                <w:sz w:val="17"/>
                <w:szCs w:val="17"/>
                <w:color w:val="auto"/>
              </w:rPr>
            </w:pPr>
          </w:p>
        </w:tc>
      </w:tr>
      <w:tr>
        <w:trPr>
          <w:trHeight w:val="87"/>
        </w:trPr>
        <w:tc>
          <w:tcPr>
            <w:tcW w:w="25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740" w:type="dxa"/>
            <w:vAlign w:val="bottom"/>
            <w:tcBorders>
              <w:bottom w:val="single" w:sz="8" w:color="auto"/>
              <w:right w:val="single" w:sz="8" w:color="auto"/>
            </w:tcBorders>
            <w:shd w:val="clear" w:color="auto" w:fill="D9D9D9"/>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2580" w:type="dxa"/>
            <w:vAlign w:val="bottom"/>
            <w:tcBorders>
              <w:bottom w:val="single" w:sz="8" w:color="auto"/>
              <w:right w:val="single" w:sz="8" w:color="auto"/>
            </w:tcBorders>
            <w:shd w:val="clear" w:color="auto" w:fill="D9D9D9"/>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38735</wp:posOffset>
            </wp:positionV>
            <wp:extent cx="5080635" cy="746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0635" cy="74676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C00000"/>
        </w:rPr>
        <w:t>OUR GUIDING PRINCIPLES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Toro Company’s success is founded on a long history of caring relationships based on trust and integrity.</w:t>
      </w:r>
    </w:p>
    <w:p>
      <w:pPr>
        <w:jc w:val="center"/>
        <w:ind w:right="-19"/>
        <w:spacing w:after="0"/>
        <w:rPr>
          <w:sz w:val="20"/>
          <w:szCs w:val="20"/>
          <w:color w:val="auto"/>
        </w:rPr>
      </w:pPr>
      <w:r>
        <w:rPr>
          <w:rFonts w:ascii="Arial" w:cs="Arial" w:eastAsia="Arial" w:hAnsi="Arial"/>
          <w:sz w:val="16"/>
          <w:szCs w:val="16"/>
          <w:color w:val="auto"/>
        </w:rPr>
        <w:t>These relationships are the foundation on which we build market leadership with the best in innovative</w:t>
      </w:r>
    </w:p>
    <w:p>
      <w:pPr>
        <w:jc w:val="right"/>
        <w:ind w:right="2980"/>
        <w:spacing w:after="0"/>
        <w:rPr>
          <w:sz w:val="20"/>
          <w:szCs w:val="20"/>
          <w:color w:val="auto"/>
        </w:rPr>
      </w:pPr>
      <w:r>
        <w:rPr>
          <w:rFonts w:ascii="Arial" w:cs="Arial" w:eastAsia="Arial" w:hAnsi="Arial"/>
          <w:sz w:val="16"/>
          <w:szCs w:val="16"/>
          <w:color w:val="auto"/>
        </w:rPr>
        <w:t>products and solutions to make outdoor environments beautiful, productive,</w:t>
      </w:r>
    </w:p>
    <w:p>
      <w:pPr>
        <w:jc w:val="right"/>
        <w:ind w:right="3020"/>
        <w:spacing w:after="0"/>
        <w:rPr>
          <w:sz w:val="20"/>
          <w:szCs w:val="20"/>
          <w:color w:val="auto"/>
        </w:rPr>
      </w:pPr>
      <w:r>
        <w:rPr>
          <w:rFonts w:ascii="Arial" w:cs="Arial" w:eastAsia="Arial" w:hAnsi="Arial"/>
          <w:sz w:val="16"/>
          <w:szCs w:val="16"/>
          <w:color w:val="auto"/>
        </w:rPr>
        <w:t>and sustainable. We are entrusted to strengthen this legacy of excellence.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Quick Facts About The Toro Company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540" w:type="dxa"/>
            <w:vAlign w:val="bottom"/>
            <w:tcBorders>
              <w:top w:val="single" w:sz="8" w:color="auto"/>
              <w:right w:val="single" w:sz="8" w:color="D9D9D9"/>
            </w:tcBorders>
            <w:shd w:val="clear" w:color="auto" w:fill="D9D9D9"/>
          </w:tcPr>
          <w:p>
            <w:pPr>
              <w:jc w:val="center"/>
              <w:ind w:left="358"/>
              <w:spacing w:after="0"/>
              <w:rPr>
                <w:sz w:val="20"/>
                <w:szCs w:val="20"/>
                <w:color w:val="auto"/>
              </w:rPr>
            </w:pPr>
            <w:r>
              <w:rPr>
                <w:rFonts w:ascii="Arial" w:cs="Arial" w:eastAsia="Arial" w:hAnsi="Arial"/>
                <w:sz w:val="16"/>
                <w:szCs w:val="16"/>
                <w:b w:val="1"/>
                <w:bCs w:val="1"/>
                <w:color w:val="C00000"/>
              </w:rPr>
              <w:t>Founded</w:t>
            </w:r>
          </w:p>
        </w:tc>
        <w:tc>
          <w:tcPr>
            <w:tcW w:w="120" w:type="dxa"/>
            <w:vAlign w:val="bottom"/>
            <w:tcBorders>
              <w:top w:val="single" w:sz="8" w:color="auto"/>
              <w:right w:val="single" w:sz="8" w:color="D9D9D9"/>
            </w:tcBorders>
            <w:shd w:val="clear" w:color="auto" w:fill="D9D9D9"/>
          </w:tcPr>
          <w:p>
            <w:pPr>
              <w:spacing w:after="0"/>
              <w:rPr>
                <w:sz w:val="17"/>
                <w:szCs w:val="17"/>
                <w:color w:val="auto"/>
              </w:rPr>
            </w:pPr>
          </w:p>
        </w:tc>
        <w:tc>
          <w:tcPr>
            <w:tcW w:w="360" w:type="dxa"/>
            <w:vAlign w:val="bottom"/>
            <w:tcBorders>
              <w:top w:val="single" w:sz="8" w:color="auto"/>
              <w:right w:val="single" w:sz="8" w:color="auto"/>
            </w:tcBorders>
            <w:shd w:val="clear" w:color="auto" w:fill="D9D9D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Fiscal 2018 Net Sales</w:t>
            </w:r>
          </w:p>
        </w:tc>
        <w:tc>
          <w:tcPr>
            <w:tcW w:w="120" w:type="dxa"/>
            <w:vAlign w:val="bottom"/>
            <w:tcBorders>
              <w:right w:val="single" w:sz="8" w:color="auto"/>
            </w:tcBorders>
          </w:tcPr>
          <w:p>
            <w:pPr>
              <w:spacing w:after="0"/>
              <w:rPr>
                <w:sz w:val="17"/>
                <w:szCs w:val="17"/>
                <w:color w:val="auto"/>
              </w:rPr>
            </w:pPr>
          </w:p>
        </w:tc>
        <w:tc>
          <w:tcPr>
            <w:tcW w:w="520" w:type="dxa"/>
            <w:vAlign w:val="bottom"/>
            <w:tcBorders>
              <w:top w:val="single" w:sz="8" w:color="auto"/>
              <w:right w:val="single" w:sz="8" w:color="D9D9D9"/>
            </w:tcBorders>
            <w:shd w:val="clear" w:color="auto" w:fill="D9D9D9"/>
          </w:tcPr>
          <w:p>
            <w:pPr>
              <w:spacing w:after="0"/>
              <w:rPr>
                <w:sz w:val="17"/>
                <w:szCs w:val="17"/>
                <w:color w:val="auto"/>
              </w:rPr>
            </w:pPr>
          </w:p>
        </w:tc>
        <w:tc>
          <w:tcPr>
            <w:tcW w:w="2660" w:type="dxa"/>
            <w:vAlign w:val="bottom"/>
            <w:tcBorders>
              <w:top w:val="single" w:sz="8" w:color="auto"/>
              <w:right w:val="single" w:sz="8" w:color="auto"/>
            </w:tcBorders>
            <w:gridSpan w:val="2"/>
            <w:shd w:val="clear" w:color="auto" w:fill="D9D9D9"/>
          </w:tcPr>
          <w:p>
            <w:pPr>
              <w:jc w:val="center"/>
              <w:ind w:right="458"/>
              <w:spacing w:after="0"/>
              <w:rPr>
                <w:sz w:val="20"/>
                <w:szCs w:val="20"/>
                <w:color w:val="auto"/>
              </w:rPr>
            </w:pPr>
            <w:r>
              <w:rPr>
                <w:rFonts w:ascii="Arial" w:cs="Arial" w:eastAsia="Arial" w:hAnsi="Arial"/>
                <w:sz w:val="16"/>
                <w:szCs w:val="16"/>
                <w:b w:val="1"/>
                <w:bCs w:val="1"/>
                <w:color w:val="C00000"/>
              </w:rPr>
              <w:t>Worldwide Headquarters</w:t>
            </w:r>
          </w:p>
        </w:tc>
        <w:tc>
          <w:tcPr>
            <w:tcW w:w="1120" w:type="dxa"/>
            <w:vAlign w:val="bottom"/>
          </w:tcPr>
          <w:p>
            <w:pPr>
              <w:spacing w:after="0"/>
              <w:rPr>
                <w:sz w:val="17"/>
                <w:szCs w:val="17"/>
                <w:color w:val="auto"/>
              </w:rPr>
            </w:pPr>
          </w:p>
        </w:tc>
      </w:tr>
      <w:tr>
        <w:trPr>
          <w:trHeight w:val="262"/>
        </w:trPr>
        <w:tc>
          <w:tcPr>
            <w:tcW w:w="6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2540" w:type="dxa"/>
            <w:vAlign w:val="bottom"/>
            <w:tcBorders>
              <w:bottom w:val="single" w:sz="8" w:color="D9D9D9"/>
              <w:right w:val="single" w:sz="8" w:color="D9D9D9"/>
            </w:tcBorders>
            <w:shd w:val="clear" w:color="auto" w:fill="D9D9D9"/>
          </w:tcPr>
          <w:p>
            <w:pPr>
              <w:jc w:val="center"/>
              <w:ind w:left="358"/>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D9D9D9"/>
              <w:right w:val="single" w:sz="8" w:color="D9D9D9"/>
            </w:tcBorders>
            <w:shd w:val="clear" w:color="auto" w:fill="D9D9D9"/>
          </w:tcPr>
          <w:p>
            <w:pPr>
              <w:spacing w:after="0"/>
              <w:rPr>
                <w:sz w:val="22"/>
                <w:szCs w:val="22"/>
                <w:color w:val="auto"/>
              </w:rPr>
            </w:pPr>
          </w:p>
        </w:tc>
        <w:tc>
          <w:tcPr>
            <w:tcW w:w="360" w:type="dxa"/>
            <w:vAlign w:val="bottom"/>
            <w:tcBorders>
              <w:bottom w:val="single" w:sz="8" w:color="D9D9D9"/>
              <w:right w:val="single" w:sz="8" w:color="auto"/>
            </w:tcBorders>
            <w:shd w:val="clear" w:color="auto" w:fill="D9D9D9"/>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27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$2.6 billion</w:t>
            </w:r>
          </w:p>
        </w:tc>
        <w:tc>
          <w:tcPr>
            <w:tcW w:w="120" w:type="dxa"/>
            <w:vAlign w:val="bottom"/>
            <w:tcBorders>
              <w:right w:val="single" w:sz="8" w:color="auto"/>
            </w:tcBorders>
          </w:tcPr>
          <w:p>
            <w:pPr>
              <w:spacing w:after="0"/>
              <w:rPr>
                <w:sz w:val="22"/>
                <w:szCs w:val="22"/>
                <w:color w:val="auto"/>
              </w:rPr>
            </w:pPr>
          </w:p>
        </w:tc>
        <w:tc>
          <w:tcPr>
            <w:tcW w:w="520" w:type="dxa"/>
            <w:vAlign w:val="bottom"/>
            <w:tcBorders>
              <w:bottom w:val="single" w:sz="8" w:color="D9D9D9"/>
              <w:right w:val="single" w:sz="8" w:color="D9D9D9"/>
            </w:tcBorders>
            <w:shd w:val="clear" w:color="auto" w:fill="D9D9D9"/>
          </w:tcPr>
          <w:p>
            <w:pPr>
              <w:spacing w:after="0"/>
              <w:rPr>
                <w:sz w:val="22"/>
                <w:szCs w:val="22"/>
                <w:color w:val="auto"/>
              </w:rPr>
            </w:pPr>
          </w:p>
        </w:tc>
        <w:tc>
          <w:tcPr>
            <w:tcW w:w="2660" w:type="dxa"/>
            <w:vAlign w:val="bottom"/>
            <w:tcBorders>
              <w:bottom w:val="single" w:sz="8" w:color="D9D9D9"/>
              <w:right w:val="single" w:sz="8" w:color="auto"/>
            </w:tcBorders>
            <w:gridSpan w:val="2"/>
            <w:shd w:val="clear" w:color="auto" w:fill="D9D9D9"/>
          </w:tcPr>
          <w:p>
            <w:pPr>
              <w:jc w:val="center"/>
              <w:ind w:right="438"/>
              <w:spacing w:after="0"/>
              <w:rPr>
                <w:sz w:val="20"/>
                <w:szCs w:val="20"/>
                <w:color w:val="auto"/>
              </w:rPr>
            </w:pPr>
            <w:r>
              <w:rPr>
                <w:rFonts w:ascii="Arial" w:cs="Arial" w:eastAsia="Arial" w:hAnsi="Arial"/>
                <w:sz w:val="16"/>
                <w:szCs w:val="16"/>
                <w:color w:val="auto"/>
              </w:rPr>
              <w:t>Bloomington, Minnesota, USA</w:t>
            </w:r>
          </w:p>
        </w:tc>
        <w:tc>
          <w:tcPr>
            <w:tcW w:w="1120" w:type="dxa"/>
            <w:vAlign w:val="bottom"/>
          </w:tcPr>
          <w:p>
            <w:pPr>
              <w:spacing w:after="0"/>
              <w:rPr>
                <w:sz w:val="22"/>
                <w:szCs w:val="22"/>
                <w:color w:val="auto"/>
              </w:rPr>
            </w:pPr>
          </w:p>
        </w:tc>
      </w:tr>
      <w:tr>
        <w:trPr>
          <w:trHeight w:val="568"/>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520" w:type="dxa"/>
            <w:vAlign w:val="bottom"/>
            <w:tcBorders>
              <w:top w:val="single" w:sz="8" w:color="auto"/>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92"/>
        </w:trPr>
        <w:tc>
          <w:tcPr>
            <w:tcW w:w="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540" w:type="dxa"/>
            <w:vAlign w:val="bottom"/>
            <w:tcBorders>
              <w:right w:val="single" w:sz="8" w:color="D9D9D9"/>
            </w:tcBorders>
            <w:shd w:val="clear" w:color="auto" w:fill="D9D9D9"/>
          </w:tcPr>
          <w:p>
            <w:pPr>
              <w:jc w:val="center"/>
              <w:ind w:left="358"/>
              <w:spacing w:after="0"/>
              <w:rPr>
                <w:sz w:val="20"/>
                <w:szCs w:val="20"/>
                <w:color w:val="auto"/>
              </w:rPr>
            </w:pPr>
            <w:r>
              <w:rPr>
                <w:rFonts w:ascii="Arial" w:cs="Arial" w:eastAsia="Arial" w:hAnsi="Arial"/>
                <w:sz w:val="16"/>
                <w:szCs w:val="16"/>
                <w:b w:val="1"/>
                <w:bCs w:val="1"/>
                <w:color w:val="C00000"/>
              </w:rPr>
              <w:t>Fiscal 2018 Net Earnings</w:t>
            </w:r>
          </w:p>
        </w:tc>
        <w:tc>
          <w:tcPr>
            <w:tcW w:w="120" w:type="dxa"/>
            <w:vAlign w:val="bottom"/>
            <w:tcBorders>
              <w:right w:val="single" w:sz="8" w:color="D9D9D9"/>
            </w:tcBorders>
            <w:shd w:val="clear" w:color="auto" w:fill="D9D9D9"/>
          </w:tcPr>
          <w:p>
            <w:pPr>
              <w:spacing w:after="0"/>
              <w:rPr>
                <w:sz w:val="16"/>
                <w:szCs w:val="16"/>
                <w:color w:val="auto"/>
              </w:rPr>
            </w:pPr>
          </w:p>
        </w:tc>
        <w:tc>
          <w:tcPr>
            <w:tcW w:w="360" w:type="dxa"/>
            <w:vAlign w:val="bottom"/>
            <w:tcBorders>
              <w:right w:val="single" w:sz="8" w:color="auto"/>
            </w:tcBorders>
            <w:shd w:val="clear" w:color="auto" w:fill="D9D9D9"/>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Fiscal 2018 Net Sales</w:t>
            </w:r>
          </w:p>
        </w:tc>
        <w:tc>
          <w:tcPr>
            <w:tcW w:w="120" w:type="dxa"/>
            <w:vAlign w:val="bottom"/>
            <w:tcBorders>
              <w:right w:val="single" w:sz="8" w:color="auto"/>
            </w:tcBorders>
          </w:tcPr>
          <w:p>
            <w:pPr>
              <w:spacing w:after="0"/>
              <w:rPr>
                <w:sz w:val="16"/>
                <w:szCs w:val="16"/>
                <w:color w:val="auto"/>
              </w:rPr>
            </w:pPr>
          </w:p>
        </w:tc>
        <w:tc>
          <w:tcPr>
            <w:tcW w:w="520" w:type="dxa"/>
            <w:vAlign w:val="bottom"/>
            <w:tcBorders>
              <w:right w:val="single" w:sz="8" w:color="D9D9D9"/>
            </w:tcBorders>
            <w:shd w:val="clear" w:color="auto" w:fill="D9D9D9"/>
          </w:tcPr>
          <w:p>
            <w:pPr>
              <w:spacing w:after="0"/>
              <w:rPr>
                <w:sz w:val="16"/>
                <w:szCs w:val="16"/>
                <w:color w:val="auto"/>
              </w:rPr>
            </w:pPr>
          </w:p>
        </w:tc>
        <w:tc>
          <w:tcPr>
            <w:tcW w:w="140" w:type="dxa"/>
            <w:vAlign w:val="bottom"/>
            <w:tcBorders>
              <w:right w:val="single" w:sz="8" w:color="D9D9D9"/>
            </w:tcBorders>
            <w:shd w:val="clear" w:color="auto" w:fill="D9D9D9"/>
          </w:tcPr>
          <w:p>
            <w:pPr>
              <w:spacing w:after="0"/>
              <w:rPr>
                <w:sz w:val="16"/>
                <w:szCs w:val="16"/>
                <w:color w:val="auto"/>
              </w:rPr>
            </w:pPr>
          </w:p>
        </w:tc>
        <w:tc>
          <w:tcPr>
            <w:tcW w:w="2520" w:type="dxa"/>
            <w:vAlign w:val="bottom"/>
            <w:tcBorders>
              <w:right w:val="single" w:sz="8" w:color="auto"/>
            </w:tcBorders>
            <w:shd w:val="clear" w:color="auto" w:fill="D9D9D9"/>
          </w:tcPr>
          <w:p>
            <w:pPr>
              <w:jc w:val="center"/>
              <w:ind w:right="598"/>
              <w:spacing w:after="0"/>
              <w:rPr>
                <w:sz w:val="20"/>
                <w:szCs w:val="20"/>
                <w:color w:val="auto"/>
              </w:rPr>
            </w:pPr>
            <w:r>
              <w:rPr>
                <w:rFonts w:ascii="Arial" w:cs="Arial" w:eastAsia="Arial" w:hAnsi="Arial"/>
                <w:sz w:val="16"/>
                <w:szCs w:val="16"/>
                <w:b w:val="1"/>
                <w:bCs w:val="1"/>
                <w:color w:val="C00000"/>
              </w:rPr>
              <w:t>Fiscal 2018 % Net Sales</w:t>
            </w:r>
          </w:p>
        </w:tc>
        <w:tc>
          <w:tcPr>
            <w:tcW w:w="112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540" w:type="dxa"/>
            <w:vAlign w:val="bottom"/>
            <w:tcBorders>
              <w:right w:val="single" w:sz="8" w:color="D9D9D9"/>
            </w:tcBorders>
            <w:shd w:val="clear" w:color="auto" w:fill="D9D9D9"/>
          </w:tcPr>
          <w:p>
            <w:pPr>
              <w:jc w:val="center"/>
              <w:ind w:left="358"/>
              <w:spacing w:after="0"/>
              <w:rPr>
                <w:sz w:val="20"/>
                <w:szCs w:val="20"/>
                <w:color w:val="auto"/>
              </w:rPr>
            </w:pPr>
            <w:r>
              <w:rPr>
                <w:rFonts w:ascii="Arial" w:cs="Arial" w:eastAsia="Arial" w:hAnsi="Arial"/>
                <w:sz w:val="16"/>
                <w:szCs w:val="16"/>
                <w:color w:val="auto"/>
              </w:rPr>
              <w:t>$272 million</w:t>
            </w:r>
          </w:p>
        </w:tc>
        <w:tc>
          <w:tcPr>
            <w:tcW w:w="120" w:type="dxa"/>
            <w:vAlign w:val="bottom"/>
            <w:tcBorders>
              <w:right w:val="single" w:sz="8" w:color="D9D9D9"/>
            </w:tcBorders>
            <w:shd w:val="clear" w:color="auto" w:fill="D9D9D9"/>
          </w:tcPr>
          <w:p>
            <w:pPr>
              <w:spacing w:after="0"/>
              <w:rPr>
                <w:sz w:val="17"/>
                <w:szCs w:val="17"/>
                <w:color w:val="auto"/>
              </w:rPr>
            </w:pPr>
          </w:p>
        </w:tc>
        <w:tc>
          <w:tcPr>
            <w:tcW w:w="360" w:type="dxa"/>
            <w:vAlign w:val="bottom"/>
            <w:tcBorders>
              <w:right w:val="single" w:sz="8" w:color="auto"/>
            </w:tcBorders>
            <w:shd w:val="clear" w:color="auto" w:fill="D9D9D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U.S.A. – 75%</w:t>
            </w:r>
          </w:p>
        </w:tc>
        <w:tc>
          <w:tcPr>
            <w:tcW w:w="120" w:type="dxa"/>
            <w:vAlign w:val="bottom"/>
            <w:tcBorders>
              <w:right w:val="single" w:sz="8" w:color="auto"/>
            </w:tcBorders>
          </w:tcPr>
          <w:p>
            <w:pPr>
              <w:spacing w:after="0"/>
              <w:rPr>
                <w:sz w:val="17"/>
                <w:szCs w:val="17"/>
                <w:color w:val="auto"/>
              </w:rPr>
            </w:pPr>
          </w:p>
        </w:tc>
        <w:tc>
          <w:tcPr>
            <w:tcW w:w="520" w:type="dxa"/>
            <w:vAlign w:val="bottom"/>
            <w:tcBorders>
              <w:right w:val="single" w:sz="8" w:color="D9D9D9"/>
            </w:tcBorders>
            <w:shd w:val="clear" w:color="auto" w:fill="D9D9D9"/>
          </w:tcPr>
          <w:p>
            <w:pPr>
              <w:spacing w:after="0"/>
              <w:rPr>
                <w:sz w:val="17"/>
                <w:szCs w:val="17"/>
                <w:color w:val="auto"/>
              </w:rPr>
            </w:pPr>
          </w:p>
        </w:tc>
        <w:tc>
          <w:tcPr>
            <w:tcW w:w="140" w:type="dxa"/>
            <w:vAlign w:val="bottom"/>
            <w:tcBorders>
              <w:right w:val="single" w:sz="8" w:color="D9D9D9"/>
            </w:tcBorders>
            <w:shd w:val="clear" w:color="auto" w:fill="D9D9D9"/>
          </w:tcPr>
          <w:p>
            <w:pPr>
              <w:spacing w:after="0"/>
              <w:rPr>
                <w:sz w:val="17"/>
                <w:szCs w:val="17"/>
                <w:color w:val="auto"/>
              </w:rPr>
            </w:pPr>
          </w:p>
        </w:tc>
        <w:tc>
          <w:tcPr>
            <w:tcW w:w="2520" w:type="dxa"/>
            <w:vAlign w:val="bottom"/>
            <w:tcBorders>
              <w:right w:val="single" w:sz="8" w:color="auto"/>
            </w:tcBorders>
            <w:shd w:val="clear" w:color="auto" w:fill="D9D9D9"/>
          </w:tcPr>
          <w:p>
            <w:pPr>
              <w:jc w:val="center"/>
              <w:ind w:right="618"/>
              <w:spacing w:after="0"/>
              <w:rPr>
                <w:sz w:val="20"/>
                <w:szCs w:val="20"/>
                <w:color w:val="auto"/>
              </w:rPr>
            </w:pPr>
            <w:r>
              <w:rPr>
                <w:rFonts w:ascii="Arial" w:cs="Arial" w:eastAsia="Arial" w:hAnsi="Arial"/>
                <w:sz w:val="16"/>
                <w:szCs w:val="16"/>
                <w:b w:val="1"/>
                <w:bCs w:val="1"/>
                <w:color w:val="C00000"/>
              </w:rPr>
              <w:t>from New Products</w:t>
            </w:r>
          </w:p>
        </w:tc>
        <w:tc>
          <w:tcPr>
            <w:tcW w:w="1120" w:type="dxa"/>
            <w:vAlign w:val="bottom"/>
          </w:tcPr>
          <w:p>
            <w:pPr>
              <w:spacing w:after="0"/>
              <w:rPr>
                <w:sz w:val="17"/>
                <w:szCs w:val="17"/>
                <w:color w:val="auto"/>
              </w:rPr>
            </w:pPr>
          </w:p>
        </w:tc>
      </w:tr>
      <w:tr>
        <w:trPr>
          <w:trHeight w:val="226"/>
        </w:trPr>
        <w:tc>
          <w:tcPr>
            <w:tcW w:w="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540" w:type="dxa"/>
            <w:vAlign w:val="bottom"/>
            <w:tcBorders>
              <w:bottom w:val="single" w:sz="8" w:color="D9D9D9"/>
              <w:right w:val="single" w:sz="8" w:color="D9D9D9"/>
            </w:tcBorders>
            <w:shd w:val="clear" w:color="auto" w:fill="D9D9D9"/>
          </w:tcPr>
          <w:p>
            <w:pPr>
              <w:spacing w:after="0"/>
              <w:rPr>
                <w:sz w:val="19"/>
                <w:szCs w:val="19"/>
                <w:color w:val="auto"/>
              </w:rPr>
            </w:pPr>
          </w:p>
        </w:tc>
        <w:tc>
          <w:tcPr>
            <w:tcW w:w="120" w:type="dxa"/>
            <w:vAlign w:val="bottom"/>
            <w:tcBorders>
              <w:bottom w:val="single" w:sz="8" w:color="D9D9D9"/>
              <w:right w:val="single" w:sz="8" w:color="D9D9D9"/>
            </w:tcBorders>
            <w:shd w:val="clear" w:color="auto" w:fill="D9D9D9"/>
          </w:tcPr>
          <w:p>
            <w:pPr>
              <w:spacing w:after="0"/>
              <w:rPr>
                <w:sz w:val="19"/>
                <w:szCs w:val="19"/>
                <w:color w:val="auto"/>
              </w:rPr>
            </w:pPr>
          </w:p>
        </w:tc>
        <w:tc>
          <w:tcPr>
            <w:tcW w:w="360" w:type="dxa"/>
            <w:vAlign w:val="bottom"/>
            <w:tcBorders>
              <w:bottom w:val="single" w:sz="8" w:color="D9D9D9"/>
              <w:right w:val="single" w:sz="8" w:color="auto"/>
            </w:tcBorders>
            <w:shd w:val="clear" w:color="auto" w:fill="D9D9D9"/>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7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International – 25%</w:t>
            </w:r>
          </w:p>
        </w:tc>
        <w:tc>
          <w:tcPr>
            <w:tcW w:w="120" w:type="dxa"/>
            <w:vAlign w:val="bottom"/>
            <w:tcBorders>
              <w:right w:val="single" w:sz="8" w:color="auto"/>
            </w:tcBorders>
          </w:tcPr>
          <w:p>
            <w:pPr>
              <w:spacing w:after="0"/>
              <w:rPr>
                <w:sz w:val="19"/>
                <w:szCs w:val="19"/>
                <w:color w:val="auto"/>
              </w:rPr>
            </w:pPr>
          </w:p>
        </w:tc>
        <w:tc>
          <w:tcPr>
            <w:tcW w:w="520" w:type="dxa"/>
            <w:vAlign w:val="bottom"/>
            <w:tcBorders>
              <w:bottom w:val="single" w:sz="8" w:color="D9D9D9"/>
              <w:right w:val="single" w:sz="8" w:color="D9D9D9"/>
            </w:tcBorders>
            <w:shd w:val="clear" w:color="auto" w:fill="D9D9D9"/>
          </w:tcPr>
          <w:p>
            <w:pPr>
              <w:spacing w:after="0"/>
              <w:rPr>
                <w:sz w:val="19"/>
                <w:szCs w:val="19"/>
                <w:color w:val="auto"/>
              </w:rPr>
            </w:pPr>
          </w:p>
        </w:tc>
        <w:tc>
          <w:tcPr>
            <w:tcW w:w="2660" w:type="dxa"/>
            <w:vAlign w:val="bottom"/>
            <w:tcBorders>
              <w:bottom w:val="single" w:sz="8" w:color="D9D9D9"/>
              <w:right w:val="single" w:sz="8" w:color="auto"/>
            </w:tcBorders>
            <w:gridSpan w:val="2"/>
            <w:shd w:val="clear" w:color="auto" w:fill="D9D9D9"/>
          </w:tcPr>
          <w:p>
            <w:pPr>
              <w:jc w:val="center"/>
              <w:ind w:right="478"/>
              <w:spacing w:after="0"/>
              <w:rPr>
                <w:sz w:val="20"/>
                <w:szCs w:val="20"/>
                <w:color w:val="auto"/>
              </w:rPr>
            </w:pPr>
            <w:r>
              <w:rPr>
                <w:rFonts w:ascii="Arial" w:cs="Arial" w:eastAsia="Arial" w:hAnsi="Arial"/>
                <w:sz w:val="16"/>
                <w:szCs w:val="16"/>
                <w:color w:val="auto"/>
              </w:rPr>
              <w:t>37%</w:t>
            </w:r>
          </w:p>
        </w:tc>
        <w:tc>
          <w:tcPr>
            <w:tcW w:w="1120" w:type="dxa"/>
            <w:vAlign w:val="bottom"/>
          </w:tcPr>
          <w:p>
            <w:pPr>
              <w:spacing w:after="0"/>
              <w:rPr>
                <w:sz w:val="19"/>
                <w:szCs w:val="19"/>
                <w:color w:val="auto"/>
              </w:rPr>
            </w:pPr>
          </w:p>
        </w:tc>
      </w:tr>
      <w:tr>
        <w:trPr>
          <w:trHeight w:val="127"/>
        </w:trPr>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520" w:type="dxa"/>
            <w:vAlign w:val="bottom"/>
            <w:tcBorders>
              <w:top w:val="single" w:sz="8" w:color="auto"/>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r>
      <w:tr>
        <w:trPr>
          <w:trHeight w:val="212"/>
        </w:trPr>
        <w:tc>
          <w:tcPr>
            <w:tcW w:w="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540" w:type="dxa"/>
            <w:vAlign w:val="bottom"/>
            <w:tcBorders>
              <w:right w:val="single" w:sz="8" w:color="D9D9D9"/>
            </w:tcBorders>
            <w:shd w:val="clear" w:color="auto" w:fill="D9D9D9"/>
          </w:tcPr>
          <w:p>
            <w:pPr>
              <w:jc w:val="center"/>
              <w:ind w:left="358"/>
              <w:spacing w:after="0"/>
              <w:rPr>
                <w:sz w:val="20"/>
                <w:szCs w:val="20"/>
                <w:color w:val="auto"/>
              </w:rPr>
            </w:pPr>
            <w:r>
              <w:rPr>
                <w:rFonts w:ascii="Arial" w:cs="Arial" w:eastAsia="Arial" w:hAnsi="Arial"/>
                <w:sz w:val="16"/>
                <w:szCs w:val="16"/>
                <w:b w:val="1"/>
                <w:bCs w:val="1"/>
                <w:color w:val="C00000"/>
              </w:rPr>
              <w:t>Fiscal 2018 Products</w:t>
            </w:r>
          </w:p>
        </w:tc>
        <w:tc>
          <w:tcPr>
            <w:tcW w:w="120" w:type="dxa"/>
            <w:vAlign w:val="bottom"/>
            <w:tcBorders>
              <w:right w:val="single" w:sz="8" w:color="D9D9D9"/>
            </w:tcBorders>
            <w:shd w:val="clear" w:color="auto" w:fill="D9D9D9"/>
          </w:tcPr>
          <w:p>
            <w:pPr>
              <w:spacing w:after="0"/>
              <w:rPr>
                <w:sz w:val="18"/>
                <w:szCs w:val="18"/>
                <w:color w:val="auto"/>
              </w:rPr>
            </w:pPr>
          </w:p>
        </w:tc>
        <w:tc>
          <w:tcPr>
            <w:tcW w:w="360" w:type="dxa"/>
            <w:vAlign w:val="bottom"/>
            <w:tcBorders>
              <w:right w:val="single" w:sz="8" w:color="auto"/>
            </w:tcBorders>
            <w:shd w:val="clear" w:color="auto" w:fill="D9D9D9"/>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Fiscal 2018 Segments</w:t>
            </w:r>
          </w:p>
        </w:tc>
        <w:tc>
          <w:tcPr>
            <w:tcW w:w="120" w:type="dxa"/>
            <w:vAlign w:val="bottom"/>
            <w:tcBorders>
              <w:right w:val="single" w:sz="8" w:color="auto"/>
            </w:tcBorders>
          </w:tcPr>
          <w:p>
            <w:pPr>
              <w:spacing w:after="0"/>
              <w:rPr>
                <w:sz w:val="18"/>
                <w:szCs w:val="18"/>
                <w:color w:val="auto"/>
              </w:rPr>
            </w:pPr>
          </w:p>
        </w:tc>
        <w:tc>
          <w:tcPr>
            <w:tcW w:w="520" w:type="dxa"/>
            <w:vAlign w:val="bottom"/>
            <w:tcBorders>
              <w:right w:val="single" w:sz="8" w:color="D9D9D9"/>
            </w:tcBorders>
            <w:shd w:val="clear" w:color="auto" w:fill="D9D9D9"/>
          </w:tcPr>
          <w:p>
            <w:pPr>
              <w:spacing w:after="0"/>
              <w:rPr>
                <w:sz w:val="18"/>
                <w:szCs w:val="18"/>
                <w:color w:val="auto"/>
              </w:rPr>
            </w:pPr>
          </w:p>
        </w:tc>
        <w:tc>
          <w:tcPr>
            <w:tcW w:w="2660" w:type="dxa"/>
            <w:vAlign w:val="bottom"/>
            <w:tcBorders>
              <w:right w:val="single" w:sz="8" w:color="auto"/>
            </w:tcBorders>
            <w:gridSpan w:val="2"/>
            <w:shd w:val="clear" w:color="auto" w:fill="D9D9D9"/>
          </w:tcPr>
          <w:p>
            <w:pPr>
              <w:jc w:val="center"/>
              <w:ind w:right="478"/>
              <w:spacing w:after="0"/>
              <w:rPr>
                <w:sz w:val="20"/>
                <w:szCs w:val="20"/>
                <w:color w:val="auto"/>
              </w:rPr>
            </w:pPr>
            <w:r>
              <w:rPr>
                <w:rFonts w:ascii="Arial" w:cs="Arial" w:eastAsia="Arial" w:hAnsi="Arial"/>
                <w:sz w:val="16"/>
                <w:szCs w:val="16"/>
                <w:b w:val="1"/>
                <w:bCs w:val="1"/>
                <w:color w:val="C00000"/>
              </w:rPr>
              <w:t>Manufacturing Locations</w:t>
            </w:r>
          </w:p>
        </w:tc>
        <w:tc>
          <w:tcPr>
            <w:tcW w:w="1120" w:type="dxa"/>
            <w:vAlign w:val="bottom"/>
          </w:tcPr>
          <w:p>
            <w:pPr>
              <w:spacing w:after="0"/>
              <w:rPr>
                <w:sz w:val="18"/>
                <w:szCs w:val="18"/>
                <w:color w:val="auto"/>
              </w:rPr>
            </w:pPr>
          </w:p>
        </w:tc>
      </w:tr>
      <w:tr>
        <w:trPr>
          <w:trHeight w:val="184"/>
        </w:trPr>
        <w:tc>
          <w:tcPr>
            <w:tcW w:w="6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D9D9D9"/>
            </w:tcBorders>
            <w:shd w:val="clear" w:color="auto" w:fill="D9D9D9"/>
          </w:tcPr>
          <w:p>
            <w:pPr>
              <w:jc w:val="center"/>
              <w:ind w:left="358"/>
              <w:spacing w:after="0"/>
              <w:rPr>
                <w:sz w:val="20"/>
                <w:szCs w:val="20"/>
                <w:color w:val="auto"/>
              </w:rPr>
            </w:pPr>
            <w:r>
              <w:rPr>
                <w:rFonts w:ascii="Arial" w:cs="Arial" w:eastAsia="Arial" w:hAnsi="Arial"/>
                <w:sz w:val="16"/>
                <w:szCs w:val="16"/>
                <w:color w:val="auto"/>
              </w:rPr>
              <w:t>Equipment – 84%</w:t>
            </w:r>
          </w:p>
        </w:tc>
        <w:tc>
          <w:tcPr>
            <w:tcW w:w="120" w:type="dxa"/>
            <w:vAlign w:val="bottom"/>
            <w:tcBorders>
              <w:right w:val="single" w:sz="8" w:color="D9D9D9"/>
            </w:tcBorders>
            <w:shd w:val="clear" w:color="auto" w:fill="D9D9D9"/>
          </w:tcPr>
          <w:p>
            <w:pPr>
              <w:spacing w:after="0"/>
              <w:rPr>
                <w:sz w:val="15"/>
                <w:szCs w:val="15"/>
                <w:color w:val="auto"/>
              </w:rPr>
            </w:pPr>
          </w:p>
        </w:tc>
        <w:tc>
          <w:tcPr>
            <w:tcW w:w="360" w:type="dxa"/>
            <w:vAlign w:val="bottom"/>
            <w:tcBorders>
              <w:right w:val="single" w:sz="8" w:color="auto"/>
            </w:tcBorders>
            <w:shd w:val="clear" w:color="auto" w:fill="D9D9D9"/>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Professional – 74%</w:t>
            </w:r>
          </w:p>
        </w:tc>
        <w:tc>
          <w:tcPr>
            <w:tcW w:w="120" w:type="dxa"/>
            <w:vAlign w:val="bottom"/>
            <w:tcBorders>
              <w:right w:val="single" w:sz="8" w:color="auto"/>
            </w:tcBorders>
          </w:tcPr>
          <w:p>
            <w:pPr>
              <w:spacing w:after="0"/>
              <w:rPr>
                <w:sz w:val="15"/>
                <w:szCs w:val="15"/>
                <w:color w:val="auto"/>
              </w:rPr>
            </w:pPr>
          </w:p>
        </w:tc>
        <w:tc>
          <w:tcPr>
            <w:tcW w:w="520" w:type="dxa"/>
            <w:vAlign w:val="bottom"/>
            <w:tcBorders>
              <w:right w:val="single" w:sz="8" w:color="D9D9D9"/>
            </w:tcBorders>
            <w:shd w:val="clear" w:color="auto" w:fill="D9D9D9"/>
          </w:tcPr>
          <w:p>
            <w:pPr>
              <w:spacing w:after="0"/>
              <w:rPr>
                <w:sz w:val="15"/>
                <w:szCs w:val="15"/>
                <w:color w:val="auto"/>
              </w:rPr>
            </w:pPr>
          </w:p>
        </w:tc>
        <w:tc>
          <w:tcPr>
            <w:tcW w:w="140" w:type="dxa"/>
            <w:vAlign w:val="bottom"/>
            <w:tcBorders>
              <w:right w:val="single" w:sz="8" w:color="D9D9D9"/>
            </w:tcBorders>
            <w:shd w:val="clear" w:color="auto" w:fill="D9D9D9"/>
          </w:tcPr>
          <w:p>
            <w:pPr>
              <w:spacing w:after="0"/>
              <w:rPr>
                <w:sz w:val="15"/>
                <w:szCs w:val="15"/>
                <w:color w:val="auto"/>
              </w:rPr>
            </w:pPr>
          </w:p>
        </w:tc>
        <w:tc>
          <w:tcPr>
            <w:tcW w:w="2520" w:type="dxa"/>
            <w:vAlign w:val="bottom"/>
            <w:tcBorders>
              <w:right w:val="single" w:sz="8" w:color="auto"/>
            </w:tcBorders>
            <w:shd w:val="clear" w:color="auto" w:fill="D9D9D9"/>
          </w:tcPr>
          <w:p>
            <w:pPr>
              <w:jc w:val="center"/>
              <w:ind w:right="618"/>
              <w:spacing w:after="0"/>
              <w:rPr>
                <w:sz w:val="20"/>
                <w:szCs w:val="20"/>
                <w:color w:val="auto"/>
              </w:rPr>
            </w:pPr>
            <w:r>
              <w:rPr>
                <w:rFonts w:ascii="Arial" w:cs="Arial" w:eastAsia="Arial" w:hAnsi="Arial"/>
                <w:sz w:val="16"/>
                <w:szCs w:val="16"/>
                <w:color w:val="auto"/>
              </w:rPr>
              <w:t>U.S.A. – 8</w:t>
            </w:r>
          </w:p>
        </w:tc>
        <w:tc>
          <w:tcPr>
            <w:tcW w:w="1120" w:type="dxa"/>
            <w:vAlign w:val="bottom"/>
          </w:tcPr>
          <w:p>
            <w:pPr>
              <w:spacing w:after="0"/>
              <w:rPr>
                <w:sz w:val="15"/>
                <w:szCs w:val="15"/>
                <w:color w:val="auto"/>
              </w:rPr>
            </w:pPr>
          </w:p>
        </w:tc>
      </w:tr>
      <w:tr>
        <w:trPr>
          <w:trHeight w:val="184"/>
        </w:trPr>
        <w:tc>
          <w:tcPr>
            <w:tcW w:w="6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540" w:type="dxa"/>
            <w:vAlign w:val="bottom"/>
            <w:tcBorders>
              <w:right w:val="single" w:sz="8" w:color="D9D9D9"/>
            </w:tcBorders>
            <w:shd w:val="clear" w:color="auto" w:fill="D9D9D9"/>
          </w:tcPr>
          <w:p>
            <w:pPr>
              <w:jc w:val="center"/>
              <w:ind w:left="378"/>
              <w:spacing w:after="0"/>
              <w:rPr>
                <w:sz w:val="20"/>
                <w:szCs w:val="20"/>
                <w:color w:val="auto"/>
              </w:rPr>
            </w:pPr>
            <w:r>
              <w:rPr>
                <w:rFonts w:ascii="Arial" w:cs="Arial" w:eastAsia="Arial" w:hAnsi="Arial"/>
                <w:sz w:val="16"/>
                <w:szCs w:val="16"/>
                <w:color w:val="auto"/>
              </w:rPr>
              <w:t>Irrigation/Lighting – 16%</w:t>
            </w:r>
          </w:p>
        </w:tc>
        <w:tc>
          <w:tcPr>
            <w:tcW w:w="120" w:type="dxa"/>
            <w:vAlign w:val="bottom"/>
            <w:tcBorders>
              <w:right w:val="single" w:sz="8" w:color="D9D9D9"/>
            </w:tcBorders>
            <w:shd w:val="clear" w:color="auto" w:fill="D9D9D9"/>
          </w:tcPr>
          <w:p>
            <w:pPr>
              <w:spacing w:after="0"/>
              <w:rPr>
                <w:sz w:val="15"/>
                <w:szCs w:val="15"/>
                <w:color w:val="auto"/>
              </w:rPr>
            </w:pPr>
          </w:p>
        </w:tc>
        <w:tc>
          <w:tcPr>
            <w:tcW w:w="360" w:type="dxa"/>
            <w:vAlign w:val="bottom"/>
            <w:tcBorders>
              <w:right w:val="single" w:sz="8" w:color="auto"/>
            </w:tcBorders>
            <w:shd w:val="clear" w:color="auto" w:fill="D9D9D9"/>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Residential – 25%</w:t>
            </w:r>
          </w:p>
        </w:tc>
        <w:tc>
          <w:tcPr>
            <w:tcW w:w="120" w:type="dxa"/>
            <w:vAlign w:val="bottom"/>
            <w:tcBorders>
              <w:right w:val="single" w:sz="8" w:color="auto"/>
            </w:tcBorders>
          </w:tcPr>
          <w:p>
            <w:pPr>
              <w:spacing w:after="0"/>
              <w:rPr>
                <w:sz w:val="15"/>
                <w:szCs w:val="15"/>
                <w:color w:val="auto"/>
              </w:rPr>
            </w:pPr>
          </w:p>
        </w:tc>
        <w:tc>
          <w:tcPr>
            <w:tcW w:w="520" w:type="dxa"/>
            <w:vAlign w:val="bottom"/>
            <w:tcBorders>
              <w:right w:val="single" w:sz="8" w:color="D9D9D9"/>
            </w:tcBorders>
            <w:shd w:val="clear" w:color="auto" w:fill="D9D9D9"/>
          </w:tcPr>
          <w:p>
            <w:pPr>
              <w:spacing w:after="0"/>
              <w:rPr>
                <w:sz w:val="15"/>
                <w:szCs w:val="15"/>
                <w:color w:val="auto"/>
              </w:rPr>
            </w:pPr>
          </w:p>
        </w:tc>
        <w:tc>
          <w:tcPr>
            <w:tcW w:w="140" w:type="dxa"/>
            <w:vAlign w:val="bottom"/>
            <w:tcBorders>
              <w:right w:val="single" w:sz="8" w:color="D9D9D9"/>
            </w:tcBorders>
            <w:shd w:val="clear" w:color="auto" w:fill="D9D9D9"/>
          </w:tcPr>
          <w:p>
            <w:pPr>
              <w:spacing w:after="0"/>
              <w:rPr>
                <w:sz w:val="15"/>
                <w:szCs w:val="15"/>
                <w:color w:val="auto"/>
              </w:rPr>
            </w:pPr>
          </w:p>
        </w:tc>
        <w:tc>
          <w:tcPr>
            <w:tcW w:w="2520" w:type="dxa"/>
            <w:vAlign w:val="bottom"/>
            <w:tcBorders>
              <w:right w:val="single" w:sz="8" w:color="auto"/>
            </w:tcBorders>
            <w:shd w:val="clear" w:color="auto" w:fill="D9D9D9"/>
          </w:tcPr>
          <w:p>
            <w:pPr>
              <w:jc w:val="center"/>
              <w:ind w:right="618"/>
              <w:spacing w:after="0"/>
              <w:rPr>
                <w:sz w:val="20"/>
                <w:szCs w:val="20"/>
                <w:color w:val="auto"/>
              </w:rPr>
            </w:pPr>
            <w:r>
              <w:rPr>
                <w:rFonts w:ascii="Arial" w:cs="Arial" w:eastAsia="Arial" w:hAnsi="Arial"/>
                <w:sz w:val="16"/>
                <w:szCs w:val="16"/>
                <w:color w:val="auto"/>
              </w:rPr>
              <w:t>International – 9</w:t>
            </w:r>
          </w:p>
        </w:tc>
        <w:tc>
          <w:tcPr>
            <w:tcW w:w="1120" w:type="dxa"/>
            <w:vAlign w:val="bottom"/>
          </w:tcPr>
          <w:p>
            <w:pPr>
              <w:spacing w:after="0"/>
              <w:rPr>
                <w:sz w:val="15"/>
                <w:szCs w:val="15"/>
                <w:color w:val="auto"/>
              </w:rPr>
            </w:pPr>
          </w:p>
        </w:tc>
      </w:tr>
      <w:tr>
        <w:trPr>
          <w:trHeight w:val="201"/>
        </w:trPr>
        <w:tc>
          <w:tcPr>
            <w:tcW w:w="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540" w:type="dxa"/>
            <w:vAlign w:val="bottom"/>
            <w:tcBorders>
              <w:bottom w:val="single" w:sz="8" w:color="D9D9D9"/>
              <w:right w:val="single" w:sz="8" w:color="D9D9D9"/>
            </w:tcBorders>
            <w:shd w:val="clear" w:color="auto" w:fill="D9D9D9"/>
          </w:tcPr>
          <w:p>
            <w:pPr>
              <w:spacing w:after="0"/>
              <w:rPr>
                <w:sz w:val="17"/>
                <w:szCs w:val="17"/>
                <w:color w:val="auto"/>
              </w:rPr>
            </w:pPr>
          </w:p>
        </w:tc>
        <w:tc>
          <w:tcPr>
            <w:tcW w:w="120" w:type="dxa"/>
            <w:vAlign w:val="bottom"/>
            <w:tcBorders>
              <w:bottom w:val="single" w:sz="8" w:color="D9D9D9"/>
              <w:right w:val="single" w:sz="8" w:color="D9D9D9"/>
            </w:tcBorders>
            <w:shd w:val="clear" w:color="auto" w:fill="D9D9D9"/>
          </w:tcPr>
          <w:p>
            <w:pPr>
              <w:spacing w:after="0"/>
              <w:rPr>
                <w:sz w:val="17"/>
                <w:szCs w:val="17"/>
                <w:color w:val="auto"/>
              </w:rPr>
            </w:pPr>
          </w:p>
        </w:tc>
        <w:tc>
          <w:tcPr>
            <w:tcW w:w="360" w:type="dxa"/>
            <w:vAlign w:val="bottom"/>
            <w:tcBorders>
              <w:bottom w:val="single" w:sz="8" w:color="D9D9D9"/>
              <w:right w:val="single" w:sz="8" w:color="auto"/>
            </w:tcBorders>
            <w:shd w:val="clear" w:color="auto" w:fill="D9D9D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7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Other – 1%</w:t>
            </w:r>
          </w:p>
        </w:tc>
        <w:tc>
          <w:tcPr>
            <w:tcW w:w="120" w:type="dxa"/>
            <w:vAlign w:val="bottom"/>
            <w:tcBorders>
              <w:right w:val="single" w:sz="8" w:color="auto"/>
            </w:tcBorders>
          </w:tcPr>
          <w:p>
            <w:pPr>
              <w:spacing w:after="0"/>
              <w:rPr>
                <w:sz w:val="17"/>
                <w:szCs w:val="17"/>
                <w:color w:val="auto"/>
              </w:rPr>
            </w:pPr>
          </w:p>
        </w:tc>
        <w:tc>
          <w:tcPr>
            <w:tcW w:w="520" w:type="dxa"/>
            <w:vAlign w:val="bottom"/>
            <w:tcBorders>
              <w:bottom w:val="single" w:sz="8" w:color="D9D9D9"/>
              <w:right w:val="single" w:sz="8" w:color="D9D9D9"/>
            </w:tcBorders>
            <w:shd w:val="clear" w:color="auto" w:fill="D9D9D9"/>
          </w:tcPr>
          <w:p>
            <w:pPr>
              <w:spacing w:after="0"/>
              <w:rPr>
                <w:sz w:val="17"/>
                <w:szCs w:val="17"/>
                <w:color w:val="auto"/>
              </w:rPr>
            </w:pPr>
          </w:p>
        </w:tc>
        <w:tc>
          <w:tcPr>
            <w:tcW w:w="140" w:type="dxa"/>
            <w:vAlign w:val="bottom"/>
            <w:tcBorders>
              <w:bottom w:val="single" w:sz="8" w:color="D9D9D9"/>
              <w:right w:val="single" w:sz="8" w:color="D9D9D9"/>
            </w:tcBorders>
            <w:shd w:val="clear" w:color="auto" w:fill="D9D9D9"/>
          </w:tcPr>
          <w:p>
            <w:pPr>
              <w:spacing w:after="0"/>
              <w:rPr>
                <w:sz w:val="17"/>
                <w:szCs w:val="17"/>
                <w:color w:val="auto"/>
              </w:rPr>
            </w:pPr>
          </w:p>
        </w:tc>
        <w:tc>
          <w:tcPr>
            <w:tcW w:w="2520" w:type="dxa"/>
            <w:vAlign w:val="bottom"/>
            <w:tcBorders>
              <w:bottom w:val="single" w:sz="8" w:color="D9D9D9"/>
              <w:right w:val="single" w:sz="8" w:color="auto"/>
            </w:tcBorders>
            <w:shd w:val="clear" w:color="auto" w:fill="D9D9D9"/>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2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02"/>
        </w:trPr>
        <w:tc>
          <w:tcPr>
            <w:tcW w:w="764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C00000"/>
                <w:w w:val="99"/>
              </w:rPr>
              <w:t>The Toro Company’s Commitment to Corporate Responsibility</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1"/>
        </w:trPr>
        <w:tc>
          <w:tcPr>
            <w:tcW w:w="60" w:type="dxa"/>
            <w:vAlign w:val="bottom"/>
          </w:tcPr>
          <w:p>
            <w:pPr>
              <w:spacing w:after="0"/>
              <w:rPr>
                <w:sz w:val="7"/>
                <w:szCs w:val="7"/>
                <w:color w:val="auto"/>
              </w:rPr>
            </w:pPr>
          </w:p>
        </w:tc>
        <w:tc>
          <w:tcPr>
            <w:tcW w:w="364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3820" w:type="dxa"/>
            <w:vAlign w:val="bottom"/>
            <w:tcBorders>
              <w:bottom w:val="single" w:sz="8" w:color="auto"/>
            </w:tcBorders>
            <w:gridSpan w:val="5"/>
          </w:tcPr>
          <w:p>
            <w:pPr>
              <w:spacing w:after="0"/>
              <w:rPr>
                <w:sz w:val="7"/>
                <w:szCs w:val="7"/>
                <w:color w:val="auto"/>
              </w:rPr>
            </w:pPr>
          </w:p>
        </w:tc>
        <w:tc>
          <w:tcPr>
            <w:tcW w:w="140" w:type="dxa"/>
            <w:vAlign w:val="bottom"/>
          </w:tcPr>
          <w:p>
            <w:pPr>
              <w:spacing w:after="0"/>
              <w:rPr>
                <w:sz w:val="7"/>
                <w:szCs w:val="7"/>
                <w:color w:val="auto"/>
              </w:rPr>
            </w:pPr>
          </w:p>
        </w:tc>
        <w:tc>
          <w:tcPr>
            <w:tcW w:w="3640" w:type="dxa"/>
            <w:vAlign w:val="bottom"/>
            <w:tcBorders>
              <w:bottom w:val="single" w:sz="8" w:color="auto"/>
            </w:tcBorders>
            <w:gridSpan w:val="2"/>
          </w:tcPr>
          <w:p>
            <w:pPr>
              <w:spacing w:after="0"/>
              <w:rPr>
                <w:sz w:val="7"/>
                <w:szCs w:val="7"/>
                <w:color w:val="auto"/>
              </w:rPr>
            </w:pPr>
          </w:p>
        </w:tc>
      </w:tr>
      <w:tr>
        <w:trPr>
          <w:trHeight w:val="168"/>
        </w:trPr>
        <w:tc>
          <w:tcPr>
            <w:tcW w:w="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spacing w:after="0" w:line="168" w:lineRule="exact"/>
              <w:rPr>
                <w:sz w:val="20"/>
                <w:szCs w:val="20"/>
                <w:color w:val="auto"/>
              </w:rPr>
            </w:pPr>
            <w:r>
              <w:rPr>
                <w:rFonts w:ascii="Arial" w:cs="Arial" w:eastAsia="Arial" w:hAnsi="Arial"/>
                <w:sz w:val="16"/>
                <w:szCs w:val="16"/>
                <w:color w:val="auto"/>
              </w:rPr>
              <w:t>We seek to improve our energy efficiency and</w:t>
            </w:r>
          </w:p>
        </w:tc>
        <w:tc>
          <w:tcPr>
            <w:tcW w:w="120" w:type="dxa"/>
            <w:vAlign w:val="bottom"/>
            <w:tcBorders>
              <w:right w:val="single" w:sz="8" w:color="auto"/>
            </w:tcBorders>
          </w:tcPr>
          <w:p>
            <w:pPr>
              <w:spacing w:after="0"/>
              <w:rPr>
                <w:sz w:val="14"/>
                <w:szCs w:val="14"/>
                <w:color w:val="auto"/>
              </w:rPr>
            </w:pPr>
          </w:p>
        </w:tc>
        <w:tc>
          <w:tcPr>
            <w:tcW w:w="3820" w:type="dxa"/>
            <w:vAlign w:val="bottom"/>
            <w:tcBorders>
              <w:right w:val="single" w:sz="8" w:color="auto"/>
            </w:tcBorders>
            <w:gridSpan w:val="5"/>
            <w:shd w:val="clear" w:color="auto" w:fill="D9D9D9"/>
          </w:tcPr>
          <w:p>
            <w:pPr>
              <w:jc w:val="center"/>
              <w:ind w:right="40"/>
              <w:spacing w:after="0" w:line="168" w:lineRule="exact"/>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C00000"/>
              </w:rPr>
              <w:t>values-based culture</w:t>
            </w:r>
            <w:r>
              <w:rPr>
                <w:rFonts w:ascii="Arial" w:cs="Arial" w:eastAsia="Arial" w:hAnsi="Arial"/>
                <w:sz w:val="16"/>
                <w:szCs w:val="16"/>
                <w:color w:val="auto"/>
              </w:rPr>
              <w:t xml:space="preserve"> governs how our people</w:t>
            </w:r>
          </w:p>
        </w:tc>
        <w:tc>
          <w:tcPr>
            <w:tcW w:w="14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ind w:right="40"/>
              <w:spacing w:after="0" w:line="168" w:lineRule="exact"/>
              <w:rPr>
                <w:sz w:val="20"/>
                <w:szCs w:val="20"/>
                <w:color w:val="auto"/>
              </w:rPr>
            </w:pPr>
            <w:r>
              <w:rPr>
                <w:rFonts w:ascii="Arial" w:cs="Arial" w:eastAsia="Arial" w:hAnsi="Arial"/>
                <w:sz w:val="16"/>
                <w:szCs w:val="16"/>
                <w:color w:val="auto"/>
              </w:rPr>
              <w:t>We were founded on an unwavering conviction to</w:t>
            </w:r>
          </w:p>
        </w:tc>
      </w:tr>
      <w:tr>
        <w:trPr>
          <w:trHeight w:val="184"/>
        </w:trPr>
        <w:tc>
          <w:tcPr>
            <w:tcW w:w="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b w:val="1"/>
                <w:bCs w:val="1"/>
                <w:color w:val="C00000"/>
              </w:rPr>
              <w:t xml:space="preserve">reduce the environmental footprint </w:t>
            </w:r>
            <w:r>
              <w:rPr>
                <w:rFonts w:ascii="Arial" w:cs="Arial" w:eastAsia="Arial" w:hAnsi="Arial"/>
                <w:sz w:val="16"/>
                <w:szCs w:val="16"/>
                <w:color w:val="000000"/>
              </w:rPr>
              <w:t>of our</w:t>
            </w:r>
          </w:p>
        </w:tc>
        <w:tc>
          <w:tcPr>
            <w:tcW w:w="12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gridSpan w:val="5"/>
            <w:shd w:val="clear" w:color="auto" w:fill="D9D9D9"/>
          </w:tcPr>
          <w:p>
            <w:pPr>
              <w:jc w:val="center"/>
              <w:ind w:right="80"/>
              <w:spacing w:after="0"/>
              <w:rPr>
                <w:sz w:val="20"/>
                <w:szCs w:val="20"/>
                <w:color w:val="auto"/>
              </w:rPr>
            </w:pPr>
            <w:r>
              <w:rPr>
                <w:rFonts w:ascii="Arial" w:cs="Arial" w:eastAsia="Arial" w:hAnsi="Arial"/>
                <w:sz w:val="16"/>
                <w:szCs w:val="16"/>
                <w:color w:val="auto"/>
              </w:rPr>
              <w:t>conduct business, interact with each other, and</w:t>
            </w:r>
          </w:p>
        </w:tc>
        <w:tc>
          <w:tcPr>
            <w:tcW w:w="14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color w:val="auto"/>
              </w:rPr>
              <w:t xml:space="preserve">conduct business according to the </w:t>
            </w:r>
            <w:r>
              <w:rPr>
                <w:rFonts w:ascii="Arial" w:cs="Arial" w:eastAsia="Arial" w:hAnsi="Arial"/>
                <w:sz w:val="16"/>
                <w:szCs w:val="16"/>
                <w:b w:val="1"/>
                <w:bCs w:val="1"/>
                <w:color w:val="C00000"/>
              </w:rPr>
              <w:t>highest</w:t>
            </w:r>
          </w:p>
        </w:tc>
      </w:tr>
      <w:tr>
        <w:trPr>
          <w:trHeight w:val="271"/>
        </w:trPr>
        <w:tc>
          <w:tcPr>
            <w:tcW w:w="60" w:type="dxa"/>
            <w:vAlign w:val="bottom"/>
            <w:tcBorders>
              <w:right w:val="single" w:sz="8" w:color="auto"/>
            </w:tcBorders>
          </w:tcPr>
          <w:p>
            <w:pPr>
              <w:spacing w:after="0"/>
              <w:rPr>
                <w:sz w:val="23"/>
                <w:szCs w:val="23"/>
                <w:color w:val="auto"/>
              </w:rPr>
            </w:pPr>
          </w:p>
        </w:tc>
        <w:tc>
          <w:tcPr>
            <w:tcW w:w="3640" w:type="dxa"/>
            <w:vAlign w:val="bottom"/>
            <w:tcBorders>
              <w:bottom w:val="single" w:sz="8" w:color="D9D9D9"/>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global manufacturing facilities.</w:t>
            </w:r>
          </w:p>
        </w:tc>
        <w:tc>
          <w:tcPr>
            <w:tcW w:w="120" w:type="dxa"/>
            <w:vAlign w:val="bottom"/>
            <w:tcBorders>
              <w:right w:val="single" w:sz="8" w:color="auto"/>
            </w:tcBorders>
          </w:tcPr>
          <w:p>
            <w:pPr>
              <w:spacing w:after="0"/>
              <w:rPr>
                <w:sz w:val="23"/>
                <w:szCs w:val="23"/>
                <w:color w:val="auto"/>
              </w:rPr>
            </w:pPr>
          </w:p>
        </w:tc>
        <w:tc>
          <w:tcPr>
            <w:tcW w:w="360" w:type="dxa"/>
            <w:vAlign w:val="bottom"/>
            <w:tcBorders>
              <w:bottom w:val="single" w:sz="8" w:color="D9D9D9"/>
              <w:right w:val="single" w:sz="8" w:color="D9D9D9"/>
            </w:tcBorders>
            <w:shd w:val="clear" w:color="auto" w:fill="D9D9D9"/>
          </w:tcPr>
          <w:p>
            <w:pPr>
              <w:spacing w:after="0"/>
              <w:rPr>
                <w:sz w:val="23"/>
                <w:szCs w:val="23"/>
                <w:color w:val="auto"/>
              </w:rPr>
            </w:pPr>
          </w:p>
        </w:tc>
        <w:tc>
          <w:tcPr>
            <w:tcW w:w="80" w:type="dxa"/>
            <w:vAlign w:val="bottom"/>
            <w:tcBorders>
              <w:bottom w:val="single" w:sz="8" w:color="D9D9D9"/>
              <w:right w:val="single" w:sz="8" w:color="D9D9D9"/>
            </w:tcBorders>
            <w:shd w:val="clear" w:color="auto" w:fill="D9D9D9"/>
          </w:tcPr>
          <w:p>
            <w:pPr>
              <w:spacing w:after="0"/>
              <w:rPr>
                <w:sz w:val="23"/>
                <w:szCs w:val="23"/>
                <w:color w:val="auto"/>
              </w:rPr>
            </w:pPr>
          </w:p>
        </w:tc>
        <w:tc>
          <w:tcPr>
            <w:tcW w:w="3380" w:type="dxa"/>
            <w:vAlign w:val="bottom"/>
            <w:tcBorders>
              <w:bottom w:val="single" w:sz="8" w:color="D9D9D9"/>
              <w:right w:val="single" w:sz="8" w:color="auto"/>
            </w:tcBorders>
            <w:gridSpan w:val="3"/>
            <w:shd w:val="clear" w:color="auto" w:fill="D9D9D9"/>
          </w:tcPr>
          <w:p>
            <w:pPr>
              <w:jc w:val="center"/>
              <w:ind w:right="480"/>
              <w:spacing w:after="0"/>
              <w:rPr>
                <w:sz w:val="20"/>
                <w:szCs w:val="20"/>
                <w:color w:val="auto"/>
              </w:rPr>
            </w:pPr>
            <w:r>
              <w:rPr>
                <w:rFonts w:ascii="Arial" w:cs="Arial" w:eastAsia="Arial" w:hAnsi="Arial"/>
                <w:sz w:val="16"/>
                <w:szCs w:val="16"/>
                <w:color w:val="auto"/>
              </w:rPr>
              <w:t>support our customers.</w:t>
            </w:r>
          </w:p>
        </w:tc>
        <w:tc>
          <w:tcPr>
            <w:tcW w:w="140" w:type="dxa"/>
            <w:vAlign w:val="bottom"/>
            <w:tcBorders>
              <w:right w:val="single" w:sz="8" w:color="auto"/>
            </w:tcBorders>
          </w:tcPr>
          <w:p>
            <w:pPr>
              <w:spacing w:after="0"/>
              <w:rPr>
                <w:sz w:val="23"/>
                <w:szCs w:val="23"/>
                <w:color w:val="auto"/>
              </w:rPr>
            </w:pPr>
          </w:p>
        </w:tc>
        <w:tc>
          <w:tcPr>
            <w:tcW w:w="3640" w:type="dxa"/>
            <w:vAlign w:val="bottom"/>
            <w:tcBorders>
              <w:bottom w:val="single" w:sz="8" w:color="D9D9D9"/>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b w:val="1"/>
                <w:bCs w:val="1"/>
                <w:color w:val="C00000"/>
              </w:rPr>
              <w:t>standards of ethical behavior</w:t>
            </w:r>
            <w:r>
              <w:rPr>
                <w:rFonts w:ascii="Arial" w:cs="Arial" w:eastAsia="Arial" w:hAnsi="Arial"/>
                <w:sz w:val="16"/>
                <w:szCs w:val="16"/>
                <w:color w:val="000000"/>
              </w:rPr>
              <w:t>.</w:t>
            </w:r>
          </w:p>
        </w:tc>
      </w:tr>
      <w:tr>
        <w:trPr>
          <w:trHeight w:val="78"/>
        </w:trPr>
        <w:tc>
          <w:tcPr>
            <w:tcW w:w="60" w:type="dxa"/>
            <w:vAlign w:val="bottom"/>
          </w:tcPr>
          <w:p>
            <w:pPr>
              <w:spacing w:after="0"/>
              <w:rPr>
                <w:sz w:val="6"/>
                <w:szCs w:val="6"/>
                <w:color w:val="auto"/>
              </w:rPr>
            </w:pPr>
          </w:p>
        </w:tc>
        <w:tc>
          <w:tcPr>
            <w:tcW w:w="1100" w:type="dxa"/>
            <w:vAlign w:val="bottom"/>
            <w:tcBorders>
              <w:top w:val="single" w:sz="8" w:color="auto"/>
              <w:bottom w:val="single" w:sz="8" w:color="auto"/>
            </w:tcBorders>
          </w:tcPr>
          <w:p>
            <w:pPr>
              <w:spacing w:after="0"/>
              <w:rPr>
                <w:sz w:val="6"/>
                <w:szCs w:val="6"/>
                <w:color w:val="auto"/>
              </w:rPr>
            </w:pPr>
          </w:p>
        </w:tc>
        <w:tc>
          <w:tcPr>
            <w:tcW w:w="2540" w:type="dxa"/>
            <w:vAlign w:val="bottom"/>
            <w:tcBorders>
              <w:top w:val="single" w:sz="8" w:color="auto"/>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74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520" w:type="dxa"/>
            <w:vAlign w:val="bottom"/>
            <w:tcBorders>
              <w:top w:val="single" w:sz="8" w:color="auto"/>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520" w:type="dxa"/>
            <w:vAlign w:val="bottom"/>
            <w:tcBorders>
              <w:top w:val="single" w:sz="8" w:color="auto"/>
              <w:bottom w:val="single" w:sz="8" w:color="auto"/>
            </w:tcBorders>
          </w:tcPr>
          <w:p>
            <w:pPr>
              <w:spacing w:after="0"/>
              <w:rPr>
                <w:sz w:val="6"/>
                <w:szCs w:val="6"/>
                <w:color w:val="auto"/>
              </w:rPr>
            </w:pPr>
          </w:p>
        </w:tc>
        <w:tc>
          <w:tcPr>
            <w:tcW w:w="1120" w:type="dxa"/>
            <w:vAlign w:val="bottom"/>
            <w:tcBorders>
              <w:top w:val="single" w:sz="8" w:color="auto"/>
              <w:bottom w:val="single" w:sz="8" w:color="auto"/>
            </w:tcBorders>
          </w:tcPr>
          <w:p>
            <w:pPr>
              <w:spacing w:after="0"/>
              <w:rPr>
                <w:sz w:val="6"/>
                <w:szCs w:val="6"/>
                <w:color w:val="auto"/>
              </w:rPr>
            </w:pPr>
          </w:p>
        </w:tc>
      </w:tr>
      <w:tr>
        <w:trPr>
          <w:trHeight w:val="168"/>
        </w:trPr>
        <w:tc>
          <w:tcPr>
            <w:tcW w:w="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spacing w:after="0" w:line="168" w:lineRule="exact"/>
              <w:rPr>
                <w:sz w:val="20"/>
                <w:szCs w:val="20"/>
                <w:color w:val="auto"/>
              </w:rPr>
            </w:pPr>
            <w:r>
              <w:rPr>
                <w:rFonts w:ascii="Arial" w:cs="Arial" w:eastAsia="Arial" w:hAnsi="Arial"/>
                <w:sz w:val="16"/>
                <w:szCs w:val="16"/>
                <w:color w:val="auto"/>
              </w:rPr>
              <w:t>We believe that along with our industry</w:t>
            </w:r>
          </w:p>
        </w:tc>
        <w:tc>
          <w:tcPr>
            <w:tcW w:w="120" w:type="dxa"/>
            <w:vAlign w:val="bottom"/>
            <w:tcBorders>
              <w:right w:val="single" w:sz="8" w:color="auto"/>
            </w:tcBorders>
          </w:tcPr>
          <w:p>
            <w:pPr>
              <w:spacing w:after="0"/>
              <w:rPr>
                <w:sz w:val="14"/>
                <w:szCs w:val="14"/>
                <w:color w:val="auto"/>
              </w:rPr>
            </w:pPr>
          </w:p>
        </w:tc>
        <w:tc>
          <w:tcPr>
            <w:tcW w:w="360" w:type="dxa"/>
            <w:vAlign w:val="bottom"/>
            <w:tcBorders>
              <w:right w:val="single" w:sz="8" w:color="D9D9D9"/>
            </w:tcBorders>
            <w:shd w:val="clear" w:color="auto" w:fill="D9D9D9"/>
          </w:tcPr>
          <w:p>
            <w:pPr>
              <w:spacing w:after="0"/>
              <w:rPr>
                <w:sz w:val="14"/>
                <w:szCs w:val="14"/>
                <w:color w:val="auto"/>
              </w:rPr>
            </w:pPr>
          </w:p>
        </w:tc>
        <w:tc>
          <w:tcPr>
            <w:tcW w:w="80" w:type="dxa"/>
            <w:vAlign w:val="bottom"/>
            <w:tcBorders>
              <w:right w:val="single" w:sz="8" w:color="D9D9D9"/>
            </w:tcBorders>
            <w:shd w:val="clear" w:color="auto" w:fill="D9D9D9"/>
          </w:tcPr>
          <w:p>
            <w:pPr>
              <w:spacing w:after="0"/>
              <w:rPr>
                <w:sz w:val="14"/>
                <w:szCs w:val="14"/>
                <w:color w:val="auto"/>
              </w:rPr>
            </w:pPr>
          </w:p>
        </w:tc>
        <w:tc>
          <w:tcPr>
            <w:tcW w:w="3380" w:type="dxa"/>
            <w:vAlign w:val="bottom"/>
            <w:tcBorders>
              <w:right w:val="single" w:sz="8" w:color="auto"/>
            </w:tcBorders>
            <w:gridSpan w:val="3"/>
            <w:shd w:val="clear" w:color="auto" w:fill="D9D9D9"/>
          </w:tcPr>
          <w:p>
            <w:pPr>
              <w:jc w:val="center"/>
              <w:ind w:right="520"/>
              <w:spacing w:after="0" w:line="168" w:lineRule="exact"/>
              <w:rPr>
                <w:sz w:val="20"/>
                <w:szCs w:val="20"/>
                <w:color w:val="auto"/>
              </w:rPr>
            </w:pPr>
            <w:r>
              <w:rPr>
                <w:rFonts w:ascii="Arial" w:cs="Arial" w:eastAsia="Arial" w:hAnsi="Arial"/>
                <w:sz w:val="16"/>
                <w:szCs w:val="16"/>
                <w:color w:val="auto"/>
              </w:rPr>
              <w:t>As we strive to attract and retain</w:t>
            </w:r>
          </w:p>
        </w:tc>
        <w:tc>
          <w:tcPr>
            <w:tcW w:w="14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ind w:right="40"/>
              <w:spacing w:after="0" w:line="168" w:lineRule="exact"/>
              <w:rPr>
                <w:sz w:val="20"/>
                <w:szCs w:val="20"/>
                <w:color w:val="auto"/>
              </w:rPr>
            </w:pPr>
            <w:r>
              <w:rPr>
                <w:rFonts w:ascii="Arial" w:cs="Arial" w:eastAsia="Arial" w:hAnsi="Arial"/>
                <w:sz w:val="16"/>
                <w:szCs w:val="16"/>
                <w:color w:val="auto"/>
              </w:rPr>
              <w:t xml:space="preserve">We are committed to developing </w:t>
            </w:r>
            <w:r>
              <w:rPr>
                <w:rFonts w:ascii="Arial" w:cs="Arial" w:eastAsia="Arial" w:hAnsi="Arial"/>
                <w:sz w:val="16"/>
                <w:szCs w:val="16"/>
                <w:b w:val="1"/>
                <w:bCs w:val="1"/>
                <w:color w:val="C00000"/>
              </w:rPr>
              <w:t>innovative and</w:t>
            </w:r>
          </w:p>
        </w:tc>
      </w:tr>
      <w:tr>
        <w:trPr>
          <w:trHeight w:val="184"/>
        </w:trPr>
        <w:tc>
          <w:tcPr>
            <w:tcW w:w="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leadership and financial success comes a</w:t>
            </w:r>
          </w:p>
        </w:tc>
        <w:tc>
          <w:tcPr>
            <w:tcW w:w="12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gridSpan w:val="5"/>
            <w:shd w:val="clear" w:color="auto" w:fill="D9D9D9"/>
          </w:tcPr>
          <w:p>
            <w:pPr>
              <w:jc w:val="center"/>
              <w:ind w:right="40"/>
              <w:spacing w:after="0"/>
              <w:rPr>
                <w:sz w:val="20"/>
                <w:szCs w:val="20"/>
                <w:color w:val="auto"/>
              </w:rPr>
            </w:pPr>
            <w:r>
              <w:rPr>
                <w:rFonts w:ascii="Arial" w:cs="Arial" w:eastAsia="Arial" w:hAnsi="Arial"/>
                <w:sz w:val="16"/>
                <w:szCs w:val="16"/>
                <w:color w:val="auto"/>
              </w:rPr>
              <w:t>the very best employees, we are committed to</w:t>
            </w:r>
          </w:p>
        </w:tc>
        <w:tc>
          <w:tcPr>
            <w:tcW w:w="14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b w:val="1"/>
                <w:bCs w:val="1"/>
                <w:color w:val="C00000"/>
              </w:rPr>
              <w:t>safe products</w:t>
            </w:r>
          </w:p>
        </w:tc>
      </w:tr>
      <w:tr>
        <w:trPr>
          <w:trHeight w:val="204"/>
        </w:trPr>
        <w:tc>
          <w:tcPr>
            <w:tcW w:w="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 xml:space="preserve">responsibility to </w:t>
            </w:r>
            <w:r>
              <w:rPr>
                <w:rFonts w:ascii="Arial" w:cs="Arial" w:eastAsia="Arial" w:hAnsi="Arial"/>
                <w:sz w:val="16"/>
                <w:szCs w:val="16"/>
                <w:b w:val="1"/>
                <w:bCs w:val="1"/>
                <w:color w:val="C00000"/>
              </w:rPr>
              <w:t>give back to the communities</w:t>
            </w:r>
          </w:p>
        </w:tc>
        <w:tc>
          <w:tcPr>
            <w:tcW w:w="12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 xml:space="preserve">fostering an atmosphere that </w:t>
            </w:r>
            <w:r>
              <w:rPr>
                <w:rFonts w:ascii="Arial" w:cs="Arial" w:eastAsia="Arial" w:hAnsi="Arial"/>
                <w:sz w:val="16"/>
                <w:szCs w:val="16"/>
                <w:b w:val="1"/>
                <w:bCs w:val="1"/>
                <w:color w:val="C00000"/>
              </w:rPr>
              <w:t>embraces diversity</w:t>
            </w:r>
          </w:p>
        </w:tc>
        <w:tc>
          <w:tcPr>
            <w:tcW w:w="14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color w:val="auto"/>
              </w:rPr>
              <w:t>that yield performance, productivity and</w:t>
            </w:r>
          </w:p>
        </w:tc>
      </w:tr>
      <w:tr>
        <w:trPr>
          <w:trHeight w:val="184"/>
        </w:trPr>
        <w:tc>
          <w:tcPr>
            <w:tcW w:w="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in which our employees live and work.</w:t>
            </w:r>
          </w:p>
        </w:tc>
        <w:tc>
          <w:tcPr>
            <w:tcW w:w="12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gridSpan w:val="5"/>
            <w:shd w:val="clear" w:color="auto" w:fill="D9D9D9"/>
          </w:tcPr>
          <w:p>
            <w:pPr>
              <w:jc w:val="center"/>
              <w:ind w:right="40"/>
              <w:spacing w:after="0"/>
              <w:rPr>
                <w:sz w:val="20"/>
                <w:szCs w:val="20"/>
                <w:color w:val="auto"/>
              </w:rPr>
            </w:pPr>
            <w:r>
              <w:rPr>
                <w:rFonts w:ascii="Arial" w:cs="Arial" w:eastAsia="Arial" w:hAnsi="Arial"/>
                <w:sz w:val="16"/>
                <w:szCs w:val="16"/>
                <w:color w:val="auto"/>
              </w:rPr>
              <w:t>and supports Toro’s programs and policies related</w:t>
            </w:r>
          </w:p>
        </w:tc>
        <w:tc>
          <w:tcPr>
            <w:tcW w:w="14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ind w:right="80"/>
              <w:spacing w:after="0"/>
              <w:rPr>
                <w:sz w:val="20"/>
                <w:szCs w:val="20"/>
                <w:color w:val="auto"/>
              </w:rPr>
            </w:pPr>
            <w:r>
              <w:rPr>
                <w:rFonts w:ascii="Arial" w:cs="Arial" w:eastAsia="Arial" w:hAnsi="Arial"/>
                <w:sz w:val="16"/>
                <w:szCs w:val="16"/>
                <w:color w:val="auto"/>
              </w:rPr>
              <w:t>environmental benefits for</w:t>
            </w:r>
          </w:p>
        </w:tc>
      </w:tr>
      <w:tr>
        <w:trPr>
          <w:trHeight w:val="226"/>
        </w:trPr>
        <w:tc>
          <w:tcPr>
            <w:tcW w:w="60" w:type="dxa"/>
            <w:vAlign w:val="bottom"/>
            <w:tcBorders>
              <w:right w:val="single" w:sz="8" w:color="auto"/>
            </w:tcBorders>
          </w:tcPr>
          <w:p>
            <w:pPr>
              <w:spacing w:after="0"/>
              <w:rPr>
                <w:sz w:val="19"/>
                <w:szCs w:val="19"/>
                <w:color w:val="auto"/>
              </w:rPr>
            </w:pPr>
          </w:p>
        </w:tc>
        <w:tc>
          <w:tcPr>
            <w:tcW w:w="1100" w:type="dxa"/>
            <w:vAlign w:val="bottom"/>
            <w:tcBorders>
              <w:bottom w:val="single" w:sz="8" w:color="D9D9D9"/>
              <w:right w:val="single" w:sz="8" w:color="D9D9D9"/>
            </w:tcBorders>
            <w:shd w:val="clear" w:color="auto" w:fill="D9D9D9"/>
          </w:tcPr>
          <w:p>
            <w:pPr>
              <w:spacing w:after="0"/>
              <w:rPr>
                <w:sz w:val="19"/>
                <w:szCs w:val="19"/>
                <w:color w:val="auto"/>
              </w:rPr>
            </w:pPr>
          </w:p>
        </w:tc>
        <w:tc>
          <w:tcPr>
            <w:tcW w:w="2540" w:type="dxa"/>
            <w:vAlign w:val="bottom"/>
            <w:tcBorders>
              <w:bottom w:val="single" w:sz="8" w:color="D9D9D9"/>
              <w:right w:val="single" w:sz="8" w:color="auto"/>
            </w:tcBorders>
            <w:shd w:val="clear" w:color="auto" w:fill="D9D9D9"/>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60" w:type="dxa"/>
            <w:vAlign w:val="bottom"/>
            <w:tcBorders>
              <w:bottom w:val="single" w:sz="8" w:color="D9D9D9"/>
              <w:right w:val="single" w:sz="8" w:color="D9D9D9"/>
            </w:tcBorders>
            <w:shd w:val="clear" w:color="auto" w:fill="D9D9D9"/>
          </w:tcPr>
          <w:p>
            <w:pPr>
              <w:spacing w:after="0"/>
              <w:rPr>
                <w:sz w:val="19"/>
                <w:szCs w:val="19"/>
                <w:color w:val="auto"/>
              </w:rPr>
            </w:pPr>
          </w:p>
        </w:tc>
        <w:tc>
          <w:tcPr>
            <w:tcW w:w="80" w:type="dxa"/>
            <w:vAlign w:val="bottom"/>
            <w:tcBorders>
              <w:bottom w:val="single" w:sz="8" w:color="D9D9D9"/>
              <w:right w:val="single" w:sz="8" w:color="D9D9D9"/>
            </w:tcBorders>
            <w:shd w:val="clear" w:color="auto" w:fill="D9D9D9"/>
          </w:tcPr>
          <w:p>
            <w:pPr>
              <w:spacing w:after="0"/>
              <w:rPr>
                <w:sz w:val="19"/>
                <w:szCs w:val="19"/>
                <w:color w:val="auto"/>
              </w:rPr>
            </w:pPr>
          </w:p>
        </w:tc>
        <w:tc>
          <w:tcPr>
            <w:tcW w:w="3380" w:type="dxa"/>
            <w:vAlign w:val="bottom"/>
            <w:tcBorders>
              <w:bottom w:val="single" w:sz="8" w:color="D9D9D9"/>
              <w:right w:val="single" w:sz="8" w:color="auto"/>
            </w:tcBorders>
            <w:gridSpan w:val="3"/>
            <w:shd w:val="clear" w:color="auto" w:fill="D9D9D9"/>
          </w:tcPr>
          <w:p>
            <w:pPr>
              <w:jc w:val="center"/>
              <w:ind w:right="480"/>
              <w:spacing w:after="0"/>
              <w:rPr>
                <w:sz w:val="20"/>
                <w:szCs w:val="20"/>
                <w:color w:val="auto"/>
              </w:rPr>
            </w:pPr>
            <w:r>
              <w:rPr>
                <w:rFonts w:ascii="Arial" w:cs="Arial" w:eastAsia="Arial" w:hAnsi="Arial"/>
                <w:sz w:val="16"/>
                <w:szCs w:val="16"/>
                <w:color w:val="auto"/>
              </w:rPr>
              <w:t>to equal opportunity.</w:t>
            </w:r>
          </w:p>
        </w:tc>
        <w:tc>
          <w:tcPr>
            <w:tcW w:w="140" w:type="dxa"/>
            <w:vAlign w:val="bottom"/>
            <w:tcBorders>
              <w:right w:val="single" w:sz="8" w:color="auto"/>
            </w:tcBorders>
          </w:tcPr>
          <w:p>
            <w:pPr>
              <w:spacing w:after="0"/>
              <w:rPr>
                <w:sz w:val="19"/>
                <w:szCs w:val="19"/>
                <w:color w:val="auto"/>
              </w:rPr>
            </w:pPr>
          </w:p>
        </w:tc>
        <w:tc>
          <w:tcPr>
            <w:tcW w:w="3640" w:type="dxa"/>
            <w:vAlign w:val="bottom"/>
            <w:tcBorders>
              <w:bottom w:val="single" w:sz="8" w:color="D9D9D9"/>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color w:val="auto"/>
              </w:rPr>
              <w:t>our customers.</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52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2019 Annual Meeting of Shareholders</w:t>
      </w:r>
    </w:p>
    <w:p>
      <w:pPr>
        <w:spacing w:after="0" w:line="105" w:lineRule="exact"/>
        <w:rPr>
          <w:sz w:val="20"/>
          <w:szCs w:val="20"/>
          <w:color w:val="auto"/>
        </w:rPr>
      </w:pPr>
    </w:p>
    <w:tbl>
      <w:tblPr>
        <w:tblLayout w:type="fixed"/>
        <w:tblInd w:w="1410" w:type="dxa"/>
        <w:tblCellMar>
          <w:top w:w="0" w:type="dxa"/>
          <w:left w:w="0" w:type="dxa"/>
          <w:bottom w:w="0" w:type="dxa"/>
          <w:right w:w="0" w:type="dxa"/>
        </w:tblCellMar>
      </w:tblPr>
      <w:tr>
        <w:trPr>
          <w:trHeight w:val="257"/>
        </w:trPr>
        <w:tc>
          <w:tcPr>
            <w:tcW w:w="292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6"/>
                <w:szCs w:val="16"/>
                <w:b w:val="1"/>
                <w:bCs w:val="1"/>
                <w:color w:val="C00000"/>
              </w:rPr>
              <w:t>Date and Time</w:t>
            </w:r>
          </w:p>
        </w:tc>
        <w:tc>
          <w:tcPr>
            <w:tcW w:w="140" w:type="dxa"/>
            <w:vAlign w:val="bottom"/>
            <w:tcBorders>
              <w:right w:val="single" w:sz="8" w:color="auto"/>
            </w:tcBorders>
          </w:tcPr>
          <w:p>
            <w:pPr>
              <w:spacing w:after="0"/>
              <w:rPr>
                <w:sz w:val="22"/>
                <w:szCs w:val="22"/>
                <w:color w:val="auto"/>
              </w:rPr>
            </w:pPr>
          </w:p>
        </w:tc>
        <w:tc>
          <w:tcPr>
            <w:tcW w:w="326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b w:val="1"/>
                <w:bCs w:val="1"/>
                <w:color w:val="C00000"/>
              </w:rPr>
              <w:t>Location</w:t>
            </w:r>
          </w:p>
        </w:tc>
        <w:tc>
          <w:tcPr>
            <w:tcW w:w="120" w:type="dxa"/>
            <w:vAlign w:val="bottom"/>
            <w:tcBorders>
              <w:right w:val="single" w:sz="8" w:color="auto"/>
            </w:tcBorders>
          </w:tcPr>
          <w:p>
            <w:pPr>
              <w:spacing w:after="0"/>
              <w:rPr>
                <w:sz w:val="22"/>
                <w:szCs w:val="22"/>
                <w:color w:val="auto"/>
              </w:rPr>
            </w:pPr>
          </w:p>
        </w:tc>
        <w:tc>
          <w:tcPr>
            <w:tcW w:w="220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b w:val="1"/>
                <w:bCs w:val="1"/>
                <w:color w:val="C00000"/>
              </w:rPr>
              <w:t>Record Date</w:t>
            </w:r>
          </w:p>
        </w:tc>
      </w:tr>
      <w:tr>
        <w:trPr>
          <w:trHeight w:val="184"/>
        </w:trPr>
        <w:tc>
          <w:tcPr>
            <w:tcW w:w="292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6"/>
                <w:szCs w:val="16"/>
                <w:color w:val="auto"/>
              </w:rPr>
              <w:t>Tuesday, March 19, 2019</w:t>
            </w:r>
          </w:p>
        </w:tc>
        <w:tc>
          <w:tcPr>
            <w:tcW w:w="14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Worldwide Headquarters</w:t>
            </w:r>
          </w:p>
        </w:tc>
        <w:tc>
          <w:tcPr>
            <w:tcW w:w="12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January 22, 2019</w:t>
            </w:r>
          </w:p>
        </w:tc>
      </w:tr>
      <w:tr>
        <w:trPr>
          <w:trHeight w:val="184"/>
        </w:trPr>
        <w:tc>
          <w:tcPr>
            <w:tcW w:w="292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6"/>
                <w:szCs w:val="16"/>
                <w:color w:val="auto"/>
              </w:rPr>
              <w:t>1:30 p.m. CDT</w:t>
            </w:r>
          </w:p>
        </w:tc>
        <w:tc>
          <w:tcPr>
            <w:tcW w:w="14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8111 Lyndale Avenue South</w:t>
            </w:r>
          </w:p>
        </w:tc>
        <w:tc>
          <w:tcPr>
            <w:tcW w:w="12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shd w:val="clear" w:color="auto" w:fill="D9D9D9"/>
          </w:tcPr>
          <w:p>
            <w:pPr>
              <w:spacing w:after="0"/>
              <w:rPr>
                <w:sz w:val="15"/>
                <w:szCs w:val="15"/>
                <w:color w:val="auto"/>
              </w:rPr>
            </w:pPr>
          </w:p>
        </w:tc>
      </w:tr>
      <w:tr>
        <w:trPr>
          <w:trHeight w:val="196"/>
        </w:trPr>
        <w:tc>
          <w:tcPr>
            <w:tcW w:w="292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Bloomington, Minnesota</w:t>
            </w:r>
          </w:p>
        </w:tc>
        <w:tc>
          <w:tcPr>
            <w:tcW w:w="120" w:type="dxa"/>
            <w:vAlign w:val="bottom"/>
            <w:tcBorders>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shd w:val="clear" w:color="auto" w:fill="D9D9D9"/>
          </w:tcPr>
          <w:p>
            <w:pPr>
              <w:spacing w:after="0"/>
              <w:rPr>
                <w:sz w:val="17"/>
                <w:szCs w:val="17"/>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Meeting Agenda Voting Matters and Recommendations</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8720" w:type="dxa"/>
            <w:vAlign w:val="bottom"/>
            <w:tcBorders>
              <w:top w:val="single" w:sz="8" w:color="auto"/>
              <w:lef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C00000"/>
              </w:rPr>
              <w:t>Proposal One</w:t>
            </w:r>
          </w:p>
        </w:tc>
        <w:tc>
          <w:tcPr>
            <w:tcW w:w="1380" w:type="dxa"/>
            <w:vAlign w:val="bottom"/>
            <w:tcBorders>
              <w:top w:val="single" w:sz="8" w:color="auto"/>
            </w:tcBorders>
            <w:vMerge w:val="restart"/>
            <w:shd w:val="clear" w:color="auto" w:fill="D9D9D9"/>
          </w:tcPr>
          <w:p>
            <w:pPr>
              <w:ind w:left="60"/>
              <w:spacing w:after="0" w:line="518" w:lineRule="exact"/>
              <w:rPr>
                <w:sz w:val="20"/>
                <w:szCs w:val="20"/>
                <w:color w:val="auto"/>
              </w:rPr>
            </w:pPr>
            <w:r>
              <w:rPr>
                <w:rFonts w:ascii="MS PGothic" w:cs="MS PGothic" w:eastAsia="MS PGothic" w:hAnsi="MS PGothic"/>
                <w:sz w:val="45"/>
                <w:szCs w:val="45"/>
                <w:color w:val="C00000"/>
              </w:rPr>
              <w:t>☑</w:t>
            </w:r>
            <w:r>
              <w:rPr>
                <w:rFonts w:ascii="Arial" w:cs="Arial" w:eastAsia="Arial" w:hAnsi="Arial"/>
                <w:sz w:val="16"/>
                <w:szCs w:val="16"/>
                <w:color w:val="auto"/>
              </w:rPr>
              <w:t>FOR</w:t>
            </w:r>
          </w:p>
        </w:tc>
        <w:tc>
          <w:tcPr>
            <w:tcW w:w="1340" w:type="dxa"/>
            <w:vAlign w:val="bottom"/>
            <w:tcBorders>
              <w:top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72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To elect as directors the four nominees named in this proxy statement, each to serve for a term of three years ending at</w:t>
            </w:r>
          </w:p>
        </w:tc>
        <w:tc>
          <w:tcPr>
            <w:tcW w:w="1380" w:type="dxa"/>
            <w:vAlign w:val="bottom"/>
            <w:vMerge w:val="continue"/>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ind w:left="300"/>
              <w:spacing w:after="0"/>
              <w:rPr>
                <w:sz w:val="20"/>
                <w:szCs w:val="20"/>
                <w:color w:val="auto"/>
              </w:rPr>
            </w:pPr>
            <w:r>
              <w:rPr>
                <w:rFonts w:ascii="Arial" w:cs="Arial" w:eastAsia="Arial" w:hAnsi="Arial"/>
                <w:sz w:val="16"/>
                <w:szCs w:val="16"/>
                <w:color w:val="auto"/>
              </w:rPr>
              <w:t>Page 5</w:t>
            </w:r>
          </w:p>
        </w:tc>
        <w:tc>
          <w:tcPr>
            <w:tcW w:w="0" w:type="dxa"/>
            <w:vAlign w:val="bottom"/>
          </w:tcPr>
          <w:p>
            <w:pPr>
              <w:spacing w:after="0"/>
              <w:rPr>
                <w:sz w:val="1"/>
                <w:szCs w:val="1"/>
                <w:color w:val="auto"/>
              </w:rPr>
            </w:pPr>
          </w:p>
        </w:tc>
      </w:tr>
      <w:tr>
        <w:trPr>
          <w:trHeight w:val="148"/>
        </w:trPr>
        <w:tc>
          <w:tcPr>
            <w:tcW w:w="8720" w:type="dxa"/>
            <w:vAlign w:val="bottom"/>
            <w:tcBorders>
              <w:left w:val="single" w:sz="8" w:color="auto"/>
            </w:tcBorders>
            <w:shd w:val="clear" w:color="auto" w:fill="D9D9D9"/>
          </w:tcPr>
          <w:p>
            <w:pPr>
              <w:ind w:left="40"/>
              <w:spacing w:after="0" w:line="148" w:lineRule="exact"/>
              <w:rPr>
                <w:sz w:val="20"/>
                <w:szCs w:val="20"/>
                <w:color w:val="auto"/>
              </w:rPr>
            </w:pPr>
            <w:r>
              <w:rPr>
                <w:rFonts w:ascii="Arial" w:cs="Arial" w:eastAsia="Arial" w:hAnsi="Arial"/>
                <w:sz w:val="16"/>
                <w:szCs w:val="16"/>
                <w:color w:val="auto"/>
              </w:rPr>
              <w:t>the 2022 Annual Meeting of Shareholders.</w:t>
            </w:r>
          </w:p>
        </w:tc>
        <w:tc>
          <w:tcPr>
            <w:tcW w:w="1380" w:type="dxa"/>
            <w:vAlign w:val="bottom"/>
            <w:vMerge w:val="continue"/>
            <w:shd w:val="clear" w:color="auto" w:fill="D9D9D9"/>
          </w:tcPr>
          <w:p>
            <w:pPr>
              <w:spacing w:after="0"/>
              <w:rPr>
                <w:sz w:val="12"/>
                <w:szCs w:val="12"/>
                <w:color w:val="auto"/>
              </w:rPr>
            </w:pPr>
          </w:p>
        </w:tc>
        <w:tc>
          <w:tcPr>
            <w:tcW w:w="13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720" w:type="dxa"/>
            <w:vAlign w:val="bottom"/>
            <w:tcBorders>
              <w:left w:val="single" w:sz="8" w:color="auto"/>
              <w:bottom w:val="single" w:sz="8" w:color="auto"/>
            </w:tcBorders>
            <w:shd w:val="clear" w:color="auto" w:fill="D9D9D9"/>
          </w:tcPr>
          <w:p>
            <w:pPr>
              <w:spacing w:after="0"/>
              <w:rPr>
                <w:sz w:val="9"/>
                <w:szCs w:val="9"/>
                <w:color w:val="auto"/>
              </w:rPr>
            </w:pPr>
          </w:p>
        </w:tc>
        <w:tc>
          <w:tcPr>
            <w:tcW w:w="1380" w:type="dxa"/>
            <w:vAlign w:val="bottom"/>
            <w:tcBorders>
              <w:bottom w:val="single" w:sz="8" w:color="auto"/>
            </w:tcBorders>
            <w:shd w:val="clear" w:color="auto" w:fill="D9D9D9"/>
          </w:tcPr>
          <w:p>
            <w:pPr>
              <w:ind w:left="60"/>
              <w:spacing w:after="0" w:line="110" w:lineRule="exact"/>
              <w:rPr>
                <w:sz w:val="20"/>
                <w:szCs w:val="20"/>
                <w:color w:val="auto"/>
              </w:rPr>
            </w:pPr>
            <w:r>
              <w:rPr>
                <w:rFonts w:ascii="Arial" w:cs="Arial" w:eastAsia="Arial" w:hAnsi="Arial"/>
                <w:sz w:val="12"/>
                <w:szCs w:val="12"/>
                <w:color w:val="auto"/>
              </w:rPr>
              <w:t>each nominee</w:t>
            </w: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72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C00000"/>
              </w:rPr>
              <w:t>Proposal Two</w:t>
            </w:r>
          </w:p>
        </w:tc>
        <w:tc>
          <w:tcPr>
            <w:tcW w:w="1380" w:type="dxa"/>
            <w:vAlign w:val="bottom"/>
            <w:vMerge w:val="restart"/>
            <w:shd w:val="clear" w:color="auto" w:fill="D9D9D9"/>
          </w:tcPr>
          <w:p>
            <w:pPr>
              <w:ind w:left="60"/>
              <w:spacing w:after="0" w:line="518" w:lineRule="exact"/>
              <w:rPr>
                <w:sz w:val="20"/>
                <w:szCs w:val="20"/>
                <w:color w:val="auto"/>
              </w:rPr>
            </w:pPr>
            <w:r>
              <w:rPr>
                <w:rFonts w:ascii="MS PGothic" w:cs="MS PGothic" w:eastAsia="MS PGothic" w:hAnsi="MS PGothic"/>
                <w:sz w:val="45"/>
                <w:szCs w:val="45"/>
                <w:color w:val="C00000"/>
              </w:rPr>
              <w:t>☑</w:t>
            </w:r>
            <w:r>
              <w:rPr>
                <w:rFonts w:ascii="Arial" w:cs="Arial" w:eastAsia="Arial" w:hAnsi="Arial"/>
                <w:sz w:val="16"/>
                <w:szCs w:val="16"/>
                <w:color w:val="auto"/>
              </w:rPr>
              <w:t>FOR</w:t>
            </w:r>
          </w:p>
        </w:tc>
        <w:tc>
          <w:tcPr>
            <w:tcW w:w="13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72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To ratify the selection of KPMG LLP as our independent registered public accounting firm for our fiscal year ending</w:t>
            </w:r>
          </w:p>
        </w:tc>
        <w:tc>
          <w:tcPr>
            <w:tcW w:w="1380" w:type="dxa"/>
            <w:vAlign w:val="bottom"/>
            <w:vMerge w:val="continue"/>
            <w:shd w:val="clear" w:color="auto" w:fill="D9D9D9"/>
          </w:tcPr>
          <w:p>
            <w:pPr>
              <w:spacing w:after="0"/>
              <w:rPr>
                <w:sz w:val="19"/>
                <w:szCs w:val="19"/>
                <w:color w:val="auto"/>
              </w:rPr>
            </w:pPr>
          </w:p>
        </w:tc>
        <w:tc>
          <w:tcPr>
            <w:tcW w:w="1340" w:type="dxa"/>
            <w:vAlign w:val="bottom"/>
            <w:tcBorders>
              <w:right w:val="single" w:sz="8" w:color="auto"/>
            </w:tcBorders>
            <w:shd w:val="clear" w:color="auto" w:fill="D9D9D9"/>
          </w:tcPr>
          <w:p>
            <w:pPr>
              <w:ind w:left="300"/>
              <w:spacing w:after="0"/>
              <w:rPr>
                <w:sz w:val="20"/>
                <w:szCs w:val="20"/>
                <w:color w:val="auto"/>
              </w:rPr>
            </w:pPr>
            <w:r>
              <w:rPr>
                <w:rFonts w:ascii="Arial" w:cs="Arial" w:eastAsia="Arial" w:hAnsi="Arial"/>
                <w:sz w:val="16"/>
                <w:szCs w:val="16"/>
                <w:color w:val="auto"/>
              </w:rPr>
              <w:t>Page 25</w:t>
            </w:r>
          </w:p>
        </w:tc>
        <w:tc>
          <w:tcPr>
            <w:tcW w:w="0" w:type="dxa"/>
            <w:vAlign w:val="bottom"/>
          </w:tcPr>
          <w:p>
            <w:pPr>
              <w:spacing w:after="0"/>
              <w:rPr>
                <w:sz w:val="1"/>
                <w:szCs w:val="1"/>
                <w:color w:val="auto"/>
              </w:rPr>
            </w:pPr>
          </w:p>
        </w:tc>
      </w:tr>
      <w:tr>
        <w:trPr>
          <w:trHeight w:val="234"/>
        </w:trPr>
        <w:tc>
          <w:tcPr>
            <w:tcW w:w="8720" w:type="dxa"/>
            <w:vAlign w:val="bottom"/>
            <w:tcBorders>
              <w:left w:val="single" w:sz="8" w:color="auto"/>
              <w:bottom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October 31, 2019.</w:t>
            </w:r>
          </w:p>
        </w:tc>
        <w:tc>
          <w:tcPr>
            <w:tcW w:w="1380" w:type="dxa"/>
            <w:vAlign w:val="bottom"/>
            <w:tcBorders>
              <w:bottom w:val="single" w:sz="8" w:color="auto"/>
            </w:tcBorders>
            <w:vMerge w:val="continue"/>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8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72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C00000"/>
              </w:rPr>
              <w:t>Proposal Three</w:t>
            </w:r>
          </w:p>
        </w:tc>
        <w:tc>
          <w:tcPr>
            <w:tcW w:w="1380" w:type="dxa"/>
            <w:vAlign w:val="bottom"/>
            <w:vMerge w:val="restart"/>
            <w:shd w:val="clear" w:color="auto" w:fill="D9D9D9"/>
          </w:tcPr>
          <w:p>
            <w:pPr>
              <w:ind w:left="60"/>
              <w:spacing w:after="0" w:line="518" w:lineRule="exact"/>
              <w:rPr>
                <w:sz w:val="20"/>
                <w:szCs w:val="20"/>
                <w:color w:val="auto"/>
              </w:rPr>
            </w:pPr>
            <w:r>
              <w:rPr>
                <w:rFonts w:ascii="MS PGothic" w:cs="MS PGothic" w:eastAsia="MS PGothic" w:hAnsi="MS PGothic"/>
                <w:sz w:val="45"/>
                <w:szCs w:val="45"/>
                <w:color w:val="C00000"/>
              </w:rPr>
              <w:t>☑</w:t>
            </w:r>
            <w:r>
              <w:rPr>
                <w:rFonts w:ascii="Arial" w:cs="Arial" w:eastAsia="Arial" w:hAnsi="Arial"/>
                <w:sz w:val="16"/>
                <w:szCs w:val="16"/>
                <w:color w:val="auto"/>
              </w:rPr>
              <w:t>FOR</w:t>
            </w:r>
          </w:p>
        </w:tc>
        <w:tc>
          <w:tcPr>
            <w:tcW w:w="134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6"/>
                <w:szCs w:val="16"/>
                <w:color w:val="auto"/>
              </w:rPr>
              <w:t>Page 27</w:t>
            </w:r>
          </w:p>
        </w:tc>
        <w:tc>
          <w:tcPr>
            <w:tcW w:w="0" w:type="dxa"/>
            <w:vAlign w:val="bottom"/>
          </w:tcPr>
          <w:p>
            <w:pPr>
              <w:spacing w:after="0"/>
              <w:rPr>
                <w:sz w:val="1"/>
                <w:szCs w:val="1"/>
                <w:color w:val="auto"/>
              </w:rPr>
            </w:pPr>
          </w:p>
        </w:tc>
      </w:tr>
      <w:tr>
        <w:trPr>
          <w:trHeight w:val="147"/>
        </w:trPr>
        <w:tc>
          <w:tcPr>
            <w:tcW w:w="8720" w:type="dxa"/>
            <w:vAlign w:val="bottom"/>
            <w:tcBorders>
              <w:left w:val="single" w:sz="8" w:color="auto"/>
            </w:tcBorders>
            <w:vMerge w:val="restart"/>
            <w:shd w:val="clear" w:color="auto" w:fill="D9D9D9"/>
          </w:tcPr>
          <w:p>
            <w:pPr>
              <w:ind w:left="40"/>
              <w:spacing w:after="0"/>
              <w:rPr>
                <w:sz w:val="20"/>
                <w:szCs w:val="20"/>
                <w:color w:val="auto"/>
              </w:rPr>
            </w:pPr>
            <w:r>
              <w:rPr>
                <w:rFonts w:ascii="Arial" w:cs="Arial" w:eastAsia="Arial" w:hAnsi="Arial"/>
                <w:sz w:val="16"/>
                <w:szCs w:val="16"/>
                <w:color w:val="auto"/>
              </w:rPr>
              <w:t>To approve, on an advisory basis, our executive compensation.</w:t>
            </w:r>
          </w:p>
        </w:tc>
        <w:tc>
          <w:tcPr>
            <w:tcW w:w="1380" w:type="dxa"/>
            <w:vAlign w:val="bottom"/>
            <w:vMerge w:val="continue"/>
            <w:shd w:val="clear" w:color="auto" w:fill="D9D9D9"/>
          </w:tcPr>
          <w:p>
            <w:pPr>
              <w:spacing w:after="0"/>
              <w:rPr>
                <w:sz w:val="12"/>
                <w:szCs w:val="12"/>
                <w:color w:val="auto"/>
              </w:rPr>
            </w:pPr>
          </w:p>
        </w:tc>
        <w:tc>
          <w:tcPr>
            <w:tcW w:w="13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720" w:type="dxa"/>
            <w:vAlign w:val="bottom"/>
            <w:tcBorders>
              <w:left w:val="single" w:sz="8" w:color="auto"/>
              <w:bottom w:val="single" w:sz="8" w:color="auto"/>
            </w:tcBorders>
            <w:vMerge w:val="continue"/>
            <w:shd w:val="clear" w:color="auto" w:fill="D9D9D9"/>
          </w:tcPr>
          <w:p>
            <w:pPr>
              <w:spacing w:after="0"/>
              <w:rPr>
                <w:sz w:val="13"/>
                <w:szCs w:val="13"/>
                <w:color w:val="auto"/>
              </w:rPr>
            </w:pPr>
          </w:p>
        </w:tc>
        <w:tc>
          <w:tcPr>
            <w:tcW w:w="1380" w:type="dxa"/>
            <w:vAlign w:val="bottom"/>
            <w:tcBorders>
              <w:bottom w:val="single" w:sz="8" w:color="auto"/>
            </w:tcBorders>
            <w:vMerge w:val="continue"/>
            <w:shd w:val="clear" w:color="auto" w:fill="D9D9D9"/>
          </w:tcPr>
          <w:p>
            <w:pPr>
              <w:spacing w:after="0"/>
              <w:rPr>
                <w:sz w:val="13"/>
                <w:szCs w:val="13"/>
                <w:color w:val="auto"/>
              </w:rPr>
            </w:pPr>
          </w:p>
        </w:tc>
        <w:tc>
          <w:tcPr>
            <w:tcW w:w="134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to Cast Your Vote</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Please vote your shares promptly using one of the methods listed below. See page 2 for additional voting information.</w:t>
      </w:r>
    </w:p>
    <w:p>
      <w:pPr>
        <w:spacing w:after="0" w:line="99" w:lineRule="exact"/>
        <w:rPr>
          <w:sz w:val="20"/>
          <w:szCs w:val="20"/>
          <w:color w:val="auto"/>
        </w:rPr>
      </w:pPr>
    </w:p>
    <w:tbl>
      <w:tblPr>
        <w:tblLayout w:type="fixed"/>
        <w:tblInd w:w="930" w:type="dxa"/>
        <w:tblCellMar>
          <w:top w:w="0" w:type="dxa"/>
          <w:left w:w="0" w:type="dxa"/>
          <w:bottom w:w="0" w:type="dxa"/>
          <w:right w:w="0" w:type="dxa"/>
        </w:tblCellMar>
      </w:tblPr>
      <w:tr>
        <w:trPr>
          <w:trHeight w:val="232"/>
        </w:trPr>
        <w:tc>
          <w:tcPr>
            <w:tcW w:w="234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6"/>
                <w:szCs w:val="16"/>
                <w:b w:val="1"/>
                <w:bCs w:val="1"/>
                <w:color w:val="C00000"/>
              </w:rPr>
              <w:t>By Internet</w:t>
            </w:r>
          </w:p>
        </w:tc>
        <w:tc>
          <w:tcPr>
            <w:tcW w:w="100" w:type="dxa"/>
            <w:vAlign w:val="bottom"/>
            <w:tcBorders>
              <w:right w:val="single" w:sz="8" w:color="auto"/>
            </w:tcBorders>
          </w:tcPr>
          <w:p>
            <w:pPr>
              <w:spacing w:after="0"/>
              <w:rPr>
                <w:sz w:val="20"/>
                <w:szCs w:val="20"/>
                <w:color w:val="auto"/>
              </w:rPr>
            </w:pPr>
          </w:p>
        </w:tc>
        <w:tc>
          <w:tcPr>
            <w:tcW w:w="17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By Phone</w:t>
            </w:r>
          </w:p>
        </w:tc>
        <w:tc>
          <w:tcPr>
            <w:tcW w:w="100" w:type="dxa"/>
            <w:vAlign w:val="bottom"/>
            <w:tcBorders>
              <w:right w:val="single" w:sz="8" w:color="auto"/>
            </w:tcBorders>
          </w:tcPr>
          <w:p>
            <w:pPr>
              <w:spacing w:after="0"/>
              <w:rPr>
                <w:sz w:val="20"/>
                <w:szCs w:val="20"/>
                <w:color w:val="auto"/>
              </w:rPr>
            </w:pPr>
          </w:p>
        </w:tc>
        <w:tc>
          <w:tcPr>
            <w:tcW w:w="212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By Mobile Device</w:t>
            </w:r>
          </w:p>
        </w:tc>
        <w:tc>
          <w:tcPr>
            <w:tcW w:w="60" w:type="dxa"/>
            <w:vAlign w:val="bottom"/>
            <w:tcBorders>
              <w:right w:val="single" w:sz="8" w:color="auto"/>
            </w:tcBorders>
          </w:tcPr>
          <w:p>
            <w:pPr>
              <w:spacing w:after="0"/>
              <w:rPr>
                <w:sz w:val="20"/>
                <w:szCs w:val="20"/>
                <w:color w:val="auto"/>
              </w:rPr>
            </w:pPr>
          </w:p>
        </w:tc>
        <w:tc>
          <w:tcPr>
            <w:tcW w:w="144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By Mail</w:t>
            </w:r>
          </w:p>
        </w:tc>
        <w:tc>
          <w:tcPr>
            <w:tcW w:w="100" w:type="dxa"/>
            <w:vAlign w:val="bottom"/>
            <w:tcBorders>
              <w:right w:val="single" w:sz="8" w:color="auto"/>
            </w:tcBorders>
          </w:tcPr>
          <w:p>
            <w:pPr>
              <w:spacing w:after="0"/>
              <w:rPr>
                <w:sz w:val="20"/>
                <w:szCs w:val="20"/>
                <w:color w:val="auto"/>
              </w:rPr>
            </w:pPr>
          </w:p>
        </w:tc>
        <w:tc>
          <w:tcPr>
            <w:tcW w:w="158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In Person</w:t>
            </w:r>
          </w:p>
        </w:tc>
      </w:tr>
      <w:tr>
        <w:trPr>
          <w:trHeight w:val="184"/>
        </w:trPr>
        <w:tc>
          <w:tcPr>
            <w:tcW w:w="23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6"/>
                <w:szCs w:val="16"/>
                <w:color w:val="auto"/>
              </w:rPr>
              <w:t>Go to</w:t>
            </w:r>
          </w:p>
        </w:tc>
        <w:tc>
          <w:tcPr>
            <w:tcW w:w="1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Call</w:t>
            </w:r>
          </w:p>
        </w:tc>
        <w:tc>
          <w:tcPr>
            <w:tcW w:w="10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Scan the QR code</w:t>
            </w:r>
          </w:p>
        </w:tc>
        <w:tc>
          <w:tcPr>
            <w:tcW w:w="6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Return your</w:t>
            </w:r>
          </w:p>
        </w:tc>
        <w:tc>
          <w:tcPr>
            <w:tcW w:w="1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Attend the</w:t>
            </w:r>
          </w:p>
        </w:tc>
      </w:tr>
      <w:tr>
        <w:trPr>
          <w:trHeight w:val="201"/>
        </w:trPr>
        <w:tc>
          <w:tcPr>
            <w:tcW w:w="234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16"/>
                <w:szCs w:val="16"/>
                <w:color w:val="auto"/>
              </w:rPr>
              <w:t>www.proxyvote.com</w:t>
            </w:r>
          </w:p>
        </w:tc>
        <w:tc>
          <w:tcPr>
            <w:tcW w:w="100" w:type="dxa"/>
            <w:vAlign w:val="bottom"/>
            <w:tcBorders>
              <w:right w:val="single" w:sz="8" w:color="auto"/>
            </w:tcBorders>
          </w:tcPr>
          <w:p>
            <w:pPr>
              <w:spacing w:after="0"/>
              <w:rPr>
                <w:sz w:val="17"/>
                <w:szCs w:val="17"/>
                <w:color w:val="auto"/>
              </w:rPr>
            </w:pPr>
          </w:p>
        </w:tc>
        <w:tc>
          <w:tcPr>
            <w:tcW w:w="176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800-690-6903</w:t>
            </w:r>
          </w:p>
        </w:tc>
        <w:tc>
          <w:tcPr>
            <w:tcW w:w="100" w:type="dxa"/>
            <w:vAlign w:val="bottom"/>
            <w:tcBorders>
              <w:right w:val="single" w:sz="8" w:color="auto"/>
            </w:tcBorders>
          </w:tcPr>
          <w:p>
            <w:pPr>
              <w:spacing w:after="0"/>
              <w:rPr>
                <w:sz w:val="17"/>
                <w:szCs w:val="17"/>
                <w:color w:val="auto"/>
              </w:rPr>
            </w:pPr>
          </w:p>
        </w:tc>
        <w:tc>
          <w:tcPr>
            <w:tcW w:w="2120" w:type="dxa"/>
            <w:vAlign w:val="bottom"/>
            <w:tcBorders>
              <w:bottom w:val="single" w:sz="8" w:color="D9D9D9"/>
              <w:right w:val="single" w:sz="8" w:color="auto"/>
            </w:tcBorders>
            <w:shd w:val="clear" w:color="auto" w:fill="D9D9D9"/>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4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proxy card</w:t>
            </w:r>
          </w:p>
        </w:tc>
        <w:tc>
          <w:tcPr>
            <w:tcW w:w="100" w:type="dxa"/>
            <w:vAlign w:val="bottom"/>
            <w:tcBorders>
              <w:right w:val="single" w:sz="8" w:color="auto"/>
            </w:tcBorders>
          </w:tcPr>
          <w:p>
            <w:pPr>
              <w:spacing w:after="0"/>
              <w:rPr>
                <w:sz w:val="17"/>
                <w:szCs w:val="17"/>
                <w:color w:val="auto"/>
              </w:rPr>
            </w:pPr>
          </w:p>
        </w:tc>
        <w:tc>
          <w:tcPr>
            <w:tcW w:w="158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meeting</w:t>
            </w:r>
          </w:p>
        </w:tc>
      </w:tr>
      <w:tr>
        <w:trPr>
          <w:trHeight w:val="20"/>
        </w:trPr>
        <w:tc>
          <w:tcPr>
            <w:tcW w:w="2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Corporate Governance Highlights</w:t>
      </w:r>
    </w:p>
    <w:p>
      <w:pPr>
        <w:spacing w:after="0" w:line="112" w:lineRule="exact"/>
        <w:rPr>
          <w:sz w:val="20"/>
          <w:szCs w:val="20"/>
          <w:color w:val="auto"/>
        </w:rPr>
      </w:pPr>
    </w:p>
    <w:p>
      <w:pPr>
        <w:ind w:right="600" w:firstLine="408"/>
        <w:spacing w:after="0" w:line="247" w:lineRule="auto"/>
        <w:rPr>
          <w:sz w:val="20"/>
          <w:szCs w:val="20"/>
          <w:color w:val="auto"/>
        </w:rPr>
      </w:pPr>
      <w:r>
        <w:rPr>
          <w:rFonts w:ascii="Arial" w:cs="Arial" w:eastAsia="Arial" w:hAnsi="Arial"/>
          <w:sz w:val="16"/>
          <w:szCs w:val="16"/>
          <w:color w:val="auto"/>
        </w:rPr>
        <w:t>Our Board provides oversight of critical matters such as our strategic plans, financial and other controls, risk management, merger and acquisition related activities, and management succession planning. The Board reviews our major governance documents, policies and processes regularly and thoughtfully determines the structures that are appropriate for our Company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7316470" cy="1120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6470" cy="1120140"/>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sectPr>
      </w:pPr>
    </w:p>
    <w:p>
      <w:pPr>
        <w:spacing w:after="0" w:line="143" w:lineRule="exact"/>
        <w:rPr>
          <w:sz w:val="20"/>
          <w:szCs w:val="20"/>
          <w:color w:val="auto"/>
        </w:rPr>
      </w:pPr>
    </w:p>
    <w:p>
      <w:pPr>
        <w:ind w:left="200" w:hanging="154"/>
        <w:spacing w:after="0"/>
        <w:tabs>
          <w:tab w:leader="none" w:pos="200" w:val="left"/>
        </w:tabs>
        <w:numPr>
          <w:ilvl w:val="0"/>
          <w:numId w:val="5"/>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All directors are independent, other than CEO</w:t>
      </w:r>
    </w:p>
    <w:p>
      <w:pPr>
        <w:spacing w:after="0" w:line="113" w:lineRule="exact"/>
        <w:rPr>
          <w:rFonts w:ascii="MS PGothic" w:cs="MS PGothic" w:eastAsia="MS PGothic" w:hAnsi="MS PGothic"/>
          <w:sz w:val="15"/>
          <w:szCs w:val="15"/>
          <w:color w:val="auto"/>
          <w:shd w:val="clear" w:color="auto" w:fill="C00000"/>
        </w:rPr>
      </w:pPr>
    </w:p>
    <w:p>
      <w:pPr>
        <w:ind w:left="200" w:hanging="154"/>
        <w:spacing w:after="0"/>
        <w:tabs>
          <w:tab w:leader="none" w:pos="200" w:val="left"/>
        </w:tabs>
        <w:numPr>
          <w:ilvl w:val="0"/>
          <w:numId w:val="5"/>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Robust lead director structure</w:t>
      </w:r>
    </w:p>
    <w:p>
      <w:pPr>
        <w:spacing w:after="0" w:line="64" w:lineRule="exact"/>
        <w:rPr>
          <w:rFonts w:ascii="MS PGothic" w:cs="MS PGothic" w:eastAsia="MS PGothic" w:hAnsi="MS PGothic"/>
          <w:sz w:val="15"/>
          <w:szCs w:val="15"/>
          <w:color w:val="auto"/>
          <w:shd w:val="clear" w:color="auto" w:fill="C00000"/>
        </w:rPr>
      </w:pPr>
    </w:p>
    <w:p>
      <w:pPr>
        <w:ind w:left="200" w:hanging="154"/>
        <w:spacing w:after="0" w:line="204" w:lineRule="auto"/>
        <w:tabs>
          <w:tab w:leader="none" w:pos="200" w:val="left"/>
        </w:tabs>
        <w:numPr>
          <w:ilvl w:val="0"/>
          <w:numId w:val="5"/>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Regular executive sessions of independent directors</w:t>
      </w:r>
    </w:p>
    <w:p>
      <w:pPr>
        <w:spacing w:after="0" w:line="235" w:lineRule="exact"/>
        <w:rPr>
          <w:rFonts w:ascii="MS PGothic" w:cs="MS PGothic" w:eastAsia="MS PGothic" w:hAnsi="MS PGothic"/>
          <w:sz w:val="23"/>
          <w:szCs w:val="23"/>
          <w:color w:val="auto"/>
          <w:vertAlign w:val="subscript"/>
          <w:shd w:val="clear" w:color="auto" w:fill="C00000"/>
        </w:rPr>
      </w:pPr>
    </w:p>
    <w:p>
      <w:pPr>
        <w:ind w:left="200" w:hanging="154"/>
        <w:spacing w:after="0"/>
        <w:tabs>
          <w:tab w:leader="none" w:pos="200" w:val="left"/>
        </w:tabs>
        <w:numPr>
          <w:ilvl w:val="0"/>
          <w:numId w:val="5"/>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Anti-hedging and anti-pledging policy for Toro common stock</w:t>
      </w:r>
    </w:p>
    <w:p>
      <w:pPr>
        <w:spacing w:after="0" w:line="235" w:lineRule="exact"/>
        <w:rPr>
          <w:rFonts w:ascii="MS PGothic" w:cs="MS PGothic" w:eastAsia="MS PGothic" w:hAnsi="MS PGothic"/>
          <w:sz w:val="23"/>
          <w:szCs w:val="23"/>
          <w:color w:val="auto"/>
          <w:vertAlign w:val="subscript"/>
          <w:shd w:val="clear" w:color="auto" w:fill="C00000"/>
        </w:rPr>
      </w:pPr>
    </w:p>
    <w:p>
      <w:pPr>
        <w:ind w:left="200" w:hanging="154"/>
        <w:spacing w:after="0"/>
        <w:tabs>
          <w:tab w:leader="none" w:pos="200" w:val="left"/>
        </w:tabs>
        <w:numPr>
          <w:ilvl w:val="0"/>
          <w:numId w:val="5"/>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Codes of Conduct and Ethics for directors, executive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101600</wp:posOffset>
            </wp:positionV>
            <wp:extent cx="6994525" cy="194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4525" cy="194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58" w:hanging="158"/>
        <w:spacing w:after="0"/>
        <w:tabs>
          <w:tab w:leader="none" w:pos="158" w:val="left"/>
        </w:tabs>
        <w:numPr>
          <w:ilvl w:val="0"/>
          <w:numId w:val="6"/>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Robust stock ownership guidelines for directors and executive officers</w:t>
      </w:r>
    </w:p>
    <w:p>
      <w:pPr>
        <w:spacing w:after="0" w:line="299" w:lineRule="exact"/>
        <w:rPr>
          <w:rFonts w:ascii="MS PGothic" w:cs="MS PGothic" w:eastAsia="MS PGothic" w:hAnsi="MS PGothic"/>
          <w:sz w:val="15"/>
          <w:szCs w:val="15"/>
          <w:color w:val="auto"/>
          <w:shd w:val="clear" w:color="auto" w:fill="C00000"/>
        </w:rPr>
      </w:pPr>
    </w:p>
    <w:p>
      <w:pPr>
        <w:ind w:left="158" w:hanging="158"/>
        <w:spacing w:after="0"/>
        <w:tabs>
          <w:tab w:leader="none" w:pos="158" w:val="left"/>
        </w:tabs>
        <w:numPr>
          <w:ilvl w:val="0"/>
          <w:numId w:val="6"/>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Comprehensive strategy and risk oversight by the Board and its Committees</w:t>
      </w:r>
    </w:p>
    <w:p>
      <w:pPr>
        <w:spacing w:after="0" w:line="269" w:lineRule="exact"/>
        <w:rPr>
          <w:rFonts w:ascii="MS PGothic" w:cs="MS PGothic" w:eastAsia="MS PGothic" w:hAnsi="MS PGothic"/>
          <w:sz w:val="23"/>
          <w:szCs w:val="23"/>
          <w:color w:val="auto"/>
          <w:vertAlign w:val="subscript"/>
          <w:shd w:val="clear" w:color="auto" w:fill="C00000"/>
        </w:rPr>
      </w:pPr>
    </w:p>
    <w:p>
      <w:pPr>
        <w:ind w:left="158" w:hanging="158"/>
        <w:spacing w:after="0"/>
        <w:tabs>
          <w:tab w:leader="none" w:pos="158" w:val="left"/>
        </w:tabs>
        <w:numPr>
          <w:ilvl w:val="0"/>
          <w:numId w:val="6"/>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Annual Board and Committee self-evaluations</w:t>
      </w:r>
    </w:p>
    <w:p>
      <w:pPr>
        <w:spacing w:after="0" w:line="309" w:lineRule="exact"/>
        <w:rPr>
          <w:rFonts w:ascii="MS PGothic" w:cs="MS PGothic" w:eastAsia="MS PGothic" w:hAnsi="MS PGothic"/>
          <w:sz w:val="15"/>
          <w:szCs w:val="15"/>
          <w:color w:val="auto"/>
          <w:shd w:val="clear" w:color="auto" w:fill="C00000"/>
        </w:rPr>
      </w:pPr>
    </w:p>
    <w:p>
      <w:pPr>
        <w:ind w:left="158" w:hanging="158"/>
        <w:spacing w:after="0"/>
        <w:tabs>
          <w:tab w:leader="none" w:pos="158" w:val="left"/>
        </w:tabs>
        <w:numPr>
          <w:ilvl w:val="0"/>
          <w:numId w:val="6"/>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Fiscal 2018 Board and Committee meeting attendance of 96%</w:t>
      </w:r>
    </w:p>
    <w:p>
      <w:pPr>
        <w:spacing w:after="0" w:line="239" w:lineRule="exact"/>
        <w:rPr>
          <w:sz w:val="20"/>
          <w:szCs w:val="20"/>
          <w:color w:val="auto"/>
        </w:rPr>
      </w:pPr>
    </w:p>
    <w:p>
      <w:pPr>
        <w:sectPr>
          <w:pgSz w:w="11900" w:h="16838" w:orient="portrait"/>
          <w:cols w:equalWidth="0" w:num="2">
            <w:col w:w="5740" w:space="102"/>
            <w:col w:w="5678"/>
          </w:cols>
          <w:pgMar w:left="240" w:top="140" w:right="139"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C00000"/>
        </w:rPr>
        <w:t>Upon the election of all director nominees at the 2019 Annual Meeting of Shareholders, the Board will have the following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98425</wp:posOffset>
            </wp:positionV>
            <wp:extent cx="3757930" cy="295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57930" cy="295910"/>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type w:val="continuous"/>
        </w:sectPr>
      </w:pPr>
    </w:p>
    <w:p>
      <w:pPr>
        <w:spacing w:after="0" w:line="184"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C00000"/>
        </w:rPr>
        <w:t>Average Age</w:t>
      </w:r>
    </w:p>
    <w:p>
      <w:pPr>
        <w:spacing w:after="0" w:line="20"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85725</wp:posOffset>
            </wp:positionV>
            <wp:extent cx="1844040" cy="41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4040" cy="412115"/>
                    </a:xfrm>
                    <a:prstGeom prst="rect">
                      <a:avLst/>
                    </a:prstGeom>
                    <a:noFill/>
                  </pic:spPr>
                </pic:pic>
              </a:graphicData>
            </a:graphic>
          </wp:anchor>
        </w:drawing>
      </w:r>
    </w:p>
    <w:p>
      <w:pPr>
        <w:spacing w:after="0" w:line="144"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C00000"/>
        </w:rPr>
        <w:t>New Directors in the</w:t>
      </w:r>
    </w:p>
    <w:p>
      <w:pPr>
        <w:spacing w:after="0" w:line="20"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C00000"/>
        </w:rPr>
        <w:t>Last 5 Years</w:t>
      </w:r>
    </w:p>
    <w:p>
      <w:pPr>
        <w:ind w:left="4160"/>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410"/>
        <w:spacing w:after="0"/>
        <w:rPr>
          <w:sz w:val="20"/>
          <w:szCs w:val="20"/>
          <w:color w:val="auto"/>
        </w:rPr>
      </w:pPr>
      <w:r>
        <w:rPr>
          <w:rFonts w:ascii="Arial" w:cs="Arial" w:eastAsia="Arial" w:hAnsi="Arial"/>
          <w:sz w:val="16"/>
          <w:szCs w:val="16"/>
          <w:b w:val="1"/>
          <w:bCs w:val="1"/>
          <w:color w:val="C00000"/>
        </w:rPr>
        <w:t>Average Tenure</w:t>
      </w:r>
    </w:p>
    <w:p>
      <w:pPr>
        <w:spacing w:after="0" w:line="20" w:lineRule="exact"/>
        <w:rPr>
          <w:sz w:val="20"/>
          <w:szCs w:val="20"/>
          <w:color w:val="auto"/>
        </w:rPr>
      </w:pPr>
    </w:p>
    <w:p>
      <w:pPr>
        <w:ind w:left="530"/>
        <w:spacing w:after="0"/>
        <w:rPr>
          <w:sz w:val="20"/>
          <w:szCs w:val="20"/>
          <w:color w:val="auto"/>
        </w:rPr>
      </w:pPr>
      <w:r>
        <w:rPr>
          <w:rFonts w:ascii="Arial" w:cs="Arial" w:eastAsia="Arial" w:hAnsi="Arial"/>
          <w:sz w:val="16"/>
          <w:szCs w:val="16"/>
          <w:b w:val="1"/>
          <w:bCs w:val="1"/>
          <w:color w:val="auto"/>
        </w:rPr>
        <w:t>8.5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85725</wp:posOffset>
            </wp:positionV>
            <wp:extent cx="1851660" cy="412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1660" cy="412115"/>
                    </a:xfrm>
                    <a:prstGeom prst="rect">
                      <a:avLst/>
                    </a:prstGeom>
                    <a:noFill/>
                  </pic:spPr>
                </pic:pic>
              </a:graphicData>
            </a:graphic>
          </wp:anchor>
        </w:drawing>
      </w:r>
    </w:p>
    <w:p>
      <w:pPr>
        <w:spacing w:after="0" w:line="144" w:lineRule="exact"/>
        <w:rPr>
          <w:sz w:val="20"/>
          <w:szCs w:val="20"/>
          <w:color w:val="auto"/>
        </w:rPr>
      </w:pPr>
    </w:p>
    <w:p>
      <w:pPr>
        <w:jc w:val="both"/>
        <w:ind w:left="10" w:right="3420" w:hanging="10"/>
        <w:spacing w:after="0" w:line="252" w:lineRule="auto"/>
        <w:tabs>
          <w:tab w:leader="none" w:pos="199" w:val="left"/>
        </w:tabs>
        <w:numPr>
          <w:ilvl w:val="0"/>
          <w:numId w:val="7"/>
        </w:numPr>
        <w:rPr>
          <w:rFonts w:ascii="Arial" w:cs="Arial" w:eastAsia="Arial" w:hAnsi="Arial"/>
          <w:sz w:val="16"/>
          <w:szCs w:val="16"/>
          <w:b w:val="1"/>
          <w:bCs w:val="1"/>
          <w:color w:val="C00000"/>
        </w:rPr>
      </w:pPr>
      <w:r>
        <w:rPr>
          <w:rFonts w:ascii="Arial" w:cs="Arial" w:eastAsia="Arial" w:hAnsi="Arial"/>
          <w:sz w:val="16"/>
          <w:szCs w:val="16"/>
          <w:b w:val="1"/>
          <w:bCs w:val="1"/>
          <w:color w:val="C00000"/>
        </w:rPr>
        <w:t>of Directors who are Diverse and/or Women</w:t>
      </w:r>
    </w:p>
    <w:p>
      <w:pPr>
        <w:spacing w:after="0" w:line="1" w:lineRule="exact"/>
        <w:rPr>
          <w:rFonts w:ascii="Arial" w:cs="Arial" w:eastAsia="Arial" w:hAnsi="Arial"/>
          <w:sz w:val="16"/>
          <w:szCs w:val="16"/>
          <w:b w:val="1"/>
          <w:bCs w:val="1"/>
          <w:color w:val="C00000"/>
        </w:rPr>
      </w:pPr>
    </w:p>
    <w:p>
      <w:pPr>
        <w:ind w:left="730"/>
        <w:spacing w:after="0"/>
        <w:rPr>
          <w:rFonts w:ascii="Arial" w:cs="Arial" w:eastAsia="Arial" w:hAnsi="Arial"/>
          <w:sz w:val="16"/>
          <w:szCs w:val="16"/>
          <w:b w:val="1"/>
          <w:bCs w:val="1"/>
          <w:color w:val="C00000"/>
        </w:rPr>
      </w:pPr>
      <w:r>
        <w:rPr>
          <w:rFonts w:ascii="Arial" w:cs="Arial" w:eastAsia="Arial" w:hAnsi="Arial"/>
          <w:sz w:val="16"/>
          <w:szCs w:val="16"/>
          <w:b w:val="1"/>
          <w:bCs w:val="1"/>
          <w:color w:val="auto"/>
        </w:rPr>
        <w:t>36%</w:t>
      </w:r>
    </w:p>
    <w:p>
      <w:pPr>
        <w:spacing w:after="0" w:line="200" w:lineRule="exact"/>
        <w:rPr>
          <w:sz w:val="20"/>
          <w:szCs w:val="20"/>
          <w:color w:val="auto"/>
        </w:rPr>
      </w:pPr>
    </w:p>
    <w:p>
      <w:pPr>
        <w:sectPr>
          <w:pgSz w:w="11900" w:h="16838" w:orient="portrait"/>
          <w:cols w:equalWidth="0" w:num="2">
            <w:col w:w="5610" w:space="720"/>
            <w:col w:w="5190"/>
          </w:cols>
          <w:pgMar w:left="240" w:top="140" w:right="139" w:bottom="1440" w:gutter="0" w:footer="0" w:header="0"/>
          <w:type w:val="continuous"/>
        </w:sectPr>
      </w:pP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29996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About our Board of Directors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20" w:type="dxa"/>
            <w:vAlign w:val="bottom"/>
            <w:shd w:val="clear" w:color="auto" w:fill="C00000"/>
          </w:tcPr>
          <w:p>
            <w:pPr>
              <w:spacing w:after="0"/>
              <w:rPr>
                <w:sz w:val="17"/>
                <w:szCs w:val="17"/>
                <w:color w:val="auto"/>
              </w:rPr>
            </w:pPr>
          </w:p>
        </w:tc>
        <w:tc>
          <w:tcPr>
            <w:tcW w:w="2800" w:type="dxa"/>
            <w:vAlign w:val="bottom"/>
            <w:shd w:val="clear" w:color="auto" w:fill="C00000"/>
          </w:tcPr>
          <w:p>
            <w:pPr>
              <w:spacing w:after="0"/>
              <w:rPr>
                <w:sz w:val="17"/>
                <w:szCs w:val="17"/>
                <w:color w:val="auto"/>
              </w:rPr>
            </w:pPr>
          </w:p>
        </w:tc>
        <w:tc>
          <w:tcPr>
            <w:tcW w:w="800" w:type="dxa"/>
            <w:vAlign w:val="bottom"/>
            <w:shd w:val="clear" w:color="auto" w:fill="C00000"/>
          </w:tcPr>
          <w:p>
            <w:pPr>
              <w:spacing w:after="0"/>
              <w:rPr>
                <w:sz w:val="17"/>
                <w:szCs w:val="17"/>
                <w:color w:val="auto"/>
              </w:rPr>
            </w:pPr>
          </w:p>
        </w:tc>
        <w:tc>
          <w:tcPr>
            <w:tcW w:w="780" w:type="dxa"/>
            <w:vAlign w:val="bottom"/>
            <w:shd w:val="clear" w:color="auto" w:fill="C00000"/>
          </w:tcPr>
          <w:p>
            <w:pPr>
              <w:spacing w:after="0"/>
              <w:rPr>
                <w:sz w:val="17"/>
                <w:szCs w:val="17"/>
                <w:color w:val="auto"/>
              </w:rPr>
            </w:pPr>
          </w:p>
        </w:tc>
        <w:tc>
          <w:tcPr>
            <w:tcW w:w="1380" w:type="dxa"/>
            <w:vAlign w:val="bottom"/>
            <w:shd w:val="clear" w:color="auto" w:fill="C00000"/>
          </w:tcPr>
          <w:p>
            <w:pPr>
              <w:spacing w:after="0"/>
              <w:rPr>
                <w:sz w:val="17"/>
                <w:szCs w:val="17"/>
                <w:color w:val="auto"/>
              </w:rPr>
            </w:pPr>
          </w:p>
        </w:tc>
        <w:tc>
          <w:tcPr>
            <w:tcW w:w="700" w:type="dxa"/>
            <w:vAlign w:val="bottom"/>
            <w:shd w:val="clear" w:color="auto" w:fill="C00000"/>
          </w:tcPr>
          <w:p>
            <w:pPr>
              <w:spacing w:after="0"/>
              <w:rPr>
                <w:sz w:val="17"/>
                <w:szCs w:val="17"/>
                <w:color w:val="auto"/>
              </w:rPr>
            </w:pPr>
          </w:p>
        </w:tc>
        <w:tc>
          <w:tcPr>
            <w:tcW w:w="1960" w:type="dxa"/>
            <w:vAlign w:val="bottom"/>
            <w:gridSpan w:val="2"/>
            <w:shd w:val="clear" w:color="auto" w:fill="C00000"/>
          </w:tcPr>
          <w:p>
            <w:pPr>
              <w:ind w:left="180"/>
              <w:spacing w:after="0"/>
              <w:rPr>
                <w:sz w:val="20"/>
                <w:szCs w:val="20"/>
                <w:color w:val="auto"/>
              </w:rPr>
            </w:pPr>
            <w:r>
              <w:rPr>
                <w:rFonts w:ascii="Arial" w:cs="Arial" w:eastAsia="Arial" w:hAnsi="Arial"/>
                <w:sz w:val="13"/>
                <w:szCs w:val="13"/>
                <w:b w:val="1"/>
                <w:bCs w:val="1"/>
                <w:color w:val="FFFFFF"/>
              </w:rPr>
              <w:t>Committee Memberships</w:t>
            </w:r>
          </w:p>
        </w:tc>
        <w:tc>
          <w:tcPr>
            <w:tcW w:w="420" w:type="dxa"/>
            <w:vAlign w:val="bottom"/>
            <w:shd w:val="clear" w:color="auto" w:fill="C00000"/>
          </w:tcPr>
          <w:p>
            <w:pPr>
              <w:spacing w:after="0"/>
              <w:rPr>
                <w:sz w:val="17"/>
                <w:szCs w:val="17"/>
                <w:color w:val="auto"/>
              </w:rPr>
            </w:pPr>
          </w:p>
        </w:tc>
        <w:tc>
          <w:tcPr>
            <w:tcW w:w="8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Other</w:t>
            </w:r>
          </w:p>
        </w:tc>
        <w:tc>
          <w:tcPr>
            <w:tcW w:w="0" w:type="dxa"/>
            <w:vAlign w:val="bottom"/>
          </w:tcPr>
          <w:p>
            <w:pPr>
              <w:spacing w:after="0"/>
              <w:rPr>
                <w:sz w:val="1"/>
                <w:szCs w:val="1"/>
                <w:color w:val="auto"/>
              </w:rPr>
            </w:pPr>
          </w:p>
        </w:tc>
      </w:tr>
      <w:tr>
        <w:trPr>
          <w:trHeight w:val="160"/>
        </w:trPr>
        <w:tc>
          <w:tcPr>
            <w:tcW w:w="1720" w:type="dxa"/>
            <w:vAlign w:val="bottom"/>
            <w:shd w:val="clear" w:color="auto" w:fill="C00000"/>
          </w:tcPr>
          <w:p>
            <w:pPr>
              <w:spacing w:after="0"/>
              <w:rPr>
                <w:sz w:val="13"/>
                <w:szCs w:val="13"/>
                <w:color w:val="auto"/>
              </w:rPr>
            </w:pPr>
          </w:p>
        </w:tc>
        <w:tc>
          <w:tcPr>
            <w:tcW w:w="2800" w:type="dxa"/>
            <w:vAlign w:val="bottom"/>
            <w:shd w:val="clear" w:color="auto" w:fill="C00000"/>
          </w:tcPr>
          <w:p>
            <w:pPr>
              <w:spacing w:after="0"/>
              <w:rPr>
                <w:sz w:val="13"/>
                <w:szCs w:val="13"/>
                <w:color w:val="auto"/>
              </w:rPr>
            </w:pPr>
          </w:p>
        </w:tc>
        <w:tc>
          <w:tcPr>
            <w:tcW w:w="800" w:type="dxa"/>
            <w:vAlign w:val="bottom"/>
            <w:shd w:val="clear" w:color="auto" w:fill="C00000"/>
          </w:tcPr>
          <w:p>
            <w:pPr>
              <w:spacing w:after="0"/>
              <w:rPr>
                <w:sz w:val="13"/>
                <w:szCs w:val="13"/>
                <w:color w:val="auto"/>
              </w:rPr>
            </w:pPr>
          </w:p>
        </w:tc>
        <w:tc>
          <w:tcPr>
            <w:tcW w:w="780" w:type="dxa"/>
            <w:vAlign w:val="bottom"/>
            <w:shd w:val="clear" w:color="auto" w:fill="C00000"/>
          </w:tcPr>
          <w:p>
            <w:pPr>
              <w:jc w:val="center"/>
              <w:ind w:left="168"/>
              <w:spacing w:after="0"/>
              <w:rPr>
                <w:sz w:val="20"/>
                <w:szCs w:val="20"/>
                <w:color w:val="auto"/>
              </w:rPr>
            </w:pPr>
            <w:r>
              <w:rPr>
                <w:rFonts w:ascii="Arial" w:cs="Arial" w:eastAsia="Arial" w:hAnsi="Arial"/>
                <w:sz w:val="13"/>
                <w:szCs w:val="13"/>
                <w:b w:val="1"/>
                <w:bCs w:val="1"/>
                <w:color w:val="FFFFFF"/>
              </w:rPr>
              <w:t>Director</w:t>
            </w:r>
          </w:p>
        </w:tc>
        <w:tc>
          <w:tcPr>
            <w:tcW w:w="1380" w:type="dxa"/>
            <w:vAlign w:val="bottom"/>
            <w:shd w:val="clear" w:color="auto" w:fill="C00000"/>
          </w:tcPr>
          <w:p>
            <w:pPr>
              <w:spacing w:after="0"/>
              <w:rPr>
                <w:sz w:val="13"/>
                <w:szCs w:val="13"/>
                <w:color w:val="auto"/>
              </w:rPr>
            </w:pPr>
          </w:p>
        </w:tc>
        <w:tc>
          <w:tcPr>
            <w:tcW w:w="700" w:type="dxa"/>
            <w:vAlign w:val="bottom"/>
            <w:shd w:val="clear" w:color="auto" w:fill="C00000"/>
          </w:tcPr>
          <w:p>
            <w:pPr>
              <w:spacing w:after="0"/>
              <w:rPr>
                <w:sz w:val="13"/>
                <w:szCs w:val="13"/>
                <w:color w:val="auto"/>
              </w:rPr>
            </w:pPr>
          </w:p>
        </w:tc>
        <w:tc>
          <w:tcPr>
            <w:tcW w:w="940" w:type="dxa"/>
            <w:vAlign w:val="bottom"/>
            <w:shd w:val="clear" w:color="auto" w:fill="C00000"/>
          </w:tcPr>
          <w:p>
            <w:pPr>
              <w:spacing w:after="0"/>
              <w:rPr>
                <w:sz w:val="13"/>
                <w:szCs w:val="13"/>
                <w:color w:val="auto"/>
              </w:rPr>
            </w:pPr>
          </w:p>
        </w:tc>
        <w:tc>
          <w:tcPr>
            <w:tcW w:w="1020" w:type="dxa"/>
            <w:vAlign w:val="bottom"/>
            <w:shd w:val="clear" w:color="auto" w:fill="C00000"/>
          </w:tcPr>
          <w:p>
            <w:pPr>
              <w:spacing w:after="0"/>
              <w:rPr>
                <w:sz w:val="13"/>
                <w:szCs w:val="13"/>
                <w:color w:val="auto"/>
              </w:rPr>
            </w:pPr>
          </w:p>
        </w:tc>
        <w:tc>
          <w:tcPr>
            <w:tcW w:w="420" w:type="dxa"/>
            <w:vAlign w:val="bottom"/>
            <w:shd w:val="clear" w:color="auto" w:fill="C00000"/>
          </w:tcPr>
          <w:p>
            <w:pPr>
              <w:spacing w:after="0"/>
              <w:rPr>
                <w:sz w:val="13"/>
                <w:szCs w:val="13"/>
                <w:color w:val="auto"/>
              </w:rPr>
            </w:pPr>
          </w:p>
        </w:tc>
        <w:tc>
          <w:tcPr>
            <w:tcW w:w="8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Public</w:t>
            </w:r>
          </w:p>
        </w:tc>
        <w:tc>
          <w:tcPr>
            <w:tcW w:w="0" w:type="dxa"/>
            <w:vAlign w:val="bottom"/>
          </w:tcPr>
          <w:p>
            <w:pPr>
              <w:spacing w:after="0"/>
              <w:rPr>
                <w:sz w:val="1"/>
                <w:szCs w:val="1"/>
                <w:color w:val="auto"/>
              </w:rPr>
            </w:pPr>
          </w:p>
        </w:tc>
      </w:tr>
      <w:tr>
        <w:trPr>
          <w:trHeight w:val="159"/>
        </w:trPr>
        <w:tc>
          <w:tcPr>
            <w:tcW w:w="1720" w:type="dxa"/>
            <w:vAlign w:val="bottom"/>
            <w:shd w:val="clear" w:color="auto" w:fill="C00000"/>
          </w:tcPr>
          <w:p>
            <w:pPr>
              <w:spacing w:after="0"/>
              <w:rPr>
                <w:sz w:val="13"/>
                <w:szCs w:val="13"/>
                <w:color w:val="auto"/>
              </w:rPr>
            </w:pPr>
          </w:p>
        </w:tc>
        <w:tc>
          <w:tcPr>
            <w:tcW w:w="2800" w:type="dxa"/>
            <w:vAlign w:val="bottom"/>
            <w:shd w:val="clear" w:color="auto" w:fill="C00000"/>
          </w:tcPr>
          <w:p>
            <w:pPr>
              <w:ind w:left="60"/>
              <w:spacing w:after="0"/>
              <w:rPr>
                <w:sz w:val="20"/>
                <w:szCs w:val="20"/>
                <w:color w:val="auto"/>
              </w:rPr>
            </w:pPr>
            <w:r>
              <w:rPr>
                <w:rFonts w:ascii="Arial" w:cs="Arial" w:eastAsia="Arial" w:hAnsi="Arial"/>
                <w:sz w:val="13"/>
                <w:szCs w:val="13"/>
                <w:b w:val="1"/>
                <w:bCs w:val="1"/>
                <w:color w:val="FFFFFF"/>
              </w:rPr>
              <w:t>Name and Title</w:t>
            </w:r>
          </w:p>
        </w:tc>
        <w:tc>
          <w:tcPr>
            <w:tcW w:w="800" w:type="dxa"/>
            <w:vAlign w:val="bottom"/>
            <w:shd w:val="clear" w:color="auto" w:fill="C00000"/>
          </w:tcPr>
          <w:p>
            <w:pPr>
              <w:jc w:val="right"/>
              <w:ind w:right="207"/>
              <w:spacing w:after="0"/>
              <w:rPr>
                <w:sz w:val="20"/>
                <w:szCs w:val="20"/>
                <w:color w:val="auto"/>
              </w:rPr>
            </w:pPr>
            <w:r>
              <w:rPr>
                <w:rFonts w:ascii="Arial" w:cs="Arial" w:eastAsia="Arial" w:hAnsi="Arial"/>
                <w:sz w:val="13"/>
                <w:szCs w:val="13"/>
                <w:b w:val="1"/>
                <w:bCs w:val="1"/>
                <w:color w:val="FFFFFF"/>
              </w:rPr>
              <w:t>Age</w:t>
            </w:r>
          </w:p>
        </w:tc>
        <w:tc>
          <w:tcPr>
            <w:tcW w:w="780" w:type="dxa"/>
            <w:vAlign w:val="bottom"/>
            <w:shd w:val="clear" w:color="auto" w:fill="C00000"/>
          </w:tcPr>
          <w:p>
            <w:pPr>
              <w:jc w:val="center"/>
              <w:ind w:left="168"/>
              <w:spacing w:after="0"/>
              <w:rPr>
                <w:sz w:val="20"/>
                <w:szCs w:val="20"/>
                <w:color w:val="auto"/>
              </w:rPr>
            </w:pPr>
            <w:r>
              <w:rPr>
                <w:rFonts w:ascii="Arial" w:cs="Arial" w:eastAsia="Arial" w:hAnsi="Arial"/>
                <w:sz w:val="13"/>
                <w:szCs w:val="13"/>
                <w:b w:val="1"/>
                <w:bCs w:val="1"/>
                <w:color w:val="FFFFFF"/>
                <w:w w:val="97"/>
              </w:rPr>
              <w:t>Since</w:t>
            </w:r>
          </w:p>
        </w:tc>
        <w:tc>
          <w:tcPr>
            <w:tcW w:w="1380" w:type="dxa"/>
            <w:vAlign w:val="bottom"/>
            <w:shd w:val="clear" w:color="auto" w:fill="C00000"/>
          </w:tcPr>
          <w:p>
            <w:pPr>
              <w:jc w:val="center"/>
              <w:ind w:left="227"/>
              <w:spacing w:after="0"/>
              <w:rPr>
                <w:sz w:val="20"/>
                <w:szCs w:val="20"/>
                <w:color w:val="auto"/>
              </w:rPr>
            </w:pPr>
            <w:r>
              <w:rPr>
                <w:rFonts w:ascii="Arial" w:cs="Arial" w:eastAsia="Arial" w:hAnsi="Arial"/>
                <w:sz w:val="13"/>
                <w:szCs w:val="13"/>
                <w:b w:val="1"/>
                <w:bCs w:val="1"/>
                <w:color w:val="FFFFFF"/>
                <w:w w:val="98"/>
              </w:rPr>
              <w:t>Independent</w:t>
            </w:r>
          </w:p>
        </w:tc>
        <w:tc>
          <w:tcPr>
            <w:tcW w:w="700" w:type="dxa"/>
            <w:vAlign w:val="bottom"/>
            <w:shd w:val="clear" w:color="auto" w:fill="C00000"/>
          </w:tcPr>
          <w:p>
            <w:pPr>
              <w:ind w:left="420"/>
              <w:spacing w:after="0"/>
              <w:rPr>
                <w:sz w:val="20"/>
                <w:szCs w:val="20"/>
                <w:color w:val="auto"/>
              </w:rPr>
            </w:pPr>
            <w:r>
              <w:rPr>
                <w:rFonts w:ascii="Arial" w:cs="Arial" w:eastAsia="Arial" w:hAnsi="Arial"/>
                <w:sz w:val="13"/>
                <w:szCs w:val="13"/>
                <w:b w:val="1"/>
                <w:bCs w:val="1"/>
                <w:color w:val="FFFFFF"/>
              </w:rPr>
              <w:t>A</w:t>
            </w:r>
          </w:p>
        </w:tc>
        <w:tc>
          <w:tcPr>
            <w:tcW w:w="940" w:type="dxa"/>
            <w:vAlign w:val="bottom"/>
            <w:shd w:val="clear" w:color="auto" w:fill="C00000"/>
          </w:tcPr>
          <w:p>
            <w:pPr>
              <w:ind w:left="480"/>
              <w:spacing w:after="0"/>
              <w:rPr>
                <w:sz w:val="20"/>
                <w:szCs w:val="20"/>
                <w:color w:val="auto"/>
              </w:rPr>
            </w:pPr>
            <w:r>
              <w:rPr>
                <w:rFonts w:ascii="Arial" w:cs="Arial" w:eastAsia="Arial" w:hAnsi="Arial"/>
                <w:sz w:val="13"/>
                <w:szCs w:val="13"/>
                <w:b w:val="1"/>
                <w:bCs w:val="1"/>
                <w:color w:val="FFFFFF"/>
              </w:rPr>
              <w:t>F</w:t>
            </w:r>
          </w:p>
        </w:tc>
        <w:tc>
          <w:tcPr>
            <w:tcW w:w="1020" w:type="dxa"/>
            <w:vAlign w:val="bottom"/>
            <w:shd w:val="clear" w:color="auto" w:fill="C00000"/>
          </w:tcPr>
          <w:p>
            <w:pPr>
              <w:ind w:left="360"/>
              <w:spacing w:after="0"/>
              <w:rPr>
                <w:sz w:val="20"/>
                <w:szCs w:val="20"/>
                <w:color w:val="auto"/>
              </w:rPr>
            </w:pPr>
            <w:r>
              <w:rPr>
                <w:rFonts w:ascii="Arial" w:cs="Arial" w:eastAsia="Arial" w:hAnsi="Arial"/>
                <w:sz w:val="13"/>
                <w:szCs w:val="13"/>
                <w:b w:val="1"/>
                <w:bCs w:val="1"/>
                <w:color w:val="FFFFFF"/>
              </w:rPr>
              <w:t>N</w:t>
            </w:r>
          </w:p>
        </w:tc>
        <w:tc>
          <w:tcPr>
            <w:tcW w:w="420" w:type="dxa"/>
            <w:vAlign w:val="bottom"/>
            <w:shd w:val="clear" w:color="auto" w:fill="C00000"/>
          </w:tcPr>
          <w:p>
            <w:pPr>
              <w:ind w:left="100"/>
              <w:spacing w:after="0"/>
              <w:rPr>
                <w:sz w:val="20"/>
                <w:szCs w:val="20"/>
                <w:color w:val="auto"/>
              </w:rPr>
            </w:pPr>
            <w:r>
              <w:rPr>
                <w:rFonts w:ascii="Arial" w:cs="Arial" w:eastAsia="Arial" w:hAnsi="Arial"/>
                <w:sz w:val="13"/>
                <w:szCs w:val="13"/>
                <w:b w:val="1"/>
                <w:bCs w:val="1"/>
                <w:color w:val="FFFFFF"/>
              </w:rPr>
              <w:t>C</w:t>
            </w:r>
          </w:p>
        </w:tc>
        <w:tc>
          <w:tcPr>
            <w:tcW w:w="8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8"/>
              </w:rPr>
              <w:t>Boards</w:t>
            </w: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r>
              <w:rPr>
                <w:rFonts w:ascii="Arial" w:cs="Arial" w:eastAsia="Arial" w:hAnsi="Arial"/>
                <w:sz w:val="15"/>
                <w:szCs w:val="15"/>
                <w:b w:val="1"/>
                <w:bCs w:val="1"/>
                <w:i w:val="1"/>
                <w:iCs w:val="1"/>
                <w:color w:val="C00000"/>
              </w:rPr>
              <w:t>Director Nominees</w:t>
            </w:r>
          </w:p>
        </w:tc>
        <w:tc>
          <w:tcPr>
            <w:tcW w:w="2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color w:val="C00000"/>
              </w:rPr>
              <w:t>Jeffrey L. Harmening</w:t>
            </w:r>
          </w:p>
        </w:tc>
        <w:tc>
          <w:tcPr>
            <w:tcW w:w="280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D9D9D9"/>
          </w:tcPr>
          <w:p>
            <w:pPr>
              <w:ind w:left="220"/>
              <w:spacing w:after="0"/>
              <w:rPr>
                <w:sz w:val="20"/>
                <w:szCs w:val="20"/>
                <w:color w:val="auto"/>
              </w:rPr>
            </w:pPr>
            <w:r>
              <w:rPr>
                <w:rFonts w:ascii="Arial" w:cs="Arial" w:eastAsia="Arial" w:hAnsi="Arial"/>
                <w:sz w:val="15"/>
                <w:szCs w:val="15"/>
                <w:color w:val="auto"/>
              </w:rPr>
              <w:t>Chairman and Chief Executive Officer,</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52</w:t>
            </w:r>
          </w:p>
        </w:tc>
        <w:tc>
          <w:tcPr>
            <w:tcW w:w="780" w:type="dxa"/>
            <w:vAlign w:val="bottom"/>
            <w:shd w:val="clear" w:color="auto" w:fill="D9D9D9"/>
          </w:tcPr>
          <w:p>
            <w:pPr>
              <w:jc w:val="center"/>
              <w:ind w:left="148"/>
              <w:spacing w:after="0"/>
              <w:rPr>
                <w:sz w:val="20"/>
                <w:szCs w:val="20"/>
                <w:color w:val="auto"/>
              </w:rPr>
            </w:pPr>
            <w:r>
              <w:rPr>
                <w:rFonts w:ascii="Arial" w:cs="Arial" w:eastAsia="Arial" w:hAnsi="Arial"/>
                <w:sz w:val="15"/>
                <w:szCs w:val="15"/>
                <w:color w:val="auto"/>
                <w:w w:val="95"/>
              </w:rPr>
              <w:t>n/a</w:t>
            </w:r>
          </w:p>
        </w:tc>
        <w:tc>
          <w:tcPr>
            <w:tcW w:w="1380" w:type="dxa"/>
            <w:vAlign w:val="bottom"/>
            <w:shd w:val="clear" w:color="auto" w:fill="D9D9D9"/>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shd w:val="clear" w:color="auto" w:fill="D9D9D9"/>
          </w:tcPr>
          <w:p>
            <w:pPr>
              <w:spacing w:after="0"/>
              <w:rPr>
                <w:sz w:val="16"/>
                <w:szCs w:val="16"/>
                <w:color w:val="auto"/>
              </w:rPr>
            </w:pPr>
          </w:p>
        </w:tc>
        <w:tc>
          <w:tcPr>
            <w:tcW w:w="94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420" w:type="dxa"/>
            <w:vAlign w:val="bottom"/>
            <w:shd w:val="clear" w:color="auto" w:fill="D9D9D9"/>
          </w:tcPr>
          <w:p>
            <w:pPr>
              <w:spacing w:after="0"/>
              <w:rPr>
                <w:sz w:val="16"/>
                <w:szCs w:val="16"/>
                <w:color w:val="auto"/>
              </w:rPr>
            </w:pPr>
          </w:p>
        </w:tc>
        <w:tc>
          <w:tcPr>
            <w:tcW w:w="860" w:type="dxa"/>
            <w:vAlign w:val="bottom"/>
            <w:shd w:val="clear" w:color="auto" w:fill="D9D9D9"/>
          </w:tcPr>
          <w:p>
            <w:pPr>
              <w:jc w:val="right"/>
              <w:ind w:right="2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0"/>
        </w:trPr>
        <w:tc>
          <w:tcPr>
            <w:tcW w:w="1720" w:type="dxa"/>
            <w:vAlign w:val="bottom"/>
            <w:shd w:val="clear" w:color="auto" w:fill="D9D9D9"/>
          </w:tcPr>
          <w:p>
            <w:pPr>
              <w:ind w:left="220"/>
              <w:spacing w:after="0" w:line="170" w:lineRule="exact"/>
              <w:rPr>
                <w:sz w:val="20"/>
                <w:szCs w:val="20"/>
                <w:color w:val="auto"/>
              </w:rPr>
            </w:pPr>
            <w:r>
              <w:rPr>
                <w:rFonts w:ascii="Arial" w:cs="Arial" w:eastAsia="Arial" w:hAnsi="Arial"/>
                <w:sz w:val="15"/>
                <w:szCs w:val="15"/>
                <w:color w:val="auto"/>
              </w:rPr>
              <w:t>General Mills, Inc.</w:t>
            </w:r>
          </w:p>
        </w:tc>
        <w:tc>
          <w:tcPr>
            <w:tcW w:w="280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3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94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42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5"/>
                <w:szCs w:val="15"/>
                <w:b w:val="1"/>
                <w:bCs w:val="1"/>
                <w:color w:val="C00000"/>
              </w:rPr>
              <w:t>Joyce A. Mullen</w:t>
            </w:r>
          </w:p>
        </w:tc>
        <w:tc>
          <w:tcPr>
            <w:tcW w:w="2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520" w:type="dxa"/>
            <w:vAlign w:val="bottom"/>
            <w:gridSpan w:val="2"/>
          </w:tcPr>
          <w:p>
            <w:pPr>
              <w:ind w:left="220"/>
              <w:spacing w:after="0"/>
              <w:rPr>
                <w:sz w:val="20"/>
                <w:szCs w:val="20"/>
                <w:color w:val="auto"/>
              </w:rPr>
            </w:pPr>
            <w:r>
              <w:rPr>
                <w:rFonts w:ascii="Arial" w:cs="Arial" w:eastAsia="Arial" w:hAnsi="Arial"/>
                <w:sz w:val="15"/>
                <w:szCs w:val="15"/>
                <w:color w:val="auto"/>
              </w:rPr>
              <w:t>President, Global Channel, OEM and IoT,</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56</w:t>
            </w:r>
          </w:p>
        </w:tc>
        <w:tc>
          <w:tcPr>
            <w:tcW w:w="780" w:type="dxa"/>
            <w:vAlign w:val="bottom"/>
          </w:tcPr>
          <w:p>
            <w:pPr>
              <w:jc w:val="center"/>
              <w:ind w:left="148"/>
              <w:spacing w:after="0"/>
              <w:rPr>
                <w:sz w:val="20"/>
                <w:szCs w:val="20"/>
                <w:color w:val="auto"/>
              </w:rPr>
            </w:pPr>
            <w:r>
              <w:rPr>
                <w:rFonts w:ascii="Arial" w:cs="Arial" w:eastAsia="Arial" w:hAnsi="Arial"/>
                <w:sz w:val="15"/>
                <w:szCs w:val="15"/>
                <w:color w:val="auto"/>
                <w:w w:val="95"/>
              </w:rPr>
              <w:t>n/a</w:t>
            </w:r>
          </w:p>
        </w:tc>
        <w:tc>
          <w:tcPr>
            <w:tcW w:w="1380" w:type="dxa"/>
            <w:vAlign w:val="bottom"/>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228"/>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0"/>
        </w:trPr>
        <w:tc>
          <w:tcPr>
            <w:tcW w:w="1720" w:type="dxa"/>
            <w:vAlign w:val="bottom"/>
          </w:tcPr>
          <w:p>
            <w:pPr>
              <w:ind w:left="220"/>
              <w:spacing w:after="0" w:line="170" w:lineRule="exact"/>
              <w:rPr>
                <w:sz w:val="20"/>
                <w:szCs w:val="20"/>
                <w:color w:val="auto"/>
              </w:rPr>
            </w:pPr>
            <w:r>
              <w:rPr>
                <w:rFonts w:ascii="Arial" w:cs="Arial" w:eastAsia="Arial" w:hAnsi="Arial"/>
                <w:sz w:val="15"/>
                <w:szCs w:val="15"/>
                <w:color w:val="auto"/>
              </w:rPr>
              <w:t>Dell Technologies</w:t>
            </w:r>
          </w:p>
        </w:tc>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color w:val="C00000"/>
              </w:rPr>
              <w:t>Richard M. Olson</w:t>
            </w:r>
          </w:p>
        </w:tc>
        <w:tc>
          <w:tcPr>
            <w:tcW w:w="280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D9D9D9"/>
          </w:tcPr>
          <w:p>
            <w:pPr>
              <w:ind w:left="220"/>
              <w:spacing w:after="0"/>
              <w:rPr>
                <w:sz w:val="20"/>
                <w:szCs w:val="20"/>
                <w:color w:val="auto"/>
              </w:rPr>
            </w:pPr>
            <w:r>
              <w:rPr>
                <w:rFonts w:ascii="Arial" w:cs="Arial" w:eastAsia="Arial" w:hAnsi="Arial"/>
                <w:sz w:val="15"/>
                <w:szCs w:val="15"/>
                <w:color w:val="auto"/>
              </w:rPr>
              <w:t>Chairman, President and Chief Executive</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55</w:t>
            </w:r>
          </w:p>
        </w:tc>
        <w:tc>
          <w:tcPr>
            <w:tcW w:w="780" w:type="dxa"/>
            <w:vAlign w:val="bottom"/>
            <w:shd w:val="clear" w:color="auto" w:fill="D9D9D9"/>
          </w:tcPr>
          <w:p>
            <w:pPr>
              <w:jc w:val="center"/>
              <w:ind w:left="148"/>
              <w:spacing w:after="0"/>
              <w:rPr>
                <w:sz w:val="20"/>
                <w:szCs w:val="20"/>
                <w:color w:val="auto"/>
              </w:rPr>
            </w:pPr>
            <w:r>
              <w:rPr>
                <w:rFonts w:ascii="Arial" w:cs="Arial" w:eastAsia="Arial" w:hAnsi="Arial"/>
                <w:sz w:val="15"/>
                <w:szCs w:val="15"/>
                <w:color w:val="auto"/>
                <w:w w:val="95"/>
              </w:rPr>
              <w:t>2016</w:t>
            </w:r>
          </w:p>
        </w:tc>
        <w:tc>
          <w:tcPr>
            <w:tcW w:w="1380" w:type="dxa"/>
            <w:vAlign w:val="bottom"/>
            <w:shd w:val="clear" w:color="auto" w:fill="D9D9D9"/>
          </w:tcPr>
          <w:p>
            <w:pPr>
              <w:jc w:val="center"/>
              <w:ind w:left="227"/>
              <w:spacing w:after="0"/>
              <w:rPr>
                <w:sz w:val="20"/>
                <w:szCs w:val="20"/>
                <w:color w:val="auto"/>
              </w:rPr>
            </w:pPr>
            <w:r>
              <w:rPr>
                <w:rFonts w:ascii="Arial" w:cs="Arial" w:eastAsia="Arial" w:hAnsi="Arial"/>
                <w:sz w:val="15"/>
                <w:szCs w:val="15"/>
                <w:color w:val="auto"/>
              </w:rPr>
              <w:t>No</w:t>
            </w:r>
          </w:p>
        </w:tc>
        <w:tc>
          <w:tcPr>
            <w:tcW w:w="700" w:type="dxa"/>
            <w:vAlign w:val="bottom"/>
            <w:shd w:val="clear" w:color="auto" w:fill="D9D9D9"/>
          </w:tcPr>
          <w:p>
            <w:pPr>
              <w:spacing w:after="0"/>
              <w:rPr>
                <w:sz w:val="16"/>
                <w:szCs w:val="16"/>
                <w:color w:val="auto"/>
              </w:rPr>
            </w:pPr>
          </w:p>
        </w:tc>
        <w:tc>
          <w:tcPr>
            <w:tcW w:w="94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420" w:type="dxa"/>
            <w:vAlign w:val="bottom"/>
            <w:shd w:val="clear" w:color="auto" w:fill="D9D9D9"/>
          </w:tcPr>
          <w:p>
            <w:pPr>
              <w:spacing w:after="0"/>
              <w:rPr>
                <w:sz w:val="16"/>
                <w:szCs w:val="16"/>
                <w:color w:val="auto"/>
              </w:rPr>
            </w:pPr>
          </w:p>
        </w:tc>
        <w:tc>
          <w:tcPr>
            <w:tcW w:w="860" w:type="dxa"/>
            <w:vAlign w:val="bottom"/>
            <w:shd w:val="clear" w:color="auto" w:fill="D9D9D9"/>
          </w:tcPr>
          <w:p>
            <w:pPr>
              <w:jc w:val="right"/>
              <w:ind w:right="228"/>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0"/>
        </w:trPr>
        <w:tc>
          <w:tcPr>
            <w:tcW w:w="4520" w:type="dxa"/>
            <w:vAlign w:val="bottom"/>
            <w:gridSpan w:val="2"/>
            <w:shd w:val="clear" w:color="auto" w:fill="D9D9D9"/>
          </w:tcPr>
          <w:p>
            <w:pPr>
              <w:ind w:left="220"/>
              <w:spacing w:after="0" w:line="170" w:lineRule="exact"/>
              <w:rPr>
                <w:sz w:val="20"/>
                <w:szCs w:val="20"/>
                <w:color w:val="auto"/>
              </w:rPr>
            </w:pPr>
            <w:r>
              <w:rPr>
                <w:rFonts w:ascii="Arial" w:cs="Arial" w:eastAsia="Arial" w:hAnsi="Arial"/>
                <w:sz w:val="15"/>
                <w:szCs w:val="15"/>
                <w:color w:val="auto"/>
              </w:rPr>
              <w:t>Officer, The Toro Company</w:t>
            </w:r>
          </w:p>
        </w:tc>
        <w:tc>
          <w:tcPr>
            <w:tcW w:w="80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138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94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42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5"/>
                <w:szCs w:val="15"/>
                <w:b w:val="1"/>
                <w:bCs w:val="1"/>
                <w:color w:val="C00000"/>
              </w:rPr>
              <w:t>James C. O’Rourke</w:t>
            </w:r>
          </w:p>
        </w:tc>
        <w:tc>
          <w:tcPr>
            <w:tcW w:w="2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520" w:type="dxa"/>
            <w:vAlign w:val="bottom"/>
            <w:gridSpan w:val="2"/>
          </w:tcPr>
          <w:p>
            <w:pPr>
              <w:ind w:left="220"/>
              <w:spacing w:after="0"/>
              <w:rPr>
                <w:sz w:val="20"/>
                <w:szCs w:val="20"/>
                <w:color w:val="auto"/>
              </w:rPr>
            </w:pPr>
            <w:r>
              <w:rPr>
                <w:rFonts w:ascii="Arial" w:cs="Arial" w:eastAsia="Arial" w:hAnsi="Arial"/>
                <w:sz w:val="15"/>
                <w:szCs w:val="15"/>
                <w:color w:val="auto"/>
              </w:rPr>
              <w:t>President and Chief Executive Officer,</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58</w:t>
            </w:r>
          </w:p>
        </w:tc>
        <w:tc>
          <w:tcPr>
            <w:tcW w:w="780" w:type="dxa"/>
            <w:vAlign w:val="bottom"/>
          </w:tcPr>
          <w:p>
            <w:pPr>
              <w:jc w:val="center"/>
              <w:ind w:left="148"/>
              <w:spacing w:after="0"/>
              <w:rPr>
                <w:sz w:val="20"/>
                <w:szCs w:val="20"/>
                <w:color w:val="auto"/>
              </w:rPr>
            </w:pPr>
            <w:r>
              <w:rPr>
                <w:rFonts w:ascii="Arial" w:cs="Arial" w:eastAsia="Arial" w:hAnsi="Arial"/>
                <w:sz w:val="15"/>
                <w:szCs w:val="15"/>
                <w:color w:val="auto"/>
                <w:w w:val="95"/>
              </w:rPr>
              <w:t>2012</w:t>
            </w:r>
          </w:p>
        </w:tc>
        <w:tc>
          <w:tcPr>
            <w:tcW w:w="1380" w:type="dxa"/>
            <w:vAlign w:val="bottom"/>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vMerge w:val="restart"/>
          </w:tcPr>
          <w:p>
            <w:pPr>
              <w:jc w:val="center"/>
              <w:ind w:right="142"/>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420" w:type="dxa"/>
            <w:vAlign w:val="bottom"/>
            <w:vMerge w:val="restart"/>
          </w:tcPr>
          <w:p>
            <w:pPr>
              <w:jc w:val="center"/>
              <w:ind w:right="42"/>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60" w:type="dxa"/>
            <w:vAlign w:val="bottom"/>
          </w:tcPr>
          <w:p>
            <w:pPr>
              <w:jc w:val="right"/>
              <w:ind w:right="2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3"/>
        </w:trPr>
        <w:tc>
          <w:tcPr>
            <w:tcW w:w="1720" w:type="dxa"/>
            <w:vAlign w:val="bottom"/>
            <w:vMerge w:val="restart"/>
          </w:tcPr>
          <w:p>
            <w:pPr>
              <w:ind w:left="220"/>
              <w:spacing w:after="0" w:line="170" w:lineRule="exact"/>
              <w:rPr>
                <w:sz w:val="20"/>
                <w:szCs w:val="20"/>
                <w:color w:val="auto"/>
              </w:rPr>
            </w:pPr>
            <w:r>
              <w:rPr>
                <w:rFonts w:ascii="Arial" w:cs="Arial" w:eastAsia="Arial" w:hAnsi="Arial"/>
                <w:sz w:val="15"/>
                <w:szCs w:val="15"/>
                <w:color w:val="auto"/>
              </w:rPr>
              <w:t>The Mosaic Company</w:t>
            </w:r>
          </w:p>
        </w:tc>
        <w:tc>
          <w:tcPr>
            <w:tcW w:w="2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720" w:type="dxa"/>
            <w:vAlign w:val="bottom"/>
            <w:vMerge w:val="continue"/>
          </w:tcPr>
          <w:p>
            <w:pPr>
              <w:spacing w:after="0"/>
              <w:rPr>
                <w:sz w:val="4"/>
                <w:szCs w:val="4"/>
                <w:color w:val="auto"/>
              </w:rPr>
            </w:pPr>
          </w:p>
        </w:tc>
        <w:tc>
          <w:tcPr>
            <w:tcW w:w="2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i w:val="1"/>
                <w:iCs w:val="1"/>
                <w:color w:val="C00000"/>
              </w:rPr>
              <w:t>Continuing Directors</w:t>
            </w:r>
          </w:p>
        </w:tc>
        <w:tc>
          <w:tcPr>
            <w:tcW w:w="2800" w:type="dxa"/>
            <w:vAlign w:val="bottom"/>
            <w:shd w:val="clear" w:color="auto" w:fill="D9D9D9"/>
          </w:tcPr>
          <w:p>
            <w:pPr>
              <w:spacing w:after="0"/>
              <w:rPr>
                <w:sz w:val="21"/>
                <w:szCs w:val="21"/>
                <w:color w:val="auto"/>
              </w:rPr>
            </w:pPr>
          </w:p>
        </w:tc>
        <w:tc>
          <w:tcPr>
            <w:tcW w:w="800" w:type="dxa"/>
            <w:vAlign w:val="bottom"/>
            <w:shd w:val="clear" w:color="auto" w:fill="D9D9D9"/>
          </w:tcPr>
          <w:p>
            <w:pPr>
              <w:spacing w:after="0"/>
              <w:rPr>
                <w:sz w:val="21"/>
                <w:szCs w:val="21"/>
                <w:color w:val="auto"/>
              </w:rPr>
            </w:pPr>
          </w:p>
        </w:tc>
        <w:tc>
          <w:tcPr>
            <w:tcW w:w="780" w:type="dxa"/>
            <w:vAlign w:val="bottom"/>
            <w:shd w:val="clear" w:color="auto" w:fill="D9D9D9"/>
          </w:tcPr>
          <w:p>
            <w:pPr>
              <w:spacing w:after="0"/>
              <w:rPr>
                <w:sz w:val="21"/>
                <w:szCs w:val="21"/>
                <w:color w:val="auto"/>
              </w:rPr>
            </w:pPr>
          </w:p>
        </w:tc>
        <w:tc>
          <w:tcPr>
            <w:tcW w:w="1380" w:type="dxa"/>
            <w:vAlign w:val="bottom"/>
            <w:shd w:val="clear" w:color="auto" w:fill="D9D9D9"/>
          </w:tcPr>
          <w:p>
            <w:pPr>
              <w:spacing w:after="0"/>
              <w:rPr>
                <w:sz w:val="21"/>
                <w:szCs w:val="21"/>
                <w:color w:val="auto"/>
              </w:rPr>
            </w:pPr>
          </w:p>
        </w:tc>
        <w:tc>
          <w:tcPr>
            <w:tcW w:w="700" w:type="dxa"/>
            <w:vAlign w:val="bottom"/>
            <w:shd w:val="clear" w:color="auto" w:fill="D9D9D9"/>
          </w:tcPr>
          <w:p>
            <w:pPr>
              <w:spacing w:after="0"/>
              <w:rPr>
                <w:sz w:val="21"/>
                <w:szCs w:val="21"/>
                <w:color w:val="auto"/>
              </w:rPr>
            </w:pPr>
          </w:p>
        </w:tc>
        <w:tc>
          <w:tcPr>
            <w:tcW w:w="940" w:type="dxa"/>
            <w:vAlign w:val="bottom"/>
            <w:shd w:val="clear" w:color="auto" w:fill="D9D9D9"/>
          </w:tcPr>
          <w:p>
            <w:pPr>
              <w:spacing w:after="0"/>
              <w:rPr>
                <w:sz w:val="21"/>
                <w:szCs w:val="21"/>
                <w:color w:val="auto"/>
              </w:rPr>
            </w:pPr>
          </w:p>
        </w:tc>
        <w:tc>
          <w:tcPr>
            <w:tcW w:w="1020" w:type="dxa"/>
            <w:vAlign w:val="bottom"/>
            <w:shd w:val="clear" w:color="auto" w:fill="D9D9D9"/>
          </w:tcPr>
          <w:p>
            <w:pPr>
              <w:spacing w:after="0"/>
              <w:rPr>
                <w:sz w:val="21"/>
                <w:szCs w:val="21"/>
                <w:color w:val="auto"/>
              </w:rPr>
            </w:pPr>
          </w:p>
        </w:tc>
        <w:tc>
          <w:tcPr>
            <w:tcW w:w="420" w:type="dxa"/>
            <w:vAlign w:val="bottom"/>
            <w:shd w:val="clear" w:color="auto" w:fill="D9D9D9"/>
          </w:tcPr>
          <w:p>
            <w:pPr>
              <w:spacing w:after="0"/>
              <w:rPr>
                <w:sz w:val="21"/>
                <w:szCs w:val="21"/>
                <w:color w:val="auto"/>
              </w:rPr>
            </w:pPr>
          </w:p>
        </w:tc>
        <w:tc>
          <w:tcPr>
            <w:tcW w:w="86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5"/>
                <w:szCs w:val="15"/>
                <w:b w:val="1"/>
                <w:bCs w:val="1"/>
                <w:color w:val="C00000"/>
              </w:rPr>
              <w:t>Janet K. Cooper</w:t>
            </w: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vMerge w:val="restart"/>
          </w:tcPr>
          <w:p>
            <w:pPr>
              <w:jc w:val="center"/>
              <w:ind w:left="155"/>
              <w:spacing w:after="0"/>
              <w:rPr>
                <w:sz w:val="20"/>
                <w:szCs w:val="20"/>
                <w:color w:val="auto"/>
              </w:rPr>
            </w:pPr>
            <w:r>
              <w:rPr>
                <w:rFonts w:ascii="Arial" w:cs="Arial" w:eastAsia="Arial" w:hAnsi="Arial"/>
                <w:sz w:val="15"/>
                <w:szCs w:val="15"/>
                <w:b w:val="1"/>
                <w:bCs w:val="1"/>
                <w:color w:val="C00000"/>
              </w:rPr>
              <w:t>●</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520" w:type="dxa"/>
            <w:vAlign w:val="bottom"/>
            <w:gridSpan w:val="2"/>
          </w:tcPr>
          <w:p>
            <w:pPr>
              <w:ind w:left="220"/>
              <w:spacing w:after="0" w:line="167" w:lineRule="exact"/>
              <w:rPr>
                <w:sz w:val="20"/>
                <w:szCs w:val="20"/>
                <w:color w:val="auto"/>
              </w:rPr>
            </w:pPr>
            <w:r>
              <w:rPr>
                <w:rFonts w:ascii="Arial" w:cs="Arial" w:eastAsia="Arial" w:hAnsi="Arial"/>
                <w:sz w:val="15"/>
                <w:szCs w:val="15"/>
                <w:color w:val="auto"/>
              </w:rPr>
              <w:t>Retired Senior Vice President and Treasurer,</w:t>
            </w:r>
          </w:p>
        </w:tc>
        <w:tc>
          <w:tcPr>
            <w:tcW w:w="800" w:type="dxa"/>
            <w:vAlign w:val="bottom"/>
          </w:tcPr>
          <w:p>
            <w:pPr>
              <w:jc w:val="right"/>
              <w:ind w:right="207"/>
              <w:spacing w:after="0" w:line="167" w:lineRule="exact"/>
              <w:rPr>
                <w:sz w:val="20"/>
                <w:szCs w:val="20"/>
                <w:color w:val="auto"/>
              </w:rPr>
            </w:pPr>
            <w:r>
              <w:rPr>
                <w:rFonts w:ascii="Arial" w:cs="Arial" w:eastAsia="Arial" w:hAnsi="Arial"/>
                <w:sz w:val="15"/>
                <w:szCs w:val="15"/>
                <w:color w:val="auto"/>
              </w:rPr>
              <w:t>65</w:t>
            </w:r>
          </w:p>
        </w:tc>
        <w:tc>
          <w:tcPr>
            <w:tcW w:w="780" w:type="dxa"/>
            <w:vAlign w:val="bottom"/>
          </w:tcPr>
          <w:p>
            <w:pPr>
              <w:jc w:val="center"/>
              <w:ind w:left="148"/>
              <w:spacing w:after="0" w:line="167" w:lineRule="exact"/>
              <w:rPr>
                <w:sz w:val="20"/>
                <w:szCs w:val="20"/>
                <w:color w:val="auto"/>
              </w:rPr>
            </w:pPr>
            <w:r>
              <w:rPr>
                <w:rFonts w:ascii="Arial" w:cs="Arial" w:eastAsia="Arial" w:hAnsi="Arial"/>
                <w:sz w:val="15"/>
                <w:szCs w:val="15"/>
                <w:color w:val="auto"/>
                <w:w w:val="95"/>
              </w:rPr>
              <w:t>1994</w:t>
            </w:r>
          </w:p>
        </w:tc>
        <w:tc>
          <w:tcPr>
            <w:tcW w:w="1380" w:type="dxa"/>
            <w:vAlign w:val="bottom"/>
          </w:tcPr>
          <w:p>
            <w:pPr>
              <w:jc w:val="center"/>
              <w:ind w:left="227"/>
              <w:spacing w:after="0" w:line="167" w:lineRule="exact"/>
              <w:rPr>
                <w:sz w:val="20"/>
                <w:szCs w:val="20"/>
                <w:color w:val="auto"/>
              </w:rPr>
            </w:pPr>
            <w:r>
              <w:rPr>
                <w:rFonts w:ascii="Arial" w:cs="Arial" w:eastAsia="Arial" w:hAnsi="Arial"/>
                <w:sz w:val="15"/>
                <w:szCs w:val="15"/>
                <w:color w:val="auto"/>
                <w:w w:val="92"/>
              </w:rPr>
              <w:t>Yes</w:t>
            </w:r>
          </w:p>
        </w:tc>
        <w:tc>
          <w:tcPr>
            <w:tcW w:w="700" w:type="dxa"/>
            <w:vAlign w:val="bottom"/>
            <w:vMerge w:val="continue"/>
          </w:tcPr>
          <w:p>
            <w:pPr>
              <w:spacing w:after="0"/>
              <w:rPr>
                <w:sz w:val="14"/>
                <w:szCs w:val="14"/>
                <w:color w:val="auto"/>
              </w:rPr>
            </w:pPr>
          </w:p>
        </w:tc>
        <w:tc>
          <w:tcPr>
            <w:tcW w:w="940" w:type="dxa"/>
            <w:vAlign w:val="bottom"/>
            <w:vMerge w:val="restart"/>
          </w:tcPr>
          <w:p>
            <w:pPr>
              <w:jc w:val="center"/>
              <w:ind w:left="4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228"/>
              <w:spacing w:after="0" w:line="167"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8"/>
        </w:trPr>
        <w:tc>
          <w:tcPr>
            <w:tcW w:w="4520" w:type="dxa"/>
            <w:vAlign w:val="bottom"/>
            <w:gridSpan w:val="2"/>
          </w:tcPr>
          <w:p>
            <w:pPr>
              <w:ind w:left="220"/>
              <w:spacing w:after="0"/>
              <w:rPr>
                <w:sz w:val="20"/>
                <w:szCs w:val="20"/>
                <w:color w:val="auto"/>
              </w:rPr>
            </w:pPr>
            <w:r>
              <w:rPr>
                <w:rFonts w:ascii="Arial" w:cs="Arial" w:eastAsia="Arial" w:hAnsi="Arial"/>
                <w:sz w:val="15"/>
                <w:szCs w:val="15"/>
                <w:color w:val="auto"/>
              </w:rPr>
              <w:t>Qwest Communications International Inc.</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vMerge w:val="restart"/>
          </w:tcPr>
          <w:p>
            <w:pPr>
              <w:jc w:val="center"/>
              <w:ind w:left="155"/>
              <w:spacing w:after="0"/>
              <w:rPr>
                <w:sz w:val="20"/>
                <w:szCs w:val="20"/>
                <w:color w:val="auto"/>
              </w:rPr>
            </w:pPr>
            <w:r>
              <w:rPr>
                <w:rFonts w:ascii="Arial" w:cs="Arial" w:eastAsia="Arial" w:hAnsi="Arial"/>
                <w:sz w:val="23"/>
                <w:szCs w:val="23"/>
                <w:b w:val="1"/>
                <w:bCs w:val="1"/>
                <w:color w:val="C00000"/>
              </w:rPr>
              <w:t>*</w:t>
            </w:r>
          </w:p>
        </w:tc>
        <w:tc>
          <w:tcPr>
            <w:tcW w:w="9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color w:val="C00000"/>
              </w:rPr>
              <w:t>Gary L. Ellis</w:t>
            </w:r>
          </w:p>
        </w:tc>
        <w:tc>
          <w:tcPr>
            <w:tcW w:w="280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700" w:type="dxa"/>
            <w:vAlign w:val="bottom"/>
            <w:vMerge w:val="restart"/>
            <w:shd w:val="clear" w:color="auto" w:fill="D9D9D9"/>
          </w:tcPr>
          <w:p>
            <w:pPr>
              <w:jc w:val="center"/>
              <w:ind w:left="155"/>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4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D9D9D9"/>
          </w:tcPr>
          <w:p>
            <w:pPr>
              <w:ind w:left="220"/>
              <w:spacing w:after="0"/>
              <w:rPr>
                <w:sz w:val="20"/>
                <w:szCs w:val="20"/>
                <w:color w:val="auto"/>
              </w:rPr>
            </w:pPr>
            <w:r>
              <w:rPr>
                <w:rFonts w:ascii="Arial" w:cs="Arial" w:eastAsia="Arial" w:hAnsi="Arial"/>
                <w:sz w:val="15"/>
                <w:szCs w:val="15"/>
                <w:color w:val="auto"/>
              </w:rPr>
              <w:t>Retired Executive Vice President and Chief</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62</w:t>
            </w:r>
          </w:p>
        </w:tc>
        <w:tc>
          <w:tcPr>
            <w:tcW w:w="780" w:type="dxa"/>
            <w:vAlign w:val="bottom"/>
            <w:shd w:val="clear" w:color="auto" w:fill="D9D9D9"/>
          </w:tcPr>
          <w:p>
            <w:pPr>
              <w:jc w:val="center"/>
              <w:ind w:left="148"/>
              <w:spacing w:after="0"/>
              <w:rPr>
                <w:sz w:val="20"/>
                <w:szCs w:val="20"/>
                <w:color w:val="auto"/>
              </w:rPr>
            </w:pPr>
            <w:r>
              <w:rPr>
                <w:rFonts w:ascii="Arial" w:cs="Arial" w:eastAsia="Arial" w:hAnsi="Arial"/>
                <w:sz w:val="15"/>
                <w:szCs w:val="15"/>
                <w:color w:val="auto"/>
                <w:w w:val="95"/>
              </w:rPr>
              <w:t>2006</w:t>
            </w:r>
          </w:p>
        </w:tc>
        <w:tc>
          <w:tcPr>
            <w:tcW w:w="1380" w:type="dxa"/>
            <w:vAlign w:val="bottom"/>
            <w:shd w:val="clear" w:color="auto" w:fill="D9D9D9"/>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vMerge w:val="continue"/>
            <w:shd w:val="clear" w:color="auto" w:fill="D9D9D9"/>
          </w:tcPr>
          <w:p>
            <w:pPr>
              <w:spacing w:after="0"/>
              <w:rPr>
                <w:sz w:val="16"/>
                <w:szCs w:val="16"/>
                <w:color w:val="auto"/>
              </w:rPr>
            </w:pPr>
          </w:p>
        </w:tc>
        <w:tc>
          <w:tcPr>
            <w:tcW w:w="940" w:type="dxa"/>
            <w:vAlign w:val="bottom"/>
            <w:vMerge w:val="restart"/>
            <w:shd w:val="clear" w:color="auto" w:fill="D9D9D9"/>
          </w:tcPr>
          <w:p>
            <w:pPr>
              <w:jc w:val="center"/>
              <w:ind w:left="24"/>
              <w:spacing w:after="0"/>
              <w:rPr>
                <w:sz w:val="20"/>
                <w:szCs w:val="20"/>
                <w:color w:val="auto"/>
              </w:rPr>
            </w:pPr>
            <w:r>
              <w:rPr>
                <w:rFonts w:ascii="Arial" w:cs="Arial" w:eastAsia="Arial" w:hAnsi="Arial"/>
                <w:sz w:val="15"/>
                <w:szCs w:val="15"/>
                <w:b w:val="1"/>
                <w:bCs w:val="1"/>
                <w:color w:val="C00000"/>
                <w:w w:val="87"/>
              </w:rPr>
              <w:t>●</w:t>
            </w:r>
          </w:p>
        </w:tc>
        <w:tc>
          <w:tcPr>
            <w:tcW w:w="1020" w:type="dxa"/>
            <w:vAlign w:val="bottom"/>
            <w:shd w:val="clear" w:color="auto" w:fill="D9D9D9"/>
          </w:tcPr>
          <w:p>
            <w:pPr>
              <w:spacing w:after="0"/>
              <w:rPr>
                <w:sz w:val="16"/>
                <w:szCs w:val="16"/>
                <w:color w:val="auto"/>
              </w:rPr>
            </w:pPr>
          </w:p>
        </w:tc>
        <w:tc>
          <w:tcPr>
            <w:tcW w:w="420" w:type="dxa"/>
            <w:vAlign w:val="bottom"/>
            <w:shd w:val="clear" w:color="auto" w:fill="D9D9D9"/>
          </w:tcPr>
          <w:p>
            <w:pPr>
              <w:spacing w:after="0"/>
              <w:rPr>
                <w:sz w:val="16"/>
                <w:szCs w:val="16"/>
                <w:color w:val="auto"/>
              </w:rPr>
            </w:pPr>
          </w:p>
        </w:tc>
        <w:tc>
          <w:tcPr>
            <w:tcW w:w="860" w:type="dxa"/>
            <w:vAlign w:val="bottom"/>
            <w:shd w:val="clear" w:color="auto" w:fill="D9D9D9"/>
          </w:tcPr>
          <w:p>
            <w:pPr>
              <w:jc w:val="right"/>
              <w:ind w:right="2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7"/>
        </w:trPr>
        <w:tc>
          <w:tcPr>
            <w:tcW w:w="4520" w:type="dxa"/>
            <w:vAlign w:val="bottom"/>
            <w:gridSpan w:val="2"/>
            <w:shd w:val="clear" w:color="auto" w:fill="D9D9D9"/>
          </w:tcPr>
          <w:p>
            <w:pPr>
              <w:ind w:left="220"/>
              <w:spacing w:after="0"/>
              <w:rPr>
                <w:sz w:val="20"/>
                <w:szCs w:val="20"/>
                <w:color w:val="auto"/>
              </w:rPr>
            </w:pPr>
            <w:r>
              <w:rPr>
                <w:rFonts w:ascii="Arial" w:cs="Arial" w:eastAsia="Arial" w:hAnsi="Arial"/>
                <w:sz w:val="15"/>
                <w:szCs w:val="15"/>
                <w:color w:val="auto"/>
              </w:rPr>
              <w:t>Financial Officer, Medtronic plc</w:t>
            </w:r>
          </w:p>
        </w:tc>
        <w:tc>
          <w:tcPr>
            <w:tcW w:w="80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700" w:type="dxa"/>
            <w:vAlign w:val="bottom"/>
            <w:vMerge w:val="restart"/>
            <w:shd w:val="clear" w:color="auto" w:fill="D9D9D9"/>
          </w:tcPr>
          <w:p>
            <w:pPr>
              <w:jc w:val="center"/>
              <w:ind w:left="155"/>
              <w:spacing w:after="0"/>
              <w:rPr>
                <w:sz w:val="20"/>
                <w:szCs w:val="20"/>
                <w:color w:val="auto"/>
              </w:rPr>
            </w:pPr>
            <w:r>
              <w:rPr>
                <w:rFonts w:ascii="Arial" w:cs="Arial" w:eastAsia="Arial" w:hAnsi="Arial"/>
                <w:sz w:val="23"/>
                <w:szCs w:val="23"/>
                <w:b w:val="1"/>
                <w:bCs w:val="1"/>
                <w:color w:val="C00000"/>
              </w:rPr>
              <w:t>*</w:t>
            </w:r>
          </w:p>
        </w:tc>
        <w:tc>
          <w:tcPr>
            <w:tcW w:w="940" w:type="dxa"/>
            <w:vAlign w:val="bottom"/>
            <w:vMerge w:val="continue"/>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420" w:type="dxa"/>
            <w:vAlign w:val="bottom"/>
            <w:shd w:val="clear" w:color="auto" w:fill="D9D9D9"/>
          </w:tcPr>
          <w:p>
            <w:pPr>
              <w:spacing w:after="0"/>
              <w:rPr>
                <w:sz w:val="15"/>
                <w:szCs w:val="15"/>
                <w:color w:val="auto"/>
              </w:rPr>
            </w:pPr>
          </w:p>
        </w:tc>
        <w:tc>
          <w:tcPr>
            <w:tcW w:w="8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D9D9D9"/>
          </w:tcPr>
          <w:p>
            <w:pPr>
              <w:spacing w:after="0"/>
              <w:rPr>
                <w:sz w:val="10"/>
                <w:szCs w:val="10"/>
                <w:color w:val="auto"/>
              </w:rPr>
            </w:pPr>
          </w:p>
        </w:tc>
        <w:tc>
          <w:tcPr>
            <w:tcW w:w="2800" w:type="dxa"/>
            <w:vAlign w:val="bottom"/>
            <w:shd w:val="clear" w:color="auto" w:fill="D9D9D9"/>
          </w:tcPr>
          <w:p>
            <w:pPr>
              <w:spacing w:after="0"/>
              <w:rPr>
                <w:sz w:val="10"/>
                <w:szCs w:val="10"/>
                <w:color w:val="auto"/>
              </w:rPr>
            </w:pPr>
          </w:p>
        </w:tc>
        <w:tc>
          <w:tcPr>
            <w:tcW w:w="800" w:type="dxa"/>
            <w:vAlign w:val="bottom"/>
            <w:shd w:val="clear" w:color="auto" w:fill="D9D9D9"/>
          </w:tcPr>
          <w:p>
            <w:pPr>
              <w:spacing w:after="0"/>
              <w:rPr>
                <w:sz w:val="10"/>
                <w:szCs w:val="10"/>
                <w:color w:val="auto"/>
              </w:rPr>
            </w:pPr>
          </w:p>
        </w:tc>
        <w:tc>
          <w:tcPr>
            <w:tcW w:w="780" w:type="dxa"/>
            <w:vAlign w:val="bottom"/>
            <w:shd w:val="clear" w:color="auto" w:fill="D9D9D9"/>
          </w:tcPr>
          <w:p>
            <w:pPr>
              <w:spacing w:after="0"/>
              <w:rPr>
                <w:sz w:val="10"/>
                <w:szCs w:val="10"/>
                <w:color w:val="auto"/>
              </w:rPr>
            </w:pPr>
          </w:p>
        </w:tc>
        <w:tc>
          <w:tcPr>
            <w:tcW w:w="1380" w:type="dxa"/>
            <w:vAlign w:val="bottom"/>
            <w:shd w:val="clear" w:color="auto" w:fill="D9D9D9"/>
          </w:tcPr>
          <w:p>
            <w:pPr>
              <w:spacing w:after="0"/>
              <w:rPr>
                <w:sz w:val="10"/>
                <w:szCs w:val="10"/>
                <w:color w:val="auto"/>
              </w:rPr>
            </w:pPr>
          </w:p>
        </w:tc>
        <w:tc>
          <w:tcPr>
            <w:tcW w:w="700" w:type="dxa"/>
            <w:vAlign w:val="bottom"/>
            <w:vMerge w:val="continue"/>
            <w:shd w:val="clear" w:color="auto" w:fill="D9D9D9"/>
          </w:tcPr>
          <w:p>
            <w:pPr>
              <w:spacing w:after="0"/>
              <w:rPr>
                <w:sz w:val="10"/>
                <w:szCs w:val="10"/>
                <w:color w:val="auto"/>
              </w:rPr>
            </w:pPr>
          </w:p>
        </w:tc>
        <w:tc>
          <w:tcPr>
            <w:tcW w:w="94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86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5"/>
                <w:szCs w:val="15"/>
                <w:b w:val="1"/>
                <w:bCs w:val="1"/>
                <w:color w:val="C00000"/>
              </w:rPr>
              <w:t>Jeffrey M. Ettinger</w:t>
            </w: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20" w:type="dxa"/>
            <w:vAlign w:val="bottom"/>
            <w:gridSpan w:val="2"/>
          </w:tcPr>
          <w:p>
            <w:pPr>
              <w:ind w:left="220"/>
              <w:spacing w:after="0"/>
              <w:rPr>
                <w:sz w:val="20"/>
                <w:szCs w:val="20"/>
                <w:color w:val="auto"/>
              </w:rPr>
            </w:pPr>
            <w:r>
              <w:rPr>
                <w:rFonts w:ascii="Arial" w:cs="Arial" w:eastAsia="Arial" w:hAnsi="Arial"/>
                <w:sz w:val="15"/>
                <w:szCs w:val="15"/>
                <w:color w:val="auto"/>
              </w:rPr>
              <w:t>Retired Chairman and Chief Executive</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60</w:t>
            </w:r>
          </w:p>
        </w:tc>
        <w:tc>
          <w:tcPr>
            <w:tcW w:w="780" w:type="dxa"/>
            <w:vAlign w:val="bottom"/>
          </w:tcPr>
          <w:p>
            <w:pPr>
              <w:jc w:val="center"/>
              <w:ind w:left="148"/>
              <w:spacing w:after="0"/>
              <w:rPr>
                <w:sz w:val="20"/>
                <w:szCs w:val="20"/>
                <w:color w:val="auto"/>
              </w:rPr>
            </w:pPr>
            <w:r>
              <w:rPr>
                <w:rFonts w:ascii="Arial" w:cs="Arial" w:eastAsia="Arial" w:hAnsi="Arial"/>
                <w:sz w:val="15"/>
                <w:szCs w:val="15"/>
                <w:color w:val="auto"/>
                <w:w w:val="95"/>
              </w:rPr>
              <w:t>2010</w:t>
            </w:r>
          </w:p>
        </w:tc>
        <w:tc>
          <w:tcPr>
            <w:tcW w:w="1380" w:type="dxa"/>
            <w:vAlign w:val="bottom"/>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vMerge w:val="restart"/>
          </w:tcPr>
          <w:p>
            <w:pPr>
              <w:jc w:val="center"/>
              <w:ind w:right="142"/>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420" w:type="dxa"/>
            <w:vAlign w:val="bottom"/>
            <w:vMerge w:val="restart"/>
          </w:tcPr>
          <w:p>
            <w:pPr>
              <w:jc w:val="center"/>
              <w:ind w:right="42"/>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60" w:type="dxa"/>
            <w:vAlign w:val="bottom"/>
          </w:tcPr>
          <w:p>
            <w:pPr>
              <w:jc w:val="right"/>
              <w:ind w:right="2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3"/>
        </w:trPr>
        <w:tc>
          <w:tcPr>
            <w:tcW w:w="4520" w:type="dxa"/>
            <w:vAlign w:val="bottom"/>
            <w:gridSpan w:val="2"/>
            <w:vMerge w:val="restart"/>
          </w:tcPr>
          <w:p>
            <w:pPr>
              <w:ind w:left="220"/>
              <w:spacing w:after="0" w:line="170" w:lineRule="exact"/>
              <w:rPr>
                <w:sz w:val="20"/>
                <w:szCs w:val="20"/>
                <w:color w:val="auto"/>
              </w:rPr>
            </w:pPr>
            <w:r>
              <w:rPr>
                <w:rFonts w:ascii="Arial" w:cs="Arial" w:eastAsia="Arial" w:hAnsi="Arial"/>
                <w:sz w:val="15"/>
                <w:szCs w:val="15"/>
                <w:color w:val="auto"/>
              </w:rPr>
              <w:t>Officer, Hormel Foods Corporation</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5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color w:val="C00000"/>
              </w:rPr>
              <w:t>Katherine J. Harless</w:t>
            </w:r>
          </w:p>
        </w:tc>
        <w:tc>
          <w:tcPr>
            <w:tcW w:w="280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D9D9D9"/>
          </w:tcPr>
          <w:p>
            <w:pPr>
              <w:ind w:left="220"/>
              <w:spacing w:after="0"/>
              <w:rPr>
                <w:sz w:val="20"/>
                <w:szCs w:val="20"/>
                <w:color w:val="auto"/>
              </w:rPr>
            </w:pPr>
            <w:r>
              <w:rPr>
                <w:rFonts w:ascii="Arial" w:cs="Arial" w:eastAsia="Arial" w:hAnsi="Arial"/>
                <w:sz w:val="15"/>
                <w:szCs w:val="15"/>
                <w:color w:val="auto"/>
              </w:rPr>
              <w:t>Retired President and Chief Executive</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67</w:t>
            </w:r>
          </w:p>
        </w:tc>
        <w:tc>
          <w:tcPr>
            <w:tcW w:w="780" w:type="dxa"/>
            <w:vAlign w:val="bottom"/>
            <w:shd w:val="clear" w:color="auto" w:fill="D9D9D9"/>
          </w:tcPr>
          <w:p>
            <w:pPr>
              <w:jc w:val="center"/>
              <w:ind w:left="148"/>
              <w:spacing w:after="0"/>
              <w:rPr>
                <w:sz w:val="20"/>
                <w:szCs w:val="20"/>
                <w:color w:val="auto"/>
              </w:rPr>
            </w:pPr>
            <w:r>
              <w:rPr>
                <w:rFonts w:ascii="Arial" w:cs="Arial" w:eastAsia="Arial" w:hAnsi="Arial"/>
                <w:sz w:val="15"/>
                <w:szCs w:val="15"/>
                <w:color w:val="auto"/>
                <w:w w:val="95"/>
              </w:rPr>
              <w:t>2000</w:t>
            </w:r>
          </w:p>
        </w:tc>
        <w:tc>
          <w:tcPr>
            <w:tcW w:w="1380" w:type="dxa"/>
            <w:vAlign w:val="bottom"/>
            <w:shd w:val="clear" w:color="auto" w:fill="D9D9D9"/>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vMerge w:val="restart"/>
            <w:shd w:val="clear" w:color="auto" w:fill="D9D9D9"/>
          </w:tcPr>
          <w:p>
            <w:pPr>
              <w:jc w:val="center"/>
              <w:ind w:left="155"/>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40" w:type="dxa"/>
            <w:vAlign w:val="bottom"/>
            <w:vMerge w:val="restart"/>
            <w:shd w:val="clear" w:color="auto" w:fill="D9D9D9"/>
          </w:tcPr>
          <w:p>
            <w:pPr>
              <w:jc w:val="center"/>
              <w:ind w:left="4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1020" w:type="dxa"/>
            <w:vAlign w:val="bottom"/>
            <w:shd w:val="clear" w:color="auto" w:fill="D9D9D9"/>
          </w:tcPr>
          <w:p>
            <w:pPr>
              <w:spacing w:after="0"/>
              <w:rPr>
                <w:sz w:val="16"/>
                <w:szCs w:val="16"/>
                <w:color w:val="auto"/>
              </w:rPr>
            </w:pPr>
          </w:p>
        </w:tc>
        <w:tc>
          <w:tcPr>
            <w:tcW w:w="420" w:type="dxa"/>
            <w:vAlign w:val="bottom"/>
            <w:shd w:val="clear" w:color="auto" w:fill="D9D9D9"/>
          </w:tcPr>
          <w:p>
            <w:pPr>
              <w:spacing w:after="0"/>
              <w:rPr>
                <w:sz w:val="16"/>
                <w:szCs w:val="16"/>
                <w:color w:val="auto"/>
              </w:rPr>
            </w:pPr>
          </w:p>
        </w:tc>
        <w:tc>
          <w:tcPr>
            <w:tcW w:w="860" w:type="dxa"/>
            <w:vAlign w:val="bottom"/>
            <w:shd w:val="clear" w:color="auto" w:fill="D9D9D9"/>
          </w:tcPr>
          <w:p>
            <w:pPr>
              <w:jc w:val="right"/>
              <w:ind w:right="228"/>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50"/>
        </w:trPr>
        <w:tc>
          <w:tcPr>
            <w:tcW w:w="1720" w:type="dxa"/>
            <w:vAlign w:val="bottom"/>
            <w:tcBorders>
              <w:bottom w:val="single" w:sz="8" w:color="D9D9D9"/>
            </w:tcBorders>
            <w:shd w:val="clear" w:color="auto" w:fill="D9D9D9"/>
          </w:tcPr>
          <w:p>
            <w:pPr>
              <w:ind w:left="220"/>
              <w:spacing w:after="0" w:line="150" w:lineRule="exact"/>
              <w:rPr>
                <w:sz w:val="20"/>
                <w:szCs w:val="20"/>
                <w:color w:val="auto"/>
              </w:rPr>
            </w:pPr>
            <w:r>
              <w:rPr>
                <w:rFonts w:ascii="Arial" w:cs="Arial" w:eastAsia="Arial" w:hAnsi="Arial"/>
                <w:sz w:val="15"/>
                <w:szCs w:val="15"/>
                <w:color w:val="auto"/>
              </w:rPr>
              <w:t>Officer, Idearc Inc.</w:t>
            </w:r>
          </w:p>
        </w:tc>
        <w:tc>
          <w:tcPr>
            <w:tcW w:w="2800" w:type="dxa"/>
            <w:vAlign w:val="bottom"/>
            <w:tcBorders>
              <w:bottom w:val="single" w:sz="8" w:color="D9D9D9"/>
            </w:tcBorders>
            <w:shd w:val="clear" w:color="auto" w:fill="D9D9D9"/>
          </w:tcPr>
          <w:p>
            <w:pPr>
              <w:spacing w:after="0"/>
              <w:rPr>
                <w:sz w:val="13"/>
                <w:szCs w:val="13"/>
                <w:color w:val="auto"/>
              </w:rPr>
            </w:pPr>
          </w:p>
        </w:tc>
        <w:tc>
          <w:tcPr>
            <w:tcW w:w="800" w:type="dxa"/>
            <w:vAlign w:val="bottom"/>
            <w:tcBorders>
              <w:bottom w:val="single" w:sz="8" w:color="D9D9D9"/>
            </w:tcBorders>
            <w:shd w:val="clear" w:color="auto" w:fill="D9D9D9"/>
          </w:tcPr>
          <w:p>
            <w:pPr>
              <w:spacing w:after="0"/>
              <w:rPr>
                <w:sz w:val="13"/>
                <w:szCs w:val="13"/>
                <w:color w:val="auto"/>
              </w:rPr>
            </w:pPr>
          </w:p>
        </w:tc>
        <w:tc>
          <w:tcPr>
            <w:tcW w:w="780" w:type="dxa"/>
            <w:vAlign w:val="bottom"/>
            <w:tcBorders>
              <w:bottom w:val="single" w:sz="8" w:color="D9D9D9"/>
            </w:tcBorders>
            <w:shd w:val="clear" w:color="auto" w:fill="D9D9D9"/>
          </w:tcPr>
          <w:p>
            <w:pPr>
              <w:spacing w:after="0"/>
              <w:rPr>
                <w:sz w:val="13"/>
                <w:szCs w:val="13"/>
                <w:color w:val="auto"/>
              </w:rPr>
            </w:pPr>
          </w:p>
        </w:tc>
        <w:tc>
          <w:tcPr>
            <w:tcW w:w="1380" w:type="dxa"/>
            <w:vAlign w:val="bottom"/>
            <w:tcBorders>
              <w:bottom w:val="single" w:sz="8" w:color="D9D9D9"/>
            </w:tcBorders>
            <w:shd w:val="clear" w:color="auto" w:fill="D9D9D9"/>
          </w:tcPr>
          <w:p>
            <w:pPr>
              <w:spacing w:after="0"/>
              <w:rPr>
                <w:sz w:val="13"/>
                <w:szCs w:val="13"/>
                <w:color w:val="auto"/>
              </w:rPr>
            </w:pPr>
          </w:p>
        </w:tc>
        <w:tc>
          <w:tcPr>
            <w:tcW w:w="700" w:type="dxa"/>
            <w:vAlign w:val="bottom"/>
            <w:tcBorders>
              <w:bottom w:val="single" w:sz="8" w:color="D9D9D9"/>
            </w:tcBorders>
            <w:vMerge w:val="continue"/>
            <w:shd w:val="clear" w:color="auto" w:fill="D9D9D9"/>
          </w:tcPr>
          <w:p>
            <w:pPr>
              <w:spacing w:after="0"/>
              <w:rPr>
                <w:sz w:val="13"/>
                <w:szCs w:val="13"/>
                <w:color w:val="auto"/>
              </w:rPr>
            </w:pPr>
          </w:p>
        </w:tc>
        <w:tc>
          <w:tcPr>
            <w:tcW w:w="940" w:type="dxa"/>
            <w:vAlign w:val="bottom"/>
            <w:tcBorders>
              <w:bottom w:val="single" w:sz="8" w:color="D9D9D9"/>
            </w:tcBorders>
            <w:vMerge w:val="continue"/>
            <w:shd w:val="clear" w:color="auto" w:fill="D9D9D9"/>
          </w:tcPr>
          <w:p>
            <w:pPr>
              <w:spacing w:after="0"/>
              <w:rPr>
                <w:sz w:val="13"/>
                <w:szCs w:val="13"/>
                <w:color w:val="auto"/>
              </w:rPr>
            </w:pPr>
          </w:p>
        </w:tc>
        <w:tc>
          <w:tcPr>
            <w:tcW w:w="1020" w:type="dxa"/>
            <w:vAlign w:val="bottom"/>
            <w:tcBorders>
              <w:bottom w:val="single" w:sz="8" w:color="D9D9D9"/>
            </w:tcBorders>
            <w:shd w:val="clear" w:color="auto" w:fill="D9D9D9"/>
          </w:tcPr>
          <w:p>
            <w:pPr>
              <w:spacing w:after="0"/>
              <w:rPr>
                <w:sz w:val="13"/>
                <w:szCs w:val="13"/>
                <w:color w:val="auto"/>
              </w:rPr>
            </w:pPr>
          </w:p>
        </w:tc>
        <w:tc>
          <w:tcPr>
            <w:tcW w:w="420" w:type="dxa"/>
            <w:vAlign w:val="bottom"/>
            <w:tcBorders>
              <w:bottom w:val="single" w:sz="8" w:color="D9D9D9"/>
            </w:tcBorders>
            <w:shd w:val="clear" w:color="auto" w:fill="D9D9D9"/>
          </w:tcPr>
          <w:p>
            <w:pPr>
              <w:spacing w:after="0"/>
              <w:rPr>
                <w:sz w:val="13"/>
                <w:szCs w:val="13"/>
                <w:color w:val="auto"/>
              </w:rPr>
            </w:pPr>
          </w:p>
        </w:tc>
        <w:tc>
          <w:tcPr>
            <w:tcW w:w="86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5"/>
                <w:szCs w:val="15"/>
                <w:b w:val="1"/>
                <w:bCs w:val="1"/>
                <w:color w:val="C00000"/>
              </w:rPr>
              <w:t>D. Christian Koch</w:t>
            </w:r>
          </w:p>
        </w:tc>
        <w:tc>
          <w:tcPr>
            <w:tcW w:w="2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520" w:type="dxa"/>
            <w:vAlign w:val="bottom"/>
            <w:gridSpan w:val="2"/>
          </w:tcPr>
          <w:p>
            <w:pPr>
              <w:ind w:left="220"/>
              <w:spacing w:after="0"/>
              <w:rPr>
                <w:sz w:val="20"/>
                <w:szCs w:val="20"/>
                <w:color w:val="auto"/>
              </w:rPr>
            </w:pPr>
            <w:r>
              <w:rPr>
                <w:rFonts w:ascii="Arial" w:cs="Arial" w:eastAsia="Arial" w:hAnsi="Arial"/>
                <w:sz w:val="15"/>
                <w:szCs w:val="15"/>
                <w:color w:val="auto"/>
              </w:rPr>
              <w:t>President and Chief Executive Officer,</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54</w:t>
            </w:r>
          </w:p>
        </w:tc>
        <w:tc>
          <w:tcPr>
            <w:tcW w:w="780" w:type="dxa"/>
            <w:vAlign w:val="bottom"/>
          </w:tcPr>
          <w:p>
            <w:pPr>
              <w:jc w:val="center"/>
              <w:ind w:left="148"/>
              <w:spacing w:after="0"/>
              <w:rPr>
                <w:sz w:val="20"/>
                <w:szCs w:val="20"/>
                <w:color w:val="auto"/>
              </w:rPr>
            </w:pPr>
            <w:r>
              <w:rPr>
                <w:rFonts w:ascii="Arial" w:cs="Arial" w:eastAsia="Arial" w:hAnsi="Arial"/>
                <w:sz w:val="15"/>
                <w:szCs w:val="15"/>
                <w:color w:val="auto"/>
                <w:w w:val="95"/>
              </w:rPr>
              <w:t>2016</w:t>
            </w:r>
          </w:p>
        </w:tc>
        <w:tc>
          <w:tcPr>
            <w:tcW w:w="1380" w:type="dxa"/>
            <w:vAlign w:val="bottom"/>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vMerge w:val="restart"/>
          </w:tcPr>
          <w:p>
            <w:pPr>
              <w:jc w:val="center"/>
              <w:ind w:left="155"/>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40" w:type="dxa"/>
            <w:vAlign w:val="bottom"/>
            <w:vMerge w:val="restart"/>
          </w:tcPr>
          <w:p>
            <w:pPr>
              <w:jc w:val="center"/>
              <w:ind w:left="4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228"/>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3"/>
        </w:trPr>
        <w:tc>
          <w:tcPr>
            <w:tcW w:w="4520" w:type="dxa"/>
            <w:vAlign w:val="bottom"/>
            <w:gridSpan w:val="2"/>
            <w:vMerge w:val="restart"/>
          </w:tcPr>
          <w:p>
            <w:pPr>
              <w:ind w:left="220"/>
              <w:spacing w:after="0" w:line="170" w:lineRule="exact"/>
              <w:rPr>
                <w:sz w:val="20"/>
                <w:szCs w:val="20"/>
                <w:color w:val="auto"/>
              </w:rPr>
            </w:pPr>
            <w:r>
              <w:rPr>
                <w:rFonts w:ascii="Arial" w:cs="Arial" w:eastAsia="Arial" w:hAnsi="Arial"/>
                <w:sz w:val="15"/>
                <w:szCs w:val="15"/>
                <w:color w:val="auto"/>
              </w:rPr>
              <w:t>Carlisle Companies Incorporated</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5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color w:val="C00000"/>
              </w:rPr>
              <w:t>Gregg W. Steinhafel</w:t>
            </w:r>
          </w:p>
        </w:tc>
        <w:tc>
          <w:tcPr>
            <w:tcW w:w="280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D9D9D9"/>
          </w:tcPr>
          <w:p>
            <w:pPr>
              <w:ind w:left="220"/>
              <w:spacing w:after="0"/>
              <w:rPr>
                <w:sz w:val="20"/>
                <w:szCs w:val="20"/>
                <w:color w:val="auto"/>
              </w:rPr>
            </w:pPr>
            <w:r>
              <w:rPr>
                <w:rFonts w:ascii="Arial" w:cs="Arial" w:eastAsia="Arial" w:hAnsi="Arial"/>
                <w:sz w:val="15"/>
                <w:szCs w:val="15"/>
                <w:color w:val="auto"/>
              </w:rPr>
              <w:t>Former Chairman, President and Chief</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64</w:t>
            </w:r>
          </w:p>
        </w:tc>
        <w:tc>
          <w:tcPr>
            <w:tcW w:w="780" w:type="dxa"/>
            <w:vAlign w:val="bottom"/>
            <w:shd w:val="clear" w:color="auto" w:fill="D9D9D9"/>
          </w:tcPr>
          <w:p>
            <w:pPr>
              <w:jc w:val="center"/>
              <w:ind w:left="148"/>
              <w:spacing w:after="0"/>
              <w:rPr>
                <w:sz w:val="20"/>
                <w:szCs w:val="20"/>
                <w:color w:val="auto"/>
              </w:rPr>
            </w:pPr>
            <w:r>
              <w:rPr>
                <w:rFonts w:ascii="Arial" w:cs="Arial" w:eastAsia="Arial" w:hAnsi="Arial"/>
                <w:sz w:val="15"/>
                <w:szCs w:val="15"/>
                <w:color w:val="auto"/>
                <w:w w:val="95"/>
              </w:rPr>
              <w:t>1999</w:t>
            </w:r>
          </w:p>
        </w:tc>
        <w:tc>
          <w:tcPr>
            <w:tcW w:w="1380" w:type="dxa"/>
            <w:vAlign w:val="bottom"/>
            <w:shd w:val="clear" w:color="auto" w:fill="D9D9D9"/>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shd w:val="clear" w:color="auto" w:fill="D9D9D9"/>
          </w:tcPr>
          <w:p>
            <w:pPr>
              <w:spacing w:after="0"/>
              <w:rPr>
                <w:sz w:val="16"/>
                <w:szCs w:val="16"/>
                <w:color w:val="auto"/>
              </w:rPr>
            </w:pPr>
          </w:p>
        </w:tc>
        <w:tc>
          <w:tcPr>
            <w:tcW w:w="940" w:type="dxa"/>
            <w:vAlign w:val="bottom"/>
            <w:shd w:val="clear" w:color="auto" w:fill="D9D9D9"/>
          </w:tcPr>
          <w:p>
            <w:pPr>
              <w:spacing w:after="0"/>
              <w:rPr>
                <w:sz w:val="16"/>
                <w:szCs w:val="16"/>
                <w:color w:val="auto"/>
              </w:rPr>
            </w:pPr>
          </w:p>
        </w:tc>
        <w:tc>
          <w:tcPr>
            <w:tcW w:w="1020" w:type="dxa"/>
            <w:vAlign w:val="bottom"/>
            <w:vMerge w:val="restart"/>
            <w:shd w:val="clear" w:color="auto" w:fill="D9D9D9"/>
          </w:tcPr>
          <w:p>
            <w:pPr>
              <w:jc w:val="center"/>
              <w:ind w:right="142"/>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420" w:type="dxa"/>
            <w:vAlign w:val="bottom"/>
            <w:vMerge w:val="restart"/>
            <w:shd w:val="clear" w:color="auto" w:fill="D9D9D9"/>
          </w:tcPr>
          <w:p>
            <w:pPr>
              <w:jc w:val="center"/>
              <w:ind w:right="42"/>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60" w:type="dxa"/>
            <w:vAlign w:val="bottom"/>
            <w:shd w:val="clear" w:color="auto" w:fill="D9D9D9"/>
          </w:tcPr>
          <w:p>
            <w:pPr>
              <w:jc w:val="right"/>
              <w:ind w:right="228"/>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50"/>
        </w:trPr>
        <w:tc>
          <w:tcPr>
            <w:tcW w:w="4520" w:type="dxa"/>
            <w:vAlign w:val="bottom"/>
            <w:tcBorders>
              <w:bottom w:val="single" w:sz="8" w:color="D9D9D9"/>
            </w:tcBorders>
            <w:gridSpan w:val="2"/>
            <w:shd w:val="clear" w:color="auto" w:fill="D9D9D9"/>
          </w:tcPr>
          <w:p>
            <w:pPr>
              <w:ind w:left="220"/>
              <w:spacing w:after="0" w:line="150" w:lineRule="exact"/>
              <w:rPr>
                <w:sz w:val="20"/>
                <w:szCs w:val="20"/>
                <w:color w:val="auto"/>
              </w:rPr>
            </w:pPr>
            <w:r>
              <w:rPr>
                <w:rFonts w:ascii="Arial" w:cs="Arial" w:eastAsia="Arial" w:hAnsi="Arial"/>
                <w:sz w:val="15"/>
                <w:szCs w:val="15"/>
                <w:color w:val="auto"/>
              </w:rPr>
              <w:t>Executive Officer, Target Corporation</w:t>
            </w:r>
          </w:p>
        </w:tc>
        <w:tc>
          <w:tcPr>
            <w:tcW w:w="800" w:type="dxa"/>
            <w:vAlign w:val="bottom"/>
            <w:tcBorders>
              <w:bottom w:val="single" w:sz="8" w:color="D9D9D9"/>
            </w:tcBorders>
            <w:shd w:val="clear" w:color="auto" w:fill="D9D9D9"/>
          </w:tcPr>
          <w:p>
            <w:pPr>
              <w:spacing w:after="0"/>
              <w:rPr>
                <w:sz w:val="13"/>
                <w:szCs w:val="13"/>
                <w:color w:val="auto"/>
              </w:rPr>
            </w:pPr>
          </w:p>
        </w:tc>
        <w:tc>
          <w:tcPr>
            <w:tcW w:w="780" w:type="dxa"/>
            <w:vAlign w:val="bottom"/>
            <w:tcBorders>
              <w:bottom w:val="single" w:sz="8" w:color="D9D9D9"/>
            </w:tcBorders>
            <w:shd w:val="clear" w:color="auto" w:fill="D9D9D9"/>
          </w:tcPr>
          <w:p>
            <w:pPr>
              <w:spacing w:after="0"/>
              <w:rPr>
                <w:sz w:val="13"/>
                <w:szCs w:val="13"/>
                <w:color w:val="auto"/>
              </w:rPr>
            </w:pPr>
          </w:p>
        </w:tc>
        <w:tc>
          <w:tcPr>
            <w:tcW w:w="1380" w:type="dxa"/>
            <w:vAlign w:val="bottom"/>
            <w:tcBorders>
              <w:bottom w:val="single" w:sz="8" w:color="D9D9D9"/>
            </w:tcBorders>
            <w:shd w:val="clear" w:color="auto" w:fill="D9D9D9"/>
          </w:tcPr>
          <w:p>
            <w:pPr>
              <w:spacing w:after="0"/>
              <w:rPr>
                <w:sz w:val="13"/>
                <w:szCs w:val="13"/>
                <w:color w:val="auto"/>
              </w:rPr>
            </w:pPr>
          </w:p>
        </w:tc>
        <w:tc>
          <w:tcPr>
            <w:tcW w:w="700" w:type="dxa"/>
            <w:vAlign w:val="bottom"/>
            <w:tcBorders>
              <w:bottom w:val="single" w:sz="8" w:color="D9D9D9"/>
            </w:tcBorders>
            <w:shd w:val="clear" w:color="auto" w:fill="D9D9D9"/>
          </w:tcPr>
          <w:p>
            <w:pPr>
              <w:spacing w:after="0"/>
              <w:rPr>
                <w:sz w:val="13"/>
                <w:szCs w:val="13"/>
                <w:color w:val="auto"/>
              </w:rPr>
            </w:pPr>
          </w:p>
        </w:tc>
        <w:tc>
          <w:tcPr>
            <w:tcW w:w="940" w:type="dxa"/>
            <w:vAlign w:val="bottom"/>
            <w:tcBorders>
              <w:bottom w:val="single" w:sz="8" w:color="D9D9D9"/>
            </w:tcBorders>
            <w:shd w:val="clear" w:color="auto" w:fill="D9D9D9"/>
          </w:tcPr>
          <w:p>
            <w:pPr>
              <w:spacing w:after="0"/>
              <w:rPr>
                <w:sz w:val="13"/>
                <w:szCs w:val="13"/>
                <w:color w:val="auto"/>
              </w:rPr>
            </w:pPr>
          </w:p>
        </w:tc>
        <w:tc>
          <w:tcPr>
            <w:tcW w:w="1020" w:type="dxa"/>
            <w:vAlign w:val="bottom"/>
            <w:tcBorders>
              <w:bottom w:val="single" w:sz="8" w:color="D9D9D9"/>
            </w:tcBorders>
            <w:vMerge w:val="continue"/>
            <w:shd w:val="clear" w:color="auto" w:fill="D9D9D9"/>
          </w:tcPr>
          <w:p>
            <w:pPr>
              <w:spacing w:after="0"/>
              <w:rPr>
                <w:sz w:val="13"/>
                <w:szCs w:val="13"/>
                <w:color w:val="auto"/>
              </w:rPr>
            </w:pPr>
          </w:p>
        </w:tc>
        <w:tc>
          <w:tcPr>
            <w:tcW w:w="420" w:type="dxa"/>
            <w:vAlign w:val="bottom"/>
            <w:tcBorders>
              <w:bottom w:val="single" w:sz="8" w:color="D9D9D9"/>
            </w:tcBorders>
            <w:vMerge w:val="continue"/>
            <w:shd w:val="clear" w:color="auto" w:fill="D9D9D9"/>
          </w:tcPr>
          <w:p>
            <w:pPr>
              <w:spacing w:after="0"/>
              <w:rPr>
                <w:sz w:val="13"/>
                <w:szCs w:val="13"/>
                <w:color w:val="auto"/>
              </w:rPr>
            </w:pPr>
          </w:p>
        </w:tc>
        <w:tc>
          <w:tcPr>
            <w:tcW w:w="86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5"/>
                <w:szCs w:val="15"/>
                <w:b w:val="1"/>
                <w:bCs w:val="1"/>
                <w:color w:val="C00000"/>
              </w:rPr>
              <w:t>Michael G. Vale, Ph.D.</w:t>
            </w: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20" w:type="dxa"/>
            <w:vAlign w:val="bottom"/>
            <w:gridSpan w:val="2"/>
          </w:tcPr>
          <w:p>
            <w:pPr>
              <w:ind w:left="220"/>
              <w:spacing w:after="0"/>
              <w:rPr>
                <w:sz w:val="20"/>
                <w:szCs w:val="20"/>
                <w:color w:val="auto"/>
              </w:rPr>
            </w:pPr>
            <w:r>
              <w:rPr>
                <w:rFonts w:ascii="Arial" w:cs="Arial" w:eastAsia="Arial" w:hAnsi="Arial"/>
                <w:sz w:val="15"/>
                <w:szCs w:val="15"/>
                <w:color w:val="auto"/>
              </w:rPr>
              <w:t>Executive Vice President, Health Care</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52</w:t>
            </w:r>
          </w:p>
        </w:tc>
        <w:tc>
          <w:tcPr>
            <w:tcW w:w="780" w:type="dxa"/>
            <w:vAlign w:val="bottom"/>
          </w:tcPr>
          <w:p>
            <w:pPr>
              <w:jc w:val="center"/>
              <w:ind w:left="148"/>
              <w:spacing w:after="0"/>
              <w:rPr>
                <w:sz w:val="20"/>
                <w:szCs w:val="20"/>
                <w:color w:val="auto"/>
              </w:rPr>
            </w:pPr>
            <w:r>
              <w:rPr>
                <w:rFonts w:ascii="Arial" w:cs="Arial" w:eastAsia="Arial" w:hAnsi="Arial"/>
                <w:sz w:val="15"/>
                <w:szCs w:val="15"/>
                <w:color w:val="auto"/>
                <w:w w:val="95"/>
              </w:rPr>
              <w:t>2018</w:t>
            </w:r>
          </w:p>
        </w:tc>
        <w:tc>
          <w:tcPr>
            <w:tcW w:w="1380" w:type="dxa"/>
            <w:vAlign w:val="bottom"/>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vMerge w:val="restart"/>
          </w:tcPr>
          <w:p>
            <w:pPr>
              <w:jc w:val="center"/>
              <w:ind w:left="155"/>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40" w:type="dxa"/>
            <w:vAlign w:val="bottom"/>
            <w:vMerge w:val="restart"/>
          </w:tcPr>
          <w:p>
            <w:pPr>
              <w:jc w:val="center"/>
              <w:ind w:left="4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228"/>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13"/>
        </w:trPr>
        <w:tc>
          <w:tcPr>
            <w:tcW w:w="4520" w:type="dxa"/>
            <w:vAlign w:val="bottom"/>
            <w:gridSpan w:val="2"/>
            <w:vMerge w:val="restart"/>
          </w:tcPr>
          <w:p>
            <w:pPr>
              <w:ind w:left="220"/>
              <w:spacing w:after="0" w:line="170" w:lineRule="exact"/>
              <w:rPr>
                <w:sz w:val="20"/>
                <w:szCs w:val="20"/>
                <w:color w:val="auto"/>
              </w:rPr>
            </w:pPr>
            <w:r>
              <w:rPr>
                <w:rFonts w:ascii="Arial" w:cs="Arial" w:eastAsia="Arial" w:hAnsi="Arial"/>
                <w:sz w:val="15"/>
                <w:szCs w:val="15"/>
                <w:color w:val="auto"/>
              </w:rPr>
              <w:t>Business Group, 3M Company</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5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i w:val="1"/>
                <w:iCs w:val="1"/>
                <w:color w:val="C00000"/>
              </w:rPr>
              <w:t>Retiring Directors</w:t>
            </w:r>
          </w:p>
        </w:tc>
        <w:tc>
          <w:tcPr>
            <w:tcW w:w="2800" w:type="dxa"/>
            <w:vAlign w:val="bottom"/>
            <w:shd w:val="clear" w:color="auto" w:fill="D9D9D9"/>
          </w:tcPr>
          <w:p>
            <w:pPr>
              <w:spacing w:after="0"/>
              <w:rPr>
                <w:sz w:val="21"/>
                <w:szCs w:val="21"/>
                <w:color w:val="auto"/>
              </w:rPr>
            </w:pPr>
          </w:p>
        </w:tc>
        <w:tc>
          <w:tcPr>
            <w:tcW w:w="800" w:type="dxa"/>
            <w:vAlign w:val="bottom"/>
            <w:shd w:val="clear" w:color="auto" w:fill="D9D9D9"/>
          </w:tcPr>
          <w:p>
            <w:pPr>
              <w:spacing w:after="0"/>
              <w:rPr>
                <w:sz w:val="21"/>
                <w:szCs w:val="21"/>
                <w:color w:val="auto"/>
              </w:rPr>
            </w:pPr>
          </w:p>
        </w:tc>
        <w:tc>
          <w:tcPr>
            <w:tcW w:w="780" w:type="dxa"/>
            <w:vAlign w:val="bottom"/>
            <w:shd w:val="clear" w:color="auto" w:fill="D9D9D9"/>
          </w:tcPr>
          <w:p>
            <w:pPr>
              <w:spacing w:after="0"/>
              <w:rPr>
                <w:sz w:val="21"/>
                <w:szCs w:val="21"/>
                <w:color w:val="auto"/>
              </w:rPr>
            </w:pPr>
          </w:p>
        </w:tc>
        <w:tc>
          <w:tcPr>
            <w:tcW w:w="1380" w:type="dxa"/>
            <w:vAlign w:val="bottom"/>
            <w:shd w:val="clear" w:color="auto" w:fill="D9D9D9"/>
          </w:tcPr>
          <w:p>
            <w:pPr>
              <w:spacing w:after="0"/>
              <w:rPr>
                <w:sz w:val="21"/>
                <w:szCs w:val="21"/>
                <w:color w:val="auto"/>
              </w:rPr>
            </w:pPr>
          </w:p>
        </w:tc>
        <w:tc>
          <w:tcPr>
            <w:tcW w:w="700" w:type="dxa"/>
            <w:vAlign w:val="bottom"/>
            <w:shd w:val="clear" w:color="auto" w:fill="D9D9D9"/>
          </w:tcPr>
          <w:p>
            <w:pPr>
              <w:spacing w:after="0"/>
              <w:rPr>
                <w:sz w:val="21"/>
                <w:szCs w:val="21"/>
                <w:color w:val="auto"/>
              </w:rPr>
            </w:pPr>
          </w:p>
        </w:tc>
        <w:tc>
          <w:tcPr>
            <w:tcW w:w="940" w:type="dxa"/>
            <w:vAlign w:val="bottom"/>
            <w:shd w:val="clear" w:color="auto" w:fill="D9D9D9"/>
          </w:tcPr>
          <w:p>
            <w:pPr>
              <w:spacing w:after="0"/>
              <w:rPr>
                <w:sz w:val="21"/>
                <w:szCs w:val="21"/>
                <w:color w:val="auto"/>
              </w:rPr>
            </w:pPr>
          </w:p>
        </w:tc>
        <w:tc>
          <w:tcPr>
            <w:tcW w:w="1020" w:type="dxa"/>
            <w:vAlign w:val="bottom"/>
            <w:shd w:val="clear" w:color="auto" w:fill="D9D9D9"/>
          </w:tcPr>
          <w:p>
            <w:pPr>
              <w:spacing w:after="0"/>
              <w:rPr>
                <w:sz w:val="21"/>
                <w:szCs w:val="21"/>
                <w:color w:val="auto"/>
              </w:rPr>
            </w:pPr>
          </w:p>
        </w:tc>
        <w:tc>
          <w:tcPr>
            <w:tcW w:w="420" w:type="dxa"/>
            <w:vAlign w:val="bottom"/>
            <w:shd w:val="clear" w:color="auto" w:fill="D9D9D9"/>
          </w:tcPr>
          <w:p>
            <w:pPr>
              <w:spacing w:after="0"/>
              <w:rPr>
                <w:sz w:val="21"/>
                <w:szCs w:val="21"/>
                <w:color w:val="auto"/>
              </w:rPr>
            </w:pPr>
          </w:p>
        </w:tc>
        <w:tc>
          <w:tcPr>
            <w:tcW w:w="86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5"/>
                <w:szCs w:val="15"/>
                <w:b w:val="1"/>
                <w:bCs w:val="1"/>
                <w:color w:val="C00000"/>
              </w:rPr>
              <w:t>Robert C. Buhrmaster – Lead Director</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20" w:type="dxa"/>
            <w:vAlign w:val="bottom"/>
            <w:gridSpan w:val="2"/>
          </w:tcPr>
          <w:p>
            <w:pPr>
              <w:ind w:left="220"/>
              <w:spacing w:after="0"/>
              <w:rPr>
                <w:sz w:val="20"/>
                <w:szCs w:val="20"/>
                <w:color w:val="auto"/>
              </w:rPr>
            </w:pPr>
            <w:r>
              <w:rPr>
                <w:rFonts w:ascii="Arial" w:cs="Arial" w:eastAsia="Arial" w:hAnsi="Arial"/>
                <w:sz w:val="15"/>
                <w:szCs w:val="15"/>
                <w:color w:val="auto"/>
              </w:rPr>
              <w:t>Retired Chairman and Chief Executive</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71</w:t>
            </w:r>
          </w:p>
        </w:tc>
        <w:tc>
          <w:tcPr>
            <w:tcW w:w="780" w:type="dxa"/>
            <w:vAlign w:val="bottom"/>
          </w:tcPr>
          <w:p>
            <w:pPr>
              <w:jc w:val="center"/>
              <w:ind w:left="148"/>
              <w:spacing w:after="0"/>
              <w:rPr>
                <w:sz w:val="20"/>
                <w:szCs w:val="20"/>
                <w:color w:val="auto"/>
              </w:rPr>
            </w:pPr>
            <w:r>
              <w:rPr>
                <w:rFonts w:ascii="Arial" w:cs="Arial" w:eastAsia="Arial" w:hAnsi="Arial"/>
                <w:sz w:val="15"/>
                <w:szCs w:val="15"/>
                <w:color w:val="auto"/>
                <w:w w:val="95"/>
              </w:rPr>
              <w:t>1996</w:t>
            </w:r>
          </w:p>
        </w:tc>
        <w:tc>
          <w:tcPr>
            <w:tcW w:w="1380" w:type="dxa"/>
            <w:vAlign w:val="bottom"/>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vMerge w:val="restart"/>
          </w:tcPr>
          <w:p>
            <w:pPr>
              <w:jc w:val="center"/>
              <w:ind w:right="142"/>
              <w:spacing w:after="0"/>
              <w:rPr>
                <w:sz w:val="20"/>
                <w:szCs w:val="20"/>
                <w:color w:val="auto"/>
              </w:rPr>
            </w:pPr>
            <w:r>
              <w:rPr>
                <w:rFonts w:ascii="Arial" w:cs="Arial" w:eastAsia="Arial" w:hAnsi="Arial"/>
                <w:sz w:val="15"/>
                <w:szCs w:val="15"/>
                <w:b w:val="1"/>
                <w:bCs w:val="1"/>
                <w:color w:val="C00000"/>
                <w:w w:val="87"/>
              </w:rPr>
              <w:t>●</w:t>
            </w:r>
          </w:p>
        </w:tc>
        <w:tc>
          <w:tcPr>
            <w:tcW w:w="420" w:type="dxa"/>
            <w:vAlign w:val="bottom"/>
            <w:vMerge w:val="restart"/>
          </w:tcPr>
          <w:p>
            <w:pPr>
              <w:jc w:val="center"/>
              <w:ind w:right="42"/>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860" w:type="dxa"/>
            <w:vAlign w:val="bottom"/>
          </w:tcPr>
          <w:p>
            <w:pPr>
              <w:jc w:val="right"/>
              <w:ind w:right="228"/>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13"/>
        </w:trPr>
        <w:tc>
          <w:tcPr>
            <w:tcW w:w="1720" w:type="dxa"/>
            <w:vAlign w:val="bottom"/>
            <w:vMerge w:val="restart"/>
          </w:tcPr>
          <w:p>
            <w:pPr>
              <w:ind w:left="220"/>
              <w:spacing w:after="0" w:line="170" w:lineRule="exact"/>
              <w:rPr>
                <w:sz w:val="20"/>
                <w:szCs w:val="20"/>
                <w:color w:val="auto"/>
              </w:rPr>
            </w:pPr>
            <w:r>
              <w:rPr>
                <w:rFonts w:ascii="Arial" w:cs="Arial" w:eastAsia="Arial" w:hAnsi="Arial"/>
                <w:sz w:val="15"/>
                <w:szCs w:val="15"/>
                <w:color w:val="auto"/>
              </w:rPr>
              <w:t>Officer, Jostens, Inc.</w:t>
            </w:r>
          </w:p>
        </w:tc>
        <w:tc>
          <w:tcPr>
            <w:tcW w:w="2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720" w:type="dxa"/>
            <w:vAlign w:val="bottom"/>
            <w:vMerge w:val="continue"/>
          </w:tcPr>
          <w:p>
            <w:pPr>
              <w:spacing w:after="0"/>
              <w:rPr>
                <w:sz w:val="4"/>
                <w:szCs w:val="4"/>
                <w:color w:val="auto"/>
              </w:rPr>
            </w:pPr>
          </w:p>
        </w:tc>
        <w:tc>
          <w:tcPr>
            <w:tcW w:w="2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D9D9D9"/>
          </w:tcPr>
          <w:p>
            <w:pPr>
              <w:spacing w:after="0"/>
              <w:rPr>
                <w:sz w:val="20"/>
                <w:szCs w:val="20"/>
                <w:color w:val="auto"/>
              </w:rPr>
            </w:pPr>
            <w:r>
              <w:rPr>
                <w:rFonts w:ascii="Arial" w:cs="Arial" w:eastAsia="Arial" w:hAnsi="Arial"/>
                <w:sz w:val="15"/>
                <w:szCs w:val="15"/>
                <w:b w:val="1"/>
                <w:bCs w:val="1"/>
                <w:color w:val="C00000"/>
              </w:rPr>
              <w:t>Christopher A. Twomey</w:t>
            </w:r>
          </w:p>
        </w:tc>
        <w:tc>
          <w:tcPr>
            <w:tcW w:w="280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8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D9D9D9"/>
          </w:tcPr>
          <w:p>
            <w:pPr>
              <w:ind w:left="220"/>
              <w:spacing w:after="0"/>
              <w:rPr>
                <w:sz w:val="20"/>
                <w:szCs w:val="20"/>
                <w:color w:val="auto"/>
              </w:rPr>
            </w:pPr>
            <w:r>
              <w:rPr>
                <w:rFonts w:ascii="Arial" w:cs="Arial" w:eastAsia="Arial" w:hAnsi="Arial"/>
                <w:sz w:val="15"/>
                <w:szCs w:val="15"/>
                <w:color w:val="auto"/>
              </w:rPr>
              <w:t>Retired Chairman and Chief</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70</w:t>
            </w:r>
          </w:p>
        </w:tc>
        <w:tc>
          <w:tcPr>
            <w:tcW w:w="780" w:type="dxa"/>
            <w:vAlign w:val="bottom"/>
            <w:shd w:val="clear" w:color="auto" w:fill="D9D9D9"/>
          </w:tcPr>
          <w:p>
            <w:pPr>
              <w:jc w:val="center"/>
              <w:ind w:left="148"/>
              <w:spacing w:after="0"/>
              <w:rPr>
                <w:sz w:val="20"/>
                <w:szCs w:val="20"/>
                <w:color w:val="auto"/>
              </w:rPr>
            </w:pPr>
            <w:r>
              <w:rPr>
                <w:rFonts w:ascii="Arial" w:cs="Arial" w:eastAsia="Arial" w:hAnsi="Arial"/>
                <w:sz w:val="15"/>
                <w:szCs w:val="15"/>
                <w:color w:val="auto"/>
                <w:w w:val="95"/>
              </w:rPr>
              <w:t>1998</w:t>
            </w:r>
          </w:p>
        </w:tc>
        <w:tc>
          <w:tcPr>
            <w:tcW w:w="1380" w:type="dxa"/>
            <w:vAlign w:val="bottom"/>
            <w:shd w:val="clear" w:color="auto" w:fill="D9D9D9"/>
          </w:tcPr>
          <w:p>
            <w:pPr>
              <w:jc w:val="center"/>
              <w:ind w:left="227"/>
              <w:spacing w:after="0"/>
              <w:rPr>
                <w:sz w:val="20"/>
                <w:szCs w:val="20"/>
                <w:color w:val="auto"/>
              </w:rPr>
            </w:pPr>
            <w:r>
              <w:rPr>
                <w:rFonts w:ascii="Arial" w:cs="Arial" w:eastAsia="Arial" w:hAnsi="Arial"/>
                <w:sz w:val="15"/>
                <w:szCs w:val="15"/>
                <w:color w:val="auto"/>
                <w:w w:val="92"/>
              </w:rPr>
              <w:t>Yes</w:t>
            </w:r>
          </w:p>
        </w:tc>
        <w:tc>
          <w:tcPr>
            <w:tcW w:w="700" w:type="dxa"/>
            <w:vAlign w:val="bottom"/>
            <w:shd w:val="clear" w:color="auto" w:fill="D9D9D9"/>
          </w:tcPr>
          <w:p>
            <w:pPr>
              <w:spacing w:after="0"/>
              <w:rPr>
                <w:sz w:val="16"/>
                <w:szCs w:val="16"/>
                <w:color w:val="auto"/>
              </w:rPr>
            </w:pPr>
          </w:p>
        </w:tc>
        <w:tc>
          <w:tcPr>
            <w:tcW w:w="940" w:type="dxa"/>
            <w:vAlign w:val="bottom"/>
            <w:shd w:val="clear" w:color="auto" w:fill="D9D9D9"/>
          </w:tcPr>
          <w:p>
            <w:pPr>
              <w:spacing w:after="0"/>
              <w:rPr>
                <w:sz w:val="16"/>
                <w:szCs w:val="16"/>
                <w:color w:val="auto"/>
              </w:rPr>
            </w:pPr>
          </w:p>
        </w:tc>
        <w:tc>
          <w:tcPr>
            <w:tcW w:w="1020" w:type="dxa"/>
            <w:vAlign w:val="bottom"/>
            <w:vMerge w:val="restart"/>
            <w:shd w:val="clear" w:color="auto" w:fill="D9D9D9"/>
          </w:tcPr>
          <w:p>
            <w:pPr>
              <w:jc w:val="center"/>
              <w:ind w:right="142"/>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420" w:type="dxa"/>
            <w:vAlign w:val="bottom"/>
            <w:vMerge w:val="restart"/>
            <w:shd w:val="clear" w:color="auto" w:fill="D9D9D9"/>
          </w:tcPr>
          <w:p>
            <w:pPr>
              <w:jc w:val="center"/>
              <w:ind w:right="42"/>
              <w:spacing w:after="0"/>
              <w:rPr>
                <w:sz w:val="20"/>
                <w:szCs w:val="20"/>
                <w:color w:val="auto"/>
              </w:rPr>
            </w:pPr>
            <w:r>
              <w:rPr>
                <w:rFonts w:ascii="Arial" w:cs="Arial" w:eastAsia="Arial" w:hAnsi="Arial"/>
                <w:sz w:val="15"/>
                <w:szCs w:val="15"/>
                <w:b w:val="1"/>
                <w:bCs w:val="1"/>
                <w:color w:val="C00000"/>
              </w:rPr>
              <w:t>●</w:t>
            </w:r>
          </w:p>
        </w:tc>
        <w:tc>
          <w:tcPr>
            <w:tcW w:w="860" w:type="dxa"/>
            <w:vAlign w:val="bottom"/>
            <w:shd w:val="clear" w:color="auto" w:fill="D9D9D9"/>
          </w:tcPr>
          <w:p>
            <w:pPr>
              <w:jc w:val="right"/>
              <w:ind w:right="228"/>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0"/>
        </w:trPr>
        <w:tc>
          <w:tcPr>
            <w:tcW w:w="4520" w:type="dxa"/>
            <w:vAlign w:val="bottom"/>
            <w:tcBorders>
              <w:bottom w:val="single" w:sz="8" w:color="D9D9D9"/>
            </w:tcBorders>
            <w:gridSpan w:val="2"/>
            <w:shd w:val="clear" w:color="auto" w:fill="D9D9D9"/>
          </w:tcPr>
          <w:p>
            <w:pPr>
              <w:ind w:left="220"/>
              <w:spacing w:after="0" w:line="170" w:lineRule="exact"/>
              <w:rPr>
                <w:sz w:val="20"/>
                <w:szCs w:val="20"/>
                <w:color w:val="auto"/>
              </w:rPr>
            </w:pPr>
            <w:r>
              <w:rPr>
                <w:rFonts w:ascii="Arial" w:cs="Arial" w:eastAsia="Arial" w:hAnsi="Arial"/>
                <w:sz w:val="15"/>
                <w:szCs w:val="15"/>
                <w:color w:val="auto"/>
              </w:rPr>
              <w:t>Executive Officer, Arctic Cat Inc.</w:t>
            </w:r>
          </w:p>
        </w:tc>
        <w:tc>
          <w:tcPr>
            <w:tcW w:w="800" w:type="dxa"/>
            <w:vAlign w:val="bottom"/>
            <w:tcBorders>
              <w:bottom w:val="single" w:sz="8" w:color="D9D9D9"/>
            </w:tcBorders>
            <w:shd w:val="clear" w:color="auto" w:fill="D9D9D9"/>
          </w:tcPr>
          <w:p>
            <w:pPr>
              <w:spacing w:after="0"/>
              <w:rPr>
                <w:sz w:val="14"/>
                <w:szCs w:val="14"/>
                <w:color w:val="auto"/>
              </w:rPr>
            </w:pPr>
          </w:p>
        </w:tc>
        <w:tc>
          <w:tcPr>
            <w:tcW w:w="780" w:type="dxa"/>
            <w:vAlign w:val="bottom"/>
            <w:tcBorders>
              <w:bottom w:val="single" w:sz="8" w:color="D9D9D9"/>
            </w:tcBorders>
            <w:shd w:val="clear" w:color="auto" w:fill="D9D9D9"/>
          </w:tcPr>
          <w:p>
            <w:pPr>
              <w:spacing w:after="0"/>
              <w:rPr>
                <w:sz w:val="14"/>
                <w:szCs w:val="14"/>
                <w:color w:val="auto"/>
              </w:rPr>
            </w:pPr>
          </w:p>
        </w:tc>
        <w:tc>
          <w:tcPr>
            <w:tcW w:w="1380" w:type="dxa"/>
            <w:vAlign w:val="bottom"/>
            <w:tcBorders>
              <w:bottom w:val="single" w:sz="8" w:color="D9D9D9"/>
            </w:tcBorders>
            <w:shd w:val="clear" w:color="auto" w:fill="D9D9D9"/>
          </w:tcPr>
          <w:p>
            <w:pPr>
              <w:spacing w:after="0"/>
              <w:rPr>
                <w:sz w:val="14"/>
                <w:szCs w:val="14"/>
                <w:color w:val="auto"/>
              </w:rPr>
            </w:pPr>
          </w:p>
        </w:tc>
        <w:tc>
          <w:tcPr>
            <w:tcW w:w="700" w:type="dxa"/>
            <w:vAlign w:val="bottom"/>
            <w:tcBorders>
              <w:bottom w:val="single" w:sz="8" w:color="D9D9D9"/>
            </w:tcBorders>
            <w:shd w:val="clear" w:color="auto" w:fill="D9D9D9"/>
          </w:tcPr>
          <w:p>
            <w:pPr>
              <w:spacing w:after="0"/>
              <w:rPr>
                <w:sz w:val="14"/>
                <w:szCs w:val="14"/>
                <w:color w:val="auto"/>
              </w:rPr>
            </w:pPr>
          </w:p>
        </w:tc>
        <w:tc>
          <w:tcPr>
            <w:tcW w:w="940" w:type="dxa"/>
            <w:vAlign w:val="bottom"/>
            <w:tcBorders>
              <w:bottom w:val="single" w:sz="8" w:color="D9D9D9"/>
            </w:tcBorders>
            <w:shd w:val="clear" w:color="auto" w:fill="D9D9D9"/>
          </w:tcPr>
          <w:p>
            <w:pPr>
              <w:spacing w:after="0"/>
              <w:rPr>
                <w:sz w:val="14"/>
                <w:szCs w:val="14"/>
                <w:color w:val="auto"/>
              </w:rPr>
            </w:pPr>
          </w:p>
        </w:tc>
        <w:tc>
          <w:tcPr>
            <w:tcW w:w="1020" w:type="dxa"/>
            <w:vAlign w:val="bottom"/>
            <w:tcBorders>
              <w:bottom w:val="single" w:sz="8" w:color="D9D9D9"/>
            </w:tcBorders>
            <w:vMerge w:val="continue"/>
            <w:shd w:val="clear" w:color="auto" w:fill="D9D9D9"/>
          </w:tcPr>
          <w:p>
            <w:pPr>
              <w:spacing w:after="0"/>
              <w:rPr>
                <w:sz w:val="14"/>
                <w:szCs w:val="14"/>
                <w:color w:val="auto"/>
              </w:rPr>
            </w:pPr>
          </w:p>
        </w:tc>
        <w:tc>
          <w:tcPr>
            <w:tcW w:w="420" w:type="dxa"/>
            <w:vAlign w:val="bottom"/>
            <w:tcBorders>
              <w:bottom w:val="single" w:sz="8" w:color="D9D9D9"/>
            </w:tcBorders>
            <w:vMerge w:val="continue"/>
            <w:shd w:val="clear" w:color="auto" w:fill="D9D9D9"/>
          </w:tcPr>
          <w:p>
            <w:pPr>
              <w:spacing w:after="0"/>
              <w:rPr>
                <w:sz w:val="14"/>
                <w:szCs w:val="14"/>
                <w:color w:val="auto"/>
              </w:rPr>
            </w:pPr>
          </w:p>
        </w:tc>
        <w:tc>
          <w:tcPr>
            <w:tcW w:w="86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478"/>
        </w:trPr>
        <w:tc>
          <w:tcPr>
            <w:tcW w:w="1720" w:type="dxa"/>
            <w:vAlign w:val="bottom"/>
            <w:tcBorders>
              <w:top w:val="single" w:sz="8" w:color="C00000"/>
            </w:tcBorders>
          </w:tcPr>
          <w:p>
            <w:pPr>
              <w:spacing w:after="0"/>
              <w:rPr>
                <w:sz w:val="20"/>
                <w:szCs w:val="20"/>
                <w:color w:val="auto"/>
              </w:rPr>
            </w:pPr>
            <w:r>
              <w:rPr>
                <w:rFonts w:ascii="Arial" w:cs="Arial" w:eastAsia="Arial" w:hAnsi="Arial"/>
                <w:sz w:val="15"/>
                <w:szCs w:val="15"/>
                <w:b w:val="1"/>
                <w:bCs w:val="1"/>
                <w:color w:val="C00000"/>
              </w:rPr>
              <w:t xml:space="preserve">A: </w:t>
            </w:r>
            <w:r>
              <w:rPr>
                <w:rFonts w:ascii="Arial" w:cs="Arial" w:eastAsia="Arial" w:hAnsi="Arial"/>
                <w:sz w:val="15"/>
                <w:szCs w:val="15"/>
                <w:color w:val="C00000"/>
              </w:rPr>
              <w:t>Audit</w:t>
            </w:r>
          </w:p>
        </w:tc>
        <w:tc>
          <w:tcPr>
            <w:tcW w:w="2800" w:type="dxa"/>
            <w:vAlign w:val="bottom"/>
            <w:tcBorders>
              <w:top w:val="single" w:sz="8" w:color="C00000"/>
            </w:tcBorders>
          </w:tcPr>
          <w:p>
            <w:pPr>
              <w:ind w:left="120"/>
              <w:spacing w:after="0"/>
              <w:rPr>
                <w:sz w:val="20"/>
                <w:szCs w:val="20"/>
                <w:color w:val="auto"/>
              </w:rPr>
            </w:pPr>
            <w:r>
              <w:rPr>
                <w:rFonts w:ascii="Arial" w:cs="Arial" w:eastAsia="Arial" w:hAnsi="Arial"/>
                <w:sz w:val="15"/>
                <w:szCs w:val="15"/>
                <w:b w:val="1"/>
                <w:bCs w:val="1"/>
                <w:color w:val="C00000"/>
              </w:rPr>
              <w:t xml:space="preserve">N: </w:t>
            </w:r>
            <w:r>
              <w:rPr>
                <w:rFonts w:ascii="Arial" w:cs="Arial" w:eastAsia="Arial" w:hAnsi="Arial"/>
                <w:sz w:val="15"/>
                <w:szCs w:val="15"/>
                <w:color w:val="C00000"/>
              </w:rPr>
              <w:t>Nominating &amp; Governance</w:t>
            </w:r>
          </w:p>
        </w:tc>
        <w:tc>
          <w:tcPr>
            <w:tcW w:w="800" w:type="dxa"/>
            <w:vAlign w:val="bottom"/>
            <w:tcBorders>
              <w:top w:val="single" w:sz="8" w:color="C00000"/>
            </w:tcBorders>
          </w:tcPr>
          <w:p>
            <w:pPr>
              <w:spacing w:after="0"/>
              <w:rPr>
                <w:sz w:val="24"/>
                <w:szCs w:val="24"/>
                <w:color w:val="auto"/>
              </w:rPr>
            </w:pPr>
          </w:p>
        </w:tc>
        <w:tc>
          <w:tcPr>
            <w:tcW w:w="780" w:type="dxa"/>
            <w:vAlign w:val="bottom"/>
            <w:tcBorders>
              <w:top w:val="single" w:sz="8" w:color="C00000"/>
            </w:tcBorders>
          </w:tcPr>
          <w:p>
            <w:pPr>
              <w:spacing w:after="0"/>
              <w:rPr>
                <w:sz w:val="24"/>
                <w:szCs w:val="24"/>
                <w:color w:val="auto"/>
              </w:rPr>
            </w:pPr>
          </w:p>
        </w:tc>
        <w:tc>
          <w:tcPr>
            <w:tcW w:w="1380" w:type="dxa"/>
            <w:vAlign w:val="bottom"/>
            <w:tcBorders>
              <w:top w:val="single" w:sz="8" w:color="C00000"/>
            </w:tcBorders>
          </w:tcPr>
          <w:p>
            <w:pPr>
              <w:ind w:left="40"/>
              <w:spacing w:after="0" w:line="173" w:lineRule="exact"/>
              <w:rPr>
                <w:sz w:val="20"/>
                <w:szCs w:val="20"/>
                <w:color w:val="auto"/>
              </w:rPr>
            </w:pPr>
            <w:r>
              <w:rPr>
                <w:rFonts w:ascii="MS PGothic" w:cs="MS PGothic" w:eastAsia="MS PGothic" w:hAnsi="MS PGothic"/>
                <w:sz w:val="15"/>
                <w:szCs w:val="15"/>
                <w:color w:val="000000"/>
                <w:shd w:val="clear" w:color="auto" w:fill="C00000"/>
              </w:rPr>
              <w:t>✓</w:t>
            </w:r>
            <w:r>
              <w:rPr>
                <w:rFonts w:ascii="Arial" w:cs="Arial" w:eastAsia="Arial" w:hAnsi="Arial"/>
                <w:sz w:val="15"/>
                <w:szCs w:val="15"/>
                <w:b w:val="1"/>
                <w:bCs w:val="1"/>
                <w:color w:val="C00000"/>
              </w:rPr>
              <w:t xml:space="preserve">: </w:t>
            </w:r>
            <w:r>
              <w:rPr>
                <w:rFonts w:ascii="Arial" w:cs="Arial" w:eastAsia="Arial" w:hAnsi="Arial"/>
                <w:sz w:val="15"/>
                <w:szCs w:val="15"/>
                <w:color w:val="C00000"/>
              </w:rPr>
              <w:t>Member</w:t>
            </w:r>
          </w:p>
        </w:tc>
        <w:tc>
          <w:tcPr>
            <w:tcW w:w="2660" w:type="dxa"/>
            <w:vAlign w:val="bottom"/>
            <w:tcBorders>
              <w:top w:val="single" w:sz="8" w:color="C00000"/>
            </w:tcBorders>
            <w:gridSpan w:val="3"/>
          </w:tcPr>
          <w:p>
            <w:pPr>
              <w:ind w:left="180"/>
              <w:spacing w:after="0" w:line="477" w:lineRule="exact"/>
              <w:rPr>
                <w:sz w:val="20"/>
                <w:szCs w:val="20"/>
                <w:color w:val="auto"/>
              </w:rPr>
            </w:pPr>
            <w:r>
              <w:rPr>
                <w:rFonts w:ascii="Arial" w:cs="Arial" w:eastAsia="Arial" w:hAnsi="Arial"/>
                <w:sz w:val="45"/>
                <w:szCs w:val="45"/>
                <w:b w:val="1"/>
                <w:bCs w:val="1"/>
                <w:color w:val="C00000"/>
                <w:vertAlign w:val="subscript"/>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Audit Committee Financial Expert</w:t>
            </w:r>
          </w:p>
        </w:tc>
        <w:tc>
          <w:tcPr>
            <w:tcW w:w="420" w:type="dxa"/>
            <w:vAlign w:val="bottom"/>
            <w:tcBorders>
              <w:top w:val="single" w:sz="8" w:color="C00000"/>
            </w:tcBorders>
          </w:tcPr>
          <w:p>
            <w:pPr>
              <w:spacing w:after="0"/>
              <w:rPr>
                <w:sz w:val="24"/>
                <w:szCs w:val="24"/>
                <w:color w:val="auto"/>
              </w:rPr>
            </w:pPr>
          </w:p>
        </w:tc>
        <w:tc>
          <w:tcPr>
            <w:tcW w:w="860" w:type="dxa"/>
            <w:vAlign w:val="bottom"/>
            <w:tcBorders>
              <w:top w:val="single" w:sz="8" w:color="C00000"/>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20"/>
                <w:szCs w:val="20"/>
                <w:color w:val="auto"/>
              </w:rPr>
            </w:pPr>
            <w:r>
              <w:rPr>
                <w:rFonts w:ascii="Arial" w:cs="Arial" w:eastAsia="Arial" w:hAnsi="Arial"/>
                <w:sz w:val="15"/>
                <w:szCs w:val="15"/>
                <w:b w:val="1"/>
                <w:bCs w:val="1"/>
                <w:color w:val="C00000"/>
              </w:rPr>
              <w:t xml:space="preserve">F: </w:t>
            </w:r>
            <w:r>
              <w:rPr>
                <w:rFonts w:ascii="Arial" w:cs="Arial" w:eastAsia="Arial" w:hAnsi="Arial"/>
                <w:sz w:val="15"/>
                <w:szCs w:val="15"/>
                <w:color w:val="C00000"/>
              </w:rPr>
              <w:t>Finance</w:t>
            </w:r>
          </w:p>
        </w:tc>
        <w:tc>
          <w:tcPr>
            <w:tcW w:w="2800" w:type="dxa"/>
            <w:vAlign w:val="bottom"/>
          </w:tcPr>
          <w:p>
            <w:pPr>
              <w:ind w:left="120"/>
              <w:spacing w:after="0"/>
              <w:rPr>
                <w:sz w:val="20"/>
                <w:szCs w:val="20"/>
                <w:color w:val="auto"/>
              </w:rPr>
            </w:pPr>
            <w:r>
              <w:rPr>
                <w:rFonts w:ascii="Arial" w:cs="Arial" w:eastAsia="Arial" w:hAnsi="Arial"/>
                <w:sz w:val="15"/>
                <w:szCs w:val="15"/>
                <w:b w:val="1"/>
                <w:bCs w:val="1"/>
                <w:color w:val="C00000"/>
              </w:rPr>
              <w:t xml:space="preserve">C: </w:t>
            </w:r>
            <w:r>
              <w:rPr>
                <w:rFonts w:ascii="Arial" w:cs="Arial" w:eastAsia="Arial" w:hAnsi="Arial"/>
                <w:sz w:val="15"/>
                <w:szCs w:val="15"/>
                <w:color w:val="C00000"/>
              </w:rPr>
              <w:t>Compensation &amp; Human Resources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ind w:left="40"/>
              <w:spacing w:after="0"/>
              <w:rPr>
                <w:sz w:val="20"/>
                <w:szCs w:val="20"/>
                <w:color w:val="auto"/>
              </w:rPr>
            </w:pPr>
            <w:r>
              <w:rPr>
                <w:rFonts w:ascii="Arial" w:cs="Arial" w:eastAsia="Arial" w:hAnsi="Arial"/>
                <w:sz w:val="15"/>
                <w:szCs w:val="15"/>
                <w:b w:val="1"/>
                <w:bCs w:val="1"/>
                <w:color w:val="C00000"/>
              </w:rPr>
              <w:t xml:space="preserve">●: </w:t>
            </w:r>
            <w:r>
              <w:rPr>
                <w:rFonts w:ascii="Arial" w:cs="Arial" w:eastAsia="Arial" w:hAnsi="Arial"/>
                <w:sz w:val="15"/>
                <w:szCs w:val="15"/>
                <w:color w:val="C00000"/>
              </w:rPr>
              <w:t>Chair</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4861560</wp:posOffset>
            </wp:positionH>
            <wp:positionV relativeFrom="paragraph">
              <wp:posOffset>-5839460</wp:posOffset>
            </wp:positionV>
            <wp:extent cx="18751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75155" cy="7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79375</wp:posOffset>
            </wp:positionV>
            <wp:extent cx="6170295" cy="459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0295" cy="459105"/>
                    </a:xfrm>
                    <a:prstGeom prst="rect">
                      <a:avLst/>
                    </a:prstGeom>
                    <a:noFill/>
                  </pic:spPr>
                </pic:pic>
              </a:graphicData>
            </a:graphic>
          </wp:anchor>
        </w:drawing>
      </w:r>
    </w:p>
    <w:p>
      <w:pPr>
        <w:spacing w:after="0" w:line="145"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C00000"/>
        </w:rPr>
        <w:t>Executive Compensation Program Objectives</w:t>
      </w:r>
    </w:p>
    <w:p>
      <w:pPr>
        <w:spacing w:after="0" w:line="69"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Our executive compensation philosophy is to maintain a program that allows us to attract,</w:t>
      </w:r>
    </w:p>
    <w:p>
      <w:pPr>
        <w:jc w:val="center"/>
        <w:ind w:right="18"/>
        <w:spacing w:after="0"/>
        <w:rPr>
          <w:sz w:val="20"/>
          <w:szCs w:val="20"/>
          <w:color w:val="auto"/>
        </w:rPr>
      </w:pPr>
      <w:r>
        <w:rPr>
          <w:rFonts w:ascii="Arial" w:cs="Arial" w:eastAsia="Arial" w:hAnsi="Arial"/>
          <w:sz w:val="16"/>
          <w:szCs w:val="16"/>
          <w:color w:val="auto"/>
        </w:rPr>
        <w:t>retain, motivate and reward highly qualified and talented executive officers.</w:t>
      </w:r>
    </w:p>
    <w:p>
      <w:pPr>
        <w:spacing w:after="0" w:line="115" w:lineRule="exact"/>
        <w:rPr>
          <w:sz w:val="20"/>
          <w:szCs w:val="20"/>
          <w:color w:val="auto"/>
        </w:rPr>
      </w:pPr>
    </w:p>
    <w:tbl>
      <w:tblPr>
        <w:tblLayout w:type="fixed"/>
        <w:tblInd w:w="872" w:type="dxa"/>
        <w:tblCellMar>
          <w:top w:w="0" w:type="dxa"/>
          <w:left w:w="0" w:type="dxa"/>
          <w:bottom w:w="0" w:type="dxa"/>
          <w:right w:w="0" w:type="dxa"/>
        </w:tblCellMar>
      </w:tblPr>
      <w:tr>
        <w:trPr>
          <w:trHeight w:val="224"/>
        </w:trPr>
        <w:tc>
          <w:tcPr>
            <w:tcW w:w="37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Align interests of executive</w:t>
            </w:r>
          </w:p>
        </w:tc>
        <w:tc>
          <w:tcPr>
            <w:tcW w:w="140" w:type="dxa"/>
            <w:vAlign w:val="bottom"/>
            <w:tcBorders>
              <w:right w:val="single" w:sz="8" w:color="auto"/>
            </w:tcBorders>
          </w:tcPr>
          <w:p>
            <w:pPr>
              <w:spacing w:after="0"/>
              <w:rPr>
                <w:sz w:val="19"/>
                <w:szCs w:val="19"/>
                <w:color w:val="auto"/>
              </w:rPr>
            </w:pPr>
          </w:p>
        </w:tc>
        <w:tc>
          <w:tcPr>
            <w:tcW w:w="19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Link pay to</w:t>
            </w:r>
          </w:p>
        </w:tc>
        <w:tc>
          <w:tcPr>
            <w:tcW w:w="120" w:type="dxa"/>
            <w:vAlign w:val="bottom"/>
            <w:tcBorders>
              <w:right w:val="single" w:sz="8" w:color="auto"/>
            </w:tcBorders>
          </w:tcPr>
          <w:p>
            <w:pPr>
              <w:spacing w:after="0"/>
              <w:rPr>
                <w:sz w:val="19"/>
                <w:szCs w:val="19"/>
                <w:color w:val="auto"/>
              </w:rPr>
            </w:pPr>
          </w:p>
        </w:tc>
        <w:tc>
          <w:tcPr>
            <w:tcW w:w="3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Provide competitive target</w:t>
            </w:r>
          </w:p>
        </w:tc>
      </w:tr>
      <w:tr>
        <w:trPr>
          <w:trHeight w:val="184"/>
        </w:trPr>
        <w:tc>
          <w:tcPr>
            <w:tcW w:w="37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officers with shareholder</w:t>
            </w:r>
          </w:p>
        </w:tc>
        <w:tc>
          <w:tcPr>
            <w:tcW w:w="1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performance</w:t>
            </w:r>
          </w:p>
        </w:tc>
        <w:tc>
          <w:tcPr>
            <w:tcW w:w="12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total direct compensation</w:t>
            </w:r>
          </w:p>
        </w:tc>
      </w:tr>
      <w:tr>
        <w:trPr>
          <w:trHeight w:val="234"/>
        </w:trPr>
        <w:tc>
          <w:tcPr>
            <w:tcW w:w="37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interests</w:t>
            </w:r>
          </w:p>
        </w:tc>
        <w:tc>
          <w:tcPr>
            <w:tcW w:w="140" w:type="dxa"/>
            <w:vAlign w:val="bottom"/>
            <w:tcBorders>
              <w:right w:val="single" w:sz="8" w:color="auto"/>
            </w:tcBorders>
          </w:tcPr>
          <w:p>
            <w:pPr>
              <w:spacing w:after="0"/>
              <w:rPr>
                <w:sz w:val="20"/>
                <w:szCs w:val="20"/>
                <w:color w:val="auto"/>
              </w:rPr>
            </w:pPr>
          </w:p>
        </w:tc>
        <w:tc>
          <w:tcPr>
            <w:tcW w:w="1940" w:type="dxa"/>
            <w:vAlign w:val="bottom"/>
            <w:tcBorders>
              <w:bottom w:val="single" w:sz="8" w:color="D9D9D9"/>
              <w:right w:val="single" w:sz="8" w:color="auto"/>
            </w:tcBorders>
            <w:shd w:val="clear" w:color="auto" w:fill="D9D9D9"/>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7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opportunities</w:t>
            </w:r>
          </w:p>
        </w:tc>
      </w:tr>
      <w:tr>
        <w:trPr>
          <w:trHeight w:val="20"/>
        </w:trPr>
        <w:tc>
          <w:tcPr>
            <w:tcW w:w="3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2018 Executive Compensation Summary</w:t>
      </w:r>
    </w:p>
    <w:p>
      <w:pPr>
        <w:spacing w:after="0" w:line="112" w:lineRule="exact"/>
        <w:rPr>
          <w:sz w:val="20"/>
          <w:szCs w:val="20"/>
          <w:color w:val="auto"/>
        </w:rPr>
      </w:pPr>
    </w:p>
    <w:p>
      <w:pPr>
        <w:ind w:left="2" w:right="320" w:firstLine="408"/>
        <w:spacing w:after="0" w:line="247" w:lineRule="auto"/>
        <w:rPr>
          <w:sz w:val="20"/>
          <w:szCs w:val="20"/>
          <w:color w:val="auto"/>
        </w:rPr>
      </w:pPr>
      <w:r>
        <w:rPr>
          <w:rFonts w:ascii="Arial" w:cs="Arial" w:eastAsia="Arial" w:hAnsi="Arial"/>
          <w:sz w:val="16"/>
          <w:szCs w:val="16"/>
          <w:color w:val="auto"/>
        </w:rPr>
        <w:t>A significant portion of our executive officers’ target total direct compensation is comprised of short- and long-term variable performance-based, or at risk, compensation to directly link their pay to performance. Short-term variable compensation is in the form of annual cash incentive awards. Long-term variable compensation is in the form of stock options that vest over three years and three-year performance share awards.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59320" cy="198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320" cy="198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FFFFFF"/>
        </w:rPr>
        <w:t>Highlights of What We Do and Don’t Do:</w:t>
      </w:r>
    </w:p>
    <w:p>
      <w:pPr>
        <w:spacing w:after="0" w:line="57" w:lineRule="exact"/>
        <w:rPr>
          <w:sz w:val="20"/>
          <w:szCs w:val="20"/>
          <w:color w:val="auto"/>
        </w:rPr>
      </w:pPr>
    </w:p>
    <w:p>
      <w:pPr>
        <w:ind w:left="422" w:right="220" w:hanging="422"/>
        <w:spacing w:after="0" w:line="247" w:lineRule="auto"/>
        <w:tabs>
          <w:tab w:leader="none" w:pos="422" w:val="left"/>
        </w:tabs>
        <w:numPr>
          <w:ilvl w:val="0"/>
          <w:numId w:val="8"/>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link a substantial portion of total executive compensation directly to performance and require that minimum, or threshold, levels of performance be met in order for there to be any payout.</w:t>
      </w:r>
    </w:p>
    <w:p>
      <w:pPr>
        <w:spacing w:after="0" w:line="25" w:lineRule="exact"/>
        <w:rPr>
          <w:rFonts w:ascii="MS PGothic" w:cs="MS PGothic" w:eastAsia="MS PGothic" w:hAnsi="MS PGothic"/>
          <w:sz w:val="16"/>
          <w:szCs w:val="16"/>
          <w:color w:val="auto"/>
          <w:shd w:val="clear" w:color="auto" w:fill="C00000"/>
        </w:rPr>
      </w:pPr>
    </w:p>
    <w:p>
      <w:pPr>
        <w:ind w:left="422" w:right="200" w:hanging="422"/>
        <w:spacing w:after="0" w:line="247" w:lineRule="auto"/>
        <w:tabs>
          <w:tab w:leader="none" w:pos="422" w:val="left"/>
        </w:tabs>
        <w:numPr>
          <w:ilvl w:val="0"/>
          <w:numId w:val="8"/>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utilize a mix of earnings, revenue and asset-based performance measures for our annual cash incentive awards and long-term performance share awards.</w:t>
      </w:r>
    </w:p>
    <w:p>
      <w:pPr>
        <w:spacing w:after="0" w:line="25" w:lineRule="exact"/>
        <w:rPr>
          <w:rFonts w:ascii="MS PGothic" w:cs="MS PGothic" w:eastAsia="MS PGothic" w:hAnsi="MS PGothic"/>
          <w:sz w:val="16"/>
          <w:szCs w:val="16"/>
          <w:color w:val="auto"/>
          <w:shd w:val="clear" w:color="auto" w:fill="C00000"/>
        </w:rPr>
      </w:pPr>
    </w:p>
    <w:p>
      <w:pPr>
        <w:ind w:left="422" w:right="220" w:hanging="422"/>
        <w:spacing w:after="0" w:line="247" w:lineRule="auto"/>
        <w:tabs>
          <w:tab w:leader="none" w:pos="422" w:val="left"/>
        </w:tabs>
        <w:numPr>
          <w:ilvl w:val="0"/>
          <w:numId w:val="8"/>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utilize three-year performance share awards, the payouts of which vary based on performance and are contingent upon the achievement of three-year performance goals.</w:t>
      </w:r>
    </w:p>
    <w:p>
      <w:pPr>
        <w:ind w:left="422" w:hanging="422"/>
        <w:spacing w:after="0" w:line="187" w:lineRule="auto"/>
        <w:tabs>
          <w:tab w:leader="none" w:pos="422" w:val="left"/>
        </w:tabs>
        <w:numPr>
          <w:ilvl w:val="0"/>
          <w:numId w:val="8"/>
        </w:numPr>
        <w:rPr>
          <w:rFonts w:ascii="MS PGothic" w:cs="MS PGothic" w:eastAsia="MS PGothic" w:hAnsi="MS PGothic"/>
          <w:sz w:val="33"/>
          <w:szCs w:val="33"/>
          <w:color w:val="auto"/>
          <w:vertAlign w:val="superscript"/>
          <w:shd w:val="clear" w:color="auto" w:fill="C00000"/>
        </w:rPr>
      </w:pPr>
      <w:r>
        <w:rPr>
          <w:rFonts w:ascii="Arial" w:cs="Arial" w:eastAsia="Arial" w:hAnsi="Arial"/>
          <w:sz w:val="16"/>
          <w:szCs w:val="16"/>
          <w:color w:val="070707"/>
        </w:rPr>
        <w:t>We utilize stock options, the value of which is contingent upon long-term stock price performance.</w:t>
      </w:r>
    </w:p>
    <w:p>
      <w:pPr>
        <w:spacing w:after="0" w:line="61" w:lineRule="exact"/>
        <w:rPr>
          <w:rFonts w:ascii="MS PGothic" w:cs="MS PGothic" w:eastAsia="MS PGothic" w:hAnsi="MS PGothic"/>
          <w:sz w:val="33"/>
          <w:szCs w:val="33"/>
          <w:color w:val="auto"/>
          <w:vertAlign w:val="superscript"/>
          <w:shd w:val="clear" w:color="auto" w:fill="C00000"/>
        </w:rPr>
      </w:pPr>
    </w:p>
    <w:p>
      <w:pPr>
        <w:ind w:left="422" w:hanging="422"/>
        <w:spacing w:after="0" w:line="180" w:lineRule="auto"/>
        <w:tabs>
          <w:tab w:leader="none" w:pos="422" w:val="left"/>
        </w:tabs>
        <w:numPr>
          <w:ilvl w:val="0"/>
          <w:numId w:val="8"/>
        </w:numPr>
        <w:rPr>
          <w:rFonts w:ascii="MS PGothic" w:cs="MS PGothic" w:eastAsia="MS PGothic" w:hAnsi="MS PGothic"/>
          <w:sz w:val="26"/>
          <w:szCs w:val="26"/>
          <w:color w:val="auto"/>
          <w:vertAlign w:val="superscript"/>
          <w:shd w:val="clear" w:color="auto" w:fill="C00000"/>
        </w:rPr>
      </w:pPr>
      <w:r>
        <w:rPr>
          <w:rFonts w:ascii="Arial" w:cs="Arial" w:eastAsia="Arial" w:hAnsi="Arial"/>
          <w:sz w:val="14"/>
          <w:szCs w:val="14"/>
          <w:color w:val="070707"/>
        </w:rPr>
        <w:t>We include clawback provisions within our annual cash incentive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00965" cy="93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42"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have individual employment agreements with any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00965" cy="93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53"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00965" cy="93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53"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provide gross-up payments to cover personal income taxes or excise taxes that pertain to executive or severance benefits.</w:t>
      </w:r>
    </w:p>
    <w:p>
      <w:pPr>
        <w:spacing w:after="0" w:line="151" w:lineRule="exact"/>
        <w:rPr>
          <w:sz w:val="20"/>
          <w:szCs w:val="20"/>
          <w:color w:val="auto"/>
        </w:rPr>
      </w:pPr>
    </w:p>
    <w:p>
      <w:pPr>
        <w:ind w:left="42"/>
        <w:spacing w:after="0"/>
        <w:rPr>
          <w:sz w:val="20"/>
          <w:szCs w:val="20"/>
          <w:color w:val="auto"/>
        </w:rPr>
      </w:pPr>
      <w:r>
        <w:rPr>
          <w:rFonts w:ascii="Arial" w:cs="Arial" w:eastAsia="Arial" w:hAnsi="Arial"/>
          <w:sz w:val="16"/>
          <w:szCs w:val="16"/>
          <w:b w:val="1"/>
          <w:bCs w:val="1"/>
          <w:color w:val="auto"/>
        </w:rPr>
        <w:t>Our fiscal 2018 financial performance resulted in the following:</w:t>
      </w:r>
    </w:p>
    <w:p>
      <w:pPr>
        <w:spacing w:after="0" w:line="148" w:lineRule="exact"/>
        <w:rPr>
          <w:sz w:val="20"/>
          <w:szCs w:val="20"/>
          <w:color w:val="auto"/>
        </w:rPr>
      </w:pPr>
    </w:p>
    <w:tbl>
      <w:tblPr>
        <w:tblLayout w:type="fixed"/>
        <w:tblInd w:w="12" w:type="dxa"/>
        <w:tblCellMar>
          <w:top w:w="0" w:type="dxa"/>
          <w:left w:w="0" w:type="dxa"/>
          <w:bottom w:w="0" w:type="dxa"/>
          <w:right w:w="0" w:type="dxa"/>
        </w:tblCellMar>
      </w:tblPr>
      <w:tr>
        <w:trPr>
          <w:trHeight w:val="275"/>
        </w:trPr>
        <w:tc>
          <w:tcPr>
            <w:tcW w:w="9620" w:type="dxa"/>
            <w:vAlign w:val="bottom"/>
            <w:tcBorders>
              <w:top w:val="single" w:sz="8" w:color="auto"/>
              <w:left w:val="single" w:sz="8" w:color="auto"/>
              <w:bottom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Annual cash incentives were paid at 95.46% of target.</w:t>
            </w:r>
          </w:p>
        </w:tc>
        <w:tc>
          <w:tcPr>
            <w:tcW w:w="1820" w:type="dxa"/>
            <w:vAlign w:val="bottom"/>
            <w:tcBorders>
              <w:top w:val="single" w:sz="8" w:color="auto"/>
              <w:bottom w:val="single" w:sz="8" w:color="auto"/>
              <w:right w:val="single" w:sz="8" w:color="auto"/>
            </w:tcBorders>
            <w:shd w:val="clear" w:color="auto" w:fill="D9D9D9"/>
          </w:tcPr>
          <w:p>
            <w:pPr>
              <w:ind w:left="1180"/>
              <w:spacing w:after="0"/>
              <w:rPr>
                <w:sz w:val="20"/>
                <w:szCs w:val="20"/>
                <w:color w:val="auto"/>
              </w:rPr>
            </w:pPr>
            <w:r>
              <w:rPr>
                <w:rFonts w:ascii="Arial" w:cs="Arial" w:eastAsia="Arial" w:hAnsi="Arial"/>
                <w:sz w:val="16"/>
                <w:szCs w:val="16"/>
                <w:color w:val="auto"/>
              </w:rPr>
              <w:t>Page 31</w:t>
            </w:r>
          </w:p>
        </w:tc>
      </w:tr>
      <w:tr>
        <w:trPr>
          <w:trHeight w:val="72"/>
        </w:trPr>
        <w:tc>
          <w:tcPr>
            <w:tcW w:w="96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r>
      <w:tr>
        <w:trPr>
          <w:trHeight w:val="237"/>
        </w:trPr>
        <w:tc>
          <w:tcPr>
            <w:tcW w:w="9620" w:type="dxa"/>
            <w:vAlign w:val="bottom"/>
            <w:tcBorders>
              <w:left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Three-year performance awards for the fiscal 2016 to fiscal 2018 performance period were paid at 118.03% of target.</w:t>
            </w:r>
          </w:p>
        </w:tc>
        <w:tc>
          <w:tcPr>
            <w:tcW w:w="1820" w:type="dxa"/>
            <w:vAlign w:val="bottom"/>
            <w:tcBorders>
              <w:bottom w:val="single" w:sz="8" w:color="auto"/>
              <w:right w:val="single" w:sz="8" w:color="auto"/>
            </w:tcBorders>
            <w:shd w:val="clear" w:color="auto" w:fill="D9D9D9"/>
          </w:tcPr>
          <w:p>
            <w:pPr>
              <w:ind w:left="1180"/>
              <w:spacing w:after="0"/>
              <w:rPr>
                <w:sz w:val="20"/>
                <w:szCs w:val="20"/>
                <w:color w:val="auto"/>
              </w:rPr>
            </w:pPr>
            <w:r>
              <w:rPr>
                <w:rFonts w:ascii="Arial" w:cs="Arial" w:eastAsia="Arial" w:hAnsi="Arial"/>
                <w:sz w:val="16"/>
                <w:szCs w:val="16"/>
                <w:color w:val="auto"/>
              </w:rPr>
              <w:t>Page 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140" w:right="2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C00000"/>
        </w:rPr>
        <w:t>THE TORO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8111 Lyndale Avenue South</w:t>
      </w:r>
    </w:p>
    <w:p>
      <w:pPr>
        <w:jc w:val="center"/>
        <w:spacing w:after="0"/>
        <w:rPr>
          <w:sz w:val="20"/>
          <w:szCs w:val="20"/>
          <w:color w:val="auto"/>
        </w:rPr>
      </w:pPr>
      <w:r>
        <w:rPr>
          <w:rFonts w:ascii="Arial" w:cs="Arial" w:eastAsia="Arial" w:hAnsi="Arial"/>
          <w:sz w:val="16"/>
          <w:szCs w:val="16"/>
          <w:color w:val="auto"/>
        </w:rPr>
        <w:t>Bloomington, Minnesota 55420-1196</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C00000"/>
        </w:rPr>
        <w:t>PROXY STATEMENT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2019 ANNUAL MEETING OF SHAREHOLDERS</w:t>
      </w:r>
    </w:p>
    <w:p>
      <w:pPr>
        <w:jc w:val="center"/>
        <w:spacing w:after="0"/>
        <w:rPr>
          <w:sz w:val="20"/>
          <w:szCs w:val="20"/>
          <w:color w:val="auto"/>
        </w:rPr>
      </w:pPr>
      <w:r>
        <w:rPr>
          <w:rFonts w:ascii="Arial" w:cs="Arial" w:eastAsia="Arial" w:hAnsi="Arial"/>
          <w:sz w:val="16"/>
          <w:szCs w:val="16"/>
          <w:color w:val="auto"/>
        </w:rPr>
        <w:t>TUESDAY, MARCH 19, 2019</w:t>
      </w:r>
    </w:p>
    <w:p>
      <w:pPr>
        <w:jc w:val="center"/>
        <w:spacing w:after="0"/>
        <w:rPr>
          <w:sz w:val="20"/>
          <w:szCs w:val="20"/>
          <w:color w:val="auto"/>
        </w:rPr>
      </w:pPr>
      <w:r>
        <w:rPr>
          <w:rFonts w:ascii="Arial" w:cs="Arial" w:eastAsia="Arial" w:hAnsi="Arial"/>
          <w:sz w:val="16"/>
          <w:szCs w:val="16"/>
          <w:color w:val="auto"/>
        </w:rPr>
        <w:t>1:30 p.m. Central Daylight Time</w:t>
      </w:r>
    </w:p>
    <w:p>
      <w:pPr>
        <w:spacing w:after="0" w:line="196" w:lineRule="exact"/>
        <w:rPr>
          <w:sz w:val="20"/>
          <w:szCs w:val="20"/>
          <w:color w:val="auto"/>
        </w:rPr>
      </w:pPr>
    </w:p>
    <w:p>
      <w:pPr>
        <w:ind w:right="420" w:firstLine="408"/>
        <w:spacing w:after="0" w:line="244" w:lineRule="auto"/>
        <w:rPr>
          <w:sz w:val="20"/>
          <w:szCs w:val="20"/>
          <w:color w:val="auto"/>
        </w:rPr>
      </w:pPr>
      <w:r>
        <w:rPr>
          <w:rFonts w:ascii="Arial" w:cs="Arial" w:eastAsia="Arial" w:hAnsi="Arial"/>
          <w:sz w:val="16"/>
          <w:szCs w:val="16"/>
          <w:color w:val="auto"/>
        </w:rPr>
        <w:t>The Toro Company Board of Directors is using this proxy statement to solicit your proxy for use at The Toro Company 2019 Annual Meeting of Shareholders.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5, 2019. Please note that references in this proxy statement to “Toro,” our “Company,” “we,” “us,” “our” and similar terms refer to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9320" cy="179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17907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GENERAL INFORMATION ABOUT THE 2019 ANNUAL MEETING AND VOTING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Important Notice Regarding the Availability of Proxy Materials for the Shareholder Meeting To Be Held on Tuesday, March 19, 2019.</w:t>
      </w:r>
    </w:p>
    <w:p>
      <w:pPr>
        <w:spacing w:after="0" w:line="112" w:lineRule="exact"/>
        <w:rPr>
          <w:sz w:val="20"/>
          <w:szCs w:val="20"/>
          <w:color w:val="auto"/>
        </w:rPr>
      </w:pPr>
    </w:p>
    <w:p>
      <w:pPr>
        <w:ind w:right="80" w:firstLine="408"/>
        <w:spacing w:after="0" w:line="255" w:lineRule="auto"/>
        <w:rPr>
          <w:sz w:val="20"/>
          <w:szCs w:val="20"/>
          <w:color w:val="auto"/>
        </w:rPr>
      </w:pPr>
      <w:r>
        <w:rPr>
          <w:rFonts w:ascii="Arial" w:cs="Arial" w:eastAsia="Arial" w:hAnsi="Arial"/>
          <w:sz w:val="16"/>
          <w:szCs w:val="16"/>
          <w:color w:val="auto"/>
        </w:rPr>
        <w:t>This proxy statement and our 2018 Annual Report, which includes our Annual Report on Form 10-K for the fiscal year ended October 31, 2018, or fiscal 2018, are available at www.thetorocompany.com/proxy.</w:t>
      </w:r>
    </w:p>
    <w:p>
      <w:pPr>
        <w:spacing w:after="0" w:line="75" w:lineRule="exact"/>
        <w:rPr>
          <w:sz w:val="20"/>
          <w:szCs w:val="20"/>
          <w:color w:val="auto"/>
        </w:rPr>
      </w:pPr>
    </w:p>
    <w:p>
      <w:pPr>
        <w:ind w:right="60" w:firstLine="408"/>
        <w:spacing w:after="0" w:line="243"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When and Where Will the Annual Meeting Be Held?</w:t>
      </w:r>
    </w:p>
    <w:p>
      <w:pPr>
        <w:spacing w:after="0" w:line="112" w:lineRule="exact"/>
        <w:rPr>
          <w:sz w:val="20"/>
          <w:szCs w:val="20"/>
          <w:color w:val="auto"/>
        </w:rPr>
      </w:pPr>
    </w:p>
    <w:p>
      <w:pPr>
        <w:ind w:right="60" w:firstLine="408"/>
        <w:spacing w:after="0" w:line="255" w:lineRule="auto"/>
        <w:rPr>
          <w:sz w:val="20"/>
          <w:szCs w:val="20"/>
          <w:color w:val="auto"/>
        </w:rPr>
      </w:pPr>
      <w:r>
        <w:rPr>
          <w:rFonts w:ascii="Arial" w:cs="Arial" w:eastAsia="Arial" w:hAnsi="Arial"/>
          <w:sz w:val="16"/>
          <w:szCs w:val="16"/>
          <w:color w:val="auto"/>
        </w:rPr>
        <w:t>The annual meeting will be held on Tuesday, March 19, 2019, at 1:30 p.m., Central Daylight Time, at our worldwide headquarters located at 8111 Lyndale Avenue South, Bloomington, Minnesota, 55420-1196.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What Are the Purposes of the Annual Meeting?</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purposes of the 2019 Annual Meeting of Shareholders are to vote on the following items described in this proxy statement: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Proposal One</w:t>
            </w:r>
          </w:p>
        </w:tc>
        <w:tc>
          <w:tcPr>
            <w:tcW w:w="9720" w:type="dxa"/>
            <w:vAlign w:val="bottom"/>
            <w:shd w:val="clear" w:color="auto" w:fill="D9D9D9"/>
          </w:tcPr>
          <w:p>
            <w:pPr>
              <w:ind w:left="580"/>
              <w:spacing w:after="0"/>
              <w:rPr>
                <w:sz w:val="20"/>
                <w:szCs w:val="20"/>
                <w:color w:val="auto"/>
              </w:rPr>
            </w:pPr>
            <w:r>
              <w:rPr>
                <w:rFonts w:ascii="Arial" w:cs="Arial" w:eastAsia="Arial" w:hAnsi="Arial"/>
                <w:sz w:val="16"/>
                <w:szCs w:val="16"/>
                <w:color w:val="auto"/>
              </w:rPr>
              <w:t>Election of Directors</w:t>
            </w:r>
          </w:p>
        </w:tc>
      </w:tr>
      <w:tr>
        <w:trPr>
          <w:trHeight w:val="232"/>
        </w:trPr>
        <w:tc>
          <w:tcPr>
            <w:tcW w:w="1700" w:type="dxa"/>
            <w:vAlign w:val="bottom"/>
          </w:tcPr>
          <w:p>
            <w:pPr>
              <w:spacing w:after="0"/>
              <w:rPr>
                <w:sz w:val="20"/>
                <w:szCs w:val="20"/>
                <w:color w:val="auto"/>
              </w:rPr>
            </w:pPr>
            <w:r>
              <w:rPr>
                <w:rFonts w:ascii="Arial" w:cs="Arial" w:eastAsia="Arial" w:hAnsi="Arial"/>
                <w:sz w:val="16"/>
                <w:szCs w:val="16"/>
                <w:color w:val="auto"/>
              </w:rPr>
              <w:t>Proposal Two</w:t>
            </w:r>
          </w:p>
        </w:tc>
        <w:tc>
          <w:tcPr>
            <w:tcW w:w="9720" w:type="dxa"/>
            <w:vAlign w:val="bottom"/>
          </w:tcPr>
          <w:p>
            <w:pPr>
              <w:ind w:left="580"/>
              <w:spacing w:after="0"/>
              <w:rPr>
                <w:sz w:val="20"/>
                <w:szCs w:val="20"/>
                <w:color w:val="auto"/>
              </w:rPr>
            </w:pPr>
            <w:r>
              <w:rPr>
                <w:rFonts w:ascii="Arial" w:cs="Arial" w:eastAsia="Arial" w:hAnsi="Arial"/>
                <w:sz w:val="16"/>
                <w:szCs w:val="16"/>
                <w:color w:val="auto"/>
              </w:rPr>
              <w:t>Ratification of Selection of Independent Registered Public Accounting Firm</w:t>
            </w:r>
          </w:p>
        </w:tc>
      </w:tr>
      <w:tr>
        <w:trPr>
          <w:trHeight w:val="233"/>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Proposal Three</w:t>
            </w:r>
          </w:p>
        </w:tc>
        <w:tc>
          <w:tcPr>
            <w:tcW w:w="9720" w:type="dxa"/>
            <w:vAlign w:val="bottom"/>
            <w:shd w:val="clear" w:color="auto" w:fill="D9D9D9"/>
          </w:tcPr>
          <w:p>
            <w:pPr>
              <w:ind w:left="580"/>
              <w:spacing w:after="0"/>
              <w:rPr>
                <w:sz w:val="20"/>
                <w:szCs w:val="20"/>
                <w:color w:val="auto"/>
              </w:rPr>
            </w:pPr>
            <w:r>
              <w:rPr>
                <w:rFonts w:ascii="Arial" w:cs="Arial" w:eastAsia="Arial" w:hAnsi="Arial"/>
                <w:sz w:val="16"/>
                <w:szCs w:val="16"/>
                <w:color w:val="auto"/>
              </w:rPr>
              <w:t>Advisory Approval of our Executive Compensation</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Are There Any Matters To Be Voted On at the Annual Meeting that Are Not Included in this Proxy Statement?</w:t>
      </w:r>
    </w:p>
    <w:p>
      <w:pPr>
        <w:spacing w:after="0" w:line="112" w:lineRule="exact"/>
        <w:rPr>
          <w:sz w:val="20"/>
          <w:szCs w:val="20"/>
          <w:color w:val="auto"/>
        </w:rPr>
      </w:pPr>
    </w:p>
    <w:p>
      <w:pPr>
        <w:ind w:right="220" w:firstLine="408"/>
        <w:spacing w:after="0" w:line="247" w:lineRule="auto"/>
        <w:rPr>
          <w:sz w:val="20"/>
          <w:szCs w:val="20"/>
          <w:color w:val="auto"/>
        </w:rPr>
      </w:pPr>
      <w:r>
        <w:rPr>
          <w:rFonts w:ascii="Arial" w:cs="Arial" w:eastAsia="Arial" w:hAnsi="Arial"/>
          <w:sz w:val="16"/>
          <w:szCs w:val="16"/>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Is Entitled to Vote and How Many Shares Must Be Present to Hold the Annual Meeting?</w:t>
      </w:r>
    </w:p>
    <w:p>
      <w:pPr>
        <w:spacing w:after="0" w:line="112" w:lineRule="exact"/>
        <w:rPr>
          <w:sz w:val="20"/>
          <w:szCs w:val="20"/>
          <w:color w:val="auto"/>
        </w:rPr>
      </w:pPr>
    </w:p>
    <w:p>
      <w:pPr>
        <w:ind w:right="20" w:firstLine="408"/>
        <w:spacing w:after="0" w:line="244" w:lineRule="auto"/>
        <w:rPr>
          <w:sz w:val="20"/>
          <w:szCs w:val="20"/>
          <w:color w:val="auto"/>
        </w:rPr>
      </w:pPr>
      <w:r>
        <w:rPr>
          <w:rFonts w:ascii="Arial" w:cs="Arial" w:eastAsia="Arial" w:hAnsi="Arial"/>
          <w:sz w:val="16"/>
          <w:szCs w:val="16"/>
          <w:color w:val="auto"/>
        </w:rPr>
        <w:t>Shareholders of record at the close of business on January 22, 2019, the record date, will be entitled to vote at the annual meeting or any adjournment or postponement of the annual meeting. As of January 22, 2019, there were 106,131,655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jc w:val="both"/>
        <w:ind w:left="2" w:right="280" w:firstLine="408"/>
        <w:spacing w:after="0" w:line="244" w:lineRule="auto"/>
        <w:rPr>
          <w:sz w:val="20"/>
          <w:szCs w:val="20"/>
          <w:color w:val="auto"/>
        </w:rPr>
      </w:pPr>
      <w:r>
        <w:rPr>
          <w:rFonts w:ascii="Arial" w:cs="Arial" w:eastAsia="Arial" w:hAnsi="Arial"/>
          <w:sz w:val="16"/>
          <w:szCs w:val="16"/>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Do I Vote My Shares?</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If your shares are registered in your name, you may vote your shares in person at the annual meeting or by one of the four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59320" cy="607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320" cy="607060"/>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p>
      <w:pPr>
        <w:spacing w:after="0" w:line="345" w:lineRule="exact"/>
        <w:rPr>
          <w:sz w:val="20"/>
          <w:szCs w:val="20"/>
          <w:color w:val="auto"/>
        </w:rPr>
      </w:pPr>
    </w:p>
    <w:p>
      <w:pPr>
        <w:ind w:left="42"/>
        <w:spacing w:after="0"/>
        <w:rPr>
          <w:sz w:val="20"/>
          <w:szCs w:val="20"/>
          <w:color w:val="auto"/>
        </w:rPr>
      </w:pPr>
      <w:r>
        <w:rPr>
          <w:rFonts w:ascii="Arial" w:cs="Arial" w:eastAsia="Arial" w:hAnsi="Arial"/>
          <w:sz w:val="15"/>
          <w:szCs w:val="15"/>
          <w:color w:val="auto"/>
        </w:rPr>
        <w:t>Vote by Internet</w:t>
      </w:r>
    </w:p>
    <w:p>
      <w:pPr>
        <w:spacing w:after="0" w:line="330" w:lineRule="exact"/>
        <w:rPr>
          <w:sz w:val="20"/>
          <w:szCs w:val="20"/>
          <w:color w:val="auto"/>
        </w:rPr>
      </w:pPr>
    </w:p>
    <w:p>
      <w:pPr>
        <w:ind w:left="42"/>
        <w:spacing w:after="0"/>
        <w:rPr>
          <w:sz w:val="20"/>
          <w:szCs w:val="20"/>
          <w:color w:val="auto"/>
        </w:rPr>
      </w:pPr>
      <w:r>
        <w:rPr>
          <w:rFonts w:ascii="Arial" w:cs="Arial" w:eastAsia="Arial" w:hAnsi="Arial"/>
          <w:sz w:val="15"/>
          <w:szCs w:val="15"/>
          <w:color w:val="auto"/>
        </w:rPr>
        <w:t>Vote by Telephone</w:t>
      </w:r>
    </w:p>
    <w:p>
      <w:pPr>
        <w:spacing w:after="0" w:line="354" w:lineRule="exact"/>
        <w:rPr>
          <w:sz w:val="20"/>
          <w:szCs w:val="20"/>
          <w:color w:val="auto"/>
        </w:rPr>
      </w:pPr>
    </w:p>
    <w:p>
      <w:pPr>
        <w:ind w:left="42"/>
        <w:spacing w:after="0"/>
        <w:rPr>
          <w:sz w:val="20"/>
          <w:szCs w:val="20"/>
          <w:color w:val="auto"/>
        </w:rPr>
      </w:pPr>
      <w:r>
        <w:rPr>
          <w:rFonts w:ascii="Arial" w:cs="Arial" w:eastAsia="Arial" w:hAnsi="Arial"/>
          <w:sz w:val="15"/>
          <w:szCs w:val="15"/>
          <w:color w:val="auto"/>
        </w:rPr>
        <w:t>Vote by Mail</w:t>
      </w:r>
    </w:p>
    <w:p>
      <w:pPr>
        <w:spacing w:after="0" w:line="379" w:lineRule="exact"/>
        <w:rPr>
          <w:sz w:val="20"/>
          <w:szCs w:val="20"/>
          <w:color w:val="auto"/>
        </w:rPr>
      </w:pPr>
    </w:p>
    <w:p>
      <w:pPr>
        <w:ind w:left="42"/>
        <w:spacing w:after="0"/>
        <w:rPr>
          <w:sz w:val="20"/>
          <w:szCs w:val="20"/>
          <w:color w:val="auto"/>
        </w:rPr>
      </w:pPr>
      <w:r>
        <w:rPr>
          <w:rFonts w:ascii="Arial" w:cs="Arial" w:eastAsia="Arial" w:hAnsi="Arial"/>
          <w:sz w:val="14"/>
          <w:szCs w:val="14"/>
          <w:color w:val="auto"/>
        </w:rPr>
        <w:t>Vote by Mobile Device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460"/>
        <w:spacing w:after="0" w:line="245" w:lineRule="auto"/>
        <w:rPr>
          <w:sz w:val="20"/>
          <w:szCs w:val="20"/>
          <w:color w:val="auto"/>
        </w:rPr>
      </w:pPr>
      <w:r>
        <w:rPr>
          <w:rFonts w:ascii="Arial" w:cs="Arial" w:eastAsia="Arial" w:hAnsi="Arial"/>
          <w:sz w:val="15"/>
          <w:szCs w:val="15"/>
          <w:color w:val="auto"/>
        </w:rPr>
        <w:t>Go to www.proxyvote.com and follow the instructions for Internet voting shown on your Notice Regarding the Availability of Proxy Materials or proxy card.</w:t>
      </w:r>
    </w:p>
    <w:p>
      <w:pPr>
        <w:spacing w:after="0" w:line="150" w:lineRule="exact"/>
        <w:rPr>
          <w:sz w:val="20"/>
          <w:szCs w:val="20"/>
          <w:color w:val="auto"/>
        </w:rPr>
      </w:pPr>
    </w:p>
    <w:p>
      <w:pPr>
        <w:ind w:right="2480"/>
        <w:spacing w:after="0" w:line="245" w:lineRule="auto"/>
        <w:rPr>
          <w:sz w:val="20"/>
          <w:szCs w:val="20"/>
          <w:color w:val="auto"/>
        </w:rPr>
      </w:pPr>
      <w:r>
        <w:rPr>
          <w:rFonts w:ascii="Arial" w:cs="Arial" w:eastAsia="Arial" w:hAnsi="Arial"/>
          <w:sz w:val="15"/>
          <w:szCs w:val="15"/>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-6350</wp:posOffset>
            </wp:positionV>
            <wp:extent cx="7259320" cy="700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320" cy="700405"/>
                    </a:xfrm>
                    <a:prstGeom prst="rect">
                      <a:avLst/>
                    </a:prstGeom>
                    <a:noFill/>
                  </pic:spPr>
                </pic:pic>
              </a:graphicData>
            </a:graphic>
          </wp:anchor>
        </w:drawing>
      </w:r>
    </w:p>
    <w:p>
      <w:pPr>
        <w:spacing w:after="0" w:line="69" w:lineRule="exact"/>
        <w:rPr>
          <w:sz w:val="20"/>
          <w:szCs w:val="20"/>
          <w:color w:val="auto"/>
        </w:rPr>
      </w:pPr>
    </w:p>
    <w:p>
      <w:pPr>
        <w:ind w:right="2320"/>
        <w:spacing w:after="0" w:line="241" w:lineRule="auto"/>
        <w:rPr>
          <w:sz w:val="20"/>
          <w:szCs w:val="20"/>
          <w:color w:val="auto"/>
        </w:rPr>
      </w:pPr>
      <w:r>
        <w:rPr>
          <w:rFonts w:ascii="Arial" w:cs="Arial" w:eastAsia="Arial" w:hAnsi="Arial"/>
          <w:sz w:val="15"/>
          <w:szCs w:val="15"/>
          <w:color w:val="auto"/>
        </w:rPr>
        <w:t>Complete, sign, date and mail your proxy card in the envelope provided if you received a paper copy of these proxy materials. If you vote by Internet, telephone or mobile device, please do not mail your proxy card.</w:t>
      </w:r>
    </w:p>
    <w:p>
      <w:pPr>
        <w:spacing w:after="0" w:line="118" w:lineRule="exact"/>
        <w:rPr>
          <w:sz w:val="20"/>
          <w:szCs w:val="20"/>
          <w:color w:val="auto"/>
        </w:rPr>
      </w:pPr>
    </w:p>
    <w:p>
      <w:pPr>
        <w:ind w:right="2480"/>
        <w:spacing w:after="0" w:line="245" w:lineRule="auto"/>
        <w:rPr>
          <w:sz w:val="20"/>
          <w:szCs w:val="20"/>
          <w:color w:val="auto"/>
        </w:rPr>
      </w:pPr>
      <w:r>
        <w:rPr>
          <w:rFonts w:ascii="Arial" w:cs="Arial" w:eastAsia="Arial" w:hAnsi="Arial"/>
          <w:sz w:val="15"/>
          <w:szCs w:val="15"/>
          <w:color w:val="auto"/>
        </w:rPr>
        <w:t>Scan the QR code on your Notice Regarding the Availability of Proxy Materials or proxy card and follow the links.</w:t>
      </w:r>
    </w:p>
    <w:p>
      <w:pPr>
        <w:spacing w:after="0" w:line="123" w:lineRule="exact"/>
        <w:rPr>
          <w:sz w:val="20"/>
          <w:szCs w:val="20"/>
          <w:color w:val="auto"/>
        </w:rPr>
      </w:pPr>
    </w:p>
    <w:p>
      <w:pPr>
        <w:sectPr>
          <w:pgSz w:w="11900" w:h="16838" w:orient="portrait"/>
          <w:cols w:equalWidth="0" w:num="2">
            <w:col w:w="2942" w:space="720"/>
            <w:col w:w="7760"/>
          </w:cols>
          <w:pgMar w:left="238" w:top="140" w:right="239" w:bottom="1440" w:gutter="0" w:footer="0" w:header="0"/>
          <w:type w:val="continuous"/>
        </w:sectPr>
      </w:pPr>
    </w:p>
    <w:p>
      <w:pPr>
        <w:ind w:left="2" w:right="20" w:firstLine="408"/>
        <w:spacing w:after="0" w:line="247" w:lineRule="auto"/>
        <w:rPr>
          <w:sz w:val="20"/>
          <w:szCs w:val="20"/>
          <w:color w:val="auto"/>
        </w:rPr>
      </w:pPr>
      <w:r>
        <w:rPr>
          <w:rFonts w:ascii="Arial" w:cs="Arial" w:eastAsia="Arial" w:hAnsi="Arial"/>
          <w:sz w:val="16"/>
          <w:szCs w:val="16"/>
          <w:color w:val="auto"/>
        </w:rPr>
        <w:t>If you hold shares as a participant in certain Toro employee benefit plans, you may vote your shares by one of the four methods noted above. If your shares are held in “street name,” you may receive a separate voting instruction form with this proxy statement or you may need to contact your broker, bank or other nominee to determine whether you will be able to vote electronically using the Internet, telephone or mobile device.</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Does the Board Recommend that I Vote and What Vote is Required for Each Proposal?</w:t>
      </w:r>
    </w:p>
    <w:p>
      <w:pPr>
        <w:spacing w:after="0" w:line="112"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200" w:type="dxa"/>
            <w:vAlign w:val="bottom"/>
            <w:shd w:val="clear" w:color="auto" w:fill="C00000"/>
          </w:tcPr>
          <w:p>
            <w:pPr>
              <w:spacing w:after="0"/>
              <w:rPr>
                <w:sz w:val="14"/>
                <w:szCs w:val="14"/>
                <w:color w:val="auto"/>
              </w:rPr>
            </w:pPr>
          </w:p>
        </w:tc>
        <w:tc>
          <w:tcPr>
            <w:tcW w:w="2060" w:type="dxa"/>
            <w:vAlign w:val="bottom"/>
            <w:shd w:val="clear" w:color="auto" w:fill="C00000"/>
          </w:tcPr>
          <w:p>
            <w:pPr>
              <w:spacing w:after="0"/>
              <w:rPr>
                <w:sz w:val="14"/>
                <w:szCs w:val="14"/>
                <w:color w:val="auto"/>
              </w:rPr>
            </w:pPr>
          </w:p>
        </w:tc>
        <w:tc>
          <w:tcPr>
            <w:tcW w:w="1820" w:type="dxa"/>
            <w:vAlign w:val="bottom"/>
            <w:vMerge w:val="restart"/>
            <w:shd w:val="clear" w:color="auto" w:fill="C00000"/>
          </w:tcPr>
          <w:p>
            <w:pPr>
              <w:ind w:left="400"/>
              <w:spacing w:after="0"/>
              <w:rPr>
                <w:sz w:val="20"/>
                <w:szCs w:val="20"/>
                <w:color w:val="auto"/>
              </w:rPr>
            </w:pPr>
            <w:r>
              <w:rPr>
                <w:rFonts w:ascii="Arial" w:cs="Arial" w:eastAsia="Arial" w:hAnsi="Arial"/>
                <w:sz w:val="13"/>
                <w:szCs w:val="13"/>
                <w:b w:val="1"/>
                <w:bCs w:val="1"/>
                <w:color w:val="FFFFFF"/>
              </w:rPr>
              <w:t>Board</w:t>
            </w:r>
          </w:p>
        </w:tc>
        <w:tc>
          <w:tcPr>
            <w:tcW w:w="2160" w:type="dxa"/>
            <w:vAlign w:val="bottom"/>
            <w:vMerge w:val="restart"/>
            <w:shd w:val="clear" w:color="auto" w:fill="C00000"/>
          </w:tcPr>
          <w:p>
            <w:pPr>
              <w:ind w:left="320"/>
              <w:spacing w:after="0"/>
              <w:rPr>
                <w:sz w:val="20"/>
                <w:szCs w:val="20"/>
                <w:color w:val="auto"/>
              </w:rPr>
            </w:pPr>
            <w:r>
              <w:rPr>
                <w:rFonts w:ascii="Arial" w:cs="Arial" w:eastAsia="Arial" w:hAnsi="Arial"/>
                <w:sz w:val="13"/>
                <w:szCs w:val="13"/>
                <w:b w:val="1"/>
                <w:bCs w:val="1"/>
                <w:color w:val="FFFFFF"/>
              </w:rPr>
              <w:t>Available Voting</w:t>
            </w:r>
          </w:p>
        </w:tc>
        <w:tc>
          <w:tcPr>
            <w:tcW w:w="2140" w:type="dxa"/>
            <w:vAlign w:val="bottom"/>
            <w:vMerge w:val="restart"/>
            <w:shd w:val="clear" w:color="auto" w:fill="C00000"/>
          </w:tcPr>
          <w:p>
            <w:pPr>
              <w:ind w:left="380"/>
              <w:spacing w:after="0"/>
              <w:rPr>
                <w:sz w:val="20"/>
                <w:szCs w:val="20"/>
                <w:color w:val="auto"/>
              </w:rPr>
            </w:pPr>
            <w:r>
              <w:rPr>
                <w:rFonts w:ascii="Arial" w:cs="Arial" w:eastAsia="Arial" w:hAnsi="Arial"/>
                <w:sz w:val="13"/>
                <w:szCs w:val="13"/>
                <w:b w:val="1"/>
                <w:bCs w:val="1"/>
                <w:color w:val="FFFFFF"/>
              </w:rPr>
              <w:t>Voting Approval</w:t>
            </w:r>
          </w:p>
        </w:tc>
        <w:tc>
          <w:tcPr>
            <w:tcW w:w="15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Effect of</w:t>
            </w:r>
          </w:p>
        </w:tc>
        <w:tc>
          <w:tcPr>
            <w:tcW w:w="1500" w:type="dxa"/>
            <w:vAlign w:val="bottom"/>
            <w:shd w:val="clear" w:color="auto" w:fill="C00000"/>
          </w:tcPr>
          <w:p>
            <w:pPr>
              <w:ind w:left="260"/>
              <w:spacing w:after="0"/>
              <w:rPr>
                <w:sz w:val="20"/>
                <w:szCs w:val="20"/>
                <w:color w:val="auto"/>
              </w:rPr>
            </w:pPr>
            <w:r>
              <w:rPr>
                <w:rFonts w:ascii="Arial" w:cs="Arial" w:eastAsia="Arial" w:hAnsi="Arial"/>
                <w:sz w:val="13"/>
                <w:szCs w:val="13"/>
                <w:b w:val="1"/>
                <w:bCs w:val="1"/>
                <w:color w:val="FFFFFF"/>
              </w:rPr>
              <w:t>Effect of</w:t>
            </w:r>
          </w:p>
        </w:tc>
        <w:tc>
          <w:tcPr>
            <w:tcW w:w="0" w:type="dxa"/>
            <w:vAlign w:val="bottom"/>
          </w:tcPr>
          <w:p>
            <w:pPr>
              <w:spacing w:after="0"/>
              <w:rPr>
                <w:sz w:val="1"/>
                <w:szCs w:val="1"/>
                <w:color w:val="auto"/>
              </w:rPr>
            </w:pPr>
          </w:p>
        </w:tc>
      </w:tr>
      <w:tr>
        <w:trPr>
          <w:trHeight w:val="159"/>
        </w:trPr>
        <w:tc>
          <w:tcPr>
            <w:tcW w:w="2260" w:type="dxa"/>
            <w:vAlign w:val="bottom"/>
            <w:gridSpan w:val="2"/>
            <w:vMerge w:val="restart"/>
            <w:shd w:val="clear" w:color="auto" w:fill="C00000"/>
          </w:tcPr>
          <w:p>
            <w:pPr>
              <w:spacing w:after="0"/>
              <w:rPr>
                <w:sz w:val="20"/>
                <w:szCs w:val="20"/>
                <w:color w:val="auto"/>
              </w:rPr>
            </w:pPr>
            <w:r>
              <w:rPr>
                <w:rFonts w:ascii="Arial" w:cs="Arial" w:eastAsia="Arial" w:hAnsi="Arial"/>
                <w:sz w:val="13"/>
                <w:szCs w:val="13"/>
                <w:b w:val="1"/>
                <w:bCs w:val="1"/>
                <w:color w:val="FFFFFF"/>
              </w:rPr>
              <w:t>Proposal</w:t>
            </w:r>
          </w:p>
        </w:tc>
        <w:tc>
          <w:tcPr>
            <w:tcW w:w="1820" w:type="dxa"/>
            <w:vAlign w:val="bottom"/>
            <w:vMerge w:val="continue"/>
            <w:shd w:val="clear" w:color="auto" w:fill="C00000"/>
          </w:tcPr>
          <w:p>
            <w:pPr>
              <w:spacing w:after="0"/>
              <w:rPr>
                <w:sz w:val="13"/>
                <w:szCs w:val="13"/>
                <w:color w:val="auto"/>
              </w:rPr>
            </w:pPr>
          </w:p>
        </w:tc>
        <w:tc>
          <w:tcPr>
            <w:tcW w:w="2160" w:type="dxa"/>
            <w:vAlign w:val="bottom"/>
            <w:vMerge w:val="continue"/>
            <w:shd w:val="clear" w:color="auto" w:fill="C00000"/>
          </w:tcPr>
          <w:p>
            <w:pPr>
              <w:spacing w:after="0"/>
              <w:rPr>
                <w:sz w:val="13"/>
                <w:szCs w:val="13"/>
                <w:color w:val="auto"/>
              </w:rPr>
            </w:pPr>
          </w:p>
        </w:tc>
        <w:tc>
          <w:tcPr>
            <w:tcW w:w="2140" w:type="dxa"/>
            <w:vAlign w:val="bottom"/>
            <w:vMerge w:val="continue"/>
            <w:shd w:val="clear" w:color="auto" w:fill="C00000"/>
          </w:tcPr>
          <w:p>
            <w:pPr>
              <w:spacing w:after="0"/>
              <w:rPr>
                <w:sz w:val="13"/>
                <w:szCs w:val="13"/>
                <w:color w:val="auto"/>
              </w:rPr>
            </w:pPr>
          </w:p>
        </w:tc>
        <w:tc>
          <w:tcPr>
            <w:tcW w:w="15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Withhold or</w:t>
            </w:r>
          </w:p>
        </w:tc>
        <w:tc>
          <w:tcPr>
            <w:tcW w:w="1500" w:type="dxa"/>
            <w:vAlign w:val="bottom"/>
            <w:shd w:val="clear" w:color="auto" w:fill="C00000"/>
          </w:tcPr>
          <w:p>
            <w:pPr>
              <w:ind w:left="260"/>
              <w:spacing w:after="0"/>
              <w:rPr>
                <w:sz w:val="20"/>
                <w:szCs w:val="20"/>
                <w:color w:val="auto"/>
              </w:rPr>
            </w:pPr>
            <w:r>
              <w:rPr>
                <w:rFonts w:ascii="Arial" w:cs="Arial" w:eastAsia="Arial" w:hAnsi="Arial"/>
                <w:sz w:val="13"/>
                <w:szCs w:val="13"/>
                <w:b w:val="1"/>
                <w:bCs w:val="1"/>
                <w:color w:val="FFFFFF"/>
              </w:rPr>
              <w:t>Broker Non-</w:t>
            </w:r>
          </w:p>
        </w:tc>
        <w:tc>
          <w:tcPr>
            <w:tcW w:w="0" w:type="dxa"/>
            <w:vAlign w:val="bottom"/>
          </w:tcPr>
          <w:p>
            <w:pPr>
              <w:spacing w:after="0"/>
              <w:rPr>
                <w:sz w:val="1"/>
                <w:szCs w:val="1"/>
                <w:color w:val="auto"/>
              </w:rPr>
            </w:pPr>
          </w:p>
        </w:tc>
      </w:tr>
      <w:tr>
        <w:trPr>
          <w:trHeight w:val="171"/>
        </w:trPr>
        <w:tc>
          <w:tcPr>
            <w:tcW w:w="2260" w:type="dxa"/>
            <w:vAlign w:val="bottom"/>
            <w:gridSpan w:val="2"/>
            <w:vMerge w:val="continue"/>
            <w:shd w:val="clear" w:color="auto" w:fill="C00000"/>
          </w:tcPr>
          <w:p>
            <w:pPr>
              <w:spacing w:after="0"/>
              <w:rPr>
                <w:sz w:val="14"/>
                <w:szCs w:val="14"/>
                <w:color w:val="auto"/>
              </w:rPr>
            </w:pPr>
          </w:p>
        </w:tc>
        <w:tc>
          <w:tcPr>
            <w:tcW w:w="1820" w:type="dxa"/>
            <w:vAlign w:val="bottom"/>
            <w:shd w:val="clear" w:color="auto" w:fill="C00000"/>
          </w:tcPr>
          <w:p>
            <w:pPr>
              <w:ind w:left="400"/>
              <w:spacing w:after="0"/>
              <w:rPr>
                <w:sz w:val="20"/>
                <w:szCs w:val="20"/>
                <w:color w:val="auto"/>
              </w:rPr>
            </w:pPr>
            <w:r>
              <w:rPr>
                <w:rFonts w:ascii="Arial" w:cs="Arial" w:eastAsia="Arial" w:hAnsi="Arial"/>
                <w:sz w:val="13"/>
                <w:szCs w:val="13"/>
                <w:b w:val="1"/>
                <w:bCs w:val="1"/>
                <w:color w:val="FFFFFF"/>
              </w:rPr>
              <w:t>Recommendation</w:t>
            </w:r>
          </w:p>
        </w:tc>
        <w:tc>
          <w:tcPr>
            <w:tcW w:w="2160" w:type="dxa"/>
            <w:vAlign w:val="bottom"/>
            <w:shd w:val="clear" w:color="auto" w:fill="C00000"/>
          </w:tcPr>
          <w:p>
            <w:pPr>
              <w:ind w:left="320"/>
              <w:spacing w:after="0"/>
              <w:rPr>
                <w:sz w:val="20"/>
                <w:szCs w:val="20"/>
                <w:color w:val="auto"/>
              </w:rPr>
            </w:pPr>
            <w:r>
              <w:rPr>
                <w:rFonts w:ascii="Arial" w:cs="Arial" w:eastAsia="Arial" w:hAnsi="Arial"/>
                <w:sz w:val="13"/>
                <w:szCs w:val="13"/>
                <w:b w:val="1"/>
                <w:bCs w:val="1"/>
                <w:color w:val="FFFFFF"/>
              </w:rPr>
              <w:t>Selections</w:t>
            </w:r>
          </w:p>
        </w:tc>
        <w:tc>
          <w:tcPr>
            <w:tcW w:w="21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Standard</w:t>
            </w:r>
          </w:p>
        </w:tc>
        <w:tc>
          <w:tcPr>
            <w:tcW w:w="15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Abstention</w:t>
            </w:r>
          </w:p>
        </w:tc>
        <w:tc>
          <w:tcPr>
            <w:tcW w:w="1500" w:type="dxa"/>
            <w:vAlign w:val="bottom"/>
            <w:shd w:val="clear" w:color="auto" w:fill="C00000"/>
          </w:tcPr>
          <w:p>
            <w:pPr>
              <w:ind w:left="260"/>
              <w:spacing w:after="0"/>
              <w:rPr>
                <w:sz w:val="20"/>
                <w:szCs w:val="20"/>
                <w:color w:val="auto"/>
              </w:rPr>
            </w:pPr>
            <w:r>
              <w:rPr>
                <w:rFonts w:ascii="Arial" w:cs="Arial" w:eastAsia="Arial" w:hAnsi="Arial"/>
                <w:sz w:val="13"/>
                <w:szCs w:val="13"/>
                <w:b w:val="1"/>
                <w:bCs w:val="1"/>
                <w:color w:val="FFFFFF"/>
              </w:rPr>
              <w:t>Vote</w:t>
            </w:r>
          </w:p>
        </w:tc>
        <w:tc>
          <w:tcPr>
            <w:tcW w:w="0" w:type="dxa"/>
            <w:vAlign w:val="bottom"/>
          </w:tcPr>
          <w:p>
            <w:pPr>
              <w:spacing w:after="0"/>
              <w:rPr>
                <w:sz w:val="1"/>
                <w:szCs w:val="1"/>
                <w:color w:val="auto"/>
              </w:rPr>
            </w:pPr>
          </w:p>
        </w:tc>
      </w:tr>
      <w:tr>
        <w:trPr>
          <w:trHeight w:val="195"/>
        </w:trPr>
        <w:tc>
          <w:tcPr>
            <w:tcW w:w="200" w:type="dxa"/>
            <w:vAlign w:val="bottom"/>
          </w:tcPr>
          <w:p>
            <w:pPr>
              <w:spacing w:after="0"/>
              <w:rPr>
                <w:sz w:val="20"/>
                <w:szCs w:val="20"/>
                <w:color w:val="auto"/>
              </w:rPr>
            </w:pPr>
            <w:r>
              <w:rPr>
                <w:rFonts w:ascii="Arial" w:cs="Arial" w:eastAsia="Arial" w:hAnsi="Arial"/>
                <w:sz w:val="15"/>
                <w:szCs w:val="15"/>
                <w:color w:val="auto"/>
              </w:rPr>
              <w:t>1.</w:t>
            </w:r>
          </w:p>
        </w:tc>
        <w:tc>
          <w:tcPr>
            <w:tcW w:w="2060" w:type="dxa"/>
            <w:vAlign w:val="bottom"/>
          </w:tcPr>
          <w:p>
            <w:pPr>
              <w:ind w:left="80"/>
              <w:spacing w:after="0"/>
              <w:rPr>
                <w:sz w:val="20"/>
                <w:szCs w:val="20"/>
                <w:color w:val="auto"/>
              </w:rPr>
            </w:pPr>
            <w:r>
              <w:rPr>
                <w:rFonts w:ascii="Arial" w:cs="Arial" w:eastAsia="Arial" w:hAnsi="Arial"/>
                <w:sz w:val="15"/>
                <w:szCs w:val="15"/>
                <w:color w:val="auto"/>
              </w:rPr>
              <w:t>Election of four</w:t>
            </w:r>
          </w:p>
        </w:tc>
        <w:tc>
          <w:tcPr>
            <w:tcW w:w="1820" w:type="dxa"/>
            <w:vAlign w:val="bottom"/>
          </w:tcPr>
          <w:p>
            <w:pPr>
              <w:ind w:left="40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all four</w:t>
            </w:r>
          </w:p>
        </w:tc>
        <w:tc>
          <w:tcPr>
            <w:tcW w:w="2160" w:type="dxa"/>
            <w:vAlign w:val="bottom"/>
          </w:tcPr>
          <w:p>
            <w:pPr>
              <w:ind w:left="320"/>
              <w:spacing w:after="0"/>
              <w:rPr>
                <w:sz w:val="20"/>
                <w:szCs w:val="20"/>
                <w:color w:val="auto"/>
              </w:rPr>
            </w:pPr>
            <w:r>
              <w:rPr>
                <w:rFonts w:ascii="Arial" w:cs="Arial" w:eastAsia="Arial" w:hAnsi="Arial"/>
                <w:sz w:val="15"/>
                <w:szCs w:val="15"/>
                <w:color w:val="auto"/>
              </w:rPr>
              <w:t>FOR all four</w:t>
            </w:r>
          </w:p>
        </w:tc>
        <w:tc>
          <w:tcPr>
            <w:tcW w:w="2140" w:type="dxa"/>
            <w:vAlign w:val="bottom"/>
          </w:tcPr>
          <w:p>
            <w:pPr>
              <w:ind w:left="380"/>
              <w:spacing w:after="0"/>
              <w:rPr>
                <w:sz w:val="20"/>
                <w:szCs w:val="20"/>
                <w:color w:val="auto"/>
              </w:rPr>
            </w:pPr>
            <w:r>
              <w:rPr>
                <w:rFonts w:ascii="Arial" w:cs="Arial" w:eastAsia="Arial" w:hAnsi="Arial"/>
                <w:sz w:val="15"/>
                <w:szCs w:val="15"/>
                <w:color w:val="auto"/>
              </w:rPr>
              <w:t>Plurality: the</w:t>
            </w:r>
          </w:p>
        </w:tc>
        <w:tc>
          <w:tcPr>
            <w:tcW w:w="1540" w:type="dxa"/>
            <w:vAlign w:val="bottom"/>
          </w:tcPr>
          <w:p>
            <w:pPr>
              <w:ind w:left="380"/>
              <w:spacing w:after="0"/>
              <w:rPr>
                <w:sz w:val="20"/>
                <w:szCs w:val="20"/>
                <w:color w:val="auto"/>
              </w:rPr>
            </w:pPr>
            <w:r>
              <w:rPr>
                <w:rFonts w:ascii="Arial" w:cs="Arial" w:eastAsia="Arial" w:hAnsi="Arial"/>
                <w:sz w:val="15"/>
                <w:szCs w:val="15"/>
                <w:color w:val="auto"/>
              </w:rPr>
              <w:t>Counted as a</w:t>
            </w:r>
          </w:p>
        </w:tc>
        <w:tc>
          <w:tcPr>
            <w:tcW w:w="1500" w:type="dxa"/>
            <w:vAlign w:val="bottom"/>
          </w:tcPr>
          <w:p>
            <w:pPr>
              <w:ind w:left="26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directors, each to serve</w:t>
            </w:r>
          </w:p>
        </w:tc>
        <w:tc>
          <w:tcPr>
            <w:tcW w:w="1820" w:type="dxa"/>
            <w:vAlign w:val="bottom"/>
          </w:tcPr>
          <w:p>
            <w:pPr>
              <w:ind w:left="400"/>
              <w:spacing w:after="0"/>
              <w:rPr>
                <w:sz w:val="20"/>
                <w:szCs w:val="20"/>
                <w:color w:val="auto"/>
              </w:rPr>
            </w:pPr>
            <w:r>
              <w:rPr>
                <w:rFonts w:ascii="Arial" w:cs="Arial" w:eastAsia="Arial" w:hAnsi="Arial"/>
                <w:sz w:val="15"/>
                <w:szCs w:val="15"/>
                <w:color w:val="auto"/>
              </w:rPr>
              <w:t>nominees</w:t>
            </w:r>
          </w:p>
        </w:tc>
        <w:tc>
          <w:tcPr>
            <w:tcW w:w="2160" w:type="dxa"/>
            <w:vAlign w:val="bottom"/>
          </w:tcPr>
          <w:p>
            <w:pPr>
              <w:ind w:left="320"/>
              <w:spacing w:after="0"/>
              <w:rPr>
                <w:sz w:val="20"/>
                <w:szCs w:val="20"/>
                <w:color w:val="auto"/>
              </w:rPr>
            </w:pPr>
            <w:r>
              <w:rPr>
                <w:rFonts w:ascii="Arial" w:cs="Arial" w:eastAsia="Arial" w:hAnsi="Arial"/>
                <w:sz w:val="15"/>
                <w:szCs w:val="15"/>
                <w:color w:val="auto"/>
              </w:rPr>
              <w:t>nominees;</w:t>
            </w:r>
          </w:p>
        </w:tc>
        <w:tc>
          <w:tcPr>
            <w:tcW w:w="2140" w:type="dxa"/>
            <w:vAlign w:val="bottom"/>
          </w:tcPr>
          <w:p>
            <w:pPr>
              <w:ind w:left="380"/>
              <w:spacing w:after="0"/>
              <w:rPr>
                <w:sz w:val="20"/>
                <w:szCs w:val="20"/>
                <w:color w:val="auto"/>
              </w:rPr>
            </w:pPr>
            <w:r>
              <w:rPr>
                <w:rFonts w:ascii="Arial" w:cs="Arial" w:eastAsia="Arial" w:hAnsi="Arial"/>
                <w:sz w:val="15"/>
                <w:szCs w:val="15"/>
                <w:color w:val="auto"/>
              </w:rPr>
              <w:t>individuals who</w:t>
            </w:r>
          </w:p>
        </w:tc>
        <w:tc>
          <w:tcPr>
            <w:tcW w:w="1540" w:type="dxa"/>
            <w:vAlign w:val="bottom"/>
          </w:tcPr>
          <w:p>
            <w:pPr>
              <w:ind w:left="380"/>
              <w:spacing w:after="0"/>
              <w:rPr>
                <w:sz w:val="20"/>
                <w:szCs w:val="20"/>
                <w:color w:val="auto"/>
              </w:rPr>
            </w:pPr>
            <w:r>
              <w:rPr>
                <w:rFonts w:ascii="Arial" w:cs="Arial" w:eastAsia="Arial" w:hAnsi="Arial"/>
                <w:sz w:val="15"/>
                <w:szCs w:val="15"/>
                <w:color w:val="auto"/>
              </w:rPr>
              <w:t>vote against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for a term of three</w:t>
            </w:r>
          </w:p>
        </w:tc>
        <w:tc>
          <w:tcPr>
            <w:tcW w:w="1820" w:type="dxa"/>
            <w:vAlign w:val="bottom"/>
          </w:tcPr>
          <w:p>
            <w:pPr>
              <w:spacing w:after="0"/>
              <w:rPr>
                <w:sz w:val="15"/>
                <w:szCs w:val="15"/>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WITHHOLD from all</w:t>
            </w:r>
          </w:p>
        </w:tc>
        <w:tc>
          <w:tcPr>
            <w:tcW w:w="2140" w:type="dxa"/>
            <w:vAlign w:val="bottom"/>
          </w:tcPr>
          <w:p>
            <w:pPr>
              <w:ind w:left="380"/>
              <w:spacing w:after="0"/>
              <w:rPr>
                <w:sz w:val="20"/>
                <w:szCs w:val="20"/>
                <w:color w:val="auto"/>
              </w:rPr>
            </w:pPr>
            <w:r>
              <w:rPr>
                <w:rFonts w:ascii="Arial" w:cs="Arial" w:eastAsia="Arial" w:hAnsi="Arial"/>
                <w:sz w:val="15"/>
                <w:szCs w:val="15"/>
                <w:color w:val="auto"/>
              </w:rPr>
              <w:t>receive the greatest</w:t>
            </w: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years ending at the</w:t>
            </w:r>
          </w:p>
        </w:tc>
        <w:tc>
          <w:tcPr>
            <w:tcW w:w="1820" w:type="dxa"/>
            <w:vAlign w:val="bottom"/>
          </w:tcPr>
          <w:p>
            <w:pPr>
              <w:spacing w:after="0"/>
              <w:rPr>
                <w:sz w:val="15"/>
                <w:szCs w:val="15"/>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four nominees;</w:t>
            </w:r>
          </w:p>
        </w:tc>
        <w:tc>
          <w:tcPr>
            <w:tcW w:w="2140" w:type="dxa"/>
            <w:vAlign w:val="bottom"/>
          </w:tcPr>
          <w:p>
            <w:pPr>
              <w:ind w:left="380"/>
              <w:spacing w:after="0"/>
              <w:rPr>
                <w:sz w:val="20"/>
                <w:szCs w:val="20"/>
                <w:color w:val="auto"/>
              </w:rPr>
            </w:pPr>
            <w:r>
              <w:rPr>
                <w:rFonts w:ascii="Arial" w:cs="Arial" w:eastAsia="Arial" w:hAnsi="Arial"/>
                <w:sz w:val="15"/>
                <w:szCs w:val="15"/>
                <w:color w:val="auto"/>
              </w:rPr>
              <w:t>number of votes cast</w:t>
            </w: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2022 Annual Meeting of</w:t>
            </w:r>
          </w:p>
        </w:tc>
        <w:tc>
          <w:tcPr>
            <w:tcW w:w="1820" w:type="dxa"/>
            <w:vAlign w:val="bottom"/>
          </w:tcPr>
          <w:p>
            <w:pPr>
              <w:spacing w:after="0"/>
              <w:rPr>
                <w:sz w:val="17"/>
                <w:szCs w:val="17"/>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or WITHHOLD from</w:t>
            </w:r>
          </w:p>
        </w:tc>
        <w:tc>
          <w:tcPr>
            <w:tcW w:w="2140" w:type="dxa"/>
            <w:vAlign w:val="bottom"/>
          </w:tcPr>
          <w:p>
            <w:pPr>
              <w:ind w:left="380"/>
              <w:spacing w:after="0"/>
              <w:rPr>
                <w:sz w:val="20"/>
                <w:szCs w:val="20"/>
                <w:color w:val="auto"/>
              </w:rPr>
            </w:pPr>
            <w:r>
              <w:rPr>
                <w:rFonts w:ascii="Arial" w:cs="Arial" w:eastAsia="Arial" w:hAnsi="Arial"/>
                <w:sz w:val="15"/>
                <w:szCs w:val="15"/>
                <w:color w:val="auto"/>
              </w:rPr>
              <w:t>“for” are elected as</w:t>
            </w: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Shareholders</w:t>
            </w:r>
          </w:p>
        </w:tc>
        <w:tc>
          <w:tcPr>
            <w:tcW w:w="1820" w:type="dxa"/>
            <w:vAlign w:val="bottom"/>
          </w:tcPr>
          <w:p>
            <w:pPr>
              <w:spacing w:after="0"/>
              <w:rPr>
                <w:sz w:val="16"/>
                <w:szCs w:val="16"/>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one or more nominees</w:t>
            </w:r>
          </w:p>
        </w:tc>
        <w:tc>
          <w:tcPr>
            <w:tcW w:w="2140" w:type="dxa"/>
            <w:vAlign w:val="bottom"/>
          </w:tcPr>
          <w:p>
            <w:pPr>
              <w:ind w:left="380"/>
              <w:spacing w:after="0" w:line="189" w:lineRule="exact"/>
              <w:rPr>
                <w:sz w:val="20"/>
                <w:szCs w:val="20"/>
                <w:color w:val="auto"/>
              </w:rPr>
            </w:pPr>
            <w:r>
              <w:rPr>
                <w:rFonts w:ascii="Arial" w:cs="Arial" w:eastAsia="Arial" w:hAnsi="Arial"/>
                <w:sz w:val="13"/>
                <w:szCs w:val="13"/>
                <w:color w:val="auto"/>
              </w:rPr>
              <w:t>directors</w:t>
            </w:r>
            <w:r>
              <w:rPr>
                <w:rFonts w:ascii="Arial" w:cs="Arial" w:eastAsia="Arial" w:hAnsi="Arial"/>
                <w:sz w:val="21"/>
                <w:szCs w:val="21"/>
                <w:color w:val="auto"/>
                <w:vertAlign w:val="superscript"/>
              </w:rPr>
              <w:t>(1)</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9D9D9"/>
          </w:tcPr>
          <w:p>
            <w:pPr>
              <w:spacing w:after="0"/>
              <w:rPr>
                <w:sz w:val="20"/>
                <w:szCs w:val="20"/>
                <w:color w:val="auto"/>
              </w:rPr>
            </w:pPr>
            <w:r>
              <w:rPr>
                <w:rFonts w:ascii="Arial" w:cs="Arial" w:eastAsia="Arial" w:hAnsi="Arial"/>
                <w:sz w:val="15"/>
                <w:szCs w:val="15"/>
                <w:color w:val="auto"/>
              </w:rPr>
              <w:t>2.</w:t>
            </w:r>
          </w:p>
        </w:tc>
        <w:tc>
          <w:tcPr>
            <w:tcW w:w="2060" w:type="dxa"/>
            <w:vAlign w:val="bottom"/>
            <w:shd w:val="clear" w:color="auto" w:fill="D9D9D9"/>
          </w:tcPr>
          <w:p>
            <w:pPr>
              <w:ind w:left="80"/>
              <w:spacing w:after="0"/>
              <w:rPr>
                <w:sz w:val="20"/>
                <w:szCs w:val="20"/>
                <w:color w:val="auto"/>
              </w:rPr>
            </w:pPr>
            <w:r>
              <w:rPr>
                <w:rFonts w:ascii="Arial" w:cs="Arial" w:eastAsia="Arial" w:hAnsi="Arial"/>
                <w:sz w:val="15"/>
                <w:szCs w:val="15"/>
                <w:color w:val="auto"/>
              </w:rPr>
              <w:t>Ratification of the</w:t>
            </w:r>
          </w:p>
        </w:tc>
        <w:tc>
          <w:tcPr>
            <w:tcW w:w="1820" w:type="dxa"/>
            <w:vAlign w:val="bottom"/>
            <w:shd w:val="clear" w:color="auto" w:fill="D9D9D9"/>
          </w:tcPr>
          <w:p>
            <w:pPr>
              <w:ind w:left="400"/>
              <w:spacing w:after="0"/>
              <w:rPr>
                <w:sz w:val="20"/>
                <w:szCs w:val="20"/>
                <w:color w:val="auto"/>
              </w:rPr>
            </w:pPr>
            <w:r>
              <w:rPr>
                <w:rFonts w:ascii="Arial" w:cs="Arial" w:eastAsia="Arial" w:hAnsi="Arial"/>
                <w:sz w:val="15"/>
                <w:szCs w:val="15"/>
                <w:b w:val="1"/>
                <w:bCs w:val="1"/>
                <w:color w:val="auto"/>
              </w:rPr>
              <w:t>FOR</w:t>
            </w:r>
          </w:p>
        </w:tc>
        <w:tc>
          <w:tcPr>
            <w:tcW w:w="2160" w:type="dxa"/>
            <w:vAlign w:val="bottom"/>
            <w:shd w:val="clear" w:color="auto" w:fill="D9D9D9"/>
          </w:tcPr>
          <w:p>
            <w:pPr>
              <w:ind w:left="320"/>
              <w:spacing w:after="0"/>
              <w:rPr>
                <w:sz w:val="20"/>
                <w:szCs w:val="20"/>
                <w:color w:val="auto"/>
              </w:rPr>
            </w:pPr>
            <w:r>
              <w:rPr>
                <w:rFonts w:ascii="Arial" w:cs="Arial" w:eastAsia="Arial" w:hAnsi="Arial"/>
                <w:sz w:val="15"/>
                <w:szCs w:val="15"/>
                <w:color w:val="auto"/>
              </w:rPr>
              <w:t>FOR; AGAINST;</w:t>
            </w:r>
          </w:p>
        </w:tc>
        <w:tc>
          <w:tcPr>
            <w:tcW w:w="21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Majority of shares</w:t>
            </w:r>
          </w:p>
        </w:tc>
        <w:tc>
          <w:tcPr>
            <w:tcW w:w="15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Counted as a</w:t>
            </w:r>
          </w:p>
        </w:tc>
        <w:tc>
          <w:tcPr>
            <w:tcW w:w="1500" w:type="dxa"/>
            <w:vAlign w:val="bottom"/>
            <w:shd w:val="clear" w:color="auto" w:fill="D9D9D9"/>
          </w:tcPr>
          <w:p>
            <w:pPr>
              <w:ind w:left="260"/>
              <w:spacing w:after="0"/>
              <w:rPr>
                <w:sz w:val="20"/>
                <w:szCs w:val="20"/>
                <w:color w:val="auto"/>
              </w:rPr>
            </w:pPr>
            <w:r>
              <w:rPr>
                <w:rFonts w:ascii="Arial" w:cs="Arial" w:eastAsia="Arial" w:hAnsi="Arial"/>
                <w:sz w:val="15"/>
                <w:szCs w:val="15"/>
                <w:color w:val="auto"/>
              </w:rPr>
              <w:t>Not</w:t>
            </w:r>
          </w:p>
        </w:tc>
        <w:tc>
          <w:tcPr>
            <w:tcW w:w="0" w:type="dxa"/>
            <w:vAlign w:val="bottom"/>
          </w:tcPr>
          <w:p>
            <w:pPr>
              <w:spacing w:after="0"/>
              <w:rPr>
                <w:sz w:val="1"/>
                <w:szCs w:val="1"/>
                <w:color w:val="auto"/>
              </w:rPr>
            </w:pPr>
          </w:p>
        </w:tc>
      </w:tr>
      <w:tr>
        <w:trPr>
          <w:trHeight w:val="192"/>
        </w:trPr>
        <w:tc>
          <w:tcPr>
            <w:tcW w:w="200" w:type="dxa"/>
            <w:vAlign w:val="bottom"/>
            <w:shd w:val="clear" w:color="auto" w:fill="D9D9D9"/>
          </w:tcPr>
          <w:p>
            <w:pPr>
              <w:spacing w:after="0"/>
              <w:rPr>
                <w:sz w:val="16"/>
                <w:szCs w:val="16"/>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selection of KPMG LLP</w:t>
            </w:r>
          </w:p>
        </w:tc>
        <w:tc>
          <w:tcPr>
            <w:tcW w:w="1820" w:type="dxa"/>
            <w:vAlign w:val="bottom"/>
            <w:shd w:val="clear" w:color="auto" w:fill="D9D9D9"/>
          </w:tcPr>
          <w:p>
            <w:pPr>
              <w:spacing w:after="0"/>
              <w:rPr>
                <w:sz w:val="16"/>
                <w:szCs w:val="16"/>
                <w:color w:val="auto"/>
              </w:rPr>
            </w:pPr>
          </w:p>
        </w:tc>
        <w:tc>
          <w:tcPr>
            <w:tcW w:w="2160" w:type="dxa"/>
            <w:vAlign w:val="bottom"/>
            <w:shd w:val="clear" w:color="auto" w:fill="D9D9D9"/>
          </w:tcPr>
          <w:p>
            <w:pPr>
              <w:ind w:left="320"/>
              <w:spacing w:after="0"/>
              <w:rPr>
                <w:sz w:val="20"/>
                <w:szCs w:val="20"/>
                <w:color w:val="auto"/>
              </w:rPr>
            </w:pPr>
            <w:r>
              <w:rPr>
                <w:rFonts w:ascii="Arial" w:cs="Arial" w:eastAsia="Arial" w:hAnsi="Arial"/>
                <w:sz w:val="15"/>
                <w:szCs w:val="15"/>
                <w:color w:val="auto"/>
              </w:rPr>
              <w:t>or ABSTAIN</w:t>
            </w:r>
          </w:p>
        </w:tc>
        <w:tc>
          <w:tcPr>
            <w:tcW w:w="21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present and entitled</w:t>
            </w:r>
          </w:p>
        </w:tc>
        <w:tc>
          <w:tcPr>
            <w:tcW w:w="15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vote against</w:t>
            </w:r>
          </w:p>
        </w:tc>
        <w:tc>
          <w:tcPr>
            <w:tcW w:w="1500" w:type="dxa"/>
            <w:vAlign w:val="bottom"/>
            <w:shd w:val="clear" w:color="auto" w:fill="D9D9D9"/>
          </w:tcPr>
          <w:p>
            <w:pPr>
              <w:ind w:left="260"/>
              <w:spacing w:after="0"/>
              <w:rPr>
                <w:sz w:val="20"/>
                <w:szCs w:val="20"/>
                <w:color w:val="auto"/>
              </w:rPr>
            </w:pPr>
            <w:r>
              <w:rPr>
                <w:rFonts w:ascii="Arial" w:cs="Arial" w:eastAsia="Arial" w:hAnsi="Arial"/>
                <w:sz w:val="15"/>
                <w:szCs w:val="15"/>
                <w:color w:val="auto"/>
              </w:rPr>
              <w:t>applicable</w:t>
            </w:r>
          </w:p>
        </w:tc>
        <w:tc>
          <w:tcPr>
            <w:tcW w:w="0" w:type="dxa"/>
            <w:vAlign w:val="bottom"/>
          </w:tcPr>
          <w:p>
            <w:pPr>
              <w:spacing w:after="0"/>
              <w:rPr>
                <w:sz w:val="1"/>
                <w:szCs w:val="1"/>
                <w:color w:val="auto"/>
              </w:rPr>
            </w:pPr>
          </w:p>
        </w:tc>
      </w:tr>
      <w:tr>
        <w:trPr>
          <w:trHeight w:val="184"/>
        </w:trPr>
        <w:tc>
          <w:tcPr>
            <w:tcW w:w="200" w:type="dxa"/>
            <w:vAlign w:val="bottom"/>
            <w:shd w:val="clear" w:color="auto" w:fill="D9D9D9"/>
          </w:tcPr>
          <w:p>
            <w:pPr>
              <w:spacing w:after="0"/>
              <w:rPr>
                <w:sz w:val="15"/>
                <w:szCs w:val="15"/>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as our independent</w:t>
            </w:r>
          </w:p>
        </w:tc>
        <w:tc>
          <w:tcPr>
            <w:tcW w:w="182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1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to vote</w:t>
            </w:r>
          </w:p>
        </w:tc>
        <w:tc>
          <w:tcPr>
            <w:tcW w:w="154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D9D9D9"/>
          </w:tcPr>
          <w:p>
            <w:pPr>
              <w:spacing w:after="0"/>
              <w:rPr>
                <w:sz w:val="15"/>
                <w:szCs w:val="15"/>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registered public</w:t>
            </w:r>
          </w:p>
        </w:tc>
        <w:tc>
          <w:tcPr>
            <w:tcW w:w="182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14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accounting firm for our</w:t>
            </w:r>
          </w:p>
        </w:tc>
        <w:tc>
          <w:tcPr>
            <w:tcW w:w="182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2140" w:type="dxa"/>
            <w:vAlign w:val="bottom"/>
            <w:shd w:val="clear" w:color="auto" w:fill="D9D9D9"/>
          </w:tcPr>
          <w:p>
            <w:pPr>
              <w:spacing w:after="0"/>
              <w:rPr>
                <w:sz w:val="17"/>
                <w:szCs w:val="17"/>
                <w:color w:val="auto"/>
              </w:rPr>
            </w:pPr>
          </w:p>
        </w:tc>
        <w:tc>
          <w:tcPr>
            <w:tcW w:w="1540" w:type="dxa"/>
            <w:vAlign w:val="bottom"/>
            <w:shd w:val="clear" w:color="auto" w:fill="D9D9D9"/>
          </w:tcPr>
          <w:p>
            <w:pPr>
              <w:spacing w:after="0"/>
              <w:rPr>
                <w:sz w:val="17"/>
                <w:szCs w:val="17"/>
                <w:color w:val="auto"/>
              </w:rPr>
            </w:pPr>
          </w:p>
        </w:tc>
        <w:tc>
          <w:tcPr>
            <w:tcW w:w="15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D9D9D9"/>
          </w:tcPr>
          <w:p>
            <w:pPr>
              <w:spacing w:after="0"/>
              <w:rPr>
                <w:sz w:val="15"/>
                <w:szCs w:val="15"/>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fiscal year ending</w:t>
            </w:r>
          </w:p>
        </w:tc>
        <w:tc>
          <w:tcPr>
            <w:tcW w:w="182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14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October 31, 2019</w:t>
            </w:r>
          </w:p>
        </w:tc>
        <w:tc>
          <w:tcPr>
            <w:tcW w:w="182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2140" w:type="dxa"/>
            <w:vAlign w:val="bottom"/>
            <w:shd w:val="clear" w:color="auto" w:fill="D9D9D9"/>
          </w:tcPr>
          <w:p>
            <w:pPr>
              <w:spacing w:after="0"/>
              <w:rPr>
                <w:sz w:val="17"/>
                <w:szCs w:val="17"/>
                <w:color w:val="auto"/>
              </w:rPr>
            </w:pPr>
          </w:p>
        </w:tc>
        <w:tc>
          <w:tcPr>
            <w:tcW w:w="1540" w:type="dxa"/>
            <w:vAlign w:val="bottom"/>
            <w:shd w:val="clear" w:color="auto" w:fill="D9D9D9"/>
          </w:tcPr>
          <w:p>
            <w:pPr>
              <w:spacing w:after="0"/>
              <w:rPr>
                <w:sz w:val="17"/>
                <w:szCs w:val="17"/>
                <w:color w:val="auto"/>
              </w:rPr>
            </w:pPr>
          </w:p>
        </w:tc>
        <w:tc>
          <w:tcPr>
            <w:tcW w:w="15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60" w:type="dxa"/>
            <w:vAlign w:val="bottom"/>
            <w:gridSpan w:val="2"/>
          </w:tcPr>
          <w:p>
            <w:pPr>
              <w:spacing w:after="0"/>
              <w:rPr>
                <w:sz w:val="20"/>
                <w:szCs w:val="20"/>
                <w:color w:val="auto"/>
              </w:rPr>
            </w:pPr>
            <w:r>
              <w:rPr>
                <w:rFonts w:ascii="Arial" w:cs="Arial" w:eastAsia="Arial" w:hAnsi="Arial"/>
                <w:sz w:val="15"/>
                <w:szCs w:val="15"/>
                <w:color w:val="auto"/>
              </w:rPr>
              <w:t>3.  Approval of, on an</w:t>
            </w:r>
          </w:p>
        </w:tc>
        <w:tc>
          <w:tcPr>
            <w:tcW w:w="1820" w:type="dxa"/>
            <w:vAlign w:val="bottom"/>
          </w:tcPr>
          <w:p>
            <w:pPr>
              <w:ind w:left="400"/>
              <w:spacing w:after="0"/>
              <w:rPr>
                <w:sz w:val="20"/>
                <w:szCs w:val="20"/>
                <w:color w:val="auto"/>
              </w:rPr>
            </w:pPr>
            <w:r>
              <w:rPr>
                <w:rFonts w:ascii="Arial" w:cs="Arial" w:eastAsia="Arial" w:hAnsi="Arial"/>
                <w:sz w:val="15"/>
                <w:szCs w:val="15"/>
                <w:b w:val="1"/>
                <w:bCs w:val="1"/>
                <w:color w:val="auto"/>
              </w:rPr>
              <w:t>FOR</w:t>
            </w:r>
          </w:p>
        </w:tc>
        <w:tc>
          <w:tcPr>
            <w:tcW w:w="2160" w:type="dxa"/>
            <w:vAlign w:val="bottom"/>
          </w:tcPr>
          <w:p>
            <w:pPr>
              <w:ind w:left="320"/>
              <w:spacing w:after="0"/>
              <w:rPr>
                <w:sz w:val="20"/>
                <w:szCs w:val="20"/>
                <w:color w:val="auto"/>
              </w:rPr>
            </w:pPr>
            <w:r>
              <w:rPr>
                <w:rFonts w:ascii="Arial" w:cs="Arial" w:eastAsia="Arial" w:hAnsi="Arial"/>
                <w:sz w:val="15"/>
                <w:szCs w:val="15"/>
                <w:color w:val="auto"/>
              </w:rPr>
              <w:t>FOR; AGAINST;</w:t>
            </w:r>
          </w:p>
        </w:tc>
        <w:tc>
          <w:tcPr>
            <w:tcW w:w="2140" w:type="dxa"/>
            <w:vAlign w:val="bottom"/>
          </w:tcPr>
          <w:p>
            <w:pPr>
              <w:ind w:left="380"/>
              <w:spacing w:after="0"/>
              <w:rPr>
                <w:sz w:val="20"/>
                <w:szCs w:val="20"/>
                <w:color w:val="auto"/>
              </w:rPr>
            </w:pPr>
            <w:r>
              <w:rPr>
                <w:rFonts w:ascii="Arial" w:cs="Arial" w:eastAsia="Arial" w:hAnsi="Arial"/>
                <w:sz w:val="15"/>
                <w:szCs w:val="15"/>
                <w:color w:val="auto"/>
              </w:rPr>
              <w:t>Majority of shares</w:t>
            </w:r>
          </w:p>
        </w:tc>
        <w:tc>
          <w:tcPr>
            <w:tcW w:w="1540" w:type="dxa"/>
            <w:vAlign w:val="bottom"/>
          </w:tcPr>
          <w:p>
            <w:pPr>
              <w:ind w:left="380"/>
              <w:spacing w:after="0"/>
              <w:rPr>
                <w:sz w:val="20"/>
                <w:szCs w:val="20"/>
                <w:color w:val="auto"/>
              </w:rPr>
            </w:pPr>
            <w:r>
              <w:rPr>
                <w:rFonts w:ascii="Arial" w:cs="Arial" w:eastAsia="Arial" w:hAnsi="Arial"/>
                <w:sz w:val="15"/>
                <w:szCs w:val="15"/>
                <w:color w:val="auto"/>
              </w:rPr>
              <w:t>Counted as a</w:t>
            </w:r>
          </w:p>
        </w:tc>
        <w:tc>
          <w:tcPr>
            <w:tcW w:w="1500" w:type="dxa"/>
            <w:vAlign w:val="bottom"/>
          </w:tcPr>
          <w:p>
            <w:pPr>
              <w:ind w:left="26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advisory basis, our</w:t>
            </w:r>
          </w:p>
        </w:tc>
        <w:tc>
          <w:tcPr>
            <w:tcW w:w="1820" w:type="dxa"/>
            <w:vAlign w:val="bottom"/>
          </w:tcPr>
          <w:p>
            <w:pPr>
              <w:spacing w:after="0"/>
              <w:rPr>
                <w:sz w:val="16"/>
                <w:szCs w:val="16"/>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or ABSTAIN</w:t>
            </w:r>
          </w:p>
        </w:tc>
        <w:tc>
          <w:tcPr>
            <w:tcW w:w="2140" w:type="dxa"/>
            <w:vAlign w:val="bottom"/>
          </w:tcPr>
          <w:p>
            <w:pPr>
              <w:ind w:left="380"/>
              <w:spacing w:after="0"/>
              <w:rPr>
                <w:sz w:val="20"/>
                <w:szCs w:val="20"/>
                <w:color w:val="auto"/>
              </w:rPr>
            </w:pPr>
            <w:r>
              <w:rPr>
                <w:rFonts w:ascii="Arial" w:cs="Arial" w:eastAsia="Arial" w:hAnsi="Arial"/>
                <w:sz w:val="15"/>
                <w:szCs w:val="15"/>
                <w:color w:val="auto"/>
              </w:rPr>
              <w:t>present and entitled</w:t>
            </w:r>
          </w:p>
        </w:tc>
        <w:tc>
          <w:tcPr>
            <w:tcW w:w="1540" w:type="dxa"/>
            <w:vAlign w:val="bottom"/>
          </w:tcPr>
          <w:p>
            <w:pPr>
              <w:ind w:left="380"/>
              <w:spacing w:after="0"/>
              <w:rPr>
                <w:sz w:val="20"/>
                <w:szCs w:val="20"/>
                <w:color w:val="auto"/>
              </w:rPr>
            </w:pPr>
            <w:r>
              <w:rPr>
                <w:rFonts w:ascii="Arial" w:cs="Arial" w:eastAsia="Arial" w:hAnsi="Arial"/>
                <w:sz w:val="15"/>
                <w:szCs w:val="15"/>
                <w:color w:val="auto"/>
              </w:rPr>
              <w:t>vote against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executive</w:t>
            </w:r>
          </w:p>
        </w:tc>
        <w:tc>
          <w:tcPr>
            <w:tcW w:w="1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40" w:type="dxa"/>
            <w:vAlign w:val="bottom"/>
          </w:tcPr>
          <w:p>
            <w:pPr>
              <w:ind w:left="380"/>
              <w:spacing w:after="0"/>
              <w:rPr>
                <w:sz w:val="20"/>
                <w:szCs w:val="20"/>
                <w:color w:val="auto"/>
              </w:rPr>
            </w:pPr>
            <w:r>
              <w:rPr>
                <w:rFonts w:ascii="Arial" w:cs="Arial" w:eastAsia="Arial" w:hAnsi="Arial"/>
                <w:sz w:val="15"/>
                <w:szCs w:val="15"/>
                <w:color w:val="auto"/>
              </w:rPr>
              <w:t>to vote</w:t>
            </w: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compensation</w:t>
            </w:r>
            <w:r>
              <w:rPr>
                <w:rFonts w:ascii="Arial" w:cs="Arial" w:eastAsia="Arial" w:hAnsi="Arial"/>
                <w:sz w:val="24"/>
                <w:szCs w:val="24"/>
                <w:color w:val="auto"/>
                <w:vertAlign w:val="superscript"/>
              </w:rPr>
              <w:t>(2)</w:t>
            </w:r>
          </w:p>
        </w:tc>
        <w:tc>
          <w:tcPr>
            <w:tcW w:w="1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4276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7605" cy="7620"/>
                    </a:xfrm>
                    <a:prstGeom prst="rect">
                      <a:avLst/>
                    </a:prstGeom>
                    <a:noFill/>
                  </pic:spPr>
                </pic:pic>
              </a:graphicData>
            </a:graphic>
          </wp:anchor>
        </w:drawing>
      </w:r>
    </w:p>
    <w:p>
      <w:pPr>
        <w:ind w:left="402" w:right="180" w:hanging="402"/>
        <w:spacing w:after="0" w:line="244" w:lineRule="auto"/>
        <w:tabs>
          <w:tab w:leader="none" w:pos="402"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 our Amended and Restated Bylaws, if a majority of the votes of the shares present in person or represented by proxy at the annual meeting are designated to be “withheld” from a nominee for director in an uncontested election,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84" w:lineRule="exact"/>
        <w:rPr>
          <w:rFonts w:ascii="Arial" w:cs="Arial" w:eastAsia="Arial" w:hAnsi="Arial"/>
          <w:sz w:val="16"/>
          <w:szCs w:val="16"/>
          <w:color w:val="auto"/>
        </w:rPr>
      </w:pPr>
    </w:p>
    <w:p>
      <w:pPr>
        <w:ind w:left="402" w:right="580" w:hanging="402"/>
        <w:spacing w:after="0" w:line="255" w:lineRule="auto"/>
        <w:tabs>
          <w:tab w:leader="none" w:pos="402"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While an advisory vote, our Compensation &amp; Human Resources Committee and Board expect to take into account the outcome of the vote when considering future executive compensation.</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type w:val="continuous"/>
        </w:sectPr>
      </w:pPr>
    </w:p>
    <w:bookmarkStart w:id="14" w:name="page15"/>
    <w:bookmarkEnd w:id="14"/>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Will My Shares Be Voted?</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560" w:type="dxa"/>
            <w:vAlign w:val="bottom"/>
            <w:shd w:val="clear" w:color="auto" w:fill="C00000"/>
          </w:tcPr>
          <w:p>
            <w:pPr>
              <w:spacing w:after="0"/>
              <w:rPr>
                <w:sz w:val="13"/>
                <w:szCs w:val="13"/>
                <w:color w:val="auto"/>
              </w:rPr>
            </w:pPr>
          </w:p>
        </w:tc>
        <w:tc>
          <w:tcPr>
            <w:tcW w:w="5020" w:type="dxa"/>
            <w:vAlign w:val="bottom"/>
            <w:vMerge w:val="restart"/>
            <w:shd w:val="clear" w:color="auto" w:fill="C00000"/>
          </w:tcPr>
          <w:p>
            <w:pPr>
              <w:ind w:left="1960"/>
              <w:spacing w:after="0"/>
              <w:rPr>
                <w:sz w:val="20"/>
                <w:szCs w:val="20"/>
                <w:color w:val="auto"/>
              </w:rPr>
            </w:pPr>
            <w:r>
              <w:rPr>
                <w:rFonts w:ascii="Arial" w:cs="Arial" w:eastAsia="Arial" w:hAnsi="Arial"/>
                <w:sz w:val="13"/>
                <w:szCs w:val="13"/>
                <w:b w:val="1"/>
                <w:bCs w:val="1"/>
                <w:color w:val="FFFFFF"/>
              </w:rPr>
              <w:t>How Your Shares will be Voted If You</w:t>
            </w:r>
          </w:p>
        </w:tc>
        <w:tc>
          <w:tcPr>
            <w:tcW w:w="2840" w:type="dxa"/>
            <w:vAlign w:val="bottom"/>
            <w:shd w:val="clear" w:color="auto" w:fill="C00000"/>
          </w:tcPr>
          <w:p>
            <w:pPr>
              <w:ind w:left="780"/>
              <w:spacing w:after="0"/>
              <w:rPr>
                <w:sz w:val="20"/>
                <w:szCs w:val="20"/>
                <w:color w:val="auto"/>
              </w:rPr>
            </w:pPr>
            <w:r>
              <w:rPr>
                <w:rFonts w:ascii="Arial" w:cs="Arial" w:eastAsia="Arial" w:hAnsi="Arial"/>
                <w:sz w:val="13"/>
                <w:szCs w:val="13"/>
                <w:b w:val="1"/>
                <w:bCs w:val="1"/>
                <w:color w:val="FFFFFF"/>
              </w:rPr>
              <w:t>How Your Shares will be Voted If</w:t>
            </w:r>
          </w:p>
        </w:tc>
        <w:tc>
          <w:tcPr>
            <w:tcW w:w="0" w:type="dxa"/>
            <w:vAlign w:val="bottom"/>
          </w:tcPr>
          <w:p>
            <w:pPr>
              <w:spacing w:after="0"/>
              <w:rPr>
                <w:sz w:val="1"/>
                <w:szCs w:val="1"/>
                <w:color w:val="auto"/>
              </w:rPr>
            </w:pPr>
          </w:p>
        </w:tc>
      </w:tr>
      <w:tr>
        <w:trPr>
          <w:trHeight w:val="98"/>
        </w:trPr>
        <w:tc>
          <w:tcPr>
            <w:tcW w:w="3560" w:type="dxa"/>
            <w:vAlign w:val="bottom"/>
            <w:vMerge w:val="restart"/>
            <w:shd w:val="clear" w:color="auto" w:fill="C00000"/>
          </w:tcPr>
          <w:p>
            <w:pPr>
              <w:spacing w:after="0"/>
              <w:rPr>
                <w:sz w:val="20"/>
                <w:szCs w:val="20"/>
                <w:color w:val="auto"/>
              </w:rPr>
            </w:pPr>
            <w:r>
              <w:rPr>
                <w:rFonts w:ascii="Arial" w:cs="Arial" w:eastAsia="Arial" w:hAnsi="Arial"/>
                <w:sz w:val="13"/>
                <w:szCs w:val="13"/>
                <w:b w:val="1"/>
                <w:bCs w:val="1"/>
                <w:color w:val="FFFFFF"/>
              </w:rPr>
              <w:t>How Your Shares are Held</w:t>
            </w:r>
          </w:p>
        </w:tc>
        <w:tc>
          <w:tcPr>
            <w:tcW w:w="5020" w:type="dxa"/>
            <w:vAlign w:val="bottom"/>
            <w:vMerge w:val="continue"/>
            <w:shd w:val="clear" w:color="auto" w:fill="C00000"/>
          </w:tcPr>
          <w:p>
            <w:pPr>
              <w:spacing w:after="0"/>
              <w:rPr>
                <w:sz w:val="8"/>
                <w:szCs w:val="8"/>
                <w:color w:val="auto"/>
              </w:rPr>
            </w:pPr>
          </w:p>
        </w:tc>
        <w:tc>
          <w:tcPr>
            <w:tcW w:w="2840" w:type="dxa"/>
            <w:vAlign w:val="bottom"/>
            <w:vMerge w:val="restart"/>
            <w:shd w:val="clear" w:color="auto" w:fill="C00000"/>
          </w:tcPr>
          <w:p>
            <w:pPr>
              <w:ind w:left="780"/>
              <w:spacing w:after="0"/>
              <w:rPr>
                <w:sz w:val="20"/>
                <w:szCs w:val="20"/>
                <w:color w:val="auto"/>
              </w:rPr>
            </w:pPr>
            <w:r>
              <w:rPr>
                <w:rFonts w:ascii="Arial" w:cs="Arial" w:eastAsia="Arial" w:hAnsi="Arial"/>
                <w:sz w:val="13"/>
                <w:szCs w:val="13"/>
                <w:b w:val="1"/>
                <w:bCs w:val="1"/>
                <w:color w:val="FFFFFF"/>
              </w:rPr>
              <w:t>You Do Not</w:t>
            </w:r>
          </w:p>
        </w:tc>
        <w:tc>
          <w:tcPr>
            <w:tcW w:w="0" w:type="dxa"/>
            <w:vAlign w:val="bottom"/>
          </w:tcPr>
          <w:p>
            <w:pPr>
              <w:spacing w:after="0"/>
              <w:rPr>
                <w:sz w:val="1"/>
                <w:szCs w:val="1"/>
                <w:color w:val="auto"/>
              </w:rPr>
            </w:pPr>
          </w:p>
        </w:tc>
      </w:tr>
      <w:tr>
        <w:trPr>
          <w:trHeight w:val="74"/>
        </w:trPr>
        <w:tc>
          <w:tcPr>
            <w:tcW w:w="3560" w:type="dxa"/>
            <w:vAlign w:val="bottom"/>
            <w:vMerge w:val="continue"/>
            <w:shd w:val="clear" w:color="auto" w:fill="C00000"/>
          </w:tcPr>
          <w:p>
            <w:pPr>
              <w:spacing w:after="0"/>
              <w:rPr>
                <w:sz w:val="6"/>
                <w:szCs w:val="6"/>
                <w:color w:val="auto"/>
              </w:rPr>
            </w:pPr>
          </w:p>
        </w:tc>
        <w:tc>
          <w:tcPr>
            <w:tcW w:w="5020" w:type="dxa"/>
            <w:vAlign w:val="bottom"/>
            <w:vMerge w:val="restart"/>
            <w:shd w:val="clear" w:color="auto" w:fill="C00000"/>
          </w:tcPr>
          <w:p>
            <w:pPr>
              <w:ind w:left="1960"/>
              <w:spacing w:after="0"/>
              <w:rPr>
                <w:sz w:val="20"/>
                <w:szCs w:val="20"/>
                <w:color w:val="auto"/>
              </w:rPr>
            </w:pPr>
            <w:r>
              <w:rPr>
                <w:rFonts w:ascii="Arial" w:cs="Arial" w:eastAsia="Arial" w:hAnsi="Arial"/>
                <w:sz w:val="13"/>
                <w:szCs w:val="13"/>
                <w:b w:val="1"/>
                <w:bCs w:val="1"/>
                <w:color w:val="FFFFFF"/>
              </w:rPr>
              <w:t>Specify How to Vote</w:t>
            </w:r>
          </w:p>
        </w:tc>
        <w:tc>
          <w:tcPr>
            <w:tcW w:w="2840" w:type="dxa"/>
            <w:vAlign w:val="bottom"/>
            <w:vMerge w:val="continue"/>
            <w:shd w:val="clear" w:color="auto" w:fill="C00000"/>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60" w:type="dxa"/>
            <w:vAlign w:val="bottom"/>
            <w:vMerge w:val="continue"/>
            <w:shd w:val="clear" w:color="auto" w:fill="C00000"/>
          </w:tcPr>
          <w:p>
            <w:pPr>
              <w:spacing w:after="0"/>
              <w:rPr>
                <w:sz w:val="8"/>
                <w:szCs w:val="8"/>
                <w:color w:val="auto"/>
              </w:rPr>
            </w:pPr>
          </w:p>
        </w:tc>
        <w:tc>
          <w:tcPr>
            <w:tcW w:w="5020" w:type="dxa"/>
            <w:vAlign w:val="bottom"/>
            <w:vMerge w:val="continue"/>
            <w:shd w:val="clear" w:color="auto" w:fill="C00000"/>
          </w:tcPr>
          <w:p>
            <w:pPr>
              <w:spacing w:after="0"/>
              <w:rPr>
                <w:sz w:val="8"/>
                <w:szCs w:val="8"/>
                <w:color w:val="auto"/>
              </w:rPr>
            </w:pPr>
          </w:p>
        </w:tc>
        <w:tc>
          <w:tcPr>
            <w:tcW w:w="2840" w:type="dxa"/>
            <w:vAlign w:val="bottom"/>
            <w:vMerge w:val="restart"/>
            <w:shd w:val="clear" w:color="auto" w:fill="C00000"/>
          </w:tcPr>
          <w:p>
            <w:pPr>
              <w:ind w:left="780"/>
              <w:spacing w:after="0"/>
              <w:rPr>
                <w:sz w:val="20"/>
                <w:szCs w:val="20"/>
                <w:color w:val="auto"/>
              </w:rPr>
            </w:pPr>
            <w:r>
              <w:rPr>
                <w:rFonts w:ascii="Arial" w:cs="Arial" w:eastAsia="Arial" w:hAnsi="Arial"/>
                <w:sz w:val="13"/>
                <w:szCs w:val="13"/>
                <w:b w:val="1"/>
                <w:bCs w:val="1"/>
                <w:color w:val="FFFFFF"/>
              </w:rPr>
              <w:t>Specify How to Vote</w:t>
            </w:r>
          </w:p>
        </w:tc>
        <w:tc>
          <w:tcPr>
            <w:tcW w:w="0" w:type="dxa"/>
            <w:vAlign w:val="bottom"/>
          </w:tcPr>
          <w:p>
            <w:pPr>
              <w:spacing w:after="0"/>
              <w:rPr>
                <w:sz w:val="1"/>
                <w:szCs w:val="1"/>
                <w:color w:val="auto"/>
              </w:rPr>
            </w:pPr>
          </w:p>
        </w:tc>
      </w:tr>
      <w:tr>
        <w:trPr>
          <w:trHeight w:val="72"/>
        </w:trPr>
        <w:tc>
          <w:tcPr>
            <w:tcW w:w="3560" w:type="dxa"/>
            <w:vAlign w:val="bottom"/>
            <w:shd w:val="clear" w:color="auto" w:fill="C00000"/>
          </w:tcPr>
          <w:p>
            <w:pPr>
              <w:spacing w:after="0"/>
              <w:rPr>
                <w:sz w:val="6"/>
                <w:szCs w:val="6"/>
                <w:color w:val="auto"/>
              </w:rPr>
            </w:pPr>
          </w:p>
        </w:tc>
        <w:tc>
          <w:tcPr>
            <w:tcW w:w="5020" w:type="dxa"/>
            <w:vAlign w:val="bottom"/>
            <w:shd w:val="clear" w:color="auto" w:fill="C00000"/>
          </w:tcPr>
          <w:p>
            <w:pPr>
              <w:spacing w:after="0"/>
              <w:rPr>
                <w:sz w:val="6"/>
                <w:szCs w:val="6"/>
                <w:color w:val="auto"/>
              </w:rPr>
            </w:pPr>
          </w:p>
        </w:tc>
        <w:tc>
          <w:tcPr>
            <w:tcW w:w="2840" w:type="dxa"/>
            <w:vAlign w:val="bottom"/>
            <w:vMerge w:val="continue"/>
            <w:shd w:val="clear" w:color="auto" w:fill="C00000"/>
          </w:tcPr>
          <w:p>
            <w:pPr>
              <w:spacing w:after="0"/>
              <w:rPr>
                <w:sz w:val="6"/>
                <w:szCs w:val="6"/>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462"/>
          </w:cols>
          <w:pgMar w:left="238" w:top="140" w:right="199" w:bottom="1440" w:gutter="0" w:footer="0" w:header="0"/>
        </w:sectPr>
      </w:pPr>
    </w:p>
    <w:p>
      <w:pPr>
        <w:ind w:left="2"/>
        <w:spacing w:after="0"/>
        <w:tabs>
          <w:tab w:leader="none" w:pos="5502" w:val="left"/>
        </w:tabs>
        <w:rPr>
          <w:sz w:val="20"/>
          <w:szCs w:val="20"/>
          <w:color w:val="auto"/>
        </w:rPr>
      </w:pPr>
      <w:r>
        <w:rPr>
          <w:rFonts w:ascii="Arial" w:cs="Arial" w:eastAsia="Arial" w:hAnsi="Arial"/>
          <w:sz w:val="15"/>
          <w:szCs w:val="15"/>
          <w:color w:val="auto"/>
        </w:rPr>
        <w:t>Shares registered in your name</w:t>
      </w:r>
      <w:r>
        <w:rPr>
          <w:sz w:val="20"/>
          <w:szCs w:val="20"/>
          <w:color w:val="auto"/>
        </w:rPr>
        <w:tab/>
      </w:r>
      <w:r>
        <w:rPr>
          <w:rFonts w:ascii="Arial" w:cs="Arial" w:eastAsia="Arial" w:hAnsi="Arial"/>
          <w:sz w:val="14"/>
          <w:szCs w:val="14"/>
          <w:color w:val="auto"/>
        </w:rPr>
        <w:t>The named proxies will vote your shares</w:t>
      </w:r>
    </w:p>
    <w:p>
      <w:pPr>
        <w:spacing w:after="0" w:line="24" w:lineRule="exact"/>
        <w:rPr>
          <w:sz w:val="20"/>
          <w:szCs w:val="20"/>
          <w:color w:val="auto"/>
        </w:rPr>
      </w:pPr>
    </w:p>
    <w:p>
      <w:pPr>
        <w:ind w:left="5522"/>
        <w:spacing w:after="0"/>
        <w:rPr>
          <w:sz w:val="20"/>
          <w:szCs w:val="20"/>
          <w:color w:val="auto"/>
        </w:rPr>
      </w:pPr>
      <w:r>
        <w:rPr>
          <w:rFonts w:ascii="Arial" w:cs="Arial" w:eastAsia="Arial" w:hAnsi="Arial"/>
          <w:sz w:val="15"/>
          <w:szCs w:val="15"/>
          <w:color w:val="auto"/>
        </w:rPr>
        <w:t>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9320" cy="583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320" cy="583565"/>
                    </a:xfrm>
                    <a:prstGeom prst="rect">
                      <a:avLst/>
                    </a:prstGeom>
                    <a:noFill/>
                  </pic:spPr>
                </pic:pic>
              </a:graphicData>
            </a:graphic>
          </wp:anchor>
        </w:drawing>
      </w:r>
    </w:p>
    <w:p>
      <w:pPr>
        <w:spacing w:after="0" w:line="175" w:lineRule="exact"/>
        <w:rPr>
          <w:sz w:val="20"/>
          <w:szCs w:val="20"/>
          <w:color w:val="auto"/>
        </w:rPr>
      </w:pPr>
    </w:p>
    <w:p>
      <w:pPr>
        <w:ind w:left="2"/>
        <w:spacing w:after="0"/>
        <w:tabs>
          <w:tab w:leader="none" w:pos="5502" w:val="left"/>
        </w:tabs>
        <w:rPr>
          <w:sz w:val="20"/>
          <w:szCs w:val="20"/>
          <w:color w:val="auto"/>
        </w:rPr>
      </w:pPr>
      <w:r>
        <w:rPr>
          <w:rFonts w:ascii="Arial" w:cs="Arial" w:eastAsia="Arial" w:hAnsi="Arial"/>
          <w:sz w:val="15"/>
          <w:szCs w:val="15"/>
          <w:color w:val="auto"/>
        </w:rPr>
        <w:t>Shares held in street name</w:t>
      </w:r>
      <w:r>
        <w:rPr>
          <w:sz w:val="20"/>
          <w:szCs w:val="20"/>
          <w:color w:val="auto"/>
        </w:rPr>
        <w:tab/>
      </w:r>
      <w:r>
        <w:rPr>
          <w:rFonts w:ascii="Arial" w:cs="Arial" w:eastAsia="Arial" w:hAnsi="Arial"/>
          <w:sz w:val="14"/>
          <w:szCs w:val="14"/>
          <w:color w:val="auto"/>
        </w:rPr>
        <w:t>Your broker will vote your shares as you</w:t>
      </w:r>
    </w:p>
    <w:p>
      <w:pPr>
        <w:spacing w:after="0" w:line="24" w:lineRule="exact"/>
        <w:rPr>
          <w:sz w:val="20"/>
          <w:szCs w:val="20"/>
          <w:color w:val="auto"/>
        </w:rPr>
      </w:pPr>
    </w:p>
    <w:p>
      <w:pPr>
        <w:ind w:left="5522"/>
        <w:spacing w:after="0"/>
        <w:rPr>
          <w:sz w:val="20"/>
          <w:szCs w:val="20"/>
          <w:color w:val="auto"/>
        </w:rPr>
      </w:pPr>
      <w:r>
        <w:rPr>
          <w:rFonts w:ascii="Arial" w:cs="Arial" w:eastAsia="Arial" w:hAnsi="Arial"/>
          <w:sz w:val="15"/>
          <w:szCs w:val="15"/>
          <w:color w:val="auto"/>
        </w:rPr>
        <w:t>direct</w:t>
      </w:r>
    </w:p>
    <w:p>
      <w:pPr>
        <w:spacing w:after="0" w:line="200" w:lineRule="exact"/>
        <w:rPr>
          <w:sz w:val="20"/>
          <w:szCs w:val="20"/>
          <w:color w:val="auto"/>
        </w:rPr>
      </w:pPr>
    </w:p>
    <w:p>
      <w:pPr>
        <w:spacing w:after="0" w:line="350" w:lineRule="exact"/>
        <w:rPr>
          <w:sz w:val="20"/>
          <w:szCs w:val="20"/>
          <w:color w:val="auto"/>
        </w:rPr>
      </w:pPr>
    </w:p>
    <w:p>
      <w:pPr>
        <w:ind w:left="2"/>
        <w:spacing w:after="0"/>
        <w:tabs>
          <w:tab w:leader="none" w:pos="5502" w:val="left"/>
        </w:tabs>
        <w:rPr>
          <w:sz w:val="20"/>
          <w:szCs w:val="20"/>
          <w:color w:val="auto"/>
        </w:rPr>
      </w:pPr>
      <w:r>
        <w:rPr>
          <w:rFonts w:ascii="Arial" w:cs="Arial" w:eastAsia="Arial" w:hAnsi="Arial"/>
          <w:sz w:val="15"/>
          <w:szCs w:val="15"/>
          <w:color w:val="auto"/>
        </w:rPr>
        <w:t>Shares held in certain Toro employee</w:t>
      </w:r>
      <w:r>
        <w:rPr>
          <w:sz w:val="20"/>
          <w:szCs w:val="20"/>
          <w:color w:val="auto"/>
        </w:rPr>
        <w:tab/>
      </w:r>
      <w:r>
        <w:rPr>
          <w:rFonts w:ascii="Arial" w:cs="Arial" w:eastAsia="Arial" w:hAnsi="Arial"/>
          <w:sz w:val="14"/>
          <w:szCs w:val="14"/>
          <w:color w:val="auto"/>
        </w:rPr>
        <w:t>The plan trustee will vote your shares</w:t>
      </w:r>
    </w:p>
    <w:p>
      <w:pPr>
        <w:spacing w:after="0" w:line="24" w:lineRule="exact"/>
        <w:rPr>
          <w:sz w:val="20"/>
          <w:szCs w:val="20"/>
          <w:color w:val="auto"/>
        </w:rPr>
      </w:pPr>
    </w:p>
    <w:p>
      <w:pPr>
        <w:ind w:left="2"/>
        <w:spacing w:after="0"/>
        <w:tabs>
          <w:tab w:leader="none" w:pos="5502" w:val="left"/>
        </w:tabs>
        <w:rPr>
          <w:sz w:val="20"/>
          <w:szCs w:val="20"/>
          <w:color w:val="auto"/>
        </w:rPr>
      </w:pPr>
      <w:r>
        <w:rPr>
          <w:rFonts w:ascii="Arial" w:cs="Arial" w:eastAsia="Arial" w:hAnsi="Arial"/>
          <w:sz w:val="15"/>
          <w:szCs w:val="15"/>
          <w:color w:val="auto"/>
        </w:rPr>
        <w:t>benefit plans</w:t>
      </w:r>
      <w:r>
        <w:rPr>
          <w:sz w:val="20"/>
          <w:szCs w:val="20"/>
          <w:color w:val="auto"/>
        </w:rPr>
        <w:tab/>
      </w:r>
      <w:r>
        <w:rPr>
          <w:rFonts w:ascii="Arial" w:cs="Arial" w:eastAsia="Arial" w:hAnsi="Arial"/>
          <w:sz w:val="14"/>
          <w:szCs w:val="14"/>
          <w:color w:val="auto"/>
        </w:rPr>
        <w:t>confidentially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227965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45" w:lineRule="auto"/>
        <w:rPr>
          <w:sz w:val="20"/>
          <w:szCs w:val="20"/>
          <w:color w:val="auto"/>
        </w:rPr>
      </w:pPr>
      <w:r>
        <w:rPr>
          <w:rFonts w:ascii="Arial" w:cs="Arial" w:eastAsia="Arial" w:hAnsi="Arial"/>
          <w:sz w:val="15"/>
          <w:szCs w:val="15"/>
          <w:color w:val="auto"/>
        </w:rPr>
        <w:t xml:space="preserve">The named proxies will vote </w:t>
      </w:r>
      <w:r>
        <w:rPr>
          <w:rFonts w:ascii="Arial" w:cs="Arial" w:eastAsia="Arial" w:hAnsi="Arial"/>
          <w:sz w:val="15"/>
          <w:szCs w:val="15"/>
          <w:b w:val="1"/>
          <w:bCs w:val="1"/>
          <w:color w:val="auto"/>
        </w:rPr>
        <w:t xml:space="preserve">FOR </w:t>
      </w:r>
      <w:r>
        <w:rPr>
          <w:rFonts w:ascii="Arial" w:cs="Arial" w:eastAsia="Arial" w:hAnsi="Arial"/>
          <w:sz w:val="15"/>
          <w:szCs w:val="15"/>
          <w:color w:val="auto"/>
        </w:rPr>
        <w:t>all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proposals</w:t>
      </w:r>
    </w:p>
    <w:p>
      <w:pPr>
        <w:spacing w:after="0" w:line="24" w:lineRule="exact"/>
        <w:rPr>
          <w:sz w:val="20"/>
          <w:szCs w:val="20"/>
          <w:color w:val="auto"/>
        </w:rPr>
      </w:pPr>
    </w:p>
    <w:p>
      <w:pPr>
        <w:ind w:right="200"/>
        <w:spacing w:after="0" w:line="245" w:lineRule="auto"/>
        <w:rPr>
          <w:sz w:val="20"/>
          <w:szCs w:val="20"/>
          <w:color w:val="auto"/>
        </w:rPr>
      </w:pPr>
      <w:r>
        <w:rPr>
          <w:rFonts w:ascii="Arial" w:cs="Arial" w:eastAsia="Arial" w:hAnsi="Arial"/>
          <w:sz w:val="15"/>
          <w:szCs w:val="15"/>
          <w:color w:val="auto"/>
        </w:rPr>
        <w:t>Your broker may vote only on routine</w:t>
      </w:r>
    </w:p>
    <w:p>
      <w:pPr>
        <w:spacing w:after="0" w:line="15" w:lineRule="exact"/>
        <w:rPr>
          <w:sz w:val="20"/>
          <w:szCs w:val="20"/>
          <w:color w:val="auto"/>
        </w:rPr>
      </w:pPr>
    </w:p>
    <w:p>
      <w:pPr>
        <w:ind w:right="260"/>
        <w:spacing w:after="0" w:line="244" w:lineRule="auto"/>
        <w:rPr>
          <w:sz w:val="20"/>
          <w:szCs w:val="20"/>
          <w:color w:val="auto"/>
        </w:rPr>
      </w:pPr>
      <w:r>
        <w:rPr>
          <w:rFonts w:ascii="Arial" w:cs="Arial" w:eastAsia="Arial" w:hAnsi="Arial"/>
          <w:sz w:val="15"/>
          <w:szCs w:val="15"/>
          <w:color w:val="auto"/>
        </w:rPr>
        <w:t>items in the absence of your instruction</w:t>
      </w:r>
    </w:p>
    <w:p>
      <w:pPr>
        <w:spacing w:after="0" w:line="182" w:lineRule="auto"/>
        <w:rPr>
          <w:sz w:val="20"/>
          <w:szCs w:val="20"/>
          <w:color w:val="auto"/>
        </w:rPr>
      </w:pPr>
      <w:r>
        <w:rPr>
          <w:rFonts w:ascii="Arial" w:cs="Arial" w:eastAsia="Arial" w:hAnsi="Arial"/>
          <w:sz w:val="14"/>
          <w:szCs w:val="14"/>
          <w:color w:val="auto"/>
        </w:rPr>
        <w:t>how to vote</w:t>
      </w:r>
      <w:r>
        <w:rPr>
          <w:rFonts w:ascii="Arial" w:cs="Arial" w:eastAsia="Arial" w:hAnsi="Arial"/>
          <w:sz w:val="23"/>
          <w:szCs w:val="23"/>
          <w:color w:val="auto"/>
          <w:vertAlign w:val="superscript"/>
        </w:rPr>
        <w:t>(1)</w:t>
      </w:r>
    </w:p>
    <w:p>
      <w:pPr>
        <w:ind w:right="140"/>
        <w:spacing w:after="0" w:line="245" w:lineRule="auto"/>
        <w:rPr>
          <w:sz w:val="20"/>
          <w:szCs w:val="20"/>
          <w:color w:val="auto"/>
        </w:rPr>
      </w:pPr>
      <w:r>
        <w:rPr>
          <w:rFonts w:ascii="Arial" w:cs="Arial" w:eastAsia="Arial" w:hAnsi="Arial"/>
          <w:sz w:val="15"/>
          <w:szCs w:val="15"/>
          <w:color w:val="auto"/>
        </w:rPr>
        <w:t>The plan trustee will vote your shares in</w:t>
      </w:r>
    </w:p>
    <w:p>
      <w:pPr>
        <w:spacing w:after="0" w:line="15" w:lineRule="exact"/>
        <w:rPr>
          <w:sz w:val="20"/>
          <w:szCs w:val="20"/>
          <w:color w:val="auto"/>
        </w:rPr>
      </w:pPr>
    </w:p>
    <w:p>
      <w:pPr>
        <w:ind w:right="360"/>
        <w:spacing w:after="0" w:line="245" w:lineRule="auto"/>
        <w:rPr>
          <w:sz w:val="20"/>
          <w:szCs w:val="20"/>
          <w:color w:val="auto"/>
        </w:rPr>
      </w:pPr>
      <w:r>
        <w:rPr>
          <w:rFonts w:ascii="Arial" w:cs="Arial" w:eastAsia="Arial" w:hAnsi="Arial"/>
          <w:sz w:val="15"/>
          <w:szCs w:val="15"/>
          <w:color w:val="auto"/>
        </w:rPr>
        <w:t>the same proportion as the votes actually</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cast by participants</w:t>
      </w:r>
    </w:p>
    <w:p>
      <w:pPr>
        <w:spacing w:after="0" w:line="168" w:lineRule="exact"/>
        <w:rPr>
          <w:sz w:val="20"/>
          <w:szCs w:val="20"/>
          <w:color w:val="auto"/>
        </w:rPr>
      </w:pPr>
    </w:p>
    <w:p>
      <w:pPr>
        <w:sectPr>
          <w:pgSz w:w="11900" w:h="16838" w:orient="portrait"/>
          <w:cols w:equalWidth="0" w:num="2">
            <w:col w:w="8642" w:space="720"/>
            <w:col w:w="2100"/>
          </w:cols>
          <w:pgMar w:left="238" w:top="140" w:right="199" w:bottom="1440" w:gutter="0" w:footer="0" w:header="0"/>
          <w:type w:val="continuous"/>
        </w:sectPr>
      </w:pPr>
    </w:p>
    <w:p>
      <w:pPr>
        <w:ind w:left="402" w:right="40" w:hanging="402"/>
        <w:spacing w:after="0" w:line="241" w:lineRule="auto"/>
        <w:tabs>
          <w:tab w:leader="none" w:pos="4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and Proposal Three— Advisory Approval of our Executive Compensation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as discussed on page 2, they are not considered to be shares “entitled to vote”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What Does It Mean If I Receive More Than One Notice or Set of Proxy Materials?</w:t>
      </w:r>
    </w:p>
    <w:p>
      <w:pPr>
        <w:spacing w:after="0" w:line="112" w:lineRule="exact"/>
        <w:rPr>
          <w:sz w:val="20"/>
          <w:szCs w:val="20"/>
          <w:color w:val="auto"/>
        </w:rPr>
      </w:pPr>
    </w:p>
    <w:p>
      <w:pPr>
        <w:ind w:left="2" w:right="140" w:firstLine="408"/>
        <w:spacing w:after="0" w:line="242" w:lineRule="auto"/>
        <w:rPr>
          <w:sz w:val="20"/>
          <w:szCs w:val="20"/>
          <w:color w:val="auto"/>
        </w:rPr>
      </w:pPr>
      <w:r>
        <w:rPr>
          <w:rFonts w:ascii="Arial" w:cs="Arial" w:eastAsia="Arial" w:hAnsi="Arial"/>
          <w:sz w:val="16"/>
          <w:szCs w:val="16"/>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 Purchase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all of your shares are voted.</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Can I Revoke or Change My Vote?</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You may revoke your proxy or change your vote at any time before your shares are voted at the annual meeting by one of the following methods:</w:t>
      </w:r>
    </w:p>
    <w:p>
      <w:pPr>
        <w:spacing w:after="0" w:line="111"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264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3"/>
                <w:szCs w:val="13"/>
                <w:b w:val="1"/>
                <w:bCs w:val="1"/>
                <w:color w:val="FFFFFF"/>
              </w:rPr>
              <w:t>How Your Shares are Held</w:t>
            </w:r>
          </w:p>
        </w:tc>
        <w:tc>
          <w:tcPr>
            <w:tcW w:w="8780" w:type="dxa"/>
            <w:vAlign w:val="bottom"/>
            <w:tcBorders>
              <w:bottom w:val="single" w:sz="8" w:color="C00000"/>
            </w:tcBorders>
            <w:shd w:val="clear" w:color="auto" w:fill="C00000"/>
          </w:tcPr>
          <w:p>
            <w:pPr>
              <w:ind w:left="220"/>
              <w:spacing w:after="0"/>
              <w:rPr>
                <w:sz w:val="20"/>
                <w:szCs w:val="20"/>
                <w:color w:val="auto"/>
              </w:rPr>
            </w:pPr>
            <w:r>
              <w:rPr>
                <w:rFonts w:ascii="Arial" w:cs="Arial" w:eastAsia="Arial" w:hAnsi="Arial"/>
                <w:sz w:val="13"/>
                <w:szCs w:val="13"/>
                <w:b w:val="1"/>
                <w:bCs w:val="1"/>
                <w:color w:val="FFFFFF"/>
              </w:rPr>
              <w:t>Method to Revoke or Change Your Vote</w:t>
            </w:r>
          </w:p>
        </w:tc>
        <w:tc>
          <w:tcPr>
            <w:tcW w:w="40" w:type="dxa"/>
            <w:vAlign w:val="bottom"/>
          </w:tcPr>
          <w:p>
            <w:pPr>
              <w:spacing w:after="0"/>
              <w:rPr>
                <w:sz w:val="18"/>
                <w:szCs w:val="18"/>
                <w:color w:val="auto"/>
              </w:rPr>
            </w:pPr>
          </w:p>
        </w:tc>
      </w:tr>
      <w:tr>
        <w:trPr>
          <w:trHeight w:val="198"/>
        </w:trPr>
        <w:tc>
          <w:tcPr>
            <w:tcW w:w="2640" w:type="dxa"/>
            <w:vAlign w:val="bottom"/>
          </w:tcPr>
          <w:p>
            <w:pPr>
              <w:spacing w:after="0"/>
              <w:rPr>
                <w:sz w:val="20"/>
                <w:szCs w:val="20"/>
                <w:color w:val="auto"/>
              </w:rPr>
            </w:pPr>
            <w:r>
              <w:rPr>
                <w:rFonts w:ascii="Arial" w:cs="Arial" w:eastAsia="Arial" w:hAnsi="Arial"/>
                <w:sz w:val="15"/>
                <w:szCs w:val="15"/>
                <w:color w:val="auto"/>
              </w:rPr>
              <w:t>Shares registered in your name</w:t>
            </w:r>
          </w:p>
        </w:tc>
        <w:tc>
          <w:tcPr>
            <w:tcW w:w="8780" w:type="dxa"/>
            <w:vAlign w:val="bottom"/>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Submit another proper proxy with a more recent date than that of the proxy first given by following the Internet, telephone or mobile</w:t>
            </w:r>
          </w:p>
        </w:tc>
        <w:tc>
          <w:tcPr>
            <w:tcW w:w="40" w:type="dxa"/>
            <w:vAlign w:val="bottom"/>
          </w:tcPr>
          <w:p>
            <w:pPr>
              <w:spacing w:after="0"/>
              <w:rPr>
                <w:sz w:val="17"/>
                <w:szCs w:val="17"/>
                <w:color w:val="auto"/>
              </w:rPr>
            </w:pPr>
          </w:p>
        </w:tc>
      </w:tr>
      <w:tr>
        <w:trPr>
          <w:trHeight w:val="177"/>
        </w:trPr>
        <w:tc>
          <w:tcPr>
            <w:tcW w:w="2640" w:type="dxa"/>
            <w:vAlign w:val="bottom"/>
          </w:tcPr>
          <w:p>
            <w:pPr>
              <w:spacing w:after="0"/>
              <w:rPr>
                <w:sz w:val="15"/>
                <w:szCs w:val="15"/>
                <w:color w:val="auto"/>
              </w:rPr>
            </w:pPr>
          </w:p>
        </w:tc>
        <w:tc>
          <w:tcPr>
            <w:tcW w:w="8780" w:type="dxa"/>
            <w:vAlign w:val="bottom"/>
          </w:tcPr>
          <w:p>
            <w:pPr>
              <w:ind w:left="360"/>
              <w:spacing w:after="0"/>
              <w:rPr>
                <w:sz w:val="20"/>
                <w:szCs w:val="20"/>
                <w:color w:val="auto"/>
              </w:rPr>
            </w:pPr>
            <w:r>
              <w:rPr>
                <w:rFonts w:ascii="Arial" w:cs="Arial" w:eastAsia="Arial" w:hAnsi="Arial"/>
                <w:sz w:val="15"/>
                <w:szCs w:val="15"/>
                <w:color w:val="auto"/>
              </w:rPr>
              <w:t>device voting instructions or complete, sign, date and mail a proxy card;</w:t>
            </w:r>
          </w:p>
        </w:tc>
        <w:tc>
          <w:tcPr>
            <w:tcW w:w="40" w:type="dxa"/>
            <w:vAlign w:val="bottom"/>
          </w:tcPr>
          <w:p>
            <w:pPr>
              <w:spacing w:after="0"/>
              <w:rPr>
                <w:sz w:val="15"/>
                <w:szCs w:val="15"/>
                <w:color w:val="auto"/>
              </w:rPr>
            </w:pPr>
          </w:p>
        </w:tc>
      </w:tr>
      <w:tr>
        <w:trPr>
          <w:trHeight w:val="212"/>
        </w:trPr>
        <w:tc>
          <w:tcPr>
            <w:tcW w:w="264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Send written notice of revocation to our Vice President, Secretary and General Counsel; or</w:t>
            </w:r>
          </w:p>
        </w:tc>
        <w:tc>
          <w:tcPr>
            <w:tcW w:w="40" w:type="dxa"/>
            <w:vAlign w:val="bottom"/>
          </w:tcPr>
          <w:p>
            <w:pPr>
              <w:spacing w:after="0"/>
              <w:rPr>
                <w:sz w:val="18"/>
                <w:szCs w:val="18"/>
                <w:color w:val="auto"/>
              </w:rPr>
            </w:pPr>
          </w:p>
        </w:tc>
      </w:tr>
      <w:tr>
        <w:trPr>
          <w:trHeight w:val="197"/>
        </w:trPr>
        <w:tc>
          <w:tcPr>
            <w:tcW w:w="2640" w:type="dxa"/>
            <w:vAlign w:val="bottom"/>
          </w:tcPr>
          <w:p>
            <w:pPr>
              <w:spacing w:after="0"/>
              <w:rPr>
                <w:sz w:val="17"/>
                <w:szCs w:val="17"/>
                <w:color w:val="auto"/>
              </w:rPr>
            </w:pPr>
          </w:p>
        </w:tc>
        <w:tc>
          <w:tcPr>
            <w:tcW w:w="8780" w:type="dxa"/>
            <w:vAlign w:val="bottom"/>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Attend the annual meeting in person and vote by ballot</w:t>
            </w:r>
          </w:p>
        </w:tc>
        <w:tc>
          <w:tcPr>
            <w:tcW w:w="40" w:type="dxa"/>
            <w:vAlign w:val="bottom"/>
          </w:tcPr>
          <w:p>
            <w:pPr>
              <w:spacing w:after="0"/>
              <w:rPr>
                <w:sz w:val="17"/>
                <w:szCs w:val="17"/>
                <w:color w:val="auto"/>
              </w:rPr>
            </w:pPr>
          </w:p>
        </w:tc>
      </w:tr>
      <w:tr>
        <w:trPr>
          <w:trHeight w:val="213"/>
        </w:trPr>
        <w:tc>
          <w:tcPr>
            <w:tcW w:w="26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5"/>
                <w:szCs w:val="15"/>
                <w:color w:val="auto"/>
              </w:rPr>
              <w:t>Shares held in street name</w:t>
            </w:r>
          </w:p>
        </w:tc>
        <w:tc>
          <w:tcPr>
            <w:tcW w:w="8780" w:type="dxa"/>
            <w:vAlign w:val="bottom"/>
            <w:tcBorders>
              <w:bottom w:val="single" w:sz="8" w:color="D9D9D9"/>
            </w:tcBorders>
            <w:shd w:val="clear" w:color="auto" w:fill="D9D9D9"/>
          </w:tcPr>
          <w:p>
            <w:pPr>
              <w:ind w:left="220"/>
              <w:spacing w:after="0"/>
              <w:rPr>
                <w:sz w:val="20"/>
                <w:szCs w:val="20"/>
                <w:color w:val="auto"/>
              </w:rPr>
            </w:pPr>
            <w:r>
              <w:rPr>
                <w:rFonts w:ascii="Arial" w:cs="Arial" w:eastAsia="Arial" w:hAnsi="Arial"/>
                <w:sz w:val="15"/>
                <w:szCs w:val="15"/>
                <w:color w:val="auto"/>
              </w:rPr>
              <w:t>Follow instructions provided by your broker, bank or other nominee</w:t>
            </w:r>
          </w:p>
        </w:tc>
        <w:tc>
          <w:tcPr>
            <w:tcW w:w="40" w:type="dxa"/>
            <w:vAlign w:val="bottom"/>
          </w:tcPr>
          <w:p>
            <w:pPr>
              <w:spacing w:after="0"/>
              <w:rPr>
                <w:sz w:val="18"/>
                <w:szCs w:val="18"/>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5"/>
                <w:szCs w:val="15"/>
                <w:color w:val="auto"/>
              </w:rPr>
              <w:t>Shares held in certain Toro employee</w:t>
            </w:r>
          </w:p>
        </w:tc>
        <w:tc>
          <w:tcPr>
            <w:tcW w:w="8780" w:type="dxa"/>
            <w:vAlign w:val="bottom"/>
          </w:tcPr>
          <w:p>
            <w:pPr>
              <w:ind w:left="220"/>
              <w:spacing w:after="0"/>
              <w:rPr>
                <w:sz w:val="20"/>
                <w:szCs w:val="20"/>
                <w:color w:val="auto"/>
              </w:rPr>
            </w:pPr>
            <w:r>
              <w:rPr>
                <w:rFonts w:ascii="Arial" w:cs="Arial" w:eastAsia="Arial" w:hAnsi="Arial"/>
                <w:sz w:val="15"/>
                <w:szCs w:val="15"/>
                <w:color w:val="auto"/>
                <w:w w:val="98"/>
              </w:rPr>
              <w:t>Submit another proper proxy with a more recent date than that of the proxy first given by following the Internet, telephone or mobile</w:t>
            </w:r>
          </w:p>
        </w:tc>
        <w:tc>
          <w:tcPr>
            <w:tcW w:w="40" w:type="dxa"/>
            <w:vAlign w:val="bottom"/>
          </w:tcPr>
          <w:p>
            <w:pPr>
              <w:spacing w:after="0"/>
              <w:rPr>
                <w:sz w:val="16"/>
                <w:szCs w:val="16"/>
                <w:color w:val="auto"/>
              </w:rPr>
            </w:pPr>
          </w:p>
        </w:tc>
      </w:tr>
      <w:tr>
        <w:trPr>
          <w:trHeight w:val="177"/>
        </w:trPr>
        <w:tc>
          <w:tcPr>
            <w:tcW w:w="2640" w:type="dxa"/>
            <w:vAlign w:val="bottom"/>
          </w:tcPr>
          <w:p>
            <w:pPr>
              <w:spacing w:after="0"/>
              <w:rPr>
                <w:sz w:val="20"/>
                <w:szCs w:val="20"/>
                <w:color w:val="auto"/>
              </w:rPr>
            </w:pPr>
            <w:r>
              <w:rPr>
                <w:rFonts w:ascii="Arial" w:cs="Arial" w:eastAsia="Arial" w:hAnsi="Arial"/>
                <w:sz w:val="15"/>
                <w:szCs w:val="15"/>
                <w:color w:val="auto"/>
              </w:rPr>
              <w:t>benefit plans</w:t>
            </w:r>
          </w:p>
        </w:tc>
        <w:tc>
          <w:tcPr>
            <w:tcW w:w="8780" w:type="dxa"/>
            <w:vAlign w:val="bottom"/>
          </w:tcPr>
          <w:p>
            <w:pPr>
              <w:ind w:left="220"/>
              <w:spacing w:after="0"/>
              <w:rPr>
                <w:sz w:val="20"/>
                <w:szCs w:val="20"/>
                <w:color w:val="auto"/>
              </w:rPr>
            </w:pPr>
            <w:r>
              <w:rPr>
                <w:rFonts w:ascii="Arial" w:cs="Arial" w:eastAsia="Arial" w:hAnsi="Arial"/>
                <w:sz w:val="15"/>
                <w:szCs w:val="15"/>
                <w:color w:val="auto"/>
              </w:rPr>
              <w:t>device voting instructions or complete, sign, date and mail a proxy card</w:t>
            </w:r>
          </w:p>
        </w:tc>
        <w:tc>
          <w:tcPr>
            <w:tcW w:w="40" w:type="dxa"/>
            <w:vAlign w:val="bottom"/>
          </w:tcPr>
          <w:p>
            <w:pPr>
              <w:spacing w:after="0"/>
              <w:rPr>
                <w:sz w:val="15"/>
                <w:szCs w:val="15"/>
                <w:color w:val="auto"/>
              </w:rPr>
            </w:pPr>
          </w:p>
        </w:tc>
      </w:tr>
      <w:tr>
        <w:trPr>
          <w:trHeight w:val="408"/>
        </w:trPr>
        <w:tc>
          <w:tcPr>
            <w:tcW w:w="264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4"/>
                <w:szCs w:val="24"/>
                <w:color w:val="auto"/>
              </w:rPr>
            </w:pPr>
          </w:p>
        </w:tc>
      </w:tr>
      <w:tr>
        <w:trPr>
          <w:trHeight w:val="91"/>
        </w:trPr>
        <w:tc>
          <w:tcPr>
            <w:tcW w:w="2640" w:type="dxa"/>
            <w:vAlign w:val="bottom"/>
            <w:tcBorders>
              <w:bottom w:val="single" w:sz="8" w:color="9A9A9A"/>
            </w:tcBorders>
          </w:tcPr>
          <w:p>
            <w:pPr>
              <w:spacing w:after="0"/>
              <w:rPr>
                <w:sz w:val="7"/>
                <w:szCs w:val="7"/>
                <w:color w:val="auto"/>
              </w:rPr>
            </w:pPr>
          </w:p>
        </w:tc>
        <w:tc>
          <w:tcPr>
            <w:tcW w:w="8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-27940</wp:posOffset>
            </wp:positionV>
            <wp:extent cx="3302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2"/>
          </w:cols>
          <w:pgMar w:left="238" w:top="140" w:right="19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Will Count the Votes?</w:t>
      </w:r>
    </w:p>
    <w:p>
      <w:pPr>
        <w:spacing w:after="0" w:line="112" w:lineRule="exact"/>
        <w:rPr>
          <w:sz w:val="20"/>
          <w:szCs w:val="20"/>
          <w:color w:val="auto"/>
        </w:rPr>
      </w:pPr>
    </w:p>
    <w:p>
      <w:pPr>
        <w:ind w:right="300" w:firstLine="408"/>
        <w:spacing w:after="0" w:line="255" w:lineRule="auto"/>
        <w:rPr>
          <w:sz w:val="20"/>
          <w:szCs w:val="20"/>
          <w:color w:val="auto"/>
        </w:rPr>
      </w:pPr>
      <w:r>
        <w:rPr>
          <w:rFonts w:ascii="Arial" w:cs="Arial" w:eastAsia="Arial" w:hAnsi="Arial"/>
          <w:sz w:val="16"/>
          <w:szCs w:val="16"/>
          <w:color w:val="auto"/>
        </w:rPr>
        <w:t>Broadridge Financial Solutions, Inc. has been engaged to tabulate shareholder votes. An agent of Broadridge Financial Solutions, Inc. will act as our independent inspector of elections for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Will Business Be Conducted at the Annual Meeting?</w:t>
      </w:r>
    </w:p>
    <w:p>
      <w:pPr>
        <w:spacing w:after="0" w:line="112" w:lineRule="exact"/>
        <w:rPr>
          <w:sz w:val="20"/>
          <w:szCs w:val="20"/>
          <w:color w:val="auto"/>
        </w:rPr>
      </w:pPr>
    </w:p>
    <w:p>
      <w:pPr>
        <w:jc w:val="both"/>
        <w:ind w:firstLine="408"/>
        <w:spacing w:after="0" w:line="247" w:lineRule="auto"/>
        <w:rPr>
          <w:sz w:val="20"/>
          <w:szCs w:val="20"/>
          <w:color w:val="auto"/>
        </w:rPr>
      </w:pPr>
      <w:r>
        <w:rPr>
          <w:rFonts w:ascii="Arial" w:cs="Arial" w:eastAsia="Arial" w:hAnsi="Arial"/>
          <w:sz w:val="16"/>
          <w:szCs w:val="16"/>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Can I Attend the Annual Meeting?</w:t>
      </w:r>
    </w:p>
    <w:p>
      <w:pPr>
        <w:spacing w:after="0" w:line="112"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We provide the opportunity for our shareholders to attend the annual meeting in person. Only registered shareholders of our common stock or beneficial shareholders holding shares in street name at the close of business on the record date (January 22, 2019), or their duly appointed proxies, may attend the annual meeting in person. Doors will open approximately fifteen minutes prior to the start of the annual meeting and will close once the meeting has started, at which time admission to the annual meeting will no longer be permitted. For admission to the meeting you may be asked to provide identification and establish proof of ownership. If you are a registered shareholder, your name may be verified against our list of registered shareholders. If you hold your shares in street name, please bring one of the following: an account statement showing your ownership as of the record date; a voting instruction form provided by your broker, trustee, bank or nominee holding your shares containing a valid control number; the Notice of Internet Availability of Proxy Materials that you received in the mail containing a valid control number; a copy of the email you received with instructions containing a link to the website where our proxy materials are available or a link to the proxy voting website and a valid control number; or a letter from a broker, trustee, bank or nominee holding your shares confirming your ownership as of the record date. If you are serving as a legal proxy, please bring a legal proxy containing a valid control number or a letter from a registered shareholder naming you as proxy. Rules governing the conduct of the annual meeting will be distributed at the annual meeting along with an agenda.</w:t>
      </w:r>
    </w:p>
    <w:p>
      <w:pPr>
        <w:spacing w:after="0" w:line="369" w:lineRule="exact"/>
        <w:rPr>
          <w:sz w:val="20"/>
          <w:szCs w:val="20"/>
          <w:color w:val="auto"/>
        </w:rPr>
      </w:pPr>
    </w:p>
    <w:p>
      <w:pPr>
        <w:ind w:firstLine="408"/>
        <w:spacing w:after="0" w:line="255" w:lineRule="auto"/>
        <w:rPr>
          <w:sz w:val="20"/>
          <w:szCs w:val="20"/>
          <w:color w:val="auto"/>
        </w:rPr>
      </w:pPr>
      <w:r>
        <w:rPr>
          <w:rFonts w:ascii="Arial" w:cs="Arial" w:eastAsia="Arial" w:hAnsi="Arial"/>
          <w:sz w:val="16"/>
          <w:szCs w:val="16"/>
          <w:color w:val="auto"/>
        </w:rPr>
        <w:t>Shareholders unable to attend the annual meeting in person have the opportunity to listen to our live, audio-only webcast of the annual meeting. A link to the webcast may be found on our website at www.thetorocompany.com.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FFFFFF"/>
        </w:rPr>
        <w:t>PROPOSAL ONE—ELECTION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Number of Directors; Board Structure</w:t>
      </w:r>
    </w:p>
    <w:p>
      <w:pPr>
        <w:spacing w:after="0" w:line="112" w:lineRule="exact"/>
        <w:rPr>
          <w:sz w:val="20"/>
          <w:szCs w:val="20"/>
          <w:color w:val="auto"/>
        </w:rPr>
      </w:pPr>
    </w:p>
    <w:p>
      <w:pPr>
        <w:ind w:right="540" w:firstLine="408"/>
        <w:spacing w:after="0" w:line="244" w:lineRule="auto"/>
        <w:rPr>
          <w:sz w:val="20"/>
          <w:szCs w:val="20"/>
          <w:color w:val="auto"/>
        </w:rPr>
      </w:pPr>
      <w:r>
        <w:rPr>
          <w:rFonts w:ascii="Arial" w:cs="Arial" w:eastAsia="Arial" w:hAnsi="Arial"/>
          <w:sz w:val="16"/>
          <w:szCs w:val="16"/>
          <w:color w:val="auto"/>
        </w:rPr>
        <w:t>Our Restated Certificate of Incorporation provides that our Board of Directors may be comprised of between eight and twelve directors. Our Board currently is comprised of eleven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6"/>
              </w:rPr>
              <w:t>Current Term Ending at</w:t>
            </w:r>
          </w:p>
        </w:tc>
        <w:tc>
          <w:tcPr>
            <w:tcW w:w="460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7"/>
              </w:rPr>
              <w:t>Current Term Ending at</w:t>
            </w:r>
          </w:p>
        </w:tc>
        <w:tc>
          <w:tcPr>
            <w:tcW w:w="340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7"/>
              </w:rPr>
              <w:t>Current Term Ending at</w:t>
            </w:r>
          </w:p>
        </w:tc>
      </w:tr>
      <w:tr>
        <w:trPr>
          <w:trHeight w:val="206"/>
        </w:trPr>
        <w:tc>
          <w:tcPr>
            <w:tcW w:w="342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5"/>
                <w:szCs w:val="15"/>
                <w:b w:val="1"/>
                <w:bCs w:val="1"/>
                <w:color w:val="FFFFFF"/>
                <w:w w:val="97"/>
              </w:rPr>
              <w:t>2019 Annual Meeting</w:t>
            </w:r>
          </w:p>
        </w:tc>
        <w:tc>
          <w:tcPr>
            <w:tcW w:w="460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5"/>
                <w:szCs w:val="15"/>
                <w:b w:val="1"/>
                <w:bCs w:val="1"/>
                <w:color w:val="FFFFFF"/>
                <w:w w:val="99"/>
              </w:rPr>
              <w:t>2020 Annual Meeting</w:t>
            </w:r>
          </w:p>
        </w:tc>
        <w:tc>
          <w:tcPr>
            <w:tcW w:w="340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5"/>
                <w:szCs w:val="15"/>
                <w:b w:val="1"/>
                <w:bCs w:val="1"/>
                <w:color w:val="FFFFFF"/>
                <w:w w:val="99"/>
              </w:rPr>
              <w:t>2021 Annual Meeting</w:t>
            </w:r>
          </w:p>
        </w:tc>
      </w:tr>
      <w:tr>
        <w:trPr>
          <w:trHeight w:val="216"/>
        </w:trPr>
        <w:tc>
          <w:tcPr>
            <w:tcW w:w="342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Robert C. Buhrmaster</w:t>
            </w:r>
          </w:p>
        </w:tc>
        <w:tc>
          <w:tcPr>
            <w:tcW w:w="4600" w:type="dxa"/>
            <w:vAlign w:val="bottom"/>
          </w:tcPr>
          <w:p>
            <w:pPr>
              <w:jc w:val="center"/>
              <w:spacing w:after="0"/>
              <w:rPr>
                <w:sz w:val="20"/>
                <w:szCs w:val="20"/>
                <w:color w:val="auto"/>
              </w:rPr>
            </w:pPr>
            <w:r>
              <w:rPr>
                <w:rFonts w:ascii="Arial" w:cs="Arial" w:eastAsia="Arial" w:hAnsi="Arial"/>
                <w:sz w:val="15"/>
                <w:szCs w:val="15"/>
                <w:color w:val="auto"/>
                <w:w w:val="98"/>
              </w:rPr>
              <w:t>Jeffrey M. Ettinger</w:t>
            </w: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9"/>
              </w:rPr>
              <w:t>Janet K. Cooper</w:t>
            </w:r>
          </w:p>
        </w:tc>
      </w:tr>
      <w:tr>
        <w:trPr>
          <w:trHeight w:val="221"/>
        </w:trPr>
        <w:tc>
          <w:tcPr>
            <w:tcW w:w="342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8"/>
              </w:rPr>
              <w:t>Richard M. Olson</w:t>
            </w:r>
          </w:p>
        </w:tc>
        <w:tc>
          <w:tcPr>
            <w:tcW w:w="4600" w:type="dxa"/>
            <w:vAlign w:val="bottom"/>
          </w:tcPr>
          <w:p>
            <w:pPr>
              <w:jc w:val="center"/>
              <w:spacing w:after="0"/>
              <w:rPr>
                <w:sz w:val="20"/>
                <w:szCs w:val="20"/>
                <w:color w:val="auto"/>
              </w:rPr>
            </w:pPr>
            <w:r>
              <w:rPr>
                <w:rFonts w:ascii="Arial" w:cs="Arial" w:eastAsia="Arial" w:hAnsi="Arial"/>
                <w:sz w:val="15"/>
                <w:szCs w:val="15"/>
                <w:color w:val="auto"/>
                <w:w w:val="97"/>
              </w:rPr>
              <w:t>Katherine J. Harless</w:t>
            </w: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8"/>
              </w:rPr>
              <w:t>Gary L. Ellis</w:t>
            </w:r>
          </w:p>
        </w:tc>
      </w:tr>
      <w:tr>
        <w:trPr>
          <w:trHeight w:val="233"/>
        </w:trPr>
        <w:tc>
          <w:tcPr>
            <w:tcW w:w="342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James C. O’Rourke</w:t>
            </w:r>
          </w:p>
        </w:tc>
        <w:tc>
          <w:tcPr>
            <w:tcW w:w="4600" w:type="dxa"/>
            <w:vAlign w:val="bottom"/>
          </w:tcPr>
          <w:p>
            <w:pPr>
              <w:jc w:val="center"/>
              <w:spacing w:after="0"/>
              <w:rPr>
                <w:sz w:val="20"/>
                <w:szCs w:val="20"/>
                <w:color w:val="auto"/>
              </w:rPr>
            </w:pPr>
            <w:r>
              <w:rPr>
                <w:rFonts w:ascii="Arial" w:cs="Arial" w:eastAsia="Arial" w:hAnsi="Arial"/>
                <w:sz w:val="15"/>
                <w:szCs w:val="15"/>
                <w:color w:val="auto"/>
                <w:w w:val="99"/>
              </w:rPr>
              <w:t>D. Christian Koch</w:t>
            </w: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Gregg W. Steinhafel</w:t>
            </w:r>
          </w:p>
        </w:tc>
      </w:tr>
      <w:tr>
        <w:trPr>
          <w:trHeight w:val="233"/>
        </w:trPr>
        <w:tc>
          <w:tcPr>
            <w:tcW w:w="342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8"/>
              </w:rPr>
              <w:t>Christopher A. Twomey</w:t>
            </w:r>
          </w:p>
        </w:tc>
        <w:tc>
          <w:tcPr>
            <w:tcW w:w="4600" w:type="dxa"/>
            <w:vAlign w:val="bottom"/>
          </w:tcPr>
          <w:p>
            <w:pPr>
              <w:spacing w:after="0"/>
              <w:rPr>
                <w:sz w:val="20"/>
                <w:szCs w:val="20"/>
                <w:color w:val="auto"/>
              </w:rPr>
            </w:pP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8"/>
              </w:rPr>
              <w:t>Michael G. Vale</w:t>
            </w:r>
          </w:p>
        </w:tc>
      </w:tr>
      <w:tr>
        <w:trPr>
          <w:trHeight w:val="30"/>
        </w:trPr>
        <w:tc>
          <w:tcPr>
            <w:tcW w:w="3420" w:type="dxa"/>
            <w:vAlign w:val="bottom"/>
            <w:shd w:val="clear" w:color="auto" w:fill="D9D9D9"/>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shd w:val="clear" w:color="auto" w:fill="D9D9D9"/>
          </w:tcPr>
          <w:p>
            <w:pPr>
              <w:spacing w:after="0"/>
              <w:rPr>
                <w:sz w:val="2"/>
                <w:szCs w:val="2"/>
                <w:color w:val="auto"/>
              </w:rPr>
            </w:pPr>
          </w:p>
        </w:tc>
      </w:tr>
    </w:tbl>
    <w:p>
      <w:pPr>
        <w:spacing w:after="0" w:line="97" w:lineRule="exact"/>
        <w:rPr>
          <w:sz w:val="20"/>
          <w:szCs w:val="20"/>
          <w:color w:val="auto"/>
        </w:rPr>
      </w:pPr>
    </w:p>
    <w:p>
      <w:pPr>
        <w:ind w:right="100" w:firstLine="408"/>
        <w:spacing w:after="0" w:line="243" w:lineRule="auto"/>
        <w:rPr>
          <w:sz w:val="20"/>
          <w:szCs w:val="20"/>
          <w:color w:val="auto"/>
        </w:rPr>
      </w:pPr>
      <w:r>
        <w:rPr>
          <w:rFonts w:ascii="Arial" w:cs="Arial" w:eastAsia="Arial" w:hAnsi="Arial"/>
          <w:sz w:val="16"/>
          <w:szCs w:val="16"/>
          <w:color w:val="auto"/>
        </w:rPr>
        <w:t>Mr. Buhrmaster and Mr. Twomey each attained the age of 70 during his current term and, in accordance with our Corporate Governance Guidelines, will retire from the Board at the expiration of such term at the 2019 Annual Meeting of Shareholders. Mr. Buhrmaster has served as a director of the Company for 22 years, and also served as our presiding non-management director, or Lead Independent Director, for 12 years and as Chair of the Nominating &amp; Governance Committee for 8 years. Mr. Twomey has served as a director for 21 years, and also served as Chair of the Compensation &amp; Human Resources Committee for 12 years. The Board wishes to thank Messrs. Buhrmaster and Twomey for their many years of dedicated service to the Company.</w:t>
      </w:r>
    </w:p>
    <w:p>
      <w:pPr>
        <w:spacing w:after="0" w:line="86" w:lineRule="exact"/>
        <w:rPr>
          <w:sz w:val="20"/>
          <w:szCs w:val="20"/>
          <w:color w:val="auto"/>
        </w:rPr>
      </w:pPr>
    </w:p>
    <w:p>
      <w:pPr>
        <w:ind w:right="120" w:firstLine="408"/>
        <w:spacing w:after="0" w:line="255" w:lineRule="auto"/>
        <w:rPr>
          <w:sz w:val="20"/>
          <w:szCs w:val="20"/>
          <w:color w:val="auto"/>
        </w:rPr>
      </w:pPr>
      <w:r>
        <w:rPr>
          <w:rFonts w:ascii="Arial" w:cs="Arial" w:eastAsia="Arial" w:hAnsi="Arial"/>
          <w:sz w:val="16"/>
          <w:szCs w:val="16"/>
          <w:color w:val="auto"/>
        </w:rPr>
        <w:t>In light of these retirements, and if all director nominees are elected to the Board by our shareholders, the Board will continue to be comprised of eleven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Nominees for Director</w:t>
      </w:r>
    </w:p>
    <w:p>
      <w:pPr>
        <w:spacing w:after="0" w:line="112" w:lineRule="exact"/>
        <w:rPr>
          <w:sz w:val="20"/>
          <w:szCs w:val="20"/>
          <w:color w:val="auto"/>
        </w:rPr>
      </w:pPr>
    </w:p>
    <w:p>
      <w:pPr>
        <w:jc w:val="both"/>
        <w:ind w:right="160" w:firstLine="408"/>
        <w:spacing w:after="0" w:line="244" w:lineRule="auto"/>
        <w:rPr>
          <w:sz w:val="20"/>
          <w:szCs w:val="20"/>
          <w:color w:val="auto"/>
        </w:rPr>
      </w:pPr>
      <w:r>
        <w:rPr>
          <w:rFonts w:ascii="Arial" w:cs="Arial" w:eastAsia="Arial" w:hAnsi="Arial"/>
          <w:sz w:val="16"/>
          <w:szCs w:val="16"/>
          <w:color w:val="auto"/>
        </w:rPr>
        <w:t>The Board has nominated each of Jeffrey L. Harmening, Joyce A. Mullen, Richard M. Olson, and James C. O’Rourke for election to the Board to serve for a three-year term ending at the 2022 Annual Meeting of Shareholders. Each of Mr. Olson and Mr. O’Rourke is a current member of the Board. Neither Mr. Harmening nor Ms. Mullen is a current member of the Board. Each of the director nominees has consented to serve if elected. Proxies only can be voted for the number of persons named as nominees in this proxy statement, which is four.</w:t>
      </w:r>
    </w:p>
    <w:p>
      <w:pPr>
        <w:spacing w:after="0" w:line="85" w:lineRule="exact"/>
        <w:rPr>
          <w:sz w:val="20"/>
          <w:szCs w:val="20"/>
          <w:color w:val="auto"/>
        </w:rPr>
      </w:pPr>
    </w:p>
    <w:p>
      <w:pPr>
        <w:ind w:right="300" w:firstLine="408"/>
        <w:spacing w:after="0" w:line="244" w:lineRule="auto"/>
        <w:rPr>
          <w:sz w:val="20"/>
          <w:szCs w:val="20"/>
          <w:color w:val="auto"/>
        </w:rPr>
      </w:pPr>
      <w:r>
        <w:rPr>
          <w:rFonts w:ascii="Arial" w:cs="Arial" w:eastAsia="Arial" w:hAnsi="Arial"/>
          <w:sz w:val="16"/>
          <w:szCs w:val="16"/>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460"/>
        </w:trPr>
        <w:tc>
          <w:tcPr>
            <w:tcW w:w="9760" w:type="dxa"/>
            <w:vAlign w:val="bottom"/>
            <w:vMerge w:val="restart"/>
            <w:shd w:val="clear" w:color="auto" w:fill="C00000"/>
          </w:tcPr>
          <w:p>
            <w:pPr>
              <w:jc w:val="right"/>
              <w:ind w:right="890"/>
              <w:spacing w:after="0"/>
              <w:rPr>
                <w:sz w:val="20"/>
                <w:szCs w:val="20"/>
                <w:color w:val="auto"/>
              </w:rPr>
            </w:pPr>
            <w:r>
              <w:rPr>
                <w:rFonts w:ascii="Arial" w:cs="Arial" w:eastAsia="Arial" w:hAnsi="Arial"/>
                <w:sz w:val="20"/>
                <w:szCs w:val="20"/>
                <w:b w:val="1"/>
                <w:bCs w:val="1"/>
                <w:color w:val="FFFFFF"/>
              </w:rPr>
              <w:t>The Board of Directors Recommends a Vote FOR Each Nominee for Director</w:t>
            </w:r>
          </w:p>
        </w:tc>
        <w:tc>
          <w:tcPr>
            <w:tcW w:w="1660" w:type="dxa"/>
            <w:vAlign w:val="bottom"/>
            <w:shd w:val="clear" w:color="auto" w:fill="C00000"/>
          </w:tcPr>
          <w:p>
            <w:pPr>
              <w:ind w:left="1000"/>
              <w:spacing w:after="0" w:line="461" w:lineRule="exact"/>
              <w:rPr>
                <w:sz w:val="20"/>
                <w:szCs w:val="20"/>
                <w:color w:val="auto"/>
              </w:rPr>
            </w:pPr>
            <w:r>
              <w:rPr>
                <w:rFonts w:ascii="MS PGothic" w:cs="MS PGothic" w:eastAsia="MS PGothic" w:hAnsi="MS PGothic"/>
                <w:sz w:val="46"/>
                <w:szCs w:val="46"/>
                <w:color w:val="auto"/>
                <w:highlight w:val="white"/>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9760" w:type="dxa"/>
            <w:vAlign w:val="bottom"/>
            <w:vMerge w:val="continue"/>
            <w:shd w:val="clear" w:color="auto" w:fill="C00000"/>
          </w:tcPr>
          <w:p>
            <w:pPr>
              <w:spacing w:after="0"/>
              <w:rPr>
                <w:sz w:val="5"/>
                <w:szCs w:val="5"/>
                <w:color w:val="auto"/>
              </w:rPr>
            </w:pPr>
          </w:p>
        </w:tc>
        <w:tc>
          <w:tcPr>
            <w:tcW w:w="1660" w:type="dxa"/>
            <w:vAlign w:val="bottom"/>
            <w:shd w:val="clear" w:color="auto" w:fill="C0000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9760" w:type="dxa"/>
            <w:vAlign w:val="bottom"/>
            <w:shd w:val="clear" w:color="auto" w:fill="C00000"/>
          </w:tcPr>
          <w:p>
            <w:pPr>
              <w:spacing w:after="0"/>
              <w:rPr>
                <w:sz w:val="13"/>
                <w:szCs w:val="13"/>
                <w:color w:val="auto"/>
              </w:rPr>
            </w:pPr>
          </w:p>
        </w:tc>
        <w:tc>
          <w:tcPr>
            <w:tcW w:w="1660" w:type="dxa"/>
            <w:vAlign w:val="bottom"/>
            <w:shd w:val="clear" w:color="auto" w:fill="C0000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9760" w:type="dxa"/>
            <w:vAlign w:val="bottom"/>
          </w:tcPr>
          <w:p>
            <w:pPr>
              <w:jc w:val="right"/>
              <w:ind w:right="3910"/>
              <w:spacing w:after="0"/>
              <w:rPr>
                <w:sz w:val="20"/>
                <w:szCs w:val="20"/>
                <w:color w:val="auto"/>
              </w:rPr>
            </w:pPr>
            <w:r>
              <w:rPr>
                <w:rFonts w:ascii="Arial" w:cs="Arial" w:eastAsia="Arial" w:hAnsi="Arial"/>
                <w:sz w:val="16"/>
                <w:szCs w:val="16"/>
                <w:color w:val="auto"/>
              </w:rPr>
              <w:t>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76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About Director Nominees and Continuing Directors</w:t>
      </w:r>
    </w:p>
    <w:p>
      <w:pPr>
        <w:spacing w:after="0" w:line="112" w:lineRule="exact"/>
        <w:rPr>
          <w:sz w:val="20"/>
          <w:szCs w:val="20"/>
          <w:color w:val="auto"/>
        </w:rPr>
      </w:pPr>
    </w:p>
    <w:p>
      <w:pPr>
        <w:ind w:right="160" w:firstLine="408"/>
        <w:spacing w:after="0" w:line="255" w:lineRule="auto"/>
        <w:rPr>
          <w:sz w:val="20"/>
          <w:szCs w:val="20"/>
          <w:color w:val="auto"/>
        </w:rPr>
      </w:pPr>
      <w:r>
        <w:rPr>
          <w:rFonts w:ascii="Arial" w:cs="Arial" w:eastAsia="Arial" w:hAnsi="Arial"/>
          <w:sz w:val="16"/>
          <w:szCs w:val="16"/>
          <w:color w:val="auto"/>
        </w:rPr>
        <w:t>The following pages provide information about each nominee for election to the Board at the annual meeting and each other member of the Board. We believe that all of our director nominees and continuing directors display:</w:t>
      </w:r>
    </w:p>
    <w:p>
      <w:pPr>
        <w:spacing w:after="0" w:line="75" w:lineRule="exact"/>
        <w:rPr>
          <w:sz w:val="20"/>
          <w:szCs w:val="20"/>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personal and professional integrity;</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appropriate levels of education and business experience;</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strong business acumen;</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an appropriate level of understanding of our business, industry and other industries relevant to our business;</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the ability and willingness to devote adequate time to the work of our Board and its committees;</w:t>
      </w:r>
    </w:p>
    <w:p>
      <w:pPr>
        <w:spacing w:after="0" w:line="97" w:lineRule="exact"/>
        <w:rPr>
          <w:rFonts w:ascii="Arial" w:cs="Arial" w:eastAsia="Arial" w:hAnsi="Arial"/>
          <w:sz w:val="15"/>
          <w:szCs w:val="15"/>
          <w:color w:val="auto"/>
        </w:rPr>
      </w:pPr>
    </w:p>
    <w:p>
      <w:pPr>
        <w:ind w:left="680" w:right="280" w:hanging="278"/>
        <w:spacing w:after="0" w:line="255" w:lineRule="auto"/>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 fit of skills and personality with those of our other directors that helps build a Board that is effective, collegial and responsive to the needs of our Company;</w:t>
      </w:r>
    </w:p>
    <w:p>
      <w:pPr>
        <w:spacing w:after="0" w:line="74"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strategic thinking and a willingness to share ideas;</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 diversity of experiences, expertise and background; and</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the ability to represent the interests of all of our shareholders.</w:t>
      </w:r>
    </w:p>
    <w:p>
      <w:pPr>
        <w:spacing w:after="0" w:line="98" w:lineRule="exact"/>
        <w:rPr>
          <w:sz w:val="20"/>
          <w:szCs w:val="20"/>
          <w:color w:val="auto"/>
        </w:rPr>
      </w:pPr>
    </w:p>
    <w:p>
      <w:pPr>
        <w:ind w:right="300" w:firstLine="408"/>
        <w:spacing w:after="0" w:line="255" w:lineRule="auto"/>
        <w:rPr>
          <w:sz w:val="20"/>
          <w:szCs w:val="20"/>
          <w:color w:val="auto"/>
        </w:rPr>
      </w:pPr>
      <w:r>
        <w:rPr>
          <w:rFonts w:ascii="Arial" w:cs="Arial" w:eastAsia="Arial" w:hAnsi="Arial"/>
          <w:sz w:val="16"/>
          <w:szCs w:val="16"/>
          <w:color w:val="auto"/>
        </w:rPr>
        <w:t>All of our directors and director nominees bring to our Board a wealth of executive leadership experience, particularly at companies with international manufacturing operations. The following chart summarizes each director and director nominee’s key qualifications, experience and skills.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2900" w:type="dxa"/>
            <w:vAlign w:val="bottom"/>
            <w:shd w:val="clear" w:color="auto" w:fill="C00000"/>
          </w:tcPr>
          <w:p>
            <w:pPr>
              <w:spacing w:after="0"/>
              <w:rPr>
                <w:sz w:val="24"/>
                <w:szCs w:val="24"/>
                <w:color w:val="auto"/>
              </w:rPr>
            </w:pPr>
          </w:p>
        </w:tc>
        <w:tc>
          <w:tcPr>
            <w:tcW w:w="820" w:type="dxa"/>
            <w:vAlign w:val="bottom"/>
            <w:vMerge w:val="restart"/>
            <w:shd w:val="clear" w:color="auto" w:fill="C00000"/>
          </w:tcPr>
          <w:p>
            <w:pPr>
              <w:ind w:left="240"/>
              <w:spacing w:after="0"/>
              <w:rPr>
                <w:sz w:val="20"/>
                <w:szCs w:val="20"/>
                <w:color w:val="auto"/>
              </w:rPr>
            </w:pPr>
            <w:r>
              <w:rPr>
                <w:rFonts w:ascii="Arial" w:cs="Arial" w:eastAsia="Arial" w:hAnsi="Arial"/>
                <w:sz w:val="15"/>
                <w:szCs w:val="15"/>
                <w:b w:val="1"/>
                <w:bCs w:val="1"/>
                <w:color w:val="FFFFFF"/>
              </w:rPr>
              <w:t>Janet</w:t>
            </w:r>
          </w:p>
        </w:tc>
        <w:tc>
          <w:tcPr>
            <w:tcW w:w="620" w:type="dxa"/>
            <w:vAlign w:val="bottom"/>
            <w:vMerge w:val="restart"/>
            <w:shd w:val="clear" w:color="auto" w:fill="C00000"/>
          </w:tcPr>
          <w:p>
            <w:pPr>
              <w:ind w:left="160"/>
              <w:spacing w:after="0"/>
              <w:rPr>
                <w:sz w:val="20"/>
                <w:szCs w:val="20"/>
                <w:color w:val="auto"/>
              </w:rPr>
            </w:pPr>
            <w:r>
              <w:rPr>
                <w:rFonts w:ascii="Arial" w:cs="Arial" w:eastAsia="Arial" w:hAnsi="Arial"/>
                <w:sz w:val="15"/>
                <w:szCs w:val="15"/>
                <w:b w:val="1"/>
                <w:bCs w:val="1"/>
                <w:color w:val="FFFFFF"/>
              </w:rPr>
              <w:t>Gary</w:t>
            </w:r>
          </w:p>
        </w:tc>
        <w:tc>
          <w:tcPr>
            <w:tcW w:w="780" w:type="dxa"/>
            <w:vAlign w:val="bottom"/>
            <w:vMerge w:val="restart"/>
            <w:shd w:val="clear" w:color="auto" w:fill="C00000"/>
          </w:tcPr>
          <w:p>
            <w:pPr>
              <w:ind w:left="180"/>
              <w:spacing w:after="0"/>
              <w:rPr>
                <w:sz w:val="20"/>
                <w:szCs w:val="20"/>
                <w:color w:val="auto"/>
              </w:rPr>
            </w:pPr>
            <w:r>
              <w:rPr>
                <w:rFonts w:ascii="Arial" w:cs="Arial" w:eastAsia="Arial" w:hAnsi="Arial"/>
                <w:sz w:val="15"/>
                <w:szCs w:val="15"/>
                <w:b w:val="1"/>
                <w:bCs w:val="1"/>
                <w:color w:val="FFFFFF"/>
              </w:rPr>
              <w:t>Jeffrey</w:t>
            </w:r>
          </w:p>
        </w:tc>
        <w:tc>
          <w:tcPr>
            <w:tcW w:w="840" w:type="dxa"/>
            <w:vAlign w:val="bottom"/>
            <w:vMerge w:val="restart"/>
            <w:shd w:val="clear" w:color="auto" w:fill="C00000"/>
          </w:tcPr>
          <w:p>
            <w:pPr>
              <w:ind w:left="100"/>
              <w:spacing w:after="0"/>
              <w:rPr>
                <w:sz w:val="20"/>
                <w:szCs w:val="20"/>
                <w:color w:val="auto"/>
              </w:rPr>
            </w:pPr>
            <w:r>
              <w:rPr>
                <w:rFonts w:ascii="Arial" w:cs="Arial" w:eastAsia="Arial" w:hAnsi="Arial"/>
                <w:sz w:val="15"/>
                <w:szCs w:val="15"/>
                <w:b w:val="1"/>
                <w:bCs w:val="1"/>
                <w:color w:val="FFFFFF"/>
              </w:rPr>
              <w:t>Katherine</w:t>
            </w:r>
          </w:p>
        </w:tc>
        <w:tc>
          <w:tcPr>
            <w:tcW w:w="920" w:type="dxa"/>
            <w:vAlign w:val="bottom"/>
            <w:vMerge w:val="restart"/>
            <w:shd w:val="clear" w:color="auto" w:fill="C00000"/>
          </w:tcPr>
          <w:p>
            <w:pPr>
              <w:ind w:left="220"/>
              <w:spacing w:after="0"/>
              <w:rPr>
                <w:sz w:val="20"/>
                <w:szCs w:val="20"/>
                <w:color w:val="auto"/>
              </w:rPr>
            </w:pPr>
            <w:r>
              <w:rPr>
                <w:rFonts w:ascii="Arial" w:cs="Arial" w:eastAsia="Arial" w:hAnsi="Arial"/>
                <w:sz w:val="15"/>
                <w:szCs w:val="15"/>
                <w:b w:val="1"/>
                <w:bCs w:val="1"/>
                <w:color w:val="FFFFFF"/>
              </w:rPr>
              <w:t>Jeffrey</w:t>
            </w:r>
          </w:p>
        </w:tc>
        <w:tc>
          <w:tcPr>
            <w:tcW w:w="82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3"/>
              </w:rPr>
              <w:t>D.</w:t>
            </w:r>
          </w:p>
        </w:tc>
        <w:tc>
          <w:tcPr>
            <w:tcW w:w="680" w:type="dxa"/>
            <w:vAlign w:val="bottom"/>
            <w:vMerge w:val="restart"/>
            <w:shd w:val="clear" w:color="auto" w:fill="C00000"/>
          </w:tcPr>
          <w:p>
            <w:pPr>
              <w:ind w:left="120"/>
              <w:spacing w:after="0"/>
              <w:rPr>
                <w:sz w:val="20"/>
                <w:szCs w:val="20"/>
                <w:color w:val="auto"/>
              </w:rPr>
            </w:pPr>
            <w:r>
              <w:rPr>
                <w:rFonts w:ascii="Arial" w:cs="Arial" w:eastAsia="Arial" w:hAnsi="Arial"/>
                <w:sz w:val="15"/>
                <w:szCs w:val="15"/>
                <w:b w:val="1"/>
                <w:bCs w:val="1"/>
                <w:color w:val="FFFFFF"/>
              </w:rPr>
              <w:t>Joyce</w:t>
            </w:r>
          </w:p>
        </w:tc>
        <w:tc>
          <w:tcPr>
            <w:tcW w:w="740" w:type="dxa"/>
            <w:vAlign w:val="bottom"/>
            <w:vMerge w:val="restart"/>
            <w:shd w:val="clear" w:color="auto" w:fill="C00000"/>
          </w:tcPr>
          <w:p>
            <w:pPr>
              <w:ind w:left="100"/>
              <w:spacing w:after="0"/>
              <w:rPr>
                <w:sz w:val="20"/>
                <w:szCs w:val="20"/>
                <w:color w:val="auto"/>
              </w:rPr>
            </w:pPr>
            <w:r>
              <w:rPr>
                <w:rFonts w:ascii="Arial" w:cs="Arial" w:eastAsia="Arial" w:hAnsi="Arial"/>
                <w:sz w:val="15"/>
                <w:szCs w:val="15"/>
                <w:b w:val="1"/>
                <w:bCs w:val="1"/>
                <w:color w:val="FFFFFF"/>
              </w:rPr>
              <w:t>Richard</w:t>
            </w:r>
          </w:p>
        </w:tc>
        <w:tc>
          <w:tcPr>
            <w:tcW w:w="820" w:type="dxa"/>
            <w:vAlign w:val="bottom"/>
            <w:vMerge w:val="restart"/>
            <w:shd w:val="clear" w:color="auto" w:fill="C00000"/>
          </w:tcPr>
          <w:p>
            <w:pPr>
              <w:ind w:left="180"/>
              <w:spacing w:after="0"/>
              <w:rPr>
                <w:sz w:val="20"/>
                <w:szCs w:val="20"/>
                <w:color w:val="auto"/>
              </w:rPr>
            </w:pPr>
            <w:r>
              <w:rPr>
                <w:rFonts w:ascii="Arial" w:cs="Arial" w:eastAsia="Arial" w:hAnsi="Arial"/>
                <w:sz w:val="15"/>
                <w:szCs w:val="15"/>
                <w:b w:val="1"/>
                <w:bCs w:val="1"/>
                <w:color w:val="FFFFFF"/>
              </w:rPr>
              <w:t>James</w:t>
            </w:r>
          </w:p>
        </w:tc>
        <w:tc>
          <w:tcPr>
            <w:tcW w:w="840" w:type="dxa"/>
            <w:vAlign w:val="bottom"/>
            <w:vMerge w:val="restart"/>
            <w:shd w:val="clear" w:color="auto" w:fill="C00000"/>
          </w:tcPr>
          <w:p>
            <w:pPr>
              <w:ind w:left="200"/>
              <w:spacing w:after="0"/>
              <w:rPr>
                <w:sz w:val="20"/>
                <w:szCs w:val="20"/>
                <w:color w:val="auto"/>
              </w:rPr>
            </w:pPr>
            <w:r>
              <w:rPr>
                <w:rFonts w:ascii="Arial" w:cs="Arial" w:eastAsia="Arial" w:hAnsi="Arial"/>
                <w:sz w:val="15"/>
                <w:szCs w:val="15"/>
                <w:b w:val="1"/>
                <w:bCs w:val="1"/>
                <w:color w:val="FFFFFF"/>
              </w:rPr>
              <w:t>Gregg</w:t>
            </w:r>
          </w:p>
        </w:tc>
        <w:tc>
          <w:tcPr>
            <w:tcW w:w="640" w:type="dxa"/>
            <w:vAlign w:val="bottom"/>
            <w:vMerge w:val="restart"/>
            <w:shd w:val="clear" w:color="auto" w:fill="C00000"/>
          </w:tcPr>
          <w:p>
            <w:pPr>
              <w:ind w:left="80"/>
              <w:spacing w:after="0"/>
              <w:rPr>
                <w:sz w:val="20"/>
                <w:szCs w:val="20"/>
                <w:color w:val="auto"/>
              </w:rPr>
            </w:pPr>
            <w:r>
              <w:rPr>
                <w:rFonts w:ascii="Arial" w:cs="Arial" w:eastAsia="Arial" w:hAnsi="Arial"/>
                <w:sz w:val="15"/>
                <w:szCs w:val="15"/>
                <w:b w:val="1"/>
                <w:bCs w:val="1"/>
                <w:color w:val="FFFFFF"/>
                <w:w w:val="98"/>
              </w:rPr>
              <w:t>Michael</w:t>
            </w:r>
          </w:p>
        </w:tc>
        <w:tc>
          <w:tcPr>
            <w:tcW w:w="0" w:type="dxa"/>
            <w:vAlign w:val="bottom"/>
          </w:tcPr>
          <w:p>
            <w:pPr>
              <w:spacing w:after="0"/>
              <w:rPr>
                <w:sz w:val="1"/>
                <w:szCs w:val="1"/>
                <w:color w:val="auto"/>
              </w:rPr>
            </w:pPr>
          </w:p>
        </w:tc>
      </w:tr>
      <w:tr>
        <w:trPr>
          <w:trHeight w:val="86"/>
        </w:trPr>
        <w:tc>
          <w:tcPr>
            <w:tcW w:w="2900" w:type="dxa"/>
            <w:vAlign w:val="bottom"/>
            <w:shd w:val="clear" w:color="auto" w:fill="C00000"/>
          </w:tcPr>
          <w:p>
            <w:pPr>
              <w:spacing w:after="0"/>
              <w:rPr>
                <w:sz w:val="7"/>
                <w:szCs w:val="7"/>
                <w:color w:val="auto"/>
              </w:rPr>
            </w:pPr>
          </w:p>
        </w:tc>
        <w:tc>
          <w:tcPr>
            <w:tcW w:w="820" w:type="dxa"/>
            <w:vAlign w:val="bottom"/>
            <w:vMerge w:val="continue"/>
            <w:shd w:val="clear" w:color="auto" w:fill="C00000"/>
          </w:tcPr>
          <w:p>
            <w:pPr>
              <w:spacing w:after="0"/>
              <w:rPr>
                <w:sz w:val="7"/>
                <w:szCs w:val="7"/>
                <w:color w:val="auto"/>
              </w:rPr>
            </w:pPr>
          </w:p>
        </w:tc>
        <w:tc>
          <w:tcPr>
            <w:tcW w:w="620" w:type="dxa"/>
            <w:vAlign w:val="bottom"/>
            <w:vMerge w:val="continue"/>
            <w:shd w:val="clear" w:color="auto" w:fill="C00000"/>
          </w:tcPr>
          <w:p>
            <w:pPr>
              <w:spacing w:after="0"/>
              <w:rPr>
                <w:sz w:val="7"/>
                <w:szCs w:val="7"/>
                <w:color w:val="auto"/>
              </w:rPr>
            </w:pPr>
          </w:p>
        </w:tc>
        <w:tc>
          <w:tcPr>
            <w:tcW w:w="780" w:type="dxa"/>
            <w:vAlign w:val="bottom"/>
            <w:vMerge w:val="continue"/>
            <w:shd w:val="clear" w:color="auto" w:fill="C00000"/>
          </w:tcPr>
          <w:p>
            <w:pPr>
              <w:spacing w:after="0"/>
              <w:rPr>
                <w:sz w:val="7"/>
                <w:szCs w:val="7"/>
                <w:color w:val="auto"/>
              </w:rPr>
            </w:pPr>
          </w:p>
        </w:tc>
        <w:tc>
          <w:tcPr>
            <w:tcW w:w="840" w:type="dxa"/>
            <w:vAlign w:val="bottom"/>
            <w:vMerge w:val="continue"/>
            <w:shd w:val="clear" w:color="auto" w:fill="C00000"/>
          </w:tcPr>
          <w:p>
            <w:pPr>
              <w:spacing w:after="0"/>
              <w:rPr>
                <w:sz w:val="7"/>
                <w:szCs w:val="7"/>
                <w:color w:val="auto"/>
              </w:rPr>
            </w:pPr>
          </w:p>
        </w:tc>
        <w:tc>
          <w:tcPr>
            <w:tcW w:w="920" w:type="dxa"/>
            <w:vAlign w:val="bottom"/>
            <w:vMerge w:val="continue"/>
            <w:shd w:val="clear" w:color="auto" w:fill="C00000"/>
          </w:tcPr>
          <w:p>
            <w:pPr>
              <w:spacing w:after="0"/>
              <w:rPr>
                <w:sz w:val="7"/>
                <w:szCs w:val="7"/>
                <w:color w:val="auto"/>
              </w:rPr>
            </w:pPr>
          </w:p>
        </w:tc>
        <w:tc>
          <w:tcPr>
            <w:tcW w:w="820" w:type="dxa"/>
            <w:vAlign w:val="bottom"/>
            <w:vMerge w:val="restart"/>
            <w:shd w:val="clear" w:color="auto" w:fill="C00000"/>
          </w:tcPr>
          <w:p>
            <w:pPr>
              <w:jc w:val="center"/>
              <w:spacing w:after="0"/>
              <w:rPr>
                <w:sz w:val="20"/>
                <w:szCs w:val="20"/>
                <w:color w:val="auto"/>
              </w:rPr>
            </w:pPr>
            <w:r>
              <w:rPr>
                <w:rFonts w:ascii="Arial" w:cs="Arial" w:eastAsia="Arial" w:hAnsi="Arial"/>
                <w:sz w:val="15"/>
                <w:szCs w:val="15"/>
                <w:b w:val="1"/>
                <w:bCs w:val="1"/>
                <w:color w:val="FFFFFF"/>
                <w:w w:val="95"/>
              </w:rPr>
              <w:t>Christian</w:t>
            </w:r>
          </w:p>
        </w:tc>
        <w:tc>
          <w:tcPr>
            <w:tcW w:w="680" w:type="dxa"/>
            <w:vAlign w:val="bottom"/>
            <w:vMerge w:val="continue"/>
            <w:shd w:val="clear" w:color="auto" w:fill="C00000"/>
          </w:tcPr>
          <w:p>
            <w:pPr>
              <w:spacing w:after="0"/>
              <w:rPr>
                <w:sz w:val="7"/>
                <w:szCs w:val="7"/>
                <w:color w:val="auto"/>
              </w:rPr>
            </w:pPr>
          </w:p>
        </w:tc>
        <w:tc>
          <w:tcPr>
            <w:tcW w:w="740" w:type="dxa"/>
            <w:vAlign w:val="bottom"/>
            <w:vMerge w:val="continue"/>
            <w:shd w:val="clear" w:color="auto" w:fill="C00000"/>
          </w:tcPr>
          <w:p>
            <w:pPr>
              <w:spacing w:after="0"/>
              <w:rPr>
                <w:sz w:val="7"/>
                <w:szCs w:val="7"/>
                <w:color w:val="auto"/>
              </w:rPr>
            </w:pPr>
          </w:p>
        </w:tc>
        <w:tc>
          <w:tcPr>
            <w:tcW w:w="820" w:type="dxa"/>
            <w:vAlign w:val="bottom"/>
            <w:vMerge w:val="continue"/>
            <w:shd w:val="clear" w:color="auto" w:fill="C00000"/>
          </w:tcPr>
          <w:p>
            <w:pPr>
              <w:spacing w:after="0"/>
              <w:rPr>
                <w:sz w:val="7"/>
                <w:szCs w:val="7"/>
                <w:color w:val="auto"/>
              </w:rPr>
            </w:pPr>
          </w:p>
        </w:tc>
        <w:tc>
          <w:tcPr>
            <w:tcW w:w="840" w:type="dxa"/>
            <w:vAlign w:val="bottom"/>
            <w:vMerge w:val="continue"/>
            <w:shd w:val="clear" w:color="auto" w:fill="C00000"/>
          </w:tcPr>
          <w:p>
            <w:pPr>
              <w:spacing w:after="0"/>
              <w:rPr>
                <w:sz w:val="7"/>
                <w:szCs w:val="7"/>
                <w:color w:val="auto"/>
              </w:rPr>
            </w:pPr>
          </w:p>
        </w:tc>
        <w:tc>
          <w:tcPr>
            <w:tcW w:w="640" w:type="dxa"/>
            <w:vAlign w:val="bottom"/>
            <w:vMerge w:val="continue"/>
            <w:shd w:val="clear" w:color="auto" w:fill="C00000"/>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900" w:type="dxa"/>
            <w:vAlign w:val="bottom"/>
            <w:shd w:val="clear" w:color="auto" w:fill="C00000"/>
          </w:tcPr>
          <w:p>
            <w:pPr>
              <w:spacing w:after="0"/>
              <w:rPr>
                <w:sz w:val="13"/>
                <w:szCs w:val="13"/>
                <w:color w:val="auto"/>
              </w:rPr>
            </w:pPr>
          </w:p>
        </w:tc>
        <w:tc>
          <w:tcPr>
            <w:tcW w:w="820" w:type="dxa"/>
            <w:vAlign w:val="bottom"/>
            <w:shd w:val="clear" w:color="auto" w:fill="C00000"/>
          </w:tcPr>
          <w:p>
            <w:pPr>
              <w:ind w:left="160"/>
              <w:spacing w:after="0" w:line="151" w:lineRule="exact"/>
              <w:rPr>
                <w:sz w:val="20"/>
                <w:szCs w:val="20"/>
                <w:color w:val="auto"/>
              </w:rPr>
            </w:pPr>
            <w:r>
              <w:rPr>
                <w:rFonts w:ascii="Arial" w:cs="Arial" w:eastAsia="Arial" w:hAnsi="Arial"/>
                <w:sz w:val="15"/>
                <w:szCs w:val="15"/>
                <w:b w:val="1"/>
                <w:bCs w:val="1"/>
                <w:color w:val="FFFFFF"/>
              </w:rPr>
              <w:t>Cooper</w:t>
            </w:r>
          </w:p>
        </w:tc>
        <w:tc>
          <w:tcPr>
            <w:tcW w:w="620" w:type="dxa"/>
            <w:vAlign w:val="bottom"/>
            <w:shd w:val="clear" w:color="auto" w:fill="C00000"/>
          </w:tcPr>
          <w:p>
            <w:pPr>
              <w:ind w:left="180"/>
              <w:spacing w:after="0" w:line="151" w:lineRule="exact"/>
              <w:rPr>
                <w:sz w:val="20"/>
                <w:szCs w:val="20"/>
                <w:color w:val="auto"/>
              </w:rPr>
            </w:pPr>
            <w:r>
              <w:rPr>
                <w:rFonts w:ascii="Arial" w:cs="Arial" w:eastAsia="Arial" w:hAnsi="Arial"/>
                <w:sz w:val="15"/>
                <w:szCs w:val="15"/>
                <w:b w:val="1"/>
                <w:bCs w:val="1"/>
                <w:color w:val="FFFFFF"/>
              </w:rPr>
              <w:t>Ellis</w:t>
            </w:r>
          </w:p>
        </w:tc>
        <w:tc>
          <w:tcPr>
            <w:tcW w:w="780" w:type="dxa"/>
            <w:vAlign w:val="bottom"/>
            <w:shd w:val="clear" w:color="auto" w:fill="C00000"/>
          </w:tcPr>
          <w:p>
            <w:pPr>
              <w:ind w:left="140"/>
              <w:spacing w:after="0" w:line="151" w:lineRule="exact"/>
              <w:rPr>
                <w:sz w:val="20"/>
                <w:szCs w:val="20"/>
                <w:color w:val="auto"/>
              </w:rPr>
            </w:pPr>
            <w:r>
              <w:rPr>
                <w:rFonts w:ascii="Arial" w:cs="Arial" w:eastAsia="Arial" w:hAnsi="Arial"/>
                <w:sz w:val="15"/>
                <w:szCs w:val="15"/>
                <w:b w:val="1"/>
                <w:bCs w:val="1"/>
                <w:color w:val="FFFFFF"/>
              </w:rPr>
              <w:t>Ettinger</w:t>
            </w:r>
          </w:p>
        </w:tc>
        <w:tc>
          <w:tcPr>
            <w:tcW w:w="840" w:type="dxa"/>
            <w:vAlign w:val="bottom"/>
            <w:shd w:val="clear" w:color="auto" w:fill="C00000"/>
          </w:tcPr>
          <w:p>
            <w:pPr>
              <w:ind w:left="160"/>
              <w:spacing w:after="0" w:line="151" w:lineRule="exact"/>
              <w:rPr>
                <w:sz w:val="20"/>
                <w:szCs w:val="20"/>
                <w:color w:val="auto"/>
              </w:rPr>
            </w:pPr>
            <w:r>
              <w:rPr>
                <w:rFonts w:ascii="Arial" w:cs="Arial" w:eastAsia="Arial" w:hAnsi="Arial"/>
                <w:sz w:val="15"/>
                <w:szCs w:val="15"/>
                <w:b w:val="1"/>
                <w:bCs w:val="1"/>
                <w:color w:val="FFFFFF"/>
              </w:rPr>
              <w:t>Harless</w:t>
            </w:r>
          </w:p>
        </w:tc>
        <w:tc>
          <w:tcPr>
            <w:tcW w:w="920" w:type="dxa"/>
            <w:vAlign w:val="bottom"/>
            <w:shd w:val="clear" w:color="auto" w:fill="C00000"/>
          </w:tcPr>
          <w:p>
            <w:pPr>
              <w:ind w:left="80"/>
              <w:spacing w:after="0" w:line="151" w:lineRule="exact"/>
              <w:rPr>
                <w:sz w:val="20"/>
                <w:szCs w:val="20"/>
                <w:color w:val="auto"/>
              </w:rPr>
            </w:pPr>
            <w:r>
              <w:rPr>
                <w:rFonts w:ascii="Arial" w:cs="Arial" w:eastAsia="Arial" w:hAnsi="Arial"/>
                <w:sz w:val="15"/>
                <w:szCs w:val="15"/>
                <w:b w:val="1"/>
                <w:bCs w:val="1"/>
                <w:color w:val="FFFFFF"/>
              </w:rPr>
              <w:t>Harmening</w:t>
            </w:r>
          </w:p>
        </w:tc>
        <w:tc>
          <w:tcPr>
            <w:tcW w:w="820" w:type="dxa"/>
            <w:vAlign w:val="bottom"/>
            <w:vMerge w:val="continue"/>
            <w:shd w:val="clear" w:color="auto" w:fill="C00000"/>
          </w:tcPr>
          <w:p>
            <w:pPr>
              <w:spacing w:after="0"/>
              <w:rPr>
                <w:sz w:val="13"/>
                <w:szCs w:val="13"/>
                <w:color w:val="auto"/>
              </w:rPr>
            </w:pPr>
          </w:p>
        </w:tc>
        <w:tc>
          <w:tcPr>
            <w:tcW w:w="680" w:type="dxa"/>
            <w:vAlign w:val="bottom"/>
            <w:shd w:val="clear" w:color="auto" w:fill="C00000"/>
          </w:tcPr>
          <w:p>
            <w:pPr>
              <w:ind w:left="100"/>
              <w:spacing w:after="0" w:line="151" w:lineRule="exact"/>
              <w:rPr>
                <w:sz w:val="20"/>
                <w:szCs w:val="20"/>
                <w:color w:val="auto"/>
              </w:rPr>
            </w:pPr>
            <w:r>
              <w:rPr>
                <w:rFonts w:ascii="Arial" w:cs="Arial" w:eastAsia="Arial" w:hAnsi="Arial"/>
                <w:sz w:val="15"/>
                <w:szCs w:val="15"/>
                <w:b w:val="1"/>
                <w:bCs w:val="1"/>
                <w:color w:val="FFFFFF"/>
              </w:rPr>
              <w:t>Mullen</w:t>
            </w:r>
          </w:p>
        </w:tc>
        <w:tc>
          <w:tcPr>
            <w:tcW w:w="740" w:type="dxa"/>
            <w:vAlign w:val="bottom"/>
            <w:shd w:val="clear" w:color="auto" w:fill="C00000"/>
          </w:tcPr>
          <w:p>
            <w:pPr>
              <w:ind w:left="180"/>
              <w:spacing w:after="0" w:line="151" w:lineRule="exact"/>
              <w:rPr>
                <w:sz w:val="20"/>
                <w:szCs w:val="20"/>
                <w:color w:val="auto"/>
              </w:rPr>
            </w:pPr>
            <w:r>
              <w:rPr>
                <w:rFonts w:ascii="Arial" w:cs="Arial" w:eastAsia="Arial" w:hAnsi="Arial"/>
                <w:sz w:val="15"/>
                <w:szCs w:val="15"/>
                <w:b w:val="1"/>
                <w:bCs w:val="1"/>
                <w:color w:val="FFFFFF"/>
              </w:rPr>
              <w:t>Olson</w:t>
            </w:r>
          </w:p>
        </w:tc>
        <w:tc>
          <w:tcPr>
            <w:tcW w:w="820" w:type="dxa"/>
            <w:vAlign w:val="bottom"/>
            <w:shd w:val="clear" w:color="auto" w:fill="C00000"/>
          </w:tcPr>
          <w:p>
            <w:pPr>
              <w:ind w:left="80"/>
              <w:spacing w:after="0" w:line="151" w:lineRule="exact"/>
              <w:rPr>
                <w:sz w:val="20"/>
                <w:szCs w:val="20"/>
                <w:color w:val="auto"/>
              </w:rPr>
            </w:pPr>
            <w:r>
              <w:rPr>
                <w:rFonts w:ascii="Arial" w:cs="Arial" w:eastAsia="Arial" w:hAnsi="Arial"/>
                <w:sz w:val="15"/>
                <w:szCs w:val="15"/>
                <w:b w:val="1"/>
                <w:bCs w:val="1"/>
                <w:color w:val="FFFFFF"/>
              </w:rPr>
              <w:t>O'Rourke</w:t>
            </w:r>
          </w:p>
        </w:tc>
        <w:tc>
          <w:tcPr>
            <w:tcW w:w="840" w:type="dxa"/>
            <w:vAlign w:val="bottom"/>
            <w:shd w:val="clear" w:color="auto" w:fill="C00000"/>
          </w:tcPr>
          <w:p>
            <w:pPr>
              <w:ind w:left="80"/>
              <w:spacing w:after="0" w:line="151" w:lineRule="exact"/>
              <w:rPr>
                <w:sz w:val="20"/>
                <w:szCs w:val="20"/>
                <w:color w:val="auto"/>
              </w:rPr>
            </w:pPr>
            <w:r>
              <w:rPr>
                <w:rFonts w:ascii="Arial" w:cs="Arial" w:eastAsia="Arial" w:hAnsi="Arial"/>
                <w:sz w:val="15"/>
                <w:szCs w:val="15"/>
                <w:b w:val="1"/>
                <w:bCs w:val="1"/>
                <w:color w:val="FFFFFF"/>
              </w:rPr>
              <w:t>Steinhafel</w:t>
            </w:r>
          </w:p>
        </w:tc>
        <w:tc>
          <w:tcPr>
            <w:tcW w:w="640" w:type="dxa"/>
            <w:vAlign w:val="bottom"/>
            <w:shd w:val="clear" w:color="auto" w:fill="C00000"/>
          </w:tcPr>
          <w:p>
            <w:pPr>
              <w:ind w:left="200"/>
              <w:spacing w:after="0" w:line="151" w:lineRule="exact"/>
              <w:rPr>
                <w:sz w:val="20"/>
                <w:szCs w:val="20"/>
                <w:color w:val="auto"/>
              </w:rPr>
            </w:pPr>
            <w:r>
              <w:rPr>
                <w:rFonts w:ascii="Arial" w:cs="Arial" w:eastAsia="Arial" w:hAnsi="Arial"/>
                <w:sz w:val="15"/>
                <w:szCs w:val="15"/>
                <w:b w:val="1"/>
                <w:bCs w:val="1"/>
                <w:color w:val="FFFFFF"/>
              </w:rPr>
              <w:t>Vale</w:t>
            </w:r>
          </w:p>
        </w:tc>
        <w:tc>
          <w:tcPr>
            <w:tcW w:w="0" w:type="dxa"/>
            <w:vAlign w:val="bottom"/>
          </w:tcPr>
          <w:p>
            <w:pPr>
              <w:spacing w:after="0"/>
              <w:rPr>
                <w:sz w:val="1"/>
                <w:szCs w:val="1"/>
                <w:color w:val="auto"/>
              </w:rPr>
            </w:pPr>
          </w:p>
        </w:tc>
      </w:tr>
      <w:tr>
        <w:trPr>
          <w:trHeight w:val="195"/>
        </w:trPr>
        <w:tc>
          <w:tcPr>
            <w:tcW w:w="2900" w:type="dxa"/>
            <w:vAlign w:val="bottom"/>
            <w:vMerge w:val="restart"/>
            <w:shd w:val="clear" w:color="auto" w:fill="C00000"/>
          </w:tcPr>
          <w:p>
            <w:pPr>
              <w:ind w:left="20"/>
              <w:spacing w:after="0"/>
              <w:rPr>
                <w:sz w:val="20"/>
                <w:szCs w:val="20"/>
                <w:color w:val="auto"/>
              </w:rPr>
            </w:pPr>
            <w:r>
              <w:rPr>
                <w:rFonts w:ascii="Arial" w:cs="Arial" w:eastAsia="Arial" w:hAnsi="Arial"/>
                <w:sz w:val="15"/>
                <w:szCs w:val="15"/>
                <w:b w:val="1"/>
                <w:bCs w:val="1"/>
                <w:color w:val="FFFFFF"/>
              </w:rPr>
              <w:t>Experience as an Executive Leader in</w:t>
            </w:r>
          </w:p>
        </w:tc>
        <w:tc>
          <w:tcPr>
            <w:tcW w:w="820" w:type="dxa"/>
            <w:vAlign w:val="bottom"/>
            <w:shd w:val="clear" w:color="auto" w:fill="C00000"/>
          </w:tcPr>
          <w:p>
            <w:pPr>
              <w:spacing w:after="0"/>
              <w:rPr>
                <w:sz w:val="16"/>
                <w:szCs w:val="16"/>
                <w:color w:val="auto"/>
              </w:rPr>
            </w:pPr>
          </w:p>
        </w:tc>
        <w:tc>
          <w:tcPr>
            <w:tcW w:w="620" w:type="dxa"/>
            <w:vAlign w:val="bottom"/>
            <w:shd w:val="clear" w:color="auto" w:fill="C00000"/>
          </w:tcPr>
          <w:p>
            <w:pPr>
              <w:spacing w:after="0"/>
              <w:rPr>
                <w:sz w:val="16"/>
                <w:szCs w:val="16"/>
                <w:color w:val="auto"/>
              </w:rPr>
            </w:pPr>
          </w:p>
        </w:tc>
        <w:tc>
          <w:tcPr>
            <w:tcW w:w="780" w:type="dxa"/>
            <w:vAlign w:val="bottom"/>
            <w:shd w:val="clear" w:color="auto" w:fill="C00000"/>
          </w:tcPr>
          <w:p>
            <w:pPr>
              <w:spacing w:after="0"/>
              <w:rPr>
                <w:sz w:val="16"/>
                <w:szCs w:val="16"/>
                <w:color w:val="auto"/>
              </w:rPr>
            </w:pPr>
          </w:p>
        </w:tc>
        <w:tc>
          <w:tcPr>
            <w:tcW w:w="840" w:type="dxa"/>
            <w:vAlign w:val="bottom"/>
            <w:shd w:val="clear" w:color="auto" w:fill="C00000"/>
          </w:tcPr>
          <w:p>
            <w:pPr>
              <w:spacing w:after="0"/>
              <w:rPr>
                <w:sz w:val="16"/>
                <w:szCs w:val="16"/>
                <w:color w:val="auto"/>
              </w:rPr>
            </w:pPr>
          </w:p>
        </w:tc>
        <w:tc>
          <w:tcPr>
            <w:tcW w:w="920" w:type="dxa"/>
            <w:vAlign w:val="bottom"/>
            <w:shd w:val="clear" w:color="auto" w:fill="C00000"/>
          </w:tcPr>
          <w:p>
            <w:pPr>
              <w:spacing w:after="0"/>
              <w:rPr>
                <w:sz w:val="16"/>
                <w:szCs w:val="16"/>
                <w:color w:val="auto"/>
              </w:rPr>
            </w:pPr>
          </w:p>
        </w:tc>
        <w:tc>
          <w:tcPr>
            <w:tcW w:w="82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rPr>
              <w:t>Koch</w:t>
            </w:r>
          </w:p>
        </w:tc>
        <w:tc>
          <w:tcPr>
            <w:tcW w:w="680" w:type="dxa"/>
            <w:vAlign w:val="bottom"/>
            <w:shd w:val="clear" w:color="auto" w:fill="C00000"/>
          </w:tcPr>
          <w:p>
            <w:pPr>
              <w:spacing w:after="0"/>
              <w:rPr>
                <w:sz w:val="16"/>
                <w:szCs w:val="16"/>
                <w:color w:val="auto"/>
              </w:rPr>
            </w:pPr>
          </w:p>
        </w:tc>
        <w:tc>
          <w:tcPr>
            <w:tcW w:w="740" w:type="dxa"/>
            <w:vAlign w:val="bottom"/>
            <w:shd w:val="clear" w:color="auto" w:fill="C00000"/>
          </w:tcPr>
          <w:p>
            <w:pPr>
              <w:spacing w:after="0"/>
              <w:rPr>
                <w:sz w:val="16"/>
                <w:szCs w:val="16"/>
                <w:color w:val="auto"/>
              </w:rPr>
            </w:pPr>
          </w:p>
        </w:tc>
        <w:tc>
          <w:tcPr>
            <w:tcW w:w="820" w:type="dxa"/>
            <w:vAlign w:val="bottom"/>
            <w:shd w:val="clear" w:color="auto" w:fill="C00000"/>
          </w:tcPr>
          <w:p>
            <w:pPr>
              <w:spacing w:after="0"/>
              <w:rPr>
                <w:sz w:val="16"/>
                <w:szCs w:val="16"/>
                <w:color w:val="auto"/>
              </w:rPr>
            </w:pPr>
          </w:p>
        </w:tc>
        <w:tc>
          <w:tcPr>
            <w:tcW w:w="840" w:type="dxa"/>
            <w:vAlign w:val="bottom"/>
            <w:shd w:val="clear" w:color="auto" w:fill="C00000"/>
          </w:tcPr>
          <w:p>
            <w:pPr>
              <w:spacing w:after="0"/>
              <w:rPr>
                <w:sz w:val="16"/>
                <w:szCs w:val="16"/>
                <w:color w:val="auto"/>
              </w:rPr>
            </w:pPr>
          </w:p>
        </w:tc>
        <w:tc>
          <w:tcPr>
            <w:tcW w:w="640" w:type="dxa"/>
            <w:vAlign w:val="bottom"/>
            <w:shd w:val="clear" w:color="auto" w:fill="C00000"/>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00" w:type="dxa"/>
            <w:vAlign w:val="bottom"/>
            <w:vMerge w:val="continue"/>
            <w:shd w:val="clear" w:color="auto" w:fill="C00000"/>
          </w:tcPr>
          <w:p>
            <w:pPr>
              <w:spacing w:after="0" w:line="20" w:lineRule="exact"/>
              <w:rPr>
                <w:sz w:val="1"/>
                <w:szCs w:val="1"/>
                <w:color w:val="auto"/>
              </w:rPr>
            </w:pPr>
          </w:p>
        </w:tc>
        <w:tc>
          <w:tcPr>
            <w:tcW w:w="820" w:type="dxa"/>
            <w:vAlign w:val="bottom"/>
            <w:shd w:val="clear" w:color="auto" w:fill="C00000"/>
          </w:tcPr>
          <w:p>
            <w:pPr>
              <w:spacing w:after="0" w:line="20" w:lineRule="exact"/>
              <w:rPr>
                <w:sz w:val="1"/>
                <w:szCs w:val="1"/>
                <w:color w:val="auto"/>
              </w:rPr>
            </w:pPr>
          </w:p>
        </w:tc>
        <w:tc>
          <w:tcPr>
            <w:tcW w:w="620" w:type="dxa"/>
            <w:vAlign w:val="bottom"/>
            <w:shd w:val="clear" w:color="auto" w:fill="C00000"/>
          </w:tcPr>
          <w:p>
            <w:pPr>
              <w:spacing w:after="0" w:line="20" w:lineRule="exact"/>
              <w:rPr>
                <w:sz w:val="1"/>
                <w:szCs w:val="1"/>
                <w:color w:val="auto"/>
              </w:rPr>
            </w:pPr>
          </w:p>
        </w:tc>
        <w:tc>
          <w:tcPr>
            <w:tcW w:w="780" w:type="dxa"/>
            <w:vAlign w:val="bottom"/>
            <w:shd w:val="clear" w:color="auto" w:fill="C00000"/>
          </w:tcPr>
          <w:p>
            <w:pPr>
              <w:spacing w:after="0" w:line="20" w:lineRule="exact"/>
              <w:rPr>
                <w:sz w:val="1"/>
                <w:szCs w:val="1"/>
                <w:color w:val="auto"/>
              </w:rPr>
            </w:pPr>
          </w:p>
        </w:tc>
        <w:tc>
          <w:tcPr>
            <w:tcW w:w="840" w:type="dxa"/>
            <w:vAlign w:val="bottom"/>
            <w:shd w:val="clear" w:color="auto" w:fill="C00000"/>
          </w:tcPr>
          <w:p>
            <w:pPr>
              <w:spacing w:after="0" w:line="20" w:lineRule="exact"/>
              <w:rPr>
                <w:sz w:val="1"/>
                <w:szCs w:val="1"/>
                <w:color w:val="auto"/>
              </w:rPr>
            </w:pPr>
          </w:p>
        </w:tc>
        <w:tc>
          <w:tcPr>
            <w:tcW w:w="920" w:type="dxa"/>
            <w:vAlign w:val="bottom"/>
            <w:shd w:val="clear" w:color="auto" w:fill="C00000"/>
          </w:tcPr>
          <w:p>
            <w:pPr>
              <w:spacing w:after="0" w:line="20" w:lineRule="exact"/>
              <w:rPr>
                <w:sz w:val="1"/>
                <w:szCs w:val="1"/>
                <w:color w:val="auto"/>
              </w:rPr>
            </w:pPr>
          </w:p>
        </w:tc>
        <w:tc>
          <w:tcPr>
            <w:tcW w:w="820" w:type="dxa"/>
            <w:vAlign w:val="bottom"/>
            <w:shd w:val="clear" w:color="auto" w:fill="C00000"/>
          </w:tcPr>
          <w:p>
            <w:pPr>
              <w:spacing w:after="0" w:line="20" w:lineRule="exact"/>
              <w:rPr>
                <w:sz w:val="1"/>
                <w:szCs w:val="1"/>
                <w:color w:val="auto"/>
              </w:rPr>
            </w:pPr>
          </w:p>
        </w:tc>
        <w:tc>
          <w:tcPr>
            <w:tcW w:w="680" w:type="dxa"/>
            <w:vAlign w:val="bottom"/>
            <w:shd w:val="clear" w:color="auto" w:fill="C00000"/>
          </w:tcPr>
          <w:p>
            <w:pPr>
              <w:spacing w:after="0" w:line="20" w:lineRule="exact"/>
              <w:rPr>
                <w:sz w:val="1"/>
                <w:szCs w:val="1"/>
                <w:color w:val="auto"/>
              </w:rPr>
            </w:pPr>
          </w:p>
        </w:tc>
        <w:tc>
          <w:tcPr>
            <w:tcW w:w="740" w:type="dxa"/>
            <w:vAlign w:val="bottom"/>
            <w:shd w:val="clear" w:color="auto" w:fill="C00000"/>
          </w:tcPr>
          <w:p>
            <w:pPr>
              <w:spacing w:after="0" w:line="20" w:lineRule="exact"/>
              <w:rPr>
                <w:sz w:val="1"/>
                <w:szCs w:val="1"/>
                <w:color w:val="auto"/>
              </w:rPr>
            </w:pPr>
          </w:p>
        </w:tc>
        <w:tc>
          <w:tcPr>
            <w:tcW w:w="820" w:type="dxa"/>
            <w:vAlign w:val="bottom"/>
            <w:shd w:val="clear" w:color="auto" w:fill="C00000"/>
          </w:tcPr>
          <w:p>
            <w:pPr>
              <w:spacing w:after="0" w:line="20" w:lineRule="exact"/>
              <w:rPr>
                <w:sz w:val="1"/>
                <w:szCs w:val="1"/>
                <w:color w:val="auto"/>
              </w:rPr>
            </w:pPr>
          </w:p>
        </w:tc>
        <w:tc>
          <w:tcPr>
            <w:tcW w:w="840" w:type="dxa"/>
            <w:vAlign w:val="bottom"/>
            <w:shd w:val="clear" w:color="auto" w:fill="C00000"/>
          </w:tcPr>
          <w:p>
            <w:pPr>
              <w:spacing w:after="0" w:line="20" w:lineRule="exact"/>
              <w:rPr>
                <w:sz w:val="1"/>
                <w:szCs w:val="1"/>
                <w:color w:val="auto"/>
              </w:rPr>
            </w:pPr>
          </w:p>
        </w:tc>
        <w:tc>
          <w:tcPr>
            <w:tcW w:w="640" w:type="dxa"/>
            <w:vAlign w:val="bottom"/>
            <w:shd w:val="clear" w:color="auto" w:fill="C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00" w:type="dxa"/>
            <w:vAlign w:val="bottom"/>
            <w:shd w:val="clear" w:color="auto" w:fill="C00000"/>
          </w:tcPr>
          <w:p>
            <w:pPr>
              <w:ind w:left="20"/>
              <w:spacing w:after="0"/>
              <w:rPr>
                <w:sz w:val="20"/>
                <w:szCs w:val="20"/>
                <w:color w:val="auto"/>
              </w:rPr>
            </w:pPr>
            <w:r>
              <w:rPr>
                <w:rFonts w:ascii="Arial" w:cs="Arial" w:eastAsia="Arial" w:hAnsi="Arial"/>
                <w:sz w:val="15"/>
                <w:szCs w:val="15"/>
                <w:b w:val="1"/>
                <w:bCs w:val="1"/>
                <w:color w:val="FFFFFF"/>
              </w:rPr>
              <w:t>the Following Areas:</w:t>
            </w:r>
          </w:p>
        </w:tc>
        <w:tc>
          <w:tcPr>
            <w:tcW w:w="820" w:type="dxa"/>
            <w:vAlign w:val="bottom"/>
            <w:shd w:val="clear" w:color="auto" w:fill="C00000"/>
          </w:tcPr>
          <w:p>
            <w:pPr>
              <w:spacing w:after="0"/>
              <w:rPr>
                <w:sz w:val="16"/>
                <w:szCs w:val="16"/>
                <w:color w:val="auto"/>
              </w:rPr>
            </w:pPr>
          </w:p>
        </w:tc>
        <w:tc>
          <w:tcPr>
            <w:tcW w:w="620" w:type="dxa"/>
            <w:vAlign w:val="bottom"/>
            <w:shd w:val="clear" w:color="auto" w:fill="C00000"/>
          </w:tcPr>
          <w:p>
            <w:pPr>
              <w:spacing w:after="0"/>
              <w:rPr>
                <w:sz w:val="16"/>
                <w:szCs w:val="16"/>
                <w:color w:val="auto"/>
              </w:rPr>
            </w:pPr>
          </w:p>
        </w:tc>
        <w:tc>
          <w:tcPr>
            <w:tcW w:w="780" w:type="dxa"/>
            <w:vAlign w:val="bottom"/>
            <w:shd w:val="clear" w:color="auto" w:fill="C00000"/>
          </w:tcPr>
          <w:p>
            <w:pPr>
              <w:spacing w:after="0"/>
              <w:rPr>
                <w:sz w:val="16"/>
                <w:szCs w:val="16"/>
                <w:color w:val="auto"/>
              </w:rPr>
            </w:pPr>
          </w:p>
        </w:tc>
        <w:tc>
          <w:tcPr>
            <w:tcW w:w="840" w:type="dxa"/>
            <w:vAlign w:val="bottom"/>
            <w:shd w:val="clear" w:color="auto" w:fill="C00000"/>
          </w:tcPr>
          <w:p>
            <w:pPr>
              <w:spacing w:after="0"/>
              <w:rPr>
                <w:sz w:val="16"/>
                <w:szCs w:val="16"/>
                <w:color w:val="auto"/>
              </w:rPr>
            </w:pPr>
          </w:p>
        </w:tc>
        <w:tc>
          <w:tcPr>
            <w:tcW w:w="920" w:type="dxa"/>
            <w:vAlign w:val="bottom"/>
            <w:shd w:val="clear" w:color="auto" w:fill="C00000"/>
          </w:tcPr>
          <w:p>
            <w:pPr>
              <w:spacing w:after="0"/>
              <w:rPr>
                <w:sz w:val="16"/>
                <w:szCs w:val="16"/>
                <w:color w:val="auto"/>
              </w:rPr>
            </w:pPr>
          </w:p>
        </w:tc>
        <w:tc>
          <w:tcPr>
            <w:tcW w:w="820" w:type="dxa"/>
            <w:vAlign w:val="bottom"/>
            <w:shd w:val="clear" w:color="auto" w:fill="C00000"/>
          </w:tcPr>
          <w:p>
            <w:pPr>
              <w:spacing w:after="0"/>
              <w:rPr>
                <w:sz w:val="16"/>
                <w:szCs w:val="16"/>
                <w:color w:val="auto"/>
              </w:rPr>
            </w:pPr>
          </w:p>
        </w:tc>
        <w:tc>
          <w:tcPr>
            <w:tcW w:w="680" w:type="dxa"/>
            <w:vAlign w:val="bottom"/>
            <w:shd w:val="clear" w:color="auto" w:fill="C00000"/>
          </w:tcPr>
          <w:p>
            <w:pPr>
              <w:spacing w:after="0"/>
              <w:rPr>
                <w:sz w:val="16"/>
                <w:szCs w:val="16"/>
                <w:color w:val="auto"/>
              </w:rPr>
            </w:pPr>
          </w:p>
        </w:tc>
        <w:tc>
          <w:tcPr>
            <w:tcW w:w="740" w:type="dxa"/>
            <w:vAlign w:val="bottom"/>
            <w:shd w:val="clear" w:color="auto" w:fill="C00000"/>
          </w:tcPr>
          <w:p>
            <w:pPr>
              <w:spacing w:after="0"/>
              <w:rPr>
                <w:sz w:val="16"/>
                <w:szCs w:val="16"/>
                <w:color w:val="auto"/>
              </w:rPr>
            </w:pPr>
          </w:p>
        </w:tc>
        <w:tc>
          <w:tcPr>
            <w:tcW w:w="820" w:type="dxa"/>
            <w:vAlign w:val="bottom"/>
            <w:shd w:val="clear" w:color="auto" w:fill="C00000"/>
          </w:tcPr>
          <w:p>
            <w:pPr>
              <w:spacing w:after="0"/>
              <w:rPr>
                <w:sz w:val="16"/>
                <w:szCs w:val="16"/>
                <w:color w:val="auto"/>
              </w:rPr>
            </w:pPr>
          </w:p>
        </w:tc>
        <w:tc>
          <w:tcPr>
            <w:tcW w:w="840" w:type="dxa"/>
            <w:vAlign w:val="bottom"/>
            <w:shd w:val="clear" w:color="auto" w:fill="C00000"/>
          </w:tcPr>
          <w:p>
            <w:pPr>
              <w:spacing w:after="0"/>
              <w:rPr>
                <w:sz w:val="16"/>
                <w:szCs w:val="16"/>
                <w:color w:val="auto"/>
              </w:rPr>
            </w:pPr>
          </w:p>
        </w:tc>
        <w:tc>
          <w:tcPr>
            <w:tcW w:w="640" w:type="dxa"/>
            <w:vAlign w:val="bottom"/>
            <w:shd w:val="clear" w:color="auto" w:fill="C00000"/>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2900" w:type="dxa"/>
            <w:vAlign w:val="bottom"/>
          </w:tcPr>
          <w:p>
            <w:pPr>
              <w:ind w:left="20"/>
              <w:spacing w:after="0"/>
              <w:rPr>
                <w:sz w:val="20"/>
                <w:szCs w:val="20"/>
                <w:color w:val="auto"/>
              </w:rPr>
            </w:pPr>
            <w:r>
              <w:rPr>
                <w:rFonts w:ascii="Arial" w:cs="Arial" w:eastAsia="Arial" w:hAnsi="Arial"/>
                <w:sz w:val="16"/>
                <w:szCs w:val="16"/>
                <w:color w:val="auto"/>
              </w:rPr>
              <w:t>Current/Former CEO</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tcPr>
          <w:p>
            <w:pPr>
              <w:spacing w:after="0"/>
              <w:rPr>
                <w:sz w:val="24"/>
                <w:szCs w:val="24"/>
                <w:color w:val="auto"/>
              </w:rPr>
            </w:pP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29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Finance/Financial Oversight</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2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920" w:type="dxa"/>
            <w:vAlign w:val="bottom"/>
            <w:tcBorders>
              <w:bottom w:val="single" w:sz="8" w:color="D9D9D9"/>
            </w:tcBorders>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tcBorders>
              <w:bottom w:val="single" w:sz="8" w:color="D9D9D9"/>
            </w:tcBorders>
            <w:shd w:val="clear" w:color="auto" w:fill="D9D9D9"/>
          </w:tcPr>
          <w:p>
            <w:pPr>
              <w:spacing w:after="0"/>
              <w:rPr>
                <w:sz w:val="24"/>
                <w:szCs w:val="24"/>
                <w:color w:val="auto"/>
              </w:rPr>
            </w:pPr>
          </w:p>
        </w:tc>
        <w:tc>
          <w:tcPr>
            <w:tcW w:w="74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C00000"/>
              </w:rPr>
              <w:t>✓</w:t>
            </w:r>
          </w:p>
        </w:tc>
        <w:tc>
          <w:tcPr>
            <w:tcW w:w="0" w:type="dxa"/>
            <w:vAlign w:val="bottom"/>
          </w:tcPr>
          <w:p>
            <w:pPr>
              <w:spacing w:after="0"/>
              <w:rPr>
                <w:sz w:val="1"/>
                <w:szCs w:val="1"/>
                <w:color w:val="auto"/>
              </w:rPr>
            </w:pPr>
          </w:p>
        </w:tc>
      </w:tr>
      <w:tr>
        <w:trPr>
          <w:trHeight w:val="183"/>
        </w:trPr>
        <w:tc>
          <w:tcPr>
            <w:tcW w:w="2900" w:type="dxa"/>
            <w:vAlign w:val="bottom"/>
          </w:tcPr>
          <w:p>
            <w:pPr>
              <w:ind w:left="20"/>
              <w:spacing w:after="0"/>
              <w:rPr>
                <w:sz w:val="20"/>
                <w:szCs w:val="20"/>
                <w:color w:val="auto"/>
              </w:rPr>
            </w:pPr>
            <w:r>
              <w:rPr>
                <w:rFonts w:ascii="Arial" w:cs="Arial" w:eastAsia="Arial" w:hAnsi="Arial"/>
                <w:sz w:val="16"/>
                <w:szCs w:val="16"/>
                <w:color w:val="auto"/>
              </w:rPr>
              <w:t>Public Company Board</w:t>
            </w:r>
          </w:p>
        </w:tc>
        <w:tc>
          <w:tcPr>
            <w:tcW w:w="82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Pr>
          <w:p>
            <w:pPr>
              <w:spacing w:after="0"/>
              <w:rPr>
                <w:sz w:val="15"/>
                <w:szCs w:val="15"/>
                <w:color w:val="auto"/>
              </w:rPr>
            </w:pPr>
          </w:p>
        </w:tc>
        <w:tc>
          <w:tcPr>
            <w:tcW w:w="9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tcPr>
          <w:p>
            <w:pPr>
              <w:ind w:left="20"/>
              <w:spacing w:after="0"/>
              <w:rPr>
                <w:sz w:val="20"/>
                <w:szCs w:val="20"/>
                <w:color w:val="auto"/>
              </w:rPr>
            </w:pPr>
            <w:r>
              <w:rPr>
                <w:rFonts w:ascii="Arial" w:cs="Arial" w:eastAsia="Arial" w:hAnsi="Arial"/>
                <w:sz w:val="16"/>
                <w:szCs w:val="16"/>
                <w:color w:val="auto"/>
              </w:rPr>
              <w:t>(other than Toro)</w:t>
            </w:r>
          </w:p>
        </w:tc>
        <w:tc>
          <w:tcPr>
            <w:tcW w:w="8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29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Distribution Channel</w:t>
            </w:r>
          </w:p>
        </w:tc>
        <w:tc>
          <w:tcPr>
            <w:tcW w:w="820" w:type="dxa"/>
            <w:vAlign w:val="bottom"/>
            <w:tcBorders>
              <w:bottom w:val="single" w:sz="8" w:color="D9D9D9"/>
            </w:tcBorders>
            <w:shd w:val="clear" w:color="auto" w:fill="D9D9D9"/>
          </w:tcPr>
          <w:p>
            <w:pPr>
              <w:spacing w:after="0"/>
              <w:rPr>
                <w:sz w:val="24"/>
                <w:szCs w:val="24"/>
                <w:color w:val="auto"/>
              </w:rPr>
            </w:pPr>
          </w:p>
        </w:tc>
        <w:tc>
          <w:tcPr>
            <w:tcW w:w="62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spacing w:after="0"/>
              <w:rPr>
                <w:sz w:val="24"/>
                <w:szCs w:val="24"/>
                <w:color w:val="auto"/>
              </w:rPr>
            </w:pP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920" w:type="dxa"/>
            <w:vAlign w:val="bottom"/>
            <w:tcBorders>
              <w:bottom w:val="single" w:sz="8" w:color="D9D9D9"/>
            </w:tcBorders>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4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Borders>
              <w:bottom w:val="single" w:sz="8" w:color="D9D9D9"/>
            </w:tcBorders>
            <w:shd w:val="clear" w:color="auto" w:fill="D9D9D9"/>
          </w:tcPr>
          <w:p>
            <w:pPr>
              <w:spacing w:after="0"/>
              <w:rPr>
                <w:sz w:val="24"/>
                <w:szCs w:val="24"/>
                <w:color w:val="auto"/>
              </w:rPr>
            </w:pP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C00000"/>
              </w:rPr>
              <w:t>✓</w:t>
            </w:r>
          </w:p>
        </w:tc>
        <w:tc>
          <w:tcPr>
            <w:tcW w:w="0" w:type="dxa"/>
            <w:vAlign w:val="bottom"/>
          </w:tcPr>
          <w:p>
            <w:pPr>
              <w:spacing w:after="0"/>
              <w:rPr>
                <w:sz w:val="1"/>
                <w:szCs w:val="1"/>
                <w:color w:val="auto"/>
              </w:rPr>
            </w:pPr>
          </w:p>
        </w:tc>
      </w:tr>
      <w:tr>
        <w:trPr>
          <w:trHeight w:val="331"/>
        </w:trPr>
        <w:tc>
          <w:tcPr>
            <w:tcW w:w="2900" w:type="dxa"/>
            <w:vAlign w:val="bottom"/>
          </w:tcPr>
          <w:p>
            <w:pPr>
              <w:ind w:left="20"/>
              <w:spacing w:after="0"/>
              <w:rPr>
                <w:sz w:val="20"/>
                <w:szCs w:val="20"/>
                <w:color w:val="auto"/>
              </w:rPr>
            </w:pPr>
            <w:r>
              <w:rPr>
                <w:rFonts w:ascii="Arial" w:cs="Arial" w:eastAsia="Arial" w:hAnsi="Arial"/>
                <w:sz w:val="16"/>
                <w:szCs w:val="16"/>
                <w:color w:val="auto"/>
              </w:rPr>
              <w:t>Manufacturing/Supply Chain</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Pr>
          <w:p>
            <w:pPr>
              <w:spacing w:after="0"/>
              <w:rPr>
                <w:sz w:val="24"/>
                <w:szCs w:val="24"/>
                <w:color w:val="auto"/>
              </w:rPr>
            </w:pP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Pr>
          <w:p>
            <w:pPr>
              <w:spacing w:after="0"/>
              <w:rPr>
                <w:sz w:val="24"/>
                <w:szCs w:val="24"/>
                <w:color w:val="auto"/>
              </w:rPr>
            </w:pP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tcPr>
          <w:p>
            <w:pPr>
              <w:ind w:left="220"/>
              <w:spacing w:after="0" w:line="181" w:lineRule="exact"/>
              <w:rPr>
                <w:sz w:val="20"/>
                <w:szCs w:val="20"/>
                <w:color w:val="auto"/>
              </w:rPr>
            </w:pPr>
            <w:r>
              <w:rPr>
                <w:rFonts w:ascii="MS PGothic" w:cs="MS PGothic" w:eastAsia="MS PGothic" w:hAnsi="MS PGothic"/>
                <w:sz w:val="18"/>
                <w:szCs w:val="18"/>
                <w:color w:val="C00000"/>
              </w:rPr>
              <w:t>✓</w:t>
            </w: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29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Mergers &amp; Acquisitions</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2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920" w:type="dxa"/>
            <w:vAlign w:val="bottom"/>
            <w:tcBorders>
              <w:bottom w:val="single" w:sz="8" w:color="D9D9D9"/>
            </w:tcBorders>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4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C00000"/>
              </w:rPr>
              <w:t>✓</w:t>
            </w:r>
          </w:p>
        </w:tc>
        <w:tc>
          <w:tcPr>
            <w:tcW w:w="0" w:type="dxa"/>
            <w:vAlign w:val="bottom"/>
          </w:tcPr>
          <w:p>
            <w:pPr>
              <w:spacing w:after="0"/>
              <w:rPr>
                <w:sz w:val="1"/>
                <w:szCs w:val="1"/>
                <w:color w:val="auto"/>
              </w:rPr>
            </w:pPr>
          </w:p>
        </w:tc>
      </w:tr>
      <w:tr>
        <w:trPr>
          <w:trHeight w:val="331"/>
        </w:trPr>
        <w:tc>
          <w:tcPr>
            <w:tcW w:w="2900" w:type="dxa"/>
            <w:vAlign w:val="bottom"/>
          </w:tcPr>
          <w:p>
            <w:pPr>
              <w:ind w:left="20"/>
              <w:spacing w:after="0"/>
              <w:rPr>
                <w:sz w:val="20"/>
                <w:szCs w:val="20"/>
                <w:color w:val="auto"/>
              </w:rPr>
            </w:pPr>
            <w:r>
              <w:rPr>
                <w:rFonts w:ascii="Arial" w:cs="Arial" w:eastAsia="Arial" w:hAnsi="Arial"/>
                <w:sz w:val="16"/>
                <w:szCs w:val="16"/>
                <w:color w:val="auto"/>
              </w:rPr>
              <w:t>International Sales and/or Operations</w:t>
            </w:r>
          </w:p>
        </w:tc>
        <w:tc>
          <w:tcPr>
            <w:tcW w:w="820" w:type="dxa"/>
            <w:vAlign w:val="bottom"/>
          </w:tcPr>
          <w:p>
            <w:pPr>
              <w:spacing w:after="0"/>
              <w:rPr>
                <w:sz w:val="24"/>
                <w:szCs w:val="24"/>
                <w:color w:val="auto"/>
              </w:rPr>
            </w:pP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tcPr>
          <w:p>
            <w:pPr>
              <w:ind w:left="220"/>
              <w:spacing w:after="0" w:line="181" w:lineRule="exact"/>
              <w:rPr>
                <w:sz w:val="20"/>
                <w:szCs w:val="20"/>
                <w:color w:val="auto"/>
              </w:rPr>
            </w:pPr>
            <w:r>
              <w:rPr>
                <w:rFonts w:ascii="MS PGothic" w:cs="MS PGothic" w:eastAsia="MS PGothic" w:hAnsi="MS PGothic"/>
                <w:sz w:val="18"/>
                <w:szCs w:val="18"/>
                <w:color w:val="C00000"/>
              </w:rPr>
              <w:t>✓</w:t>
            </w: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2900" w:type="dxa"/>
            <w:vAlign w:val="bottom"/>
            <w:shd w:val="clear" w:color="auto" w:fill="D9D9D9"/>
          </w:tcPr>
          <w:p>
            <w:pPr>
              <w:ind w:left="20"/>
              <w:spacing w:after="0"/>
              <w:rPr>
                <w:sz w:val="20"/>
                <w:szCs w:val="20"/>
                <w:color w:val="auto"/>
              </w:rPr>
            </w:pPr>
            <w:r>
              <w:rPr>
                <w:rFonts w:ascii="Arial" w:cs="Arial" w:eastAsia="Arial" w:hAnsi="Arial"/>
                <w:sz w:val="16"/>
                <w:szCs w:val="16"/>
                <w:color w:val="auto"/>
              </w:rPr>
              <w:t>Strategic Planning</w:t>
            </w:r>
          </w:p>
        </w:tc>
        <w:tc>
          <w:tcPr>
            <w:tcW w:w="820" w:type="dxa"/>
            <w:vAlign w:val="bottom"/>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20" w:type="dxa"/>
            <w:vAlign w:val="bottom"/>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80" w:type="dxa"/>
            <w:vAlign w:val="bottom"/>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920" w:type="dxa"/>
            <w:vAlign w:val="bottom"/>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680" w:type="dxa"/>
            <w:vAlign w:val="bottom"/>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C00000"/>
              </w:rPr>
              <w:t>✓</w:t>
            </w:r>
          </w:p>
        </w:tc>
        <w:tc>
          <w:tcPr>
            <w:tcW w:w="740" w:type="dxa"/>
            <w:vAlign w:val="bottom"/>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C00000"/>
              </w:rPr>
              <w:t>✓</w:t>
            </w:r>
          </w:p>
        </w:tc>
        <w:tc>
          <w:tcPr>
            <w:tcW w:w="820" w:type="dxa"/>
            <w:vAlign w:val="bottom"/>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840" w:type="dxa"/>
            <w:vAlign w:val="bottom"/>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C00000"/>
              </w:rPr>
              <w:t>✓</w:t>
            </w:r>
          </w:p>
        </w:tc>
        <w:tc>
          <w:tcPr>
            <w:tcW w:w="640" w:type="dxa"/>
            <w:vAlign w:val="bottom"/>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C00000"/>
              </w:rPr>
              <w:t>✓</w:t>
            </w:r>
          </w:p>
        </w:tc>
        <w:tc>
          <w:tcPr>
            <w:tcW w:w="0" w:type="dxa"/>
            <w:vAlign w:val="bottom"/>
          </w:tcPr>
          <w:p>
            <w:pPr>
              <w:spacing w:after="0"/>
              <w:rPr>
                <w:sz w:val="1"/>
                <w:szCs w:val="1"/>
                <w:color w:val="auto"/>
              </w:rPr>
            </w:pPr>
          </w:p>
        </w:tc>
      </w:tr>
      <w:tr>
        <w:trPr>
          <w:trHeight w:val="24"/>
        </w:trPr>
        <w:tc>
          <w:tcPr>
            <w:tcW w:w="2900" w:type="dxa"/>
            <w:vAlign w:val="bottom"/>
            <w:shd w:val="clear" w:color="auto" w:fill="D9D9D9"/>
          </w:tcPr>
          <w:p>
            <w:pPr>
              <w:spacing w:after="0"/>
              <w:rPr>
                <w:sz w:val="2"/>
                <w:szCs w:val="2"/>
                <w:color w:val="auto"/>
              </w:rPr>
            </w:pPr>
          </w:p>
        </w:tc>
        <w:tc>
          <w:tcPr>
            <w:tcW w:w="820" w:type="dxa"/>
            <w:vAlign w:val="bottom"/>
            <w:shd w:val="clear" w:color="auto" w:fill="D9D9D9"/>
          </w:tcPr>
          <w:p>
            <w:pPr>
              <w:spacing w:after="0"/>
              <w:rPr>
                <w:sz w:val="2"/>
                <w:szCs w:val="2"/>
                <w:color w:val="auto"/>
              </w:rPr>
            </w:pPr>
          </w:p>
        </w:tc>
        <w:tc>
          <w:tcPr>
            <w:tcW w:w="62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840" w:type="dxa"/>
            <w:vAlign w:val="bottom"/>
            <w:shd w:val="clear" w:color="auto" w:fill="D9D9D9"/>
          </w:tcPr>
          <w:p>
            <w:pPr>
              <w:spacing w:after="0"/>
              <w:rPr>
                <w:sz w:val="2"/>
                <w:szCs w:val="2"/>
                <w:color w:val="auto"/>
              </w:rPr>
            </w:pPr>
          </w:p>
        </w:tc>
        <w:tc>
          <w:tcPr>
            <w:tcW w:w="920" w:type="dxa"/>
            <w:vAlign w:val="bottom"/>
            <w:shd w:val="clear" w:color="auto" w:fill="D9D9D9"/>
          </w:tcPr>
          <w:p>
            <w:pPr>
              <w:spacing w:after="0"/>
              <w:rPr>
                <w:sz w:val="2"/>
                <w:szCs w:val="2"/>
                <w:color w:val="auto"/>
              </w:rPr>
            </w:pPr>
          </w:p>
        </w:tc>
        <w:tc>
          <w:tcPr>
            <w:tcW w:w="820" w:type="dxa"/>
            <w:vAlign w:val="bottom"/>
            <w:shd w:val="clear" w:color="auto" w:fill="D9D9D9"/>
          </w:tcPr>
          <w:p>
            <w:pPr>
              <w:spacing w:after="0"/>
              <w:rPr>
                <w:sz w:val="2"/>
                <w:szCs w:val="2"/>
                <w:color w:val="auto"/>
              </w:rPr>
            </w:pPr>
          </w:p>
        </w:tc>
        <w:tc>
          <w:tcPr>
            <w:tcW w:w="680" w:type="dxa"/>
            <w:vAlign w:val="bottom"/>
            <w:shd w:val="clear" w:color="auto" w:fill="D9D9D9"/>
          </w:tcPr>
          <w:p>
            <w:pPr>
              <w:spacing w:after="0"/>
              <w:rPr>
                <w:sz w:val="2"/>
                <w:szCs w:val="2"/>
                <w:color w:val="auto"/>
              </w:rPr>
            </w:pPr>
          </w:p>
        </w:tc>
        <w:tc>
          <w:tcPr>
            <w:tcW w:w="740" w:type="dxa"/>
            <w:vAlign w:val="bottom"/>
            <w:shd w:val="clear" w:color="auto" w:fill="D9D9D9"/>
          </w:tcPr>
          <w:p>
            <w:pPr>
              <w:spacing w:after="0"/>
              <w:rPr>
                <w:sz w:val="2"/>
                <w:szCs w:val="2"/>
                <w:color w:val="auto"/>
              </w:rPr>
            </w:pPr>
          </w:p>
        </w:tc>
        <w:tc>
          <w:tcPr>
            <w:tcW w:w="820" w:type="dxa"/>
            <w:vAlign w:val="bottom"/>
            <w:shd w:val="clear" w:color="auto" w:fill="D9D9D9"/>
          </w:tcPr>
          <w:p>
            <w:pPr>
              <w:spacing w:after="0"/>
              <w:rPr>
                <w:sz w:val="2"/>
                <w:szCs w:val="2"/>
                <w:color w:val="auto"/>
              </w:rPr>
            </w:pPr>
          </w:p>
        </w:tc>
        <w:tc>
          <w:tcPr>
            <w:tcW w:w="840" w:type="dxa"/>
            <w:vAlign w:val="bottom"/>
            <w:shd w:val="clear" w:color="auto" w:fill="D9D9D9"/>
          </w:tcPr>
          <w:p>
            <w:pPr>
              <w:spacing w:after="0"/>
              <w:rPr>
                <w:sz w:val="2"/>
                <w:szCs w:val="2"/>
                <w:color w:val="auto"/>
              </w:rPr>
            </w:pPr>
          </w:p>
        </w:tc>
        <w:tc>
          <w:tcPr>
            <w:tcW w:w="64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right="920" w:firstLine="408"/>
        <w:spacing w:after="0" w:line="255" w:lineRule="auto"/>
        <w:rPr>
          <w:sz w:val="20"/>
          <w:szCs w:val="20"/>
          <w:color w:val="auto"/>
        </w:rPr>
      </w:pPr>
      <w:r>
        <w:rPr>
          <w:rFonts w:ascii="Arial" w:cs="Arial" w:eastAsia="Arial" w:hAnsi="Arial"/>
          <w:sz w:val="16"/>
          <w:szCs w:val="16"/>
          <w:color w:val="auto"/>
        </w:rPr>
        <w:t>The information presented on the following pages regarding each director nominee or continuing director also sets forth specific experience, qualifications, attributes and skills that led our Board to conclude that he or she should serve as a director in light of our business and structure.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303530</wp:posOffset>
            </wp:positionV>
            <wp:extent cx="980440" cy="1244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0440" cy="124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Jeffrey L. Harmening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14941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918210</wp:posOffset>
            </wp:positionV>
            <wp:extent cx="988060" cy="132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8060" cy="132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Joyce A.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Director Nominees for Election to the Board for a Term Ending at the 2022 Annual Meeting</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13335</wp:posOffset>
            </wp:positionV>
            <wp:extent cx="569531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320" w:right="160"/>
        <w:spacing w:after="0" w:line="239" w:lineRule="auto"/>
        <w:rPr>
          <w:sz w:val="20"/>
          <w:szCs w:val="20"/>
          <w:color w:val="auto"/>
        </w:rPr>
      </w:pPr>
      <w:r>
        <w:rPr>
          <w:rFonts w:ascii="Arial" w:cs="Arial" w:eastAsia="Arial" w:hAnsi="Arial"/>
          <w:sz w:val="16"/>
          <w:szCs w:val="16"/>
          <w:color w:val="auto"/>
        </w:rPr>
        <w:t>Jeffrey L. Harmening is the Chairman and Chief Executive Officer of General Mills, Inc., Minneapolis, Minnesota (a global manufacturer, marketer and supplier of food products). He holds or has held the following positions, all at General Mills:</w:t>
      </w:r>
    </w:p>
    <w:p>
      <w:pPr>
        <w:spacing w:after="0" w:line="1" w:lineRule="exact"/>
        <w:rPr>
          <w:sz w:val="20"/>
          <w:szCs w:val="20"/>
          <w:color w:val="auto"/>
        </w:rPr>
      </w:pPr>
    </w:p>
    <w:p>
      <w:pPr>
        <w:ind w:left="460" w:hanging="146"/>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Chairman and Chief Executive Officer (since January 2018)</w:t>
      </w:r>
    </w:p>
    <w:p>
      <w:pPr>
        <w:ind w:left="460" w:hanging="146"/>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Chief Executive Officer (June 2017 – January 2018)</w:t>
      </w:r>
    </w:p>
    <w:p>
      <w:pPr>
        <w:ind w:left="460" w:hanging="146"/>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President and Chief Operating Officer (July 2016 – May 2017)</w:t>
      </w:r>
    </w:p>
    <w:p>
      <w:pPr>
        <w:ind w:left="460" w:hanging="146"/>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Executive Vice President, Chief Operating Officer, U.S. Retail (May 2014 – June 2016)</w:t>
      </w:r>
    </w:p>
    <w:p>
      <w:pPr>
        <w:ind w:left="460" w:hanging="149"/>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Senior Vice President, Chief Executive Officer, Cereal Partners Worldwide (July 2012 – April 2014)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20955</wp:posOffset>
            </wp:positionV>
            <wp:extent cx="569531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73" w:lineRule="exact"/>
        <w:rPr>
          <w:sz w:val="20"/>
          <w:szCs w:val="20"/>
          <w:color w:val="auto"/>
        </w:rPr>
      </w:pPr>
    </w:p>
    <w:p>
      <w:pPr>
        <w:ind w:left="320" w:right="40"/>
        <w:spacing w:after="0" w:line="242" w:lineRule="auto"/>
        <w:rPr>
          <w:sz w:val="20"/>
          <w:szCs w:val="20"/>
          <w:color w:val="auto"/>
        </w:rPr>
      </w:pPr>
      <w:r>
        <w:rPr>
          <w:rFonts w:ascii="Arial" w:cs="Arial" w:eastAsia="Arial" w:hAnsi="Arial"/>
          <w:sz w:val="16"/>
          <w:szCs w:val="16"/>
          <w:color w:val="auto"/>
        </w:rPr>
        <w:t>With over 20 years of service at General Mills in a variety of senior leadership roles across several business categories, including as its current Chief Executive Officer, Mr. Harmening brings to our Board experience as a seasoned executive with strong business acumen and experience implementing the strategic direction for a publicly traded company with extensive distribution channels and supply chain operations. Furthermore, he brings experience in driving growth through offering customer-valued products and acquisitions. In addition, he has significant experience managing operations around the world, including having lived in Europe for six years during his tenure at General Mills.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Other Public Company Boards</w:t>
      </w:r>
    </w:p>
    <w:p>
      <w:pPr>
        <w:spacing w:after="0" w:line="21"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4580" w:type="dxa"/>
            <w:vAlign w:val="bottom"/>
            <w:tcBorders>
              <w:top w:val="single" w:sz="8" w:color="C00000"/>
            </w:tcBorders>
          </w:tcPr>
          <w:p>
            <w:pPr>
              <w:jc w:val="center"/>
              <w:ind w:right="18"/>
              <w:spacing w:after="0"/>
              <w:rPr>
                <w:sz w:val="20"/>
                <w:szCs w:val="20"/>
                <w:color w:val="auto"/>
              </w:rPr>
            </w:pPr>
            <w:r>
              <w:rPr>
                <w:rFonts w:ascii="Arial" w:cs="Arial" w:eastAsia="Arial" w:hAnsi="Arial"/>
                <w:sz w:val="16"/>
                <w:szCs w:val="16"/>
                <w:b w:val="1"/>
                <w:bCs w:val="1"/>
                <w:color w:val="auto"/>
              </w:rPr>
              <w:t>Current</w:t>
            </w:r>
          </w:p>
        </w:tc>
        <w:tc>
          <w:tcPr>
            <w:tcW w:w="4380" w:type="dxa"/>
            <w:vAlign w:val="bottom"/>
            <w:tcBorders>
              <w:top w:val="single" w:sz="8" w:color="C00000"/>
            </w:tcBorders>
          </w:tcPr>
          <w:p>
            <w:pPr>
              <w:jc w:val="center"/>
              <w:ind w:right="18"/>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4580" w:type="dxa"/>
            <w:vAlign w:val="bottom"/>
          </w:tcPr>
          <w:p>
            <w:pPr>
              <w:jc w:val="center"/>
              <w:ind w:right="18"/>
              <w:spacing w:after="0"/>
              <w:rPr>
                <w:sz w:val="20"/>
                <w:szCs w:val="20"/>
                <w:color w:val="auto"/>
              </w:rPr>
            </w:pPr>
            <w:r>
              <w:rPr>
                <w:rFonts w:ascii="Arial" w:cs="Arial" w:eastAsia="Arial" w:hAnsi="Arial"/>
                <w:sz w:val="16"/>
                <w:szCs w:val="16"/>
                <w:color w:val="auto"/>
              </w:rPr>
              <w:t>General Mills, Inc.</w:t>
            </w:r>
          </w:p>
        </w:tc>
        <w:tc>
          <w:tcPr>
            <w:tcW w:w="4380" w:type="dxa"/>
            <w:vAlign w:val="bottom"/>
          </w:tcPr>
          <w:p>
            <w:pPr>
              <w:jc w:val="center"/>
              <w:spacing w:after="0"/>
              <w:rPr>
                <w:sz w:val="20"/>
                <w:szCs w:val="20"/>
                <w:color w:val="auto"/>
              </w:rPr>
            </w:pPr>
            <w:r>
              <w:rPr>
                <w:rFonts w:ascii="Arial" w:cs="Arial" w:eastAsia="Arial" w:hAnsi="Arial"/>
                <w:sz w:val="16"/>
                <w:szCs w:val="16"/>
                <w:color w:val="auto"/>
                <w:w w:val="99"/>
              </w:rPr>
              <w:t>None</w:t>
            </w:r>
          </w:p>
        </w:tc>
      </w:tr>
    </w:tbl>
    <w:p>
      <w:pPr>
        <w:spacing w:after="0" w:line="38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98425</wp:posOffset>
            </wp:positionV>
            <wp:extent cx="569531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196" w:lineRule="exact"/>
        <w:rPr>
          <w:sz w:val="20"/>
          <w:szCs w:val="20"/>
          <w:color w:val="auto"/>
        </w:rPr>
      </w:pPr>
    </w:p>
    <w:p>
      <w:pPr>
        <w:ind w:left="320" w:right="240"/>
        <w:spacing w:after="0" w:line="239" w:lineRule="auto"/>
        <w:rPr>
          <w:sz w:val="20"/>
          <w:szCs w:val="20"/>
          <w:color w:val="auto"/>
        </w:rPr>
      </w:pPr>
      <w:r>
        <w:rPr>
          <w:rFonts w:ascii="Arial" w:cs="Arial" w:eastAsia="Arial" w:hAnsi="Arial"/>
          <w:sz w:val="16"/>
          <w:szCs w:val="16"/>
          <w:color w:val="auto"/>
        </w:rPr>
        <w:t>Joyce A. Mullen is the President, Global Channel, OEM and IoT of Dell Technologies, Round Rock, Texas (a technology solutions company). She holds or has held the following positions, all at Dell:</w:t>
      </w:r>
    </w:p>
    <w:p>
      <w:pPr>
        <w:spacing w:after="0" w:line="1" w:lineRule="exact"/>
        <w:rPr>
          <w:sz w:val="20"/>
          <w:szCs w:val="20"/>
          <w:color w:val="auto"/>
        </w:rPr>
      </w:pPr>
    </w:p>
    <w:p>
      <w:pPr>
        <w:ind w:left="460" w:hanging="14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President, Global Channel, OEM and IoT (since November 2017)</w:t>
      </w:r>
    </w:p>
    <w:p>
      <w:pPr>
        <w:ind w:left="460" w:hanging="14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Senior Vice President and General Manager, Global OEM and IoT Solutions (February 2015 – November 2017)</w:t>
      </w:r>
    </w:p>
    <w:p>
      <w:pPr>
        <w:ind w:left="460" w:hanging="14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Vice President and General Manager, Global OEM Solutions (February 2012 – February 2015)</w:t>
      </w:r>
    </w:p>
    <w:p>
      <w:pPr>
        <w:ind w:left="460" w:right="60" w:hanging="149"/>
        <w:spacing w:after="0" w:line="239" w:lineRule="auto"/>
        <w:tabs>
          <w:tab w:leader="none" w:pos="4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Prior positions include vice president–level leadership for sales operations, global strategy and planning, global alliances and services solutions</w:t>
      </w:r>
    </w:p>
    <w:p>
      <w:pPr>
        <w:spacing w:after="0" w:line="1" w:lineRule="exact"/>
        <w:rPr>
          <w:sz w:val="20"/>
          <w:szCs w:val="20"/>
          <w:color w:val="auto"/>
        </w:rPr>
      </w:pPr>
    </w:p>
    <w:p>
      <w:pPr>
        <w:ind w:left="320" w:right="580" w:hanging="2"/>
        <w:spacing w:after="0" w:line="255" w:lineRule="auto"/>
        <w:rPr>
          <w:sz w:val="20"/>
          <w:szCs w:val="20"/>
          <w:color w:val="auto"/>
        </w:rPr>
      </w:pPr>
      <w:r>
        <w:rPr>
          <w:rFonts w:ascii="Arial" w:cs="Arial" w:eastAsia="Arial" w:hAnsi="Arial"/>
          <w:sz w:val="16"/>
          <w:szCs w:val="16"/>
          <w:color w:val="auto"/>
        </w:rPr>
        <w:t>Ms. Mullen also spent 10 years in various leadership positions at Cummins Engine Company, including distribution, manufacturing and international business development.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339725</wp:posOffset>
            </wp:positionV>
            <wp:extent cx="569531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20" w:right="60"/>
        <w:spacing w:after="0" w:line="244" w:lineRule="auto"/>
        <w:rPr>
          <w:sz w:val="20"/>
          <w:szCs w:val="20"/>
          <w:color w:val="auto"/>
        </w:rPr>
      </w:pPr>
      <w:r>
        <w:rPr>
          <w:rFonts w:ascii="Arial" w:cs="Arial" w:eastAsia="Arial" w:hAnsi="Arial"/>
          <w:sz w:val="16"/>
          <w:szCs w:val="16"/>
          <w:color w:val="auto"/>
        </w:rPr>
        <w:t>Ms. Mullen brings to our Board significant executive leadership skills, technology and smart-connected products expertise, strategic and innovative thinking and strong international business experience. She also contributes substantial knowledge of worldwide manufacturing, distribution channels, and supply chain strategies, including improving efficiencies in manufacturing operations using Six Sigma, Kaizen, and Lean techniques.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13335</wp:posOffset>
            </wp:positionV>
            <wp:extent cx="56953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41" w:lineRule="exact"/>
        <w:rPr>
          <w:sz w:val="20"/>
          <w:szCs w:val="20"/>
          <w:color w:val="auto"/>
        </w:rPr>
      </w:pPr>
    </w:p>
    <w:p>
      <w:pPr>
        <w:ind w:left="2180"/>
        <w:spacing w:after="0"/>
        <w:tabs>
          <w:tab w:leader="none" w:pos="646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2280"/>
        <w:spacing w:after="0"/>
        <w:tabs>
          <w:tab w:leader="none" w:pos="676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200" w:lineRule="exact"/>
        <w:rPr>
          <w:sz w:val="20"/>
          <w:szCs w:val="20"/>
          <w:color w:val="auto"/>
        </w:rPr>
      </w:pPr>
    </w:p>
    <w:p>
      <w:pPr>
        <w:spacing w:after="0" w:line="400"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50165</wp:posOffset>
            </wp:positionV>
            <wp:extent cx="729996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1700" w:space="520"/>
            <w:col w:w="9200"/>
          </w:cols>
          <w:pgMar w:left="240" w:top="14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988060" cy="12528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88060"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2016</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1774190</wp:posOffset>
            </wp:positionV>
            <wp:extent cx="1003935" cy="12528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393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7" w:lineRule="exact"/>
        <w:rPr>
          <w:sz w:val="20"/>
          <w:szCs w:val="20"/>
          <w:color w:val="auto"/>
        </w:rPr>
      </w:pPr>
    </w:p>
    <w:p>
      <w:pPr>
        <w:ind w:left="260" w:right="140" w:hanging="152"/>
        <w:spacing w:after="0" w:line="255" w:lineRule="auto"/>
        <w:tabs>
          <w:tab w:leader="none" w:pos="261"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Compensation &amp; Human Resources</w:t>
      </w:r>
    </w:p>
    <w:p>
      <w:pPr>
        <w:spacing w:after="0" w:line="1" w:lineRule="exact"/>
        <w:rPr>
          <w:rFonts w:ascii="Arial" w:cs="Arial" w:eastAsia="Arial" w:hAnsi="Arial"/>
          <w:sz w:val="16"/>
          <w:szCs w:val="16"/>
          <w:color w:val="auto"/>
        </w:rPr>
      </w:pPr>
    </w:p>
    <w:p>
      <w:pPr>
        <w:ind w:left="260" w:right="500" w:hanging="156"/>
        <w:spacing w:after="0" w:line="255"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Nominating &amp; Governance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569531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184" w:lineRule="exact"/>
        <w:rPr>
          <w:sz w:val="20"/>
          <w:szCs w:val="20"/>
          <w:color w:val="auto"/>
        </w:rPr>
      </w:pPr>
    </w:p>
    <w:p>
      <w:pPr>
        <w:ind w:left="80" w:right="40"/>
        <w:spacing w:after="0" w:line="239" w:lineRule="auto"/>
        <w:rPr>
          <w:sz w:val="20"/>
          <w:szCs w:val="20"/>
          <w:color w:val="auto"/>
        </w:rPr>
      </w:pPr>
      <w:r>
        <w:rPr>
          <w:rFonts w:ascii="Arial" w:cs="Arial" w:eastAsia="Arial" w:hAnsi="Arial"/>
          <w:sz w:val="16"/>
          <w:szCs w:val="16"/>
          <w:color w:val="auto"/>
        </w:rPr>
        <w:t>Richard M. Olson is our Chairman of the Board, President and Chief Executive Officer, and we generally refer to him in this proxy statement as our Chairman and CEO. He holds or has held the following positions, all at The Toro Company:</w:t>
      </w:r>
    </w:p>
    <w:p>
      <w:pPr>
        <w:spacing w:after="0" w:line="1" w:lineRule="exact"/>
        <w:rPr>
          <w:sz w:val="20"/>
          <w:szCs w:val="20"/>
          <w:color w:val="auto"/>
        </w:rPr>
      </w:pPr>
    </w:p>
    <w:p>
      <w:pPr>
        <w:ind w:left="220" w:hanging="149"/>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Chairman (since November 2017)</w:t>
      </w:r>
    </w:p>
    <w:p>
      <w:pPr>
        <w:ind w:left="220" w:hanging="149"/>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Chief Executive Officer (since November 2016)</w:t>
      </w:r>
    </w:p>
    <w:p>
      <w:pPr>
        <w:ind w:left="220" w:hanging="149"/>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President (since September 2015)</w:t>
      </w:r>
    </w:p>
    <w:p>
      <w:pPr>
        <w:ind w:left="220" w:hanging="149"/>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Chief Operating Officer (September 2015 – October 2016)</w:t>
      </w:r>
    </w:p>
    <w:p>
      <w:pPr>
        <w:ind w:left="220" w:right="500" w:hanging="149"/>
        <w:spacing w:after="0" w:line="239" w:lineRule="auto"/>
        <w:tabs>
          <w:tab w:leader="none" w:pos="2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Group Vice President, International Business, Micro Irrigation Business and Distributor Development (June 2014 – September 2015)</w:t>
      </w:r>
    </w:p>
    <w:p>
      <w:pPr>
        <w:spacing w:after="0" w:line="1" w:lineRule="exact"/>
        <w:rPr>
          <w:rFonts w:ascii="Arial" w:cs="Arial" w:eastAsia="Arial" w:hAnsi="Arial"/>
          <w:sz w:val="16"/>
          <w:szCs w:val="16"/>
          <w:color w:val="auto"/>
        </w:rPr>
      </w:pPr>
    </w:p>
    <w:p>
      <w:pPr>
        <w:ind w:left="220" w:hanging="149"/>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Vice President, International Business (March 2013 – June 2014)</w:t>
      </w:r>
    </w:p>
    <w:p>
      <w:pPr>
        <w:ind w:left="220" w:hanging="149"/>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Vice President, Exmark (March 2012 – March 2013)</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569531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right="20"/>
        <w:spacing w:after="0" w:line="241" w:lineRule="auto"/>
        <w:rPr>
          <w:sz w:val="20"/>
          <w:szCs w:val="20"/>
          <w:color w:val="auto"/>
        </w:rPr>
      </w:pPr>
      <w:r>
        <w:rPr>
          <w:rFonts w:ascii="Arial" w:cs="Arial" w:eastAsia="Arial" w:hAnsi="Arial"/>
          <w:sz w:val="16"/>
          <w:szCs w:val="16"/>
          <w:color w:val="auto"/>
        </w:rPr>
        <w:t>In his more than 32 years with our Company, Mr. Olson has developed and brings to our Board rich knowledge of the Company, including, in particular, our global businesses and operations, manufacturing processes, distribution and channel development, and product development strategies. In addition, the broad experience he has gained through his past leadership of our various businesses and manufacturing operations provides him with a unique perspective regarding our growth initiatives and strategic direction. He contributes a deep commitment to quality, innovation, ethical values and business conduct and focus on customer service. As a result of his dual role as Chairman and CEO, Mr. Olson provides unique insight into our Company’s future strategies, opportunities and challenges and serves as a unifying element between our Board and Management.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Other Public Company Boards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Borders>
              <w:top w:val="single" w:sz="8" w:color="C00000"/>
            </w:tcBorders>
          </w:tcPr>
          <w:p>
            <w:pPr>
              <w:jc w:val="center"/>
              <w:spacing w:after="0"/>
              <w:rPr>
                <w:sz w:val="20"/>
                <w:szCs w:val="20"/>
                <w:color w:val="auto"/>
              </w:rPr>
            </w:pPr>
            <w:r>
              <w:rPr>
                <w:rFonts w:ascii="Arial" w:cs="Arial" w:eastAsia="Arial" w:hAnsi="Arial"/>
                <w:sz w:val="16"/>
                <w:szCs w:val="16"/>
                <w:b w:val="1"/>
                <w:bCs w:val="1"/>
                <w:color w:val="auto"/>
              </w:rPr>
              <w:t>Current</w:t>
            </w:r>
          </w:p>
        </w:tc>
        <w:tc>
          <w:tcPr>
            <w:tcW w:w="4560" w:type="dxa"/>
            <w:vAlign w:val="bottom"/>
            <w:tcBorders>
              <w:top w:val="single" w:sz="8" w:color="C00000"/>
            </w:tcBorders>
          </w:tcPr>
          <w:p>
            <w:pPr>
              <w:jc w:val="center"/>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4400" w:type="dxa"/>
            <w:vAlign w:val="bottom"/>
          </w:tcPr>
          <w:p>
            <w:pPr>
              <w:jc w:val="center"/>
              <w:spacing w:after="0"/>
              <w:rPr>
                <w:sz w:val="20"/>
                <w:szCs w:val="20"/>
                <w:color w:val="auto"/>
              </w:rPr>
            </w:pPr>
            <w:r>
              <w:rPr>
                <w:rFonts w:ascii="Arial" w:cs="Arial" w:eastAsia="Arial" w:hAnsi="Arial"/>
                <w:sz w:val="16"/>
                <w:szCs w:val="16"/>
                <w:color w:val="auto"/>
              </w:rPr>
              <w:t>None</w:t>
            </w:r>
          </w:p>
        </w:tc>
        <w:tc>
          <w:tcPr>
            <w:tcW w:w="4560" w:type="dxa"/>
            <w:vAlign w:val="bottom"/>
          </w:tcPr>
          <w:p>
            <w:pPr>
              <w:jc w:val="center"/>
              <w:ind w:left="18"/>
              <w:spacing w:after="0"/>
              <w:rPr>
                <w:sz w:val="20"/>
                <w:szCs w:val="20"/>
                <w:color w:val="auto"/>
              </w:rPr>
            </w:pPr>
            <w:r>
              <w:rPr>
                <w:rFonts w:ascii="Arial" w:cs="Arial" w:eastAsia="Arial" w:hAnsi="Arial"/>
                <w:sz w:val="16"/>
                <w:szCs w:val="16"/>
                <w:color w:val="auto"/>
                <w:w w:val="99"/>
              </w:rPr>
              <w:t>None</w:t>
            </w:r>
          </w:p>
        </w:tc>
      </w:tr>
    </w:tbl>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69531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jc w:val="both"/>
        <w:ind w:left="80" w:right="100"/>
        <w:spacing w:after="0" w:line="239" w:lineRule="auto"/>
        <w:rPr>
          <w:sz w:val="20"/>
          <w:szCs w:val="20"/>
          <w:color w:val="auto"/>
        </w:rPr>
      </w:pPr>
      <w:r>
        <w:rPr>
          <w:rFonts w:ascii="Arial" w:cs="Arial" w:eastAsia="Arial" w:hAnsi="Arial"/>
          <w:sz w:val="16"/>
          <w:szCs w:val="16"/>
          <w:color w:val="auto"/>
        </w:rPr>
        <w:t>James C. O’Rourke is the President and Chief Executive Officer of The Mosaic Company, Plymouth, Minnesota (a global producer and marketer of combined concentrated phosphate and potash crop nutrients for the global agriculture industry). He holds or has held the following positions, all at The Mosaic Company:</w:t>
      </w:r>
    </w:p>
    <w:p>
      <w:pPr>
        <w:spacing w:after="0" w:line="2" w:lineRule="exact"/>
        <w:rPr>
          <w:sz w:val="20"/>
          <w:szCs w:val="20"/>
          <w:color w:val="auto"/>
        </w:rPr>
      </w:pPr>
    </w:p>
    <w:p>
      <w:pPr>
        <w:ind w:left="220" w:hanging="149"/>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President and Chief Executive Officer (since August 2015)</w:t>
      </w:r>
    </w:p>
    <w:p>
      <w:pPr>
        <w:ind w:left="220" w:hanging="149"/>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Vice President—Operations and Chief Operating Officer (August 2012 – August 2015)</w:t>
      </w:r>
    </w:p>
    <w:p>
      <w:pPr>
        <w:ind w:left="220" w:hanging="149"/>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Vice President—Operations (January 2009 – August 2012)</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238760</wp:posOffset>
            </wp:positionV>
            <wp:extent cx="569531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80" w:right="220"/>
        <w:spacing w:after="0" w:line="244" w:lineRule="auto"/>
        <w:rPr>
          <w:sz w:val="20"/>
          <w:szCs w:val="20"/>
          <w:color w:val="auto"/>
        </w:rPr>
      </w:pPr>
      <w:r>
        <w:rPr>
          <w:rFonts w:ascii="Arial" w:cs="Arial" w:eastAsia="Arial" w:hAnsi="Arial"/>
          <w:sz w:val="16"/>
          <w:szCs w:val="16"/>
          <w:color w:val="auto"/>
        </w:rPr>
        <w:t>Mr. O’Rourke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In addition, as a public company director and executive, Mr. O’Rourke contributes a solid understanding of executive compensation and corporate governance matters.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Other Public Company Boards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Borders>
              <w:top w:val="single" w:sz="8" w:color="C00000"/>
            </w:tcBorders>
          </w:tcPr>
          <w:p>
            <w:pPr>
              <w:ind w:left="1980"/>
              <w:spacing w:after="0"/>
              <w:rPr>
                <w:sz w:val="20"/>
                <w:szCs w:val="20"/>
                <w:color w:val="auto"/>
              </w:rPr>
            </w:pPr>
            <w:r>
              <w:rPr>
                <w:rFonts w:ascii="Arial" w:cs="Arial" w:eastAsia="Arial" w:hAnsi="Arial"/>
                <w:sz w:val="16"/>
                <w:szCs w:val="16"/>
                <w:b w:val="1"/>
                <w:bCs w:val="1"/>
                <w:color w:val="auto"/>
              </w:rPr>
              <w:t>Current</w:t>
            </w:r>
          </w:p>
        </w:tc>
        <w:tc>
          <w:tcPr>
            <w:tcW w:w="4300" w:type="dxa"/>
            <w:vAlign w:val="bottom"/>
            <w:tcBorders>
              <w:top w:val="single" w:sz="8" w:color="C00000"/>
            </w:tcBorders>
          </w:tcPr>
          <w:p>
            <w:pPr>
              <w:ind w:left="1620"/>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4660" w:type="dxa"/>
            <w:vAlign w:val="bottom"/>
          </w:tcPr>
          <w:p>
            <w:pPr>
              <w:ind w:left="1440"/>
              <w:spacing w:after="0"/>
              <w:rPr>
                <w:sz w:val="20"/>
                <w:szCs w:val="20"/>
                <w:color w:val="auto"/>
              </w:rPr>
            </w:pPr>
            <w:r>
              <w:rPr>
                <w:rFonts w:ascii="Arial" w:cs="Arial" w:eastAsia="Arial" w:hAnsi="Arial"/>
                <w:sz w:val="16"/>
                <w:szCs w:val="16"/>
                <w:color w:val="auto"/>
              </w:rPr>
              <w:t>The Mosaic Company</w:t>
            </w:r>
          </w:p>
        </w:tc>
        <w:tc>
          <w:tcPr>
            <w:tcW w:w="4300" w:type="dxa"/>
            <w:vAlign w:val="bottom"/>
          </w:tcPr>
          <w:p>
            <w:pPr>
              <w:ind w:left="1880"/>
              <w:spacing w:after="0"/>
              <w:rPr>
                <w:sz w:val="20"/>
                <w:szCs w:val="20"/>
                <w:color w:val="auto"/>
              </w:rPr>
            </w:pPr>
            <w:r>
              <w:rPr>
                <w:rFonts w:ascii="Arial" w:cs="Arial" w:eastAsia="Arial" w:hAnsi="Arial"/>
                <w:sz w:val="16"/>
                <w:szCs w:val="16"/>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50165</wp:posOffset>
            </wp:positionV>
            <wp:extent cx="729996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1740" w:space="720"/>
            <w:col w:w="8960"/>
          </w:cols>
          <w:pgMar w:left="240" w:top="14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303530</wp:posOffset>
            </wp:positionV>
            <wp:extent cx="995680" cy="1244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95680" cy="124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4941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260" w:right="100" w:hanging="152"/>
        <w:spacing w:after="0" w:line="255" w:lineRule="auto"/>
        <w:tabs>
          <w:tab w:leader="none" w:pos="2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&amp; Human Resources</w:t>
      </w:r>
    </w:p>
    <w:p>
      <w:pPr>
        <w:spacing w:after="0" w:line="1" w:lineRule="exact"/>
        <w:rPr>
          <w:rFonts w:ascii="Arial" w:cs="Arial" w:eastAsia="Arial" w:hAnsi="Arial"/>
          <w:sz w:val="16"/>
          <w:szCs w:val="16"/>
          <w:color w:val="auto"/>
        </w:rPr>
      </w:pPr>
    </w:p>
    <w:p>
      <w:pPr>
        <w:ind w:left="260" w:right="460" w:hanging="156"/>
        <w:spacing w:after="0" w:line="255"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678180</wp:posOffset>
            </wp:positionV>
            <wp:extent cx="995680" cy="12528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95680"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4941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240" w:hanging="1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w:t>
      </w:r>
    </w:p>
    <w:p>
      <w:pPr>
        <w:spacing w:after="0" w:line="12" w:lineRule="exact"/>
        <w:rPr>
          <w:rFonts w:ascii="Arial" w:cs="Arial" w:eastAsia="Arial" w:hAnsi="Arial"/>
          <w:sz w:val="16"/>
          <w:szCs w:val="16"/>
          <w:color w:val="auto"/>
        </w:rPr>
      </w:pPr>
    </w:p>
    <w:p>
      <w:pPr>
        <w:ind w:left="260" w:hanging="156"/>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Continuing Members of the Board – Current Term Ending at the 2020 Annual Meeting</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140"/>
        <w:spacing w:after="0" w:line="255" w:lineRule="auto"/>
        <w:rPr>
          <w:sz w:val="20"/>
          <w:szCs w:val="20"/>
          <w:color w:val="auto"/>
        </w:rPr>
      </w:pPr>
      <w:r>
        <w:rPr>
          <w:rFonts w:ascii="Arial" w:cs="Arial" w:eastAsia="Arial" w:hAnsi="Arial"/>
          <w:sz w:val="16"/>
          <w:szCs w:val="16"/>
          <w:color w:val="auto"/>
        </w:rPr>
        <w:t>Jeffrey M. Ettinger retired from Hormel Foods Corporation, Austin, Minnesota (a multinational manufacturer and marketer of consumer-branded food and meat products). He held the following positions, all at Hormel Foods:</w:t>
      </w:r>
    </w:p>
    <w:p>
      <w:pPr>
        <w:spacing w:after="0" w:line="1" w:lineRule="exact"/>
        <w:rPr>
          <w:sz w:val="20"/>
          <w:szCs w:val="20"/>
          <w:color w:val="auto"/>
        </w:rPr>
      </w:pPr>
    </w:p>
    <w:p>
      <w:pPr>
        <w:ind w:left="260" w:hanging="149"/>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Chairman of the Board (October 2016 – November 2017)</w:t>
      </w:r>
    </w:p>
    <w:p>
      <w:pPr>
        <w:spacing w:after="0" w:line="12" w:lineRule="exact"/>
        <w:rPr>
          <w:rFonts w:ascii="Arial" w:cs="Arial" w:eastAsia="Arial" w:hAnsi="Arial"/>
          <w:sz w:val="16"/>
          <w:szCs w:val="16"/>
          <w:color w:val="auto"/>
        </w:rPr>
      </w:pPr>
    </w:p>
    <w:p>
      <w:pPr>
        <w:ind w:left="260" w:hanging="149"/>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Chairman of the Board and Chief Executive Officer (January 2006 – October 2016)</w:t>
      </w:r>
    </w:p>
    <w:p>
      <w:pPr>
        <w:spacing w:after="0" w:line="12" w:lineRule="exact"/>
        <w:rPr>
          <w:rFonts w:ascii="Arial" w:cs="Arial" w:eastAsia="Arial" w:hAnsi="Arial"/>
          <w:sz w:val="16"/>
          <w:szCs w:val="16"/>
          <w:color w:val="auto"/>
        </w:rPr>
      </w:pPr>
    </w:p>
    <w:p>
      <w:pPr>
        <w:ind w:left="260" w:hanging="149"/>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President (July 2004 – October 2015)</w:t>
      </w:r>
    </w:p>
    <w:p>
      <w:pPr>
        <w:spacing w:after="0" w:line="3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106680</wp:posOffset>
            </wp:positionV>
            <wp:extent cx="569531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08" w:lineRule="exact"/>
        <w:rPr>
          <w:sz w:val="20"/>
          <w:szCs w:val="20"/>
          <w:color w:val="auto"/>
        </w:rPr>
      </w:pPr>
    </w:p>
    <w:p>
      <w:pPr>
        <w:ind w:left="140" w:right="20"/>
        <w:spacing w:after="0" w:line="242" w:lineRule="auto"/>
        <w:rPr>
          <w:sz w:val="20"/>
          <w:szCs w:val="20"/>
          <w:color w:val="auto"/>
        </w:rPr>
      </w:pPr>
      <w:r>
        <w:rPr>
          <w:rFonts w:ascii="Arial" w:cs="Arial" w:eastAsia="Arial" w:hAnsi="Arial"/>
          <w:sz w:val="16"/>
          <w:szCs w:val="16"/>
          <w:color w:val="auto"/>
        </w:rPr>
        <w:t>Mr. Ettinger brings to our Board strong business acumen, significant executive leadership attributes and relevant experience of driving growth through innovation and strategic acquisitions. Mr. Ettinger provides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as an experienced public company director and former executive, he contributes knowledge of public company requirements and issues, including those related to corporate governance and executive compensation matters.</w:t>
      </w: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20955</wp:posOffset>
            </wp:positionV>
            <wp:extent cx="569531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53" w:lineRule="exact"/>
        <w:rPr>
          <w:sz w:val="20"/>
          <w:szCs w:val="20"/>
          <w:color w:val="auto"/>
        </w:rPr>
      </w:pPr>
    </w:p>
    <w:p>
      <w:pPr>
        <w:ind w:left="1980"/>
        <w:spacing w:after="0"/>
        <w:tabs>
          <w:tab w:leader="none" w:pos="626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320"/>
        <w:spacing w:after="0"/>
        <w:tabs>
          <w:tab w:leader="none" w:pos="5780" w:val="left"/>
        </w:tabs>
        <w:rPr>
          <w:sz w:val="20"/>
          <w:szCs w:val="20"/>
          <w:color w:val="auto"/>
        </w:rPr>
      </w:pPr>
      <w:r>
        <w:rPr>
          <w:rFonts w:ascii="Arial" w:cs="Arial" w:eastAsia="Arial" w:hAnsi="Arial"/>
          <w:sz w:val="16"/>
          <w:szCs w:val="16"/>
          <w:color w:val="auto"/>
        </w:rPr>
        <w:t>Ecolab Inc. (Lead Director)</w:t>
      </w:r>
      <w:r>
        <w:rPr>
          <w:sz w:val="20"/>
          <w:szCs w:val="20"/>
          <w:color w:val="auto"/>
        </w:rPr>
        <w:tab/>
      </w:r>
      <w:r>
        <w:rPr>
          <w:rFonts w:ascii="Arial" w:cs="Arial" w:eastAsia="Arial" w:hAnsi="Arial"/>
          <w:sz w:val="16"/>
          <w:szCs w:val="16"/>
          <w:color w:val="auto"/>
        </w:rPr>
        <w:t>Hormel Foods Corporation</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540"/>
        <w:spacing w:after="0" w:line="255" w:lineRule="auto"/>
        <w:rPr>
          <w:sz w:val="20"/>
          <w:szCs w:val="20"/>
          <w:color w:val="auto"/>
        </w:rPr>
      </w:pPr>
      <w:r>
        <w:rPr>
          <w:rFonts w:ascii="Arial" w:cs="Arial" w:eastAsia="Arial" w:hAnsi="Arial"/>
          <w:sz w:val="16"/>
          <w:szCs w:val="16"/>
          <w:color w:val="auto"/>
        </w:rPr>
        <w:t>Katherine J. Harless retired from Idearc Inc.</w:t>
      </w:r>
      <w:r>
        <w:rPr>
          <w:rFonts w:ascii="Arial" w:cs="Arial" w:eastAsia="Arial" w:hAnsi="Arial"/>
          <w:sz w:val="13"/>
          <w:szCs w:val="13"/>
          <w:color w:val="auto"/>
        </w:rPr>
        <w:t>(1)</w:t>
      </w:r>
      <w:r>
        <w:rPr>
          <w:rFonts w:ascii="Arial" w:cs="Arial" w:eastAsia="Arial" w:hAnsi="Arial"/>
          <w:sz w:val="16"/>
          <w:szCs w:val="16"/>
          <w:color w:val="auto"/>
        </w:rPr>
        <w:t>, Dallas/Fort Worth, Texas (a provider of sales, publishing and related services including Verizon Yellow Pages and SuperPages.com). She held the following positions:</w:t>
      </w:r>
    </w:p>
    <w:p>
      <w:pPr>
        <w:spacing w:after="0" w:line="1" w:lineRule="exact"/>
        <w:rPr>
          <w:sz w:val="20"/>
          <w:szCs w:val="20"/>
          <w:color w:val="auto"/>
        </w:rPr>
      </w:pPr>
    </w:p>
    <w:p>
      <w:pPr>
        <w:ind w:left="260" w:hanging="149"/>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Director, Idearc (November 2006 – May 2008)</w:t>
      </w:r>
    </w:p>
    <w:p>
      <w:pPr>
        <w:spacing w:after="0" w:line="12" w:lineRule="exact"/>
        <w:rPr>
          <w:rFonts w:ascii="Arial" w:cs="Arial" w:eastAsia="Arial" w:hAnsi="Arial"/>
          <w:sz w:val="16"/>
          <w:szCs w:val="16"/>
          <w:color w:val="auto"/>
        </w:rPr>
      </w:pPr>
    </w:p>
    <w:p>
      <w:pPr>
        <w:ind w:left="260" w:hanging="149"/>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President and Chief Executive Officer, Idearc (November 2006 – February 2008)</w:t>
      </w:r>
    </w:p>
    <w:p>
      <w:pPr>
        <w:spacing w:after="0" w:line="12" w:lineRule="exact"/>
        <w:rPr>
          <w:rFonts w:ascii="Arial" w:cs="Arial" w:eastAsia="Arial" w:hAnsi="Arial"/>
          <w:sz w:val="16"/>
          <w:szCs w:val="16"/>
          <w:color w:val="auto"/>
        </w:rPr>
      </w:pPr>
    </w:p>
    <w:p>
      <w:pPr>
        <w:ind w:left="260" w:right="240" w:hanging="149"/>
        <w:spacing w:after="0" w:line="255" w:lineRule="auto"/>
        <w:tabs>
          <w:tab w:leader="none" w:pos="2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President, Verizon Information Services Inc. (spun off by Verizon Communications, Inc. to become Idearc Inc., 2000 – November 2006)</w:t>
      </w:r>
    </w:p>
    <w:p>
      <w:pPr>
        <w:spacing w:after="0" w:line="1" w:lineRule="exact"/>
        <w:rPr>
          <w:sz w:val="20"/>
          <w:szCs w:val="20"/>
          <w:color w:val="auto"/>
        </w:rPr>
      </w:pPr>
    </w:p>
    <w:p>
      <w:pPr>
        <w:ind w:left="140" w:right="20"/>
        <w:spacing w:after="0" w:line="271" w:lineRule="auto"/>
        <w:rPr>
          <w:sz w:val="20"/>
          <w:szCs w:val="20"/>
          <w:color w:val="auto"/>
        </w:rPr>
      </w:pPr>
      <w:r>
        <w:rPr>
          <w:rFonts w:ascii="Arial" w:cs="Arial" w:eastAsia="Arial" w:hAnsi="Arial"/>
          <w:sz w:val="16"/>
          <w:szCs w:val="16"/>
          <w:color w:val="auto"/>
        </w:rPr>
        <w:t>Ms. Harless is a director of the North Texas Chapter of the National Association of Corporate Directors (“NACD”) and is an NACD Board Leadership Fellow.</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20955</wp:posOffset>
            </wp:positionV>
            <wp:extent cx="56953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73" w:lineRule="exact"/>
        <w:rPr>
          <w:sz w:val="20"/>
          <w:szCs w:val="20"/>
          <w:color w:val="auto"/>
        </w:rPr>
      </w:pPr>
    </w:p>
    <w:p>
      <w:pPr>
        <w:jc w:val="both"/>
        <w:ind w:left="120"/>
        <w:spacing w:after="0" w:line="247" w:lineRule="auto"/>
        <w:rPr>
          <w:sz w:val="20"/>
          <w:szCs w:val="20"/>
          <w:color w:val="auto"/>
        </w:rPr>
      </w:pPr>
      <w:r>
        <w:rPr>
          <w:rFonts w:ascii="Arial" w:cs="Arial" w:eastAsia="Arial" w:hAnsi="Arial"/>
          <w:sz w:val="16"/>
          <w:szCs w:val="16"/>
          <w:color w:val="auto"/>
        </w:rPr>
        <w:t>Ms. Harless brings to our Board executive leadership experience, management skills and knowledge of financial, executive compensation, corporate governance and other issues applicable to public companies. She provides a seasoned business perspective and valuable business, leadership and management insights with respect to our strategic direction.</w:t>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20955</wp:posOffset>
            </wp:positionV>
            <wp:extent cx="569531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53" w:lineRule="exact"/>
        <w:rPr>
          <w:sz w:val="20"/>
          <w:szCs w:val="20"/>
          <w:color w:val="auto"/>
        </w:rPr>
      </w:pPr>
    </w:p>
    <w:p>
      <w:pPr>
        <w:ind w:left="1980"/>
        <w:spacing w:after="0"/>
        <w:tabs>
          <w:tab w:leader="none" w:pos="626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2080"/>
        <w:spacing w:after="0"/>
        <w:tabs>
          <w:tab w:leader="none" w:pos="656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50165</wp:posOffset>
            </wp:positionV>
            <wp:extent cx="729996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1700" w:space="720"/>
            <w:col w:w="8980"/>
          </w:cols>
          <w:pgMar w:left="240" w:top="14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03935" cy="1244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03935" cy="124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50177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50177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5" w:lineRule="exact"/>
        <w:rPr>
          <w:sz w:val="20"/>
          <w:szCs w:val="20"/>
          <w:color w:val="auto"/>
        </w:rPr>
      </w:pPr>
    </w:p>
    <w:p>
      <w:pPr>
        <w:ind w:left="240" w:hanging="1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w:t>
      </w:r>
    </w:p>
    <w:p>
      <w:pPr>
        <w:spacing w:after="0" w:line="12" w:lineRule="exact"/>
        <w:rPr>
          <w:rFonts w:ascii="Arial" w:cs="Arial" w:eastAsia="Arial" w:hAnsi="Arial"/>
          <w:sz w:val="16"/>
          <w:szCs w:val="16"/>
          <w:color w:val="auto"/>
        </w:rPr>
      </w:pPr>
    </w:p>
    <w:p>
      <w:pPr>
        <w:ind w:left="260" w:hanging="1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910590</wp:posOffset>
            </wp:positionV>
            <wp:extent cx="1011555" cy="12528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1155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50177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50177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ind w:left="240" w:hanging="1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2" w:lineRule="exact"/>
        <w:rPr>
          <w:rFonts w:ascii="Arial" w:cs="Arial" w:eastAsia="Arial" w:hAnsi="Arial"/>
          <w:sz w:val="16"/>
          <w:szCs w:val="16"/>
          <w:color w:val="auto"/>
        </w:rPr>
      </w:pPr>
    </w:p>
    <w:p>
      <w:pPr>
        <w:ind w:left="260" w:hanging="1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160"/>
        <w:spacing w:after="0" w:line="255" w:lineRule="auto"/>
        <w:rPr>
          <w:sz w:val="20"/>
          <w:szCs w:val="20"/>
          <w:color w:val="auto"/>
        </w:rPr>
      </w:pPr>
      <w:r>
        <w:rPr>
          <w:rFonts w:ascii="Arial" w:cs="Arial" w:eastAsia="Arial" w:hAnsi="Arial"/>
          <w:sz w:val="16"/>
          <w:szCs w:val="16"/>
          <w:color w:val="auto"/>
        </w:rPr>
        <w:t>D. Christian Koch is the President and Chief Executive Officer of Carlisle Companies Incorporated, Scottsdale, Arizona (a diversified manufacturing company that produces and distributes a broad range of products). He holds or has held the following positions, all at Carlisle:</w:t>
      </w:r>
    </w:p>
    <w:p>
      <w:pPr>
        <w:spacing w:after="0" w:line="2" w:lineRule="exact"/>
        <w:rPr>
          <w:sz w:val="20"/>
          <w:szCs w:val="20"/>
          <w:color w:val="auto"/>
        </w:rPr>
      </w:pPr>
    </w:p>
    <w:p>
      <w:pPr>
        <w:ind w:left="260" w:hanging="149"/>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President and Chief Executive Officer (since January 2016)</w:t>
      </w:r>
    </w:p>
    <w:p>
      <w:pPr>
        <w:spacing w:after="0" w:line="12" w:lineRule="exact"/>
        <w:rPr>
          <w:rFonts w:ascii="Arial" w:cs="Arial" w:eastAsia="Arial" w:hAnsi="Arial"/>
          <w:sz w:val="16"/>
          <w:szCs w:val="16"/>
          <w:color w:val="auto"/>
        </w:rPr>
      </w:pPr>
    </w:p>
    <w:p>
      <w:pPr>
        <w:ind w:left="260" w:hanging="149"/>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President and Chief Operating Officer (May 2014 – January 2016)</w:t>
      </w:r>
    </w:p>
    <w:p>
      <w:pPr>
        <w:spacing w:after="0" w:line="12" w:lineRule="exact"/>
        <w:rPr>
          <w:rFonts w:ascii="Arial" w:cs="Arial" w:eastAsia="Arial" w:hAnsi="Arial"/>
          <w:sz w:val="16"/>
          <w:szCs w:val="16"/>
          <w:color w:val="auto"/>
        </w:rPr>
      </w:pPr>
    </w:p>
    <w:p>
      <w:pPr>
        <w:ind w:left="260" w:hanging="149"/>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Group President, Carlisle Diversified Products (June 2012 – May 2014)</w:t>
      </w:r>
    </w:p>
    <w:p>
      <w:pPr>
        <w:spacing w:after="0" w:line="12" w:lineRule="exact"/>
        <w:rPr>
          <w:rFonts w:ascii="Arial" w:cs="Arial" w:eastAsia="Arial" w:hAnsi="Arial"/>
          <w:sz w:val="16"/>
          <w:szCs w:val="16"/>
          <w:color w:val="auto"/>
        </w:rPr>
      </w:pPr>
    </w:p>
    <w:p>
      <w:pPr>
        <w:ind w:left="260" w:hanging="149"/>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President, Carlisle Brake &amp; Friction (January 2009 – June 2012)</w:t>
      </w:r>
    </w:p>
    <w:p>
      <w:pPr>
        <w:spacing w:after="0" w:line="12" w:lineRule="exact"/>
        <w:rPr>
          <w:rFonts w:ascii="Arial" w:cs="Arial" w:eastAsia="Arial" w:hAnsi="Arial"/>
          <w:sz w:val="16"/>
          <w:szCs w:val="16"/>
          <w:color w:val="auto"/>
        </w:rPr>
      </w:pPr>
    </w:p>
    <w:p>
      <w:pPr>
        <w:ind w:left="260" w:hanging="149"/>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President, Carlisle Asia-Pacific (February 2008 – January 2009)</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20955</wp:posOffset>
            </wp:positionV>
            <wp:extent cx="569531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73" w:lineRule="exact"/>
        <w:rPr>
          <w:sz w:val="20"/>
          <w:szCs w:val="20"/>
          <w:color w:val="auto"/>
        </w:rPr>
      </w:pPr>
    </w:p>
    <w:p>
      <w:pPr>
        <w:ind w:left="120" w:right="140"/>
        <w:spacing w:after="0" w:line="244" w:lineRule="auto"/>
        <w:rPr>
          <w:sz w:val="20"/>
          <w:szCs w:val="20"/>
          <w:color w:val="auto"/>
        </w:rPr>
      </w:pPr>
      <w:r>
        <w:rPr>
          <w:rFonts w:ascii="Arial" w:cs="Arial" w:eastAsia="Arial" w:hAnsi="Arial"/>
          <w:sz w:val="16"/>
          <w:szCs w:val="16"/>
          <w:color w:val="auto"/>
        </w:rPr>
        <w:t>Mr. Koch brings to our Board his experience as a seasoned executive with strong business acumen and significant experience managing distribution, supply chain, manufacturing and sales operations around the world as well as with mergers and acquisitions. In addition, as a public company director and executive, Mr. Koch contributes a solid understanding of financial oversight requirements, strategic planning, executive compensation and corporate governance.</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60" w:type="dxa"/>
            <w:vAlign w:val="bottom"/>
            <w:tcBorders>
              <w:top w:val="single" w:sz="8" w:color="C00000"/>
            </w:tcBorders>
          </w:tcPr>
          <w:p>
            <w:pPr>
              <w:jc w:val="center"/>
              <w:ind w:right="78"/>
              <w:spacing w:after="0"/>
              <w:rPr>
                <w:sz w:val="20"/>
                <w:szCs w:val="20"/>
                <w:color w:val="auto"/>
              </w:rPr>
            </w:pPr>
            <w:r>
              <w:rPr>
                <w:rFonts w:ascii="Arial" w:cs="Arial" w:eastAsia="Arial" w:hAnsi="Arial"/>
                <w:sz w:val="16"/>
                <w:szCs w:val="16"/>
                <w:b w:val="1"/>
                <w:bCs w:val="1"/>
                <w:color w:val="auto"/>
              </w:rPr>
              <w:t>Current</w:t>
            </w:r>
          </w:p>
        </w:tc>
        <w:tc>
          <w:tcPr>
            <w:tcW w:w="4300" w:type="dxa"/>
            <w:vAlign w:val="bottom"/>
            <w:tcBorders>
              <w:top w:val="single" w:sz="8" w:color="C00000"/>
            </w:tcBorders>
          </w:tcPr>
          <w:p>
            <w:pPr>
              <w:jc w:val="center"/>
              <w:ind w:right="58"/>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4660" w:type="dxa"/>
            <w:vAlign w:val="bottom"/>
          </w:tcPr>
          <w:p>
            <w:pPr>
              <w:jc w:val="center"/>
              <w:ind w:right="78"/>
              <w:spacing w:after="0"/>
              <w:rPr>
                <w:sz w:val="20"/>
                <w:szCs w:val="20"/>
                <w:color w:val="auto"/>
              </w:rPr>
            </w:pPr>
            <w:r>
              <w:rPr>
                <w:rFonts w:ascii="Arial" w:cs="Arial" w:eastAsia="Arial" w:hAnsi="Arial"/>
                <w:sz w:val="16"/>
                <w:szCs w:val="16"/>
                <w:color w:val="auto"/>
              </w:rPr>
              <w:t>Carlisle Companies Inc.</w:t>
            </w:r>
          </w:p>
        </w:tc>
        <w:tc>
          <w:tcPr>
            <w:tcW w:w="4300" w:type="dxa"/>
            <w:vAlign w:val="bottom"/>
          </w:tcPr>
          <w:p>
            <w:pPr>
              <w:jc w:val="center"/>
              <w:ind w:right="78"/>
              <w:spacing w:after="0"/>
              <w:rPr>
                <w:sz w:val="20"/>
                <w:szCs w:val="20"/>
                <w:color w:val="auto"/>
              </w:rPr>
            </w:pPr>
            <w:r>
              <w:rPr>
                <w:rFonts w:ascii="Arial" w:cs="Arial" w:eastAsia="Arial" w:hAnsi="Arial"/>
                <w:sz w:val="16"/>
                <w:szCs w:val="16"/>
                <w:color w:val="auto"/>
              </w:rPr>
              <w:t>Arctic Cat Inc.</w:t>
            </w:r>
          </w:p>
        </w:tc>
      </w:tr>
    </w:tbl>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Continuing Members of the Board – Current Term Ending at the 2021 Annual Meeting</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13335</wp:posOffset>
            </wp:positionV>
            <wp:extent cx="570293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2935" cy="7620"/>
                    </a:xfrm>
                    <a:prstGeom prst="rect">
                      <a:avLst/>
                    </a:prstGeom>
                    <a:noFill/>
                  </pic:spPr>
                </pic:pic>
              </a:graphicData>
            </a:graphic>
          </wp:anchor>
        </w:drawing>
      </w:r>
    </w:p>
    <w:p>
      <w:pPr>
        <w:spacing w:after="0" w:line="61" w:lineRule="exact"/>
        <w:rPr>
          <w:sz w:val="20"/>
          <w:szCs w:val="20"/>
          <w:color w:val="auto"/>
        </w:rPr>
      </w:pPr>
    </w:p>
    <w:p>
      <w:pPr>
        <w:ind w:left="120" w:right="400"/>
        <w:spacing w:after="0" w:line="255" w:lineRule="auto"/>
        <w:rPr>
          <w:sz w:val="20"/>
          <w:szCs w:val="20"/>
          <w:color w:val="auto"/>
        </w:rPr>
      </w:pPr>
      <w:r>
        <w:rPr>
          <w:rFonts w:ascii="Arial" w:cs="Arial" w:eastAsia="Arial" w:hAnsi="Arial"/>
          <w:sz w:val="16"/>
          <w:szCs w:val="16"/>
          <w:color w:val="auto"/>
        </w:rPr>
        <w:t>Janet K. Cooper retired from Qwest Communications International Inc., Denver, Colorado (a U.S. telecommunications company that merged with and now does business as CenturyLink). She held the following positions:</w:t>
      </w:r>
    </w:p>
    <w:p>
      <w:pPr>
        <w:spacing w:after="0" w:line="1" w:lineRule="exact"/>
        <w:rPr>
          <w:sz w:val="20"/>
          <w:szCs w:val="20"/>
          <w:color w:val="auto"/>
        </w:rPr>
      </w:pPr>
    </w:p>
    <w:p>
      <w:pPr>
        <w:ind w:left="280" w:hanging="157"/>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Senior Vice President and Treasurer, Qwest (September 2002 – June 2008)</w:t>
      </w:r>
    </w:p>
    <w:p>
      <w:pPr>
        <w:spacing w:after="0" w:line="12" w:lineRule="exact"/>
        <w:rPr>
          <w:rFonts w:ascii="Arial" w:cs="Arial" w:eastAsia="Arial" w:hAnsi="Arial"/>
          <w:sz w:val="16"/>
          <w:szCs w:val="16"/>
          <w:color w:val="auto"/>
        </w:rPr>
      </w:pPr>
    </w:p>
    <w:p>
      <w:pPr>
        <w:ind w:left="280" w:hanging="157"/>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Chief Financial Officer and Senior Vice President, McDATA Corporation (2001 – 2002)</w:t>
      </w:r>
    </w:p>
    <w:p>
      <w:pPr>
        <w:spacing w:after="0" w:line="12" w:lineRule="exact"/>
        <w:rPr>
          <w:rFonts w:ascii="Arial" w:cs="Arial" w:eastAsia="Arial" w:hAnsi="Arial"/>
          <w:sz w:val="16"/>
          <w:szCs w:val="16"/>
          <w:color w:val="auto"/>
        </w:rPr>
      </w:pPr>
    </w:p>
    <w:p>
      <w:pPr>
        <w:ind w:left="280" w:hanging="157"/>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Senior Vice President, Finance, Qwest (2000 – 2001)</w:t>
      </w:r>
    </w:p>
    <w:p>
      <w:pPr>
        <w:spacing w:after="0" w:line="12" w:lineRule="exact"/>
        <w:rPr>
          <w:rFonts w:ascii="Arial" w:cs="Arial" w:eastAsia="Arial" w:hAnsi="Arial"/>
          <w:sz w:val="16"/>
          <w:szCs w:val="16"/>
          <w:color w:val="auto"/>
        </w:rPr>
      </w:pPr>
    </w:p>
    <w:p>
      <w:pPr>
        <w:ind w:left="280" w:hanging="157"/>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positions at U.S. West Inc. include Vice President, Finance and Controller, and Vice President and Treasurer</w:t>
      </w:r>
    </w:p>
    <w:p>
      <w:pPr>
        <w:spacing w:after="0" w:line="1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210820</wp:posOffset>
            </wp:positionV>
            <wp:extent cx="57029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2935" cy="7620"/>
                    </a:xfrm>
                    <a:prstGeom prst="rect">
                      <a:avLst/>
                    </a:prstGeom>
                    <a:noFill/>
                  </pic:spPr>
                </pic:pic>
              </a:graphicData>
            </a:graphic>
          </wp:anchor>
        </w:drawing>
      </w:r>
    </w:p>
    <w:p>
      <w:pPr>
        <w:spacing w:after="0" w:line="372" w:lineRule="exact"/>
        <w:rPr>
          <w:sz w:val="20"/>
          <w:szCs w:val="20"/>
          <w:color w:val="auto"/>
        </w:rPr>
      </w:pPr>
    </w:p>
    <w:p>
      <w:pPr>
        <w:ind w:left="120"/>
        <w:spacing w:after="0" w:line="243" w:lineRule="auto"/>
        <w:rPr>
          <w:sz w:val="20"/>
          <w:szCs w:val="20"/>
          <w:color w:val="auto"/>
        </w:rPr>
      </w:pPr>
      <w:r>
        <w:rPr>
          <w:rFonts w:ascii="Arial" w:cs="Arial" w:eastAsia="Arial" w:hAnsi="Arial"/>
          <w:sz w:val="16"/>
          <w:szCs w:val="16"/>
          <w:color w:val="auto"/>
        </w:rPr>
        <w:t>Ms. Cooper brings to our Board substantial financial and accounting knowledge and expertise. Ms. Cooper’s experience as a public company director and audit committee member and her financial expertise and acumen in capital markets, audit, tax, accounting, treasury and risk-management, including related to information systems and cybersecurity, assists our Board in providing oversight to Management on these matters. Ms. Cooper’s senior leadership experience also enables her to provide strategic input to our Board, in addition to her financial expertise, discipline and oversight.</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254000</wp:posOffset>
            </wp:positionV>
            <wp:extent cx="570293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2935"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20"/>
        <w:spacing w:after="0"/>
        <w:tabs>
          <w:tab w:leader="none" w:pos="630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460"/>
        <w:spacing w:after="0"/>
        <w:tabs>
          <w:tab w:leader="none" w:pos="6580" w:val="left"/>
        </w:tabs>
        <w:rPr>
          <w:sz w:val="20"/>
          <w:szCs w:val="20"/>
          <w:color w:val="auto"/>
        </w:rPr>
      </w:pPr>
      <w:r>
        <w:rPr>
          <w:rFonts w:ascii="Arial" w:cs="Arial" w:eastAsia="Arial" w:hAnsi="Arial"/>
          <w:sz w:val="16"/>
          <w:szCs w:val="16"/>
          <w:color w:val="auto"/>
        </w:rPr>
        <w:t>Lennox International Inc.</w:t>
      </w:r>
      <w:r>
        <w:rPr>
          <w:sz w:val="20"/>
          <w:szCs w:val="20"/>
          <w:color w:val="auto"/>
        </w:rPr>
        <w:tab/>
      </w:r>
      <w:r>
        <w:rPr>
          <w:rFonts w:ascii="Arial" w:cs="Arial" w:eastAsia="Arial" w:hAnsi="Arial"/>
          <w:sz w:val="16"/>
          <w:szCs w:val="16"/>
          <w:color w:val="auto"/>
        </w:rPr>
        <w:t>None</w:t>
      </w:r>
    </w:p>
    <w:p>
      <w:pPr>
        <w:spacing w:after="0" w:line="1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Resonant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50165</wp:posOffset>
            </wp:positionV>
            <wp:extent cx="729996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1700" w:space="720"/>
            <w:col w:w="9020"/>
          </w:cols>
          <w:pgMar w:left="240" w:top="140" w:right="2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003935" cy="12528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0393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4941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14941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14941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37" w:lineRule="exact"/>
        <w:rPr>
          <w:sz w:val="20"/>
          <w:szCs w:val="20"/>
          <w:color w:val="auto"/>
        </w:rPr>
      </w:pPr>
    </w:p>
    <w:p>
      <w:pPr>
        <w:ind w:left="220" w:hanging="15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Finance (Chair)</w:t>
      </w:r>
    </w:p>
    <w:p>
      <w:pPr>
        <w:spacing w:after="0" w:line="36" w:lineRule="exact"/>
        <w:rPr>
          <w:rFonts w:ascii="Arial" w:cs="Arial" w:eastAsia="Arial" w:hAnsi="Arial"/>
          <w:sz w:val="16"/>
          <w:szCs w:val="16"/>
          <w:color w:val="auto"/>
        </w:rPr>
      </w:pPr>
    </w:p>
    <w:p>
      <w:pPr>
        <w:ind w:left="220" w:hanging="148"/>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855980</wp:posOffset>
            </wp:positionV>
            <wp:extent cx="995680" cy="1244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95680" cy="124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4941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260" w:right="560" w:hanging="152"/>
        <w:spacing w:after="0" w:line="255" w:lineRule="auto"/>
        <w:tabs>
          <w:tab w:leader="none" w:pos="2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 &amp; Human Resources</w:t>
      </w:r>
    </w:p>
    <w:p>
      <w:pPr>
        <w:spacing w:after="0" w:line="1" w:lineRule="exact"/>
        <w:rPr>
          <w:rFonts w:ascii="Arial" w:cs="Arial" w:eastAsia="Arial" w:hAnsi="Arial"/>
          <w:sz w:val="16"/>
          <w:szCs w:val="16"/>
          <w:color w:val="auto"/>
        </w:rPr>
      </w:pPr>
    </w:p>
    <w:p>
      <w:pPr>
        <w:ind w:left="260" w:hanging="156"/>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Nominating &amp; Governance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13335</wp:posOffset>
            </wp:positionV>
            <wp:extent cx="569531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9" w:right="460"/>
        <w:spacing w:after="0" w:line="255" w:lineRule="auto"/>
        <w:rPr>
          <w:sz w:val="20"/>
          <w:szCs w:val="20"/>
          <w:color w:val="auto"/>
        </w:rPr>
      </w:pPr>
      <w:r>
        <w:rPr>
          <w:rFonts w:ascii="Arial" w:cs="Arial" w:eastAsia="Arial" w:hAnsi="Arial"/>
          <w:sz w:val="16"/>
          <w:szCs w:val="16"/>
          <w:color w:val="auto"/>
        </w:rPr>
        <w:t>Gary L. Ellis retired from Medtronic plc, Dublin, Ireland (a global medical technology company). He held the following positions:</w:t>
      </w:r>
    </w:p>
    <w:p>
      <w:pPr>
        <w:spacing w:after="0" w:line="1" w:lineRule="exact"/>
        <w:rPr>
          <w:sz w:val="20"/>
          <w:szCs w:val="20"/>
          <w:color w:val="auto"/>
        </w:rPr>
      </w:pPr>
    </w:p>
    <w:p>
      <w:pPr>
        <w:ind w:left="149" w:right="180" w:hanging="149"/>
        <w:spacing w:after="0" w:line="255" w:lineRule="auto"/>
        <w:tabs>
          <w:tab w:leader="none" w:pos="15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Vice President, Global Operations, Information Technology and Facilities &amp; Real Estate, Medtronic plc (June 2016 – December 2016)</w:t>
      </w:r>
    </w:p>
    <w:p>
      <w:pPr>
        <w:spacing w:after="0" w:line="1" w:lineRule="exact"/>
        <w:rPr>
          <w:rFonts w:ascii="Arial" w:cs="Arial" w:eastAsia="Arial" w:hAnsi="Arial"/>
          <w:sz w:val="16"/>
          <w:szCs w:val="16"/>
          <w:color w:val="auto"/>
        </w:rPr>
      </w:pPr>
    </w:p>
    <w:p>
      <w:pPr>
        <w:ind w:left="149" w:hanging="149"/>
        <w:spacing w:after="0"/>
        <w:tabs>
          <w:tab w:leader="none" w:pos="1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Medtronic, Inc. (April 2014 – June 2016)</w:t>
      </w:r>
    </w:p>
    <w:p>
      <w:pPr>
        <w:spacing w:after="0" w:line="12" w:lineRule="exact"/>
        <w:rPr>
          <w:rFonts w:ascii="Arial" w:cs="Arial" w:eastAsia="Arial" w:hAnsi="Arial"/>
          <w:sz w:val="16"/>
          <w:szCs w:val="16"/>
          <w:color w:val="auto"/>
        </w:rPr>
      </w:pPr>
    </w:p>
    <w:p>
      <w:pPr>
        <w:ind w:left="149" w:hanging="149"/>
        <w:spacing w:after="0"/>
        <w:tabs>
          <w:tab w:leader="none" w:pos="1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Senior Vice President and Chief Financial Officer, Medtronic, Inc. (May 2005 – April 2014)</w:t>
      </w:r>
    </w:p>
    <w:p>
      <w:pPr>
        <w:spacing w:after="0" w:line="12" w:lineRule="exact"/>
        <w:rPr>
          <w:rFonts w:ascii="Arial" w:cs="Arial" w:eastAsia="Arial" w:hAnsi="Arial"/>
          <w:sz w:val="16"/>
          <w:szCs w:val="16"/>
          <w:color w:val="auto"/>
        </w:rPr>
      </w:pPr>
    </w:p>
    <w:p>
      <w:pPr>
        <w:ind w:left="149" w:hanging="149"/>
        <w:spacing w:after="0"/>
        <w:tabs>
          <w:tab w:leader="none" w:pos="1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Vice President, Corporate Controller and Treasurer, Medtronic, Inc. (1999 – May 2005)</w:t>
      </w:r>
    </w:p>
    <w:p>
      <w:pPr>
        <w:spacing w:after="0" w:line="200" w:lineRule="exact"/>
        <w:rPr>
          <w:sz w:val="20"/>
          <w:szCs w:val="20"/>
          <w:color w:val="auto"/>
        </w:rPr>
      </w:pPr>
    </w:p>
    <w:p>
      <w:pPr>
        <w:spacing w:after="0" w:line="380"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13335</wp:posOffset>
            </wp:positionV>
            <wp:extent cx="569531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Mr. Ellis brings extensive financial leadership experience and expertise to our Board which provides oversight regarding capital structure, financial condition and policies, long-range financial objectives, tax strategies, financing requirements and arrangements, capital budgets and expenditures, risk-management, insurance coverage, and strategic planning matters. As a former executive of a public company and an experienced public company director, Mr. Ellis contributes enhanced knowledge of public company requirements and issues. Additionally, Mr. Ellis contributes his international experience managing worldwide financial operations and analyzing financial implications of merger and acquisition transactions, as well as aligning business strategies and financial decisions.</w:t>
      </w:r>
    </w:p>
    <w:p>
      <w:pPr>
        <w:spacing w:after="0" w:line="1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20955</wp:posOffset>
            </wp:positionV>
            <wp:extent cx="569531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53" w:lineRule="exact"/>
        <w:rPr>
          <w:sz w:val="20"/>
          <w:szCs w:val="20"/>
          <w:color w:val="auto"/>
        </w:rPr>
      </w:pPr>
    </w:p>
    <w:p>
      <w:pPr>
        <w:ind w:left="1869"/>
        <w:spacing w:after="0"/>
        <w:tabs>
          <w:tab w:leader="none" w:pos="6149"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349"/>
        <w:spacing w:after="0"/>
        <w:tabs>
          <w:tab w:leader="none" w:pos="6449" w:val="left"/>
        </w:tabs>
        <w:rPr>
          <w:sz w:val="20"/>
          <w:szCs w:val="20"/>
          <w:color w:val="auto"/>
        </w:rPr>
      </w:pPr>
      <w:r>
        <w:rPr>
          <w:rFonts w:ascii="Arial" w:cs="Arial" w:eastAsia="Arial" w:hAnsi="Arial"/>
          <w:sz w:val="16"/>
          <w:szCs w:val="16"/>
          <w:color w:val="auto"/>
        </w:rPr>
        <w:t>Hill-Rom Holdings, Inc.</w:t>
      </w:r>
      <w:r>
        <w:rPr>
          <w:sz w:val="20"/>
          <w:szCs w:val="20"/>
          <w:color w:val="auto"/>
        </w:rPr>
        <w:tab/>
      </w:r>
      <w:r>
        <w:rPr>
          <w:rFonts w:ascii="Arial" w:cs="Arial" w:eastAsia="Arial" w:hAnsi="Arial"/>
          <w:sz w:val="15"/>
          <w:szCs w:val="15"/>
          <w:color w:val="auto"/>
        </w:rPr>
        <w:t>None</w:t>
      </w:r>
    </w:p>
    <w:p>
      <w:pPr>
        <w:spacing w:after="0" w:line="200" w:lineRule="exact"/>
        <w:rPr>
          <w:sz w:val="20"/>
          <w:szCs w:val="20"/>
          <w:color w:val="auto"/>
        </w:rPr>
      </w:pPr>
    </w:p>
    <w:p>
      <w:pPr>
        <w:spacing w:after="0" w:line="20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13335</wp:posOffset>
            </wp:positionV>
            <wp:extent cx="569531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9" w:right="480"/>
        <w:spacing w:after="0" w:line="255" w:lineRule="auto"/>
        <w:rPr>
          <w:sz w:val="20"/>
          <w:szCs w:val="20"/>
          <w:color w:val="auto"/>
        </w:rPr>
      </w:pPr>
      <w:r>
        <w:rPr>
          <w:rFonts w:ascii="Arial" w:cs="Arial" w:eastAsia="Arial" w:hAnsi="Arial"/>
          <w:sz w:val="16"/>
          <w:szCs w:val="16"/>
          <w:color w:val="auto"/>
        </w:rPr>
        <w:t>Gregg W. Steinhafel was the Chairman, President and Chief Executive Officer of Target Corporation</w:t>
      </w:r>
      <w:r>
        <w:rPr>
          <w:rFonts w:ascii="Arial" w:cs="Arial" w:eastAsia="Arial" w:hAnsi="Arial"/>
          <w:sz w:val="13"/>
          <w:szCs w:val="13"/>
          <w:color w:val="auto"/>
        </w:rPr>
        <w:t>(2)</w:t>
      </w:r>
      <w:r>
        <w:rPr>
          <w:rFonts w:ascii="Arial" w:cs="Arial" w:eastAsia="Arial" w:hAnsi="Arial"/>
          <w:sz w:val="16"/>
          <w:szCs w:val="16"/>
          <w:color w:val="auto"/>
        </w:rPr>
        <w:t>, Minneapolis, Minnesota (a variety retailing company). He held the following positions, all at Target:</w:t>
      </w:r>
    </w:p>
    <w:p>
      <w:pPr>
        <w:spacing w:after="0" w:line="1" w:lineRule="exact"/>
        <w:rPr>
          <w:sz w:val="20"/>
          <w:szCs w:val="20"/>
          <w:color w:val="auto"/>
        </w:rPr>
      </w:pPr>
    </w:p>
    <w:p>
      <w:pPr>
        <w:ind w:left="149" w:hanging="149"/>
        <w:spacing w:after="0"/>
        <w:tabs>
          <w:tab w:leader="none" w:pos="1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Chairman of the Board (February 2009 – May 2014)</w:t>
      </w:r>
    </w:p>
    <w:p>
      <w:pPr>
        <w:spacing w:after="0" w:line="12" w:lineRule="exact"/>
        <w:rPr>
          <w:rFonts w:ascii="Arial" w:cs="Arial" w:eastAsia="Arial" w:hAnsi="Arial"/>
          <w:sz w:val="16"/>
          <w:szCs w:val="16"/>
          <w:color w:val="auto"/>
        </w:rPr>
      </w:pPr>
    </w:p>
    <w:p>
      <w:pPr>
        <w:ind w:left="149" w:hanging="149"/>
        <w:spacing w:after="0"/>
        <w:tabs>
          <w:tab w:leader="none" w:pos="1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Chief Executive Officer (May 2008 – May 2014)</w:t>
      </w:r>
    </w:p>
    <w:p>
      <w:pPr>
        <w:spacing w:after="0" w:line="12" w:lineRule="exact"/>
        <w:rPr>
          <w:rFonts w:ascii="Arial" w:cs="Arial" w:eastAsia="Arial" w:hAnsi="Arial"/>
          <w:sz w:val="16"/>
          <w:szCs w:val="16"/>
          <w:color w:val="auto"/>
        </w:rPr>
      </w:pPr>
    </w:p>
    <w:p>
      <w:pPr>
        <w:ind w:left="149" w:hanging="149"/>
        <w:spacing w:after="0"/>
        <w:tabs>
          <w:tab w:leader="none" w:pos="1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Director (January 2007 – May 2014)</w:t>
      </w:r>
    </w:p>
    <w:p>
      <w:pPr>
        <w:spacing w:after="0" w:line="12" w:lineRule="exact"/>
        <w:rPr>
          <w:rFonts w:ascii="Arial" w:cs="Arial" w:eastAsia="Arial" w:hAnsi="Arial"/>
          <w:sz w:val="16"/>
          <w:szCs w:val="16"/>
          <w:color w:val="auto"/>
        </w:rPr>
      </w:pPr>
    </w:p>
    <w:p>
      <w:pPr>
        <w:ind w:left="149" w:hanging="149"/>
        <w:spacing w:after="0"/>
        <w:tabs>
          <w:tab w:leader="none" w:pos="1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President (1999 – May 2014)</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106680</wp:posOffset>
            </wp:positionV>
            <wp:extent cx="569531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08" w:lineRule="exact"/>
        <w:rPr>
          <w:sz w:val="20"/>
          <w:szCs w:val="20"/>
          <w:color w:val="auto"/>
        </w:rPr>
      </w:pPr>
    </w:p>
    <w:p>
      <w:pPr>
        <w:ind w:left="9" w:right="40"/>
        <w:spacing w:after="0" w:line="242" w:lineRule="auto"/>
        <w:rPr>
          <w:sz w:val="20"/>
          <w:szCs w:val="20"/>
          <w:color w:val="auto"/>
        </w:rPr>
      </w:pPr>
      <w:r>
        <w:rPr>
          <w:rFonts w:ascii="Arial" w:cs="Arial" w:eastAsia="Arial" w:hAnsi="Arial"/>
          <w:sz w:val="16"/>
          <w:szCs w:val="16"/>
          <w:color w:val="auto"/>
        </w:rPr>
        <w:t>Mr. Steinhafel brings to our Board meaningful leadership experience and retail knowledge, including a deep understanding of the value of strong brand recognition, devotion to innovation, strong supply chain initiatives, and a disciplined approach to business management and investment in future growth. In addition, he contributes decision-making skills and valuable strategic planning expertise, as well as relevant knowledge of public company requirements and issues, including those related to corporate governance and executive compensation matters. Mr. Steinhafel’s significant retail knowledge assists our Board in providing guidance with respect to our residential business, which is affected by consumer confidence and spending levels, changing buying patterns of customers and product placement at mass retailers.</w:t>
      </w:r>
    </w:p>
    <w:p>
      <w:pPr>
        <w:spacing w:after="0" w:line="200" w:lineRule="exact"/>
        <w:rPr>
          <w:sz w:val="20"/>
          <w:szCs w:val="20"/>
          <w:color w:val="auto"/>
        </w:rPr>
      </w:pPr>
    </w:p>
    <w:p>
      <w:pPr>
        <w:spacing w:after="0" w:line="31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13335</wp:posOffset>
            </wp:positionV>
            <wp:extent cx="569531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41" w:lineRule="exact"/>
        <w:rPr>
          <w:sz w:val="20"/>
          <w:szCs w:val="20"/>
          <w:color w:val="auto"/>
        </w:rPr>
      </w:pPr>
    </w:p>
    <w:p>
      <w:pPr>
        <w:ind w:left="1869"/>
        <w:spacing w:after="0"/>
        <w:tabs>
          <w:tab w:leader="none" w:pos="6149"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969"/>
        <w:spacing w:after="0"/>
        <w:tabs>
          <w:tab w:leader="none" w:pos="5969"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Target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8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50165</wp:posOffset>
            </wp:positionV>
            <wp:extent cx="729996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2160" w:space="371"/>
            <w:col w:w="8869"/>
          </w:cols>
          <w:pgMar w:left="240" w:top="140" w:right="259" w:bottom="1440" w:gutter="0" w:footer="0" w:header="0"/>
        </w:sectPr>
      </w:pPr>
    </w:p>
    <w:bookmarkStart w:id="23" w:name="page24"/>
    <w:bookmarkEnd w:id="2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1003935" cy="12528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0393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C00000"/>
        </w:rPr>
        <w:t>Michael G. Vale,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150177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24" w:lineRule="exact"/>
        <w:rPr>
          <w:sz w:val="20"/>
          <w:szCs w:val="20"/>
          <w:color w:val="auto"/>
        </w:rPr>
      </w:pPr>
    </w:p>
    <w:p>
      <w:pPr>
        <w:ind w:left="62"/>
        <w:spacing w:after="0"/>
        <w:rPr>
          <w:sz w:val="20"/>
          <w:szCs w:val="20"/>
          <w:color w:val="auto"/>
        </w:rPr>
      </w:pPr>
      <w:r>
        <w:rPr>
          <w:rFonts w:ascii="Arial" w:cs="Arial" w:eastAsia="Arial" w:hAnsi="Arial"/>
          <w:sz w:val="16"/>
          <w:szCs w:val="16"/>
          <w:color w:val="auto"/>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5017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2"/>
        <w:spacing w:after="0"/>
        <w:rPr>
          <w:sz w:val="20"/>
          <w:szCs w:val="20"/>
          <w:color w:val="auto"/>
        </w:rPr>
      </w:pPr>
      <w:r>
        <w:rPr>
          <w:rFonts w:ascii="Arial" w:cs="Arial" w:eastAsia="Arial" w:hAnsi="Arial"/>
          <w:sz w:val="16"/>
          <w:szCs w:val="16"/>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50177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2"/>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50177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ind w:left="242" w:hanging="132"/>
        <w:spacing w:after="0"/>
        <w:tabs>
          <w:tab w:leader="none" w:pos="2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Audit</w:t>
      </w:r>
    </w:p>
    <w:p>
      <w:pPr>
        <w:spacing w:after="0" w:line="12" w:lineRule="exact"/>
        <w:rPr>
          <w:rFonts w:ascii="Arial" w:cs="Arial" w:eastAsia="Arial" w:hAnsi="Arial"/>
          <w:sz w:val="16"/>
          <w:szCs w:val="16"/>
          <w:color w:val="auto"/>
        </w:rPr>
      </w:pPr>
    </w:p>
    <w:p>
      <w:pPr>
        <w:ind w:left="262" w:hanging="156"/>
        <w:spacing w:after="0"/>
        <w:tabs>
          <w:tab w:leader="none" w:pos="2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207772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13335</wp:posOffset>
            </wp:positionV>
            <wp:extent cx="569531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9"/>
        <w:spacing w:after="0" w:line="255" w:lineRule="auto"/>
        <w:rPr>
          <w:sz w:val="20"/>
          <w:szCs w:val="20"/>
          <w:color w:val="auto"/>
        </w:rPr>
      </w:pPr>
      <w:r>
        <w:rPr>
          <w:rFonts w:ascii="Arial" w:cs="Arial" w:eastAsia="Arial" w:hAnsi="Arial"/>
          <w:sz w:val="16"/>
          <w:szCs w:val="16"/>
          <w:color w:val="auto"/>
        </w:rPr>
        <w:t>Michael G. Vale, Ph.D., is the Executive Vice President, Health Care Business Group of 3M Company, St. Paul, Minnesota (a global diversified technology company). He holds or has held the following positions, all at 3M:</w:t>
      </w:r>
    </w:p>
    <w:p>
      <w:pPr>
        <w:spacing w:after="0" w:line="1" w:lineRule="exact"/>
        <w:rPr>
          <w:sz w:val="20"/>
          <w:szCs w:val="20"/>
          <w:color w:val="auto"/>
        </w:rPr>
      </w:pPr>
    </w:p>
    <w:p>
      <w:pPr>
        <w:ind w:left="149" w:hanging="149"/>
        <w:spacing w:after="0"/>
        <w:tabs>
          <w:tab w:leader="none" w:pos="1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Vice President, Health Care Business Group (since July 2016)</w:t>
      </w:r>
    </w:p>
    <w:p>
      <w:pPr>
        <w:spacing w:after="0" w:line="12" w:lineRule="exact"/>
        <w:rPr>
          <w:rFonts w:ascii="Arial" w:cs="Arial" w:eastAsia="Arial" w:hAnsi="Arial"/>
          <w:sz w:val="16"/>
          <w:szCs w:val="16"/>
          <w:color w:val="auto"/>
        </w:rPr>
      </w:pPr>
    </w:p>
    <w:p>
      <w:pPr>
        <w:ind w:left="149" w:hanging="149"/>
        <w:spacing w:after="0"/>
        <w:tabs>
          <w:tab w:leader="none" w:pos="1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Vice President, Consumer Business Group (August 2011 – July 2016)</w:t>
      </w:r>
    </w:p>
    <w:p>
      <w:pPr>
        <w:spacing w:after="0" w:line="12" w:lineRule="exact"/>
        <w:rPr>
          <w:rFonts w:ascii="Arial" w:cs="Arial" w:eastAsia="Arial" w:hAnsi="Arial"/>
          <w:sz w:val="16"/>
          <w:szCs w:val="16"/>
          <w:color w:val="auto"/>
        </w:rPr>
      </w:pPr>
    </w:p>
    <w:p>
      <w:pPr>
        <w:ind w:left="149" w:right="580" w:hanging="149"/>
        <w:spacing w:after="0" w:line="271" w:lineRule="auto"/>
        <w:tabs>
          <w:tab w:leader="none" w:pos="15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positions include product development engineer; manufacturing director; managing director, 3M Spain; and managing director, 3M Brazil</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114300</wp:posOffset>
            </wp:positionV>
            <wp:extent cx="569531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20"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16"/>
          <w:szCs w:val="16"/>
          <w:color w:val="auto"/>
        </w:rPr>
        <w:t>Dr. Vale brings to our Board extensive global business experience and expertise in research and development, technology and manufacturing. Dr. Vale also contributes substantial knowledge of consumer marketing, distribution channels, supply chaing, mergers and acquisitions and managing customer relationships, all of which provide valuable management insight with respect to our strategic planning and assist our Board in providing oversight to our businesses.</w:t>
      </w:r>
    </w:p>
    <w:p>
      <w:pPr>
        <w:spacing w:after="0" w:line="15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160655</wp:posOffset>
            </wp:positionV>
            <wp:extent cx="569531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74" w:lineRule="exact"/>
        <w:rPr>
          <w:sz w:val="20"/>
          <w:szCs w:val="20"/>
          <w:color w:val="auto"/>
        </w:rPr>
      </w:pPr>
    </w:p>
    <w:p>
      <w:pPr>
        <w:ind w:left="1869"/>
        <w:spacing w:after="0"/>
        <w:tabs>
          <w:tab w:leader="none" w:pos="6149"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969"/>
        <w:spacing w:after="0"/>
        <w:tabs>
          <w:tab w:leader="none" w:pos="6449"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196" w:lineRule="exact"/>
        <w:rPr>
          <w:sz w:val="20"/>
          <w:szCs w:val="20"/>
          <w:color w:val="auto"/>
        </w:rPr>
      </w:pPr>
    </w:p>
    <w:p>
      <w:pPr>
        <w:sectPr>
          <w:pgSz w:w="11900" w:h="16838" w:orient="portrait"/>
          <w:cols w:equalWidth="0" w:num="2">
            <w:col w:w="1813" w:space="720"/>
            <w:col w:w="8829"/>
          </w:cols>
          <w:pgMar w:left="238" w:top="140" w:right="299" w:bottom="1440" w:gutter="0" w:footer="0" w:header="0"/>
        </w:sectPr>
      </w:pPr>
    </w:p>
    <w:p>
      <w:pPr>
        <w:ind w:left="402" w:right="240" w:hanging="402"/>
        <w:spacing w:after="0" w:line="255" w:lineRule="auto"/>
        <w:tabs>
          <w:tab w:leader="none" w:pos="4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December 31, 2009, Idearc emerged from voluntary Chapter 11 bankruptcy proceedings that it filed in the United States Bankruptcy Court for the Northern District of Texas, Dallas Division, on March 31, 2009, which was after Ms. Harless retired from Idearc.</w:t>
      </w:r>
    </w:p>
    <w:p>
      <w:pPr>
        <w:spacing w:after="0" w:line="25" w:lineRule="exact"/>
        <w:rPr>
          <w:rFonts w:ascii="Arial" w:cs="Arial" w:eastAsia="Arial" w:hAnsi="Arial"/>
          <w:sz w:val="16"/>
          <w:szCs w:val="16"/>
          <w:color w:val="auto"/>
        </w:rPr>
      </w:pPr>
    </w:p>
    <w:p>
      <w:pPr>
        <w:ind w:left="402" w:right="320" w:hanging="402"/>
        <w:spacing w:after="0" w:line="255" w:lineRule="auto"/>
        <w:tabs>
          <w:tab w:leader="none" w:pos="4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January 2015, after Mr. Steinhafel left Target, Target Canada Co., an indirect wholly owned subsidiary of Target, filed an application for protection under the Companies’ Creditors Arrangement Act with the Ontario Superior Court of Justice in Toronto and was deconsolidated.</w:t>
      </w:r>
    </w:p>
    <w:p>
      <w:pPr>
        <w:spacing w:after="0" w:line="369"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2"/>
          </w:cols>
          <w:pgMar w:left="238" w:top="140" w:right="299" w:bottom="1440" w:gutter="0" w:footer="0" w:header="0"/>
          <w:type w:val="continuous"/>
        </w:sectPr>
      </w:pPr>
    </w:p>
    <w:bookmarkStart w:id="24" w:name="page25"/>
    <w:bookmarkEnd w:id="24"/>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59320" cy="186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21"/>
        <w:spacing w:after="0"/>
        <w:rPr>
          <w:sz w:val="20"/>
          <w:szCs w:val="20"/>
          <w:color w:val="auto"/>
        </w:rPr>
      </w:pPr>
      <w:r>
        <w:rPr>
          <w:rFonts w:ascii="Arial" w:cs="Arial" w:eastAsia="Arial" w:hAnsi="Arial"/>
          <w:sz w:val="20"/>
          <w:szCs w:val="20"/>
          <w:b w:val="1"/>
          <w:bCs w:val="1"/>
          <w:color w:val="FFFFFF"/>
        </w:rPr>
        <w:t>CORPORATE GOVERNANCE</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Corporate Governance Guidelines</w:t>
      </w:r>
    </w:p>
    <w:p>
      <w:pPr>
        <w:spacing w:after="0" w:line="112" w:lineRule="exact"/>
        <w:rPr>
          <w:sz w:val="20"/>
          <w:szCs w:val="20"/>
          <w:color w:val="auto"/>
        </w:rPr>
      </w:pPr>
    </w:p>
    <w:p>
      <w:pPr>
        <w:ind w:left="2" w:firstLine="408"/>
        <w:spacing w:after="0" w:line="243" w:lineRule="auto"/>
        <w:rPr>
          <w:sz w:val="20"/>
          <w:szCs w:val="20"/>
          <w:color w:val="auto"/>
        </w:rPr>
      </w:pPr>
      <w:r>
        <w:rPr>
          <w:rFonts w:ascii="Arial" w:cs="Arial" w:eastAsia="Arial" w:hAnsi="Arial"/>
          <w:sz w:val="16"/>
          <w:szCs w:val="16"/>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board limits; director access to officers and employees; director compensation; director independence; related party transactions; director orientation and continuing education; CEO evaluation and management succession; and Board annual self-evaluation. Our Corporate Governance Guidelines provide, among other things, that:</w:t>
      </w:r>
    </w:p>
    <w:p>
      <w:pPr>
        <w:spacing w:after="0" w:line="184" w:lineRule="exact"/>
        <w:rPr>
          <w:sz w:val="20"/>
          <w:szCs w:val="20"/>
          <w:color w:val="auto"/>
        </w:rPr>
      </w:pPr>
    </w:p>
    <w:p>
      <w:pPr>
        <w:ind w:left="802" w:hanging="398"/>
        <w:spacing w:after="0"/>
        <w:tabs>
          <w:tab w:leader="none" w:pos="802" w:val="left"/>
        </w:tabs>
        <w:numPr>
          <w:ilvl w:val="0"/>
          <w:numId w:val="32"/>
        </w:numPr>
        <w:rPr>
          <w:rFonts w:ascii="Arial" w:cs="Arial" w:eastAsia="Arial" w:hAnsi="Arial"/>
          <w:sz w:val="15"/>
          <w:szCs w:val="15"/>
          <w:color w:val="auto"/>
        </w:rPr>
      </w:pPr>
      <w:r>
        <w:rPr>
          <w:rFonts w:ascii="Arial" w:cs="Arial" w:eastAsia="Arial" w:hAnsi="Arial"/>
          <w:sz w:val="16"/>
          <w:szCs w:val="16"/>
          <w:color w:val="auto"/>
        </w:rPr>
        <w:t>The Board will have a majority of directors who meet the criteria for independence required by law, the SEC and the NYSE listing standards;</w:t>
      </w:r>
    </w:p>
    <w:p>
      <w:pPr>
        <w:spacing w:after="0" w:line="97" w:lineRule="exact"/>
        <w:rPr>
          <w:rFonts w:ascii="Arial" w:cs="Arial" w:eastAsia="Arial" w:hAnsi="Arial"/>
          <w:sz w:val="15"/>
          <w:szCs w:val="15"/>
          <w:color w:val="auto"/>
        </w:rPr>
      </w:pPr>
    </w:p>
    <w:p>
      <w:pPr>
        <w:ind w:left="802" w:right="580" w:hanging="398"/>
        <w:spacing w:after="0" w:line="255" w:lineRule="auto"/>
        <w:tabs>
          <w:tab w:leader="none" w:pos="802" w:val="left"/>
        </w:tabs>
        <w:numPr>
          <w:ilvl w:val="0"/>
          <w:numId w:val="32"/>
        </w:numPr>
        <w:rPr>
          <w:rFonts w:ascii="Arial" w:cs="Arial" w:eastAsia="Arial" w:hAnsi="Arial"/>
          <w:sz w:val="15"/>
          <w:szCs w:val="15"/>
          <w:color w:val="auto"/>
        </w:rPr>
      </w:pPr>
      <w:r>
        <w:rPr>
          <w:rFonts w:ascii="Arial" w:cs="Arial" w:eastAsia="Arial" w:hAnsi="Arial"/>
          <w:sz w:val="16"/>
          <w:szCs w:val="16"/>
          <w:color w:val="auto"/>
        </w:rPr>
        <w:t>No director shall sit on boards of directors of more than four publicly held companies without the approval of the Nominating &amp; Governance Committee;</w:t>
      </w:r>
    </w:p>
    <w:p>
      <w:pPr>
        <w:spacing w:after="0" w:line="74" w:lineRule="exact"/>
        <w:rPr>
          <w:rFonts w:ascii="Arial" w:cs="Arial" w:eastAsia="Arial" w:hAnsi="Arial"/>
          <w:sz w:val="15"/>
          <w:szCs w:val="15"/>
          <w:color w:val="auto"/>
        </w:rPr>
      </w:pPr>
    </w:p>
    <w:p>
      <w:pPr>
        <w:ind w:left="802" w:hanging="398"/>
        <w:spacing w:after="0" w:line="255" w:lineRule="auto"/>
        <w:tabs>
          <w:tab w:leader="none" w:pos="802" w:val="left"/>
        </w:tabs>
        <w:numPr>
          <w:ilvl w:val="0"/>
          <w:numId w:val="32"/>
        </w:numPr>
        <w:rPr>
          <w:rFonts w:ascii="Arial" w:cs="Arial" w:eastAsia="Arial" w:hAnsi="Arial"/>
          <w:sz w:val="15"/>
          <w:szCs w:val="15"/>
          <w:color w:val="auto"/>
        </w:rPr>
      </w:pPr>
      <w:r>
        <w:rPr>
          <w:rFonts w:ascii="Arial" w:cs="Arial" w:eastAsia="Arial" w:hAnsi="Arial"/>
          <w:sz w:val="16"/>
          <w:szCs w:val="16"/>
          <w:color w:val="auto"/>
        </w:rPr>
        <w:t>No director who is an active, full-time employee of our Company shall serve as a director of more than two other publicly held companies and there shall be no interlocking board memberships without the approval of the Nominating &amp; Governance Committee;</w:t>
      </w:r>
    </w:p>
    <w:p>
      <w:pPr>
        <w:spacing w:after="0" w:line="74" w:lineRule="exact"/>
        <w:rPr>
          <w:rFonts w:ascii="Arial" w:cs="Arial" w:eastAsia="Arial" w:hAnsi="Arial"/>
          <w:sz w:val="15"/>
          <w:szCs w:val="15"/>
          <w:color w:val="auto"/>
        </w:rPr>
      </w:pPr>
    </w:p>
    <w:p>
      <w:pPr>
        <w:ind w:left="802" w:right="280" w:hanging="398"/>
        <w:spacing w:after="0" w:line="255" w:lineRule="auto"/>
        <w:tabs>
          <w:tab w:leader="none" w:pos="802" w:val="left"/>
        </w:tabs>
        <w:numPr>
          <w:ilvl w:val="0"/>
          <w:numId w:val="32"/>
        </w:numPr>
        <w:rPr>
          <w:rFonts w:ascii="Arial" w:cs="Arial" w:eastAsia="Arial" w:hAnsi="Arial"/>
          <w:sz w:val="15"/>
          <w:szCs w:val="15"/>
          <w:color w:val="auto"/>
        </w:rPr>
      </w:pPr>
      <w:r>
        <w:rPr>
          <w:rFonts w:ascii="Arial" w:cs="Arial" w:eastAsia="Arial" w:hAnsi="Arial"/>
          <w:sz w:val="16"/>
          <w:szCs w:val="16"/>
          <w:color w:val="auto"/>
        </w:rPr>
        <w:t>While the Board does not believe it should establish age limits, any director who has attained the age of 70 should volunteer not to stand for re-election;</w:t>
      </w:r>
    </w:p>
    <w:p>
      <w:pPr>
        <w:spacing w:after="0" w:line="74" w:lineRule="exact"/>
        <w:rPr>
          <w:rFonts w:ascii="Arial" w:cs="Arial" w:eastAsia="Arial" w:hAnsi="Arial"/>
          <w:sz w:val="15"/>
          <w:szCs w:val="15"/>
          <w:color w:val="auto"/>
        </w:rPr>
      </w:pPr>
    </w:p>
    <w:p>
      <w:pPr>
        <w:ind w:left="802" w:right="100" w:hanging="398"/>
        <w:spacing w:after="0" w:line="247" w:lineRule="auto"/>
        <w:tabs>
          <w:tab w:leader="none" w:pos="802" w:val="left"/>
        </w:tabs>
        <w:numPr>
          <w:ilvl w:val="0"/>
          <w:numId w:val="32"/>
        </w:numPr>
        <w:rPr>
          <w:rFonts w:ascii="Arial" w:cs="Arial" w:eastAsia="Arial" w:hAnsi="Arial"/>
          <w:sz w:val="15"/>
          <w:szCs w:val="15"/>
          <w:color w:val="auto"/>
        </w:rPr>
      </w:pPr>
      <w:r>
        <w:rPr>
          <w:rFonts w:ascii="Arial" w:cs="Arial" w:eastAsia="Arial" w:hAnsi="Arial"/>
          <w:sz w:val="16"/>
          <w:szCs w:val="16"/>
          <w:color w:val="auto"/>
        </w:rPr>
        <w:t>The CEO will annually review with the Board top management succession plans, including development plans for succession candidates, and will periodically review with the Board an emergency leadership preparedness plan applicable in the event the CEO unexpectedly becomes incapacitated or otherwise is unable to serve; and</w:t>
      </w:r>
    </w:p>
    <w:p>
      <w:pPr>
        <w:spacing w:after="0" w:line="81" w:lineRule="exact"/>
        <w:rPr>
          <w:rFonts w:ascii="Arial" w:cs="Arial" w:eastAsia="Arial" w:hAnsi="Arial"/>
          <w:sz w:val="15"/>
          <w:szCs w:val="15"/>
          <w:color w:val="auto"/>
        </w:rPr>
      </w:pPr>
    </w:p>
    <w:p>
      <w:pPr>
        <w:ind w:left="802" w:hanging="398"/>
        <w:spacing w:after="0"/>
        <w:tabs>
          <w:tab w:leader="none" w:pos="802" w:val="left"/>
        </w:tabs>
        <w:numPr>
          <w:ilvl w:val="0"/>
          <w:numId w:val="32"/>
        </w:numPr>
        <w:rPr>
          <w:rFonts w:ascii="Arial" w:cs="Arial" w:eastAsia="Arial" w:hAnsi="Arial"/>
          <w:sz w:val="15"/>
          <w:szCs w:val="15"/>
          <w:color w:val="auto"/>
        </w:rPr>
      </w:pPr>
      <w:r>
        <w:rPr>
          <w:rFonts w:ascii="Arial" w:cs="Arial" w:eastAsia="Arial" w:hAnsi="Arial"/>
          <w:sz w:val="16"/>
          <w:szCs w:val="16"/>
          <w:color w:val="auto"/>
        </w:rPr>
        <w:t>The Board will conduct an annual self-evaluation to determine whether it and its committees are functioning effectively.</w:t>
      </w:r>
    </w:p>
    <w:p>
      <w:pPr>
        <w:spacing w:after="0" w:line="98" w:lineRule="exact"/>
        <w:rPr>
          <w:sz w:val="20"/>
          <w:szCs w:val="20"/>
          <w:color w:val="auto"/>
        </w:rPr>
      </w:pPr>
    </w:p>
    <w:p>
      <w:pPr>
        <w:jc w:val="both"/>
        <w:ind w:left="2" w:right="140" w:firstLine="408"/>
        <w:spacing w:after="0" w:line="247" w:lineRule="auto"/>
        <w:rPr>
          <w:sz w:val="20"/>
          <w:szCs w:val="20"/>
          <w:color w:val="auto"/>
        </w:rPr>
      </w:pPr>
      <w:r>
        <w:rPr>
          <w:rFonts w:ascii="Arial" w:cs="Arial" w:eastAsia="Arial" w:hAnsi="Arial"/>
          <w:sz w:val="16"/>
          <w:szCs w:val="16"/>
          <w:color w:val="auto"/>
        </w:rPr>
        <w:t>Our Corporate Governance Guidelines can be found on our website at www.thetorocompany.com/corporategovernance. From time to time the Board, upon recommendation of the Nominating &amp; Governance Committee, reviews and updates our Corporate Governance Guidelines as it deems necessary and appropriate.</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Board Leadership Structure</w:t>
      </w:r>
    </w:p>
    <w:p>
      <w:pPr>
        <w:spacing w:after="0" w:line="112" w:lineRule="exact"/>
        <w:rPr>
          <w:sz w:val="20"/>
          <w:szCs w:val="20"/>
          <w:color w:val="auto"/>
        </w:rPr>
      </w:pPr>
    </w:p>
    <w:p>
      <w:pPr>
        <w:ind w:left="2" w:right="80" w:firstLine="408"/>
        <w:spacing w:after="0" w:line="241" w:lineRule="auto"/>
        <w:rPr>
          <w:sz w:val="20"/>
          <w:szCs w:val="20"/>
          <w:color w:val="auto"/>
        </w:rPr>
      </w:pPr>
      <w:r>
        <w:rPr>
          <w:rFonts w:ascii="Arial" w:cs="Arial" w:eastAsia="Arial" w:hAnsi="Arial"/>
          <w:sz w:val="16"/>
          <w:szCs w:val="16"/>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 if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Independent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non-employee director being in a position of leadership and, thus, our Corporate Governance Guidelines require a Lead Independent Director when the Chairman is not independent.</w:t>
      </w:r>
    </w:p>
    <w:p>
      <w:pPr>
        <w:spacing w:after="0" w:line="89" w:lineRule="exact"/>
        <w:rPr>
          <w:sz w:val="20"/>
          <w:szCs w:val="20"/>
          <w:color w:val="auto"/>
        </w:rPr>
      </w:pPr>
    </w:p>
    <w:p>
      <w:pPr>
        <w:ind w:left="2" w:right="20" w:firstLine="408"/>
        <w:spacing w:after="0" w:line="239" w:lineRule="auto"/>
        <w:rPr>
          <w:sz w:val="20"/>
          <w:szCs w:val="20"/>
          <w:color w:val="auto"/>
        </w:rPr>
      </w:pPr>
      <w:r>
        <w:rPr>
          <w:rFonts w:ascii="Arial" w:cs="Arial" w:eastAsia="Arial" w:hAnsi="Arial"/>
          <w:sz w:val="16"/>
          <w:szCs w:val="16"/>
          <w:color w:val="auto"/>
        </w:rPr>
        <w:t>Our Board is currently chaired by Richard M. Olson, our Chairman and CEO. Our Lead Independent Director is Mr. Buhrmaster and he will serve in this role until his retirement from our Board in connection with the annual meeting. Our Nominating &amp; Governance Committee and Board believe that our current Board leadership structure ensures a strong and independent Board of Directors, provides effective governance, creates appropriate oversight for the long-term benefit of our shareholders and is appropriate for several reasons, including: (i) Mr. Olson’s extensive knowledge of our Company, our business, operations and industry, obtained through his more than 32 years of service to our Company, which benefit Board leadership and the Board’s decision-making process through his active role as Chairman; (ii) unification of Board leadership and strategic direction as implemented by our Management; and</w:t>
      </w:r>
    </w:p>
    <w:p>
      <w:pPr>
        <w:spacing w:after="0" w:line="3" w:lineRule="exact"/>
        <w:rPr>
          <w:sz w:val="20"/>
          <w:szCs w:val="20"/>
          <w:color w:val="auto"/>
        </w:rPr>
      </w:pPr>
    </w:p>
    <w:p>
      <w:pPr>
        <w:ind w:left="2" w:right="200" w:hanging="2"/>
        <w:spacing w:after="0" w:line="255" w:lineRule="auto"/>
        <w:tabs>
          <w:tab w:leader="none" w:pos="2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appropriate balance of risks relating to concentration of authority through the oversight of our independent and engaged Lead Independent Director and Board.</w:t>
      </w:r>
    </w:p>
    <w:p>
      <w:pPr>
        <w:spacing w:after="0" w:line="17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2"/>
          </w:cols>
          <w:pgMar w:left="238" w:top="140"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As our Lead Independent Director, Mr. Buhrmaster (i) assists Mr. Olson in establishing the agendas for Board meetings and the schedule of agenda subjects to be discussed during the year, to the extent such subjects can be foreseen; (ii) presides at regularly scheduled executive sessions of the non-employee directors without Management present; (iii) together with the Chair of the Compensation &amp; Human Resources Committee, communicates to Mr. Olson the results of his annual performance review and compensation; and (iv) leads the Board’s annual self-evaluation. With more than 22 years of continuous service on our Board, Mr. Buhrmaster has developed considerable knowledge of our Company, our business and our industry. Mr. Buhrmaster also has significant public company board experience. In addition to serving as our Lead Independent Director, Mr. Buhrmaster serves as the Chair of our Nominating &amp; Governance Committee and will continue to do so until his retirement from our Board in connection with the annual meeting.</w:t>
      </w:r>
    </w:p>
    <w:p>
      <w:pPr>
        <w:spacing w:after="0" w:line="86"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In anticipation of Mr. Buhrmaster’s retirement at the annual meeting, the Board has selected Mr. Ellis to serve as our next Lead Independent Director. The appointment of Mr. Ellis as our Lead Independent Director will be effective immediately following the annual meeting. Our Nominating &amp; Governance Committee and Board believe that the selection of Mr. Ellis as our next Lead Independent Director will continue our commitment to having a strong and independent Board of Directors that provides effective governance and appropriate oversight for the long-term benefit of our shareholders. Mr. Ellis has served on our Board for more than 12 years and has been a member of our Audit Committee and Chair of our Finance Committee throughout his tenure. As a result, he has developed a deep understanding of our Company, business and industry. In addition, as a recently retired executive officer from Medtronic, he has significant public company experience that the Nominating &amp; Governance Committee and the Board believe will continue the effective balance of Management authority and Board oversight. More information about Mr. Ellis’ background may be found on page 11. Mr. Ellis will also continue to serve as Chair of our Finance Committee.</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Independence</w:t>
      </w:r>
    </w:p>
    <w:p>
      <w:pPr>
        <w:spacing w:after="0" w:line="112" w:lineRule="exact"/>
        <w:rPr>
          <w:sz w:val="20"/>
          <w:szCs w:val="20"/>
          <w:color w:val="auto"/>
        </w:rPr>
      </w:pPr>
    </w:p>
    <w:p>
      <w:pPr>
        <w:ind w:firstLine="408"/>
        <w:spacing w:after="0"/>
        <w:rPr>
          <w:sz w:val="20"/>
          <w:szCs w:val="20"/>
          <w:color w:val="auto"/>
        </w:rPr>
      </w:pPr>
      <w:r>
        <w:rPr>
          <w:rFonts w:ascii="Arial" w:cs="Arial" w:eastAsia="Arial" w:hAnsi="Arial"/>
          <w:sz w:val="16"/>
          <w:szCs w:val="16"/>
          <w:color w:val="auto"/>
        </w:rPr>
        <w:t>The Board, following consideration of all relevant facts and circumstances and upon recommendation of the Nominating &amp; Governance Committee, has affirmatively determined that each director who served as a member of our Board during fiscal 2018 (Robert C. Buhrmaster, Janet K. Cooper, Gary L. Ellis, Jeffrey M. Ettinger, Katherine J. Harless, D. Christian Koch, James C. O’Rourke, Gregg W. Steinhafel, Christopher A. Twomey and Michael G. Vale) other than Michael J. Hoffman, our former Executive Chairman who served until November 3, 2017, and Richard M. Olson, our current Chairman and CEO, is independent. In addition, the Board, following consideration of all relevant facts and circumstances and upon recommendation of the Nominating &amp; Governance Committee, has affirmatively determined that each of Jeffrey L. Harmening and Joyce A. Mullen is independent. These determinations were made because each such person has no material relationship with our Company, our Management, our independent registered public accounting firm, or external auditor, our independent external compensation consultant or our external compensation legal advisers, and otherwise meets the independence requirements as established by applicable law, the rules and regulations of the SEC and the NYSE listing standards.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Attendance; Executive Sessions</w:t>
      </w:r>
    </w:p>
    <w:p>
      <w:pPr>
        <w:spacing w:after="0" w:line="112" w:lineRule="exact"/>
        <w:rPr>
          <w:sz w:val="20"/>
          <w:szCs w:val="20"/>
          <w:color w:val="auto"/>
        </w:rPr>
      </w:pPr>
    </w:p>
    <w:p>
      <w:pPr>
        <w:ind w:right="20" w:firstLine="408"/>
        <w:spacing w:after="0" w:line="243" w:lineRule="auto"/>
        <w:rPr>
          <w:sz w:val="20"/>
          <w:szCs w:val="20"/>
          <w:color w:val="auto"/>
        </w:rPr>
      </w:pPr>
      <w:r>
        <w:rPr>
          <w:rFonts w:ascii="Arial" w:cs="Arial" w:eastAsia="Arial" w:hAnsi="Arial"/>
          <w:sz w:val="16"/>
          <w:szCs w:val="16"/>
          <w:color w:val="auto"/>
        </w:rPr>
        <w:t>The Board held seven meetings during fiscal 2018 and took action by unanimous written consent once in fiscal 2018. Each incumbent director attended at least 75% of the aggregate total number of meetings held by the Board and all committees on which he or she served. Our Corporate Governance Guidelines provide that the non-employee directors will meet in regularly scheduled executive sessions without Management. At each regular Board meeting held during fiscal 2018 our non-employee directors met in executive session without Management present and such meetings were presided over by our Lead Independent Director.</w:t>
      </w:r>
    </w:p>
    <w:p>
      <w:pPr>
        <w:spacing w:after="0" w:line="86" w:lineRule="exact"/>
        <w:rPr>
          <w:sz w:val="20"/>
          <w:szCs w:val="20"/>
          <w:color w:val="auto"/>
        </w:rPr>
      </w:pPr>
    </w:p>
    <w:p>
      <w:pPr>
        <w:ind w:right="20" w:firstLine="408"/>
        <w:spacing w:after="0" w:line="247" w:lineRule="auto"/>
        <w:rPr>
          <w:sz w:val="20"/>
          <w:szCs w:val="20"/>
          <w:color w:val="auto"/>
        </w:rPr>
      </w:pPr>
      <w:r>
        <w:rPr>
          <w:rFonts w:ascii="Arial" w:cs="Arial" w:eastAsia="Arial" w:hAnsi="Arial"/>
          <w:sz w:val="16"/>
          <w:szCs w:val="16"/>
          <w:color w:val="auto"/>
        </w:rPr>
        <w:t>We expect all of our directors and our director nominees to attend our annual meeting of shareholders and we customarily schedule a regular Board meeting on the same day as our annual meeting. All directors serving at the time of our 2018 Annual Meeting of Shareholders held on March 20, 2018 were in attendance.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Committees</w:t>
      </w:r>
    </w:p>
    <w:p>
      <w:pPr>
        <w:spacing w:after="0" w:line="112" w:lineRule="exact"/>
        <w:rPr>
          <w:sz w:val="20"/>
          <w:szCs w:val="20"/>
          <w:color w:val="auto"/>
        </w:rPr>
      </w:pPr>
    </w:p>
    <w:p>
      <w:pPr>
        <w:ind w:right="100" w:firstLine="408"/>
        <w:spacing w:after="0" w:line="242" w:lineRule="auto"/>
        <w:rPr>
          <w:sz w:val="20"/>
          <w:szCs w:val="20"/>
          <w:color w:val="auto"/>
        </w:rPr>
      </w:pPr>
      <w:r>
        <w:rPr>
          <w:rFonts w:ascii="Arial" w:cs="Arial" w:eastAsia="Arial" w:hAnsi="Arial"/>
          <w:sz w:val="16"/>
          <w:szCs w:val="16"/>
          <w:color w:val="auto"/>
        </w:rPr>
        <w:t>The Board has four committees, the Audit Committee, Compensation &amp; Human Resources Committee, Nominating &amp; Governance Committee, and Finance Committee. Each committee has a charter that is posted on our website at www.thetorocompany.com/corporategovernance. The charter of each committee describes the principal functions of the committee.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 The Chair of each Board committee provides a summary of the matters discussed in their committee meeting to the full Board.</w:t>
      </w:r>
    </w:p>
    <w:p>
      <w:pPr>
        <w:spacing w:after="0" w:line="88" w:lineRule="exact"/>
        <w:rPr>
          <w:sz w:val="20"/>
          <w:szCs w:val="20"/>
          <w:color w:val="auto"/>
        </w:rPr>
      </w:pPr>
    </w:p>
    <w:p>
      <w:pPr>
        <w:ind w:firstLine="408"/>
        <w:spacing w:after="0" w:line="247" w:lineRule="auto"/>
        <w:rPr>
          <w:sz w:val="20"/>
          <w:szCs w:val="20"/>
          <w:color w:val="auto"/>
        </w:rPr>
      </w:pPr>
      <w:r>
        <w:rPr>
          <w:rFonts w:ascii="Arial" w:cs="Arial" w:eastAsia="Arial" w:hAnsi="Arial"/>
          <w:sz w:val="16"/>
          <w:szCs w:val="16"/>
          <w:color w:val="auto"/>
        </w:rPr>
        <w:t>The Board has determined that each of the members, current and as anticipated immediately after the annual meeting,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as applicable.</w:t>
      </w:r>
    </w:p>
    <w:p>
      <w:pPr>
        <w:spacing w:after="0" w:line="81" w:lineRule="exact"/>
        <w:rPr>
          <w:sz w:val="20"/>
          <w:szCs w:val="20"/>
          <w:color w:val="auto"/>
        </w:rPr>
      </w:pPr>
    </w:p>
    <w:p>
      <w:pPr>
        <w:ind w:right="20" w:firstLine="408"/>
        <w:spacing w:after="0" w:line="243" w:lineRule="auto"/>
        <w:rPr>
          <w:sz w:val="20"/>
          <w:szCs w:val="20"/>
          <w:color w:val="auto"/>
        </w:rPr>
      </w:pPr>
      <w:r>
        <w:rPr>
          <w:rFonts w:ascii="Arial" w:cs="Arial" w:eastAsia="Arial" w:hAnsi="Arial"/>
          <w:sz w:val="16"/>
          <w:szCs w:val="16"/>
          <w:color w:val="auto"/>
        </w:rPr>
        <w:t>The current membership of each committee, the anticipated future membership of each committee immediately after the annual meeting, the number of times each committee met, including by executive session, during fiscal 2018 and key functions of each committee are noted in the table and accompanying footnotes below. Neither Mr. Olson, nor Mr. Hoffman prior to his retirement as Executive Chairman, is or was a member of any Board committee. In fiscal 2018 Mr. Olson attended, and currently may attend, various committee meetings, or portions of such meetings as appropriate, as a member of Management at the invitation of such Board committees.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-772160</wp:posOffset>
            </wp:positionV>
            <wp:extent cx="1190625" cy="15951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90625" cy="15951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Key Committee Functions</w:t>
      </w:r>
    </w:p>
    <w:p>
      <w:pPr>
        <w:spacing w:after="0" w:line="42" w:lineRule="exact"/>
        <w:rPr>
          <w:sz w:val="20"/>
          <w:szCs w:val="20"/>
          <w:color w:val="auto"/>
        </w:rPr>
      </w:pPr>
    </w:p>
    <w:p>
      <w:pPr>
        <w:ind w:left="120" w:right="120" w:hanging="120"/>
        <w:spacing w:after="0" w:line="227" w:lineRule="auto"/>
        <w:tabs>
          <w:tab w:leader="none" w:pos="99" w:val="left"/>
        </w:tabs>
        <w:numPr>
          <w:ilvl w:val="0"/>
          <w:numId w:val="34"/>
        </w:numPr>
        <w:rPr>
          <w:rFonts w:ascii="Arial" w:cs="Arial" w:eastAsia="Arial" w:hAnsi="Arial"/>
          <w:sz w:val="15"/>
          <w:szCs w:val="15"/>
          <w:color w:val="auto"/>
        </w:rPr>
      </w:pPr>
      <w:r>
        <w:rPr>
          <w:rFonts w:ascii="Arial" w:cs="Arial" w:eastAsia="Arial" w:hAnsi="Arial"/>
          <w:sz w:val="15"/>
          <w:szCs w:val="15"/>
          <w:color w:val="auto"/>
        </w:rPr>
        <w:t>Oversees the accounting and financial reporting processes, audits of consolidated financial statements and internal controls over financial reporting</w:t>
      </w:r>
    </w:p>
    <w:p>
      <w:pPr>
        <w:spacing w:after="0" w:line="9" w:lineRule="exact"/>
        <w:rPr>
          <w:rFonts w:ascii="Arial" w:cs="Arial" w:eastAsia="Arial" w:hAnsi="Arial"/>
          <w:sz w:val="15"/>
          <w:szCs w:val="15"/>
          <w:color w:val="auto"/>
        </w:rPr>
      </w:pPr>
    </w:p>
    <w:p>
      <w:pPr>
        <w:ind w:left="120" w:hanging="120"/>
        <w:spacing w:after="0" w:line="234" w:lineRule="auto"/>
        <w:tabs>
          <w:tab w:leader="none" w:pos="99" w:val="left"/>
        </w:tabs>
        <w:numPr>
          <w:ilvl w:val="0"/>
          <w:numId w:val="34"/>
        </w:numPr>
        <w:rPr>
          <w:rFonts w:ascii="Arial" w:cs="Arial" w:eastAsia="Arial" w:hAnsi="Arial"/>
          <w:sz w:val="15"/>
          <w:szCs w:val="15"/>
          <w:color w:val="auto"/>
        </w:rPr>
      </w:pPr>
      <w:r>
        <w:rPr>
          <w:rFonts w:ascii="Arial" w:cs="Arial" w:eastAsia="Arial" w:hAnsi="Arial"/>
          <w:sz w:val="15"/>
          <w:szCs w:val="15"/>
          <w:color w:val="auto"/>
        </w:rPr>
        <w:t>Selects, compensates and evaluates independent external auditor</w:t>
      </w:r>
    </w:p>
    <w:p>
      <w:pPr>
        <w:spacing w:after="0" w:line="6" w:lineRule="exact"/>
        <w:rPr>
          <w:rFonts w:ascii="Arial" w:cs="Arial" w:eastAsia="Arial" w:hAnsi="Arial"/>
          <w:sz w:val="15"/>
          <w:szCs w:val="15"/>
          <w:color w:val="auto"/>
        </w:rPr>
      </w:pPr>
    </w:p>
    <w:p>
      <w:pPr>
        <w:ind w:left="120" w:right="20" w:hanging="120"/>
        <w:spacing w:after="0" w:line="229" w:lineRule="auto"/>
        <w:tabs>
          <w:tab w:leader="none" w:pos="99"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Reviews with Management and external auditor Annual Reports on Form 10-K, Quarterly Reports on Form 10-Q and earnings releases</w:t>
      </w:r>
    </w:p>
    <w:p>
      <w:pPr>
        <w:spacing w:after="0" w:line="20" w:lineRule="exact"/>
        <w:rPr>
          <w:rFonts w:ascii="Arial" w:cs="Arial" w:eastAsia="Arial" w:hAnsi="Arial"/>
          <w:sz w:val="15"/>
          <w:szCs w:val="15"/>
          <w:color w:val="auto"/>
        </w:rPr>
      </w:pPr>
    </w:p>
    <w:p>
      <w:pPr>
        <w:ind w:left="120" w:right="260" w:hanging="120"/>
        <w:spacing w:after="0" w:line="227" w:lineRule="auto"/>
        <w:tabs>
          <w:tab w:leader="none" w:pos="99"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Reviews general policies and procedures with respect to accounting and financial matters, internal controls and disclosure controls and procedures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126" w:right="480" w:hanging="126"/>
        <w:spacing w:after="0" w:line="246" w:lineRule="auto"/>
        <w:tabs>
          <w:tab w:leader="none" w:pos="105"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Reviews internal audit’s annual audit plans, performance, audit recommendations and applicable responses from Management</w:t>
      </w:r>
    </w:p>
    <w:p>
      <w:pPr>
        <w:spacing w:after="0" w:line="7" w:lineRule="exact"/>
        <w:rPr>
          <w:rFonts w:ascii="Arial" w:cs="Arial" w:eastAsia="Arial" w:hAnsi="Arial"/>
          <w:sz w:val="14"/>
          <w:szCs w:val="14"/>
          <w:color w:val="auto"/>
        </w:rPr>
      </w:pPr>
    </w:p>
    <w:p>
      <w:pPr>
        <w:ind w:left="126" w:hanging="126"/>
        <w:spacing w:after="0" w:line="225" w:lineRule="auto"/>
        <w:tabs>
          <w:tab w:leader="none" w:pos="105"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spacing w:after="0" w:line="10" w:lineRule="exact"/>
        <w:rPr>
          <w:rFonts w:ascii="Arial" w:cs="Arial" w:eastAsia="Arial" w:hAnsi="Arial"/>
          <w:sz w:val="15"/>
          <w:szCs w:val="15"/>
          <w:color w:val="auto"/>
        </w:rPr>
      </w:pPr>
    </w:p>
    <w:p>
      <w:pPr>
        <w:ind w:left="126" w:right="840" w:hanging="126"/>
        <w:spacing w:after="0" w:line="234" w:lineRule="auto"/>
        <w:tabs>
          <w:tab w:leader="none" w:pos="105"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Provides oversight for Enterprise Risk Management, or ERM, process</w:t>
      </w:r>
    </w:p>
    <w:p>
      <w:pPr>
        <w:spacing w:after="0" w:line="18" w:lineRule="exact"/>
        <w:rPr>
          <w:rFonts w:ascii="Arial" w:cs="Arial" w:eastAsia="Arial" w:hAnsi="Arial"/>
          <w:sz w:val="15"/>
          <w:szCs w:val="15"/>
          <w:color w:val="auto"/>
        </w:rPr>
      </w:pPr>
    </w:p>
    <w:p>
      <w:pPr>
        <w:ind w:left="126" w:right="500" w:hanging="126"/>
        <w:spacing w:after="0" w:line="234" w:lineRule="auto"/>
        <w:tabs>
          <w:tab w:leader="none" w:pos="105"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Reviews Information Services strategy and security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65405</wp:posOffset>
            </wp:positionV>
            <wp:extent cx="606869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Committee Members</w:t>
      </w:r>
      <w:r>
        <w:rPr>
          <w:rFonts w:ascii="Arial" w:cs="Arial" w:eastAsia="Arial" w:hAnsi="Arial"/>
          <w:sz w:val="24"/>
          <w:szCs w:val="24"/>
          <w:b w:val="1"/>
          <w:bCs w:val="1"/>
          <w:color w:val="C00000"/>
          <w:vertAlign w:val="superscript"/>
        </w:rPr>
        <w:t>(1), (2)</w:t>
      </w:r>
    </w:p>
    <w:p>
      <w:pPr>
        <w:spacing w:after="0"/>
        <w:rPr>
          <w:sz w:val="20"/>
          <w:szCs w:val="20"/>
          <w:color w:val="auto"/>
        </w:rPr>
      </w:pPr>
      <w:r>
        <w:rPr>
          <w:rFonts w:ascii="Arial" w:cs="Arial" w:eastAsia="Arial" w:hAnsi="Arial"/>
          <w:sz w:val="15"/>
          <w:szCs w:val="15"/>
          <w:color w:val="auto"/>
        </w:rPr>
        <w:t>Ms. Cooper (Chair)</w:t>
      </w:r>
    </w:p>
    <w:p>
      <w:pPr>
        <w:spacing w:after="0"/>
        <w:rPr>
          <w:sz w:val="20"/>
          <w:szCs w:val="20"/>
          <w:color w:val="auto"/>
        </w:rPr>
      </w:pPr>
      <w:r>
        <w:rPr>
          <w:rFonts w:ascii="Arial" w:cs="Arial" w:eastAsia="Arial" w:hAnsi="Arial"/>
          <w:sz w:val="15"/>
          <w:szCs w:val="15"/>
          <w:color w:val="auto"/>
        </w:rPr>
        <w:t>Mr. Ellis</w:t>
      </w:r>
    </w:p>
    <w:p>
      <w:pPr>
        <w:spacing w:after="0"/>
        <w:rPr>
          <w:sz w:val="20"/>
          <w:szCs w:val="20"/>
          <w:color w:val="auto"/>
        </w:rPr>
      </w:pPr>
      <w:r>
        <w:rPr>
          <w:rFonts w:ascii="Arial" w:cs="Arial" w:eastAsia="Arial" w:hAnsi="Arial"/>
          <w:sz w:val="15"/>
          <w:szCs w:val="15"/>
          <w:color w:val="auto"/>
        </w:rPr>
        <w:t>Ms. Harless</w:t>
      </w:r>
    </w:p>
    <w:p>
      <w:pPr>
        <w:spacing w:after="0"/>
        <w:rPr>
          <w:sz w:val="20"/>
          <w:szCs w:val="20"/>
          <w:color w:val="auto"/>
        </w:rPr>
      </w:pPr>
      <w:r>
        <w:rPr>
          <w:rFonts w:ascii="Arial" w:cs="Arial" w:eastAsia="Arial" w:hAnsi="Arial"/>
          <w:sz w:val="15"/>
          <w:szCs w:val="15"/>
          <w:color w:val="auto"/>
        </w:rPr>
        <w:t>Mr. Koch</w:t>
      </w:r>
    </w:p>
    <w:p>
      <w:pPr>
        <w:spacing w:after="0"/>
        <w:rPr>
          <w:sz w:val="20"/>
          <w:szCs w:val="20"/>
          <w:color w:val="auto"/>
        </w:rPr>
      </w:pPr>
      <w:r>
        <w:rPr>
          <w:rFonts w:ascii="Arial" w:cs="Arial" w:eastAsia="Arial" w:hAnsi="Arial"/>
          <w:sz w:val="15"/>
          <w:szCs w:val="15"/>
          <w:color w:val="auto"/>
        </w:rPr>
        <w:t>Dr. Vale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2018</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13</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6 – with Committee</w:t>
      </w:r>
    </w:p>
    <w:p>
      <w:pPr>
        <w:spacing w:after="0"/>
        <w:rPr>
          <w:sz w:val="20"/>
          <w:szCs w:val="20"/>
          <w:color w:val="auto"/>
        </w:rPr>
      </w:pPr>
      <w:r>
        <w:rPr>
          <w:rFonts w:ascii="Arial" w:cs="Arial" w:eastAsia="Arial" w:hAnsi="Arial"/>
          <w:sz w:val="15"/>
          <w:szCs w:val="15"/>
          <w:color w:val="auto"/>
        </w:rPr>
        <w:t>6 – with Management</w:t>
      </w:r>
    </w:p>
    <w:p>
      <w:pPr>
        <w:spacing w:after="0"/>
        <w:rPr>
          <w:sz w:val="20"/>
          <w:szCs w:val="20"/>
          <w:color w:val="auto"/>
        </w:rPr>
      </w:pPr>
      <w:r>
        <w:rPr>
          <w:rFonts w:ascii="Arial" w:cs="Arial" w:eastAsia="Arial" w:hAnsi="Arial"/>
          <w:sz w:val="15"/>
          <w:szCs w:val="15"/>
          <w:color w:val="auto"/>
        </w:rPr>
        <w:t>4 – with internal auditor</w:t>
      </w:r>
    </w:p>
    <w:p>
      <w:pPr>
        <w:spacing w:after="0"/>
        <w:rPr>
          <w:sz w:val="20"/>
          <w:szCs w:val="20"/>
          <w:color w:val="auto"/>
        </w:rPr>
      </w:pPr>
      <w:r>
        <w:rPr>
          <w:rFonts w:ascii="Arial" w:cs="Arial" w:eastAsia="Arial" w:hAnsi="Arial"/>
          <w:sz w:val="15"/>
          <w:szCs w:val="15"/>
          <w:color w:val="auto"/>
        </w:rPr>
        <w:t>5 – with external auditor</w:t>
      </w:r>
    </w:p>
    <w:p>
      <w:pPr>
        <w:spacing w:after="0" w:line="60" w:lineRule="exact"/>
        <w:rPr>
          <w:sz w:val="20"/>
          <w:szCs w:val="20"/>
          <w:color w:val="auto"/>
        </w:rPr>
      </w:pPr>
    </w:p>
    <w:p>
      <w:pPr>
        <w:sectPr>
          <w:pgSz w:w="11900" w:h="16838" w:orient="portrait"/>
          <w:cols w:equalWidth="0" w:num="4">
            <w:col w:w="1360" w:space="560"/>
            <w:col w:w="3340" w:space="154"/>
            <w:col w:w="3386" w:space="140"/>
            <w:col w:w="2480"/>
          </w:cols>
          <w:pgMar w:left="240" w:top="140" w:right="239" w:bottom="1440" w:gutter="0" w:footer="0" w:header="0"/>
          <w:type w:val="continuous"/>
        </w:sectPr>
      </w:pPr>
    </w:p>
    <w:p>
      <w:pPr>
        <w:ind w:left="300" w:hanging="293"/>
        <w:spacing w:after="0"/>
        <w:rPr>
          <w:sz w:val="20"/>
          <w:szCs w:val="20"/>
          <w:color w:val="auto"/>
        </w:rPr>
      </w:pPr>
      <w:r>
        <w:rPr>
          <w:rFonts w:ascii="Arial" w:cs="Arial" w:eastAsia="Arial" w:hAnsi="Arial"/>
          <w:sz w:val="15"/>
          <w:szCs w:val="15"/>
          <w:color w:val="auto"/>
        </w:rPr>
        <w:t>(1)In anticipation of the election of Mr. Harmening and Ms. Mullen at the annual meeting, the Nominating &amp; Governance Committee and Board have determined that Mr. Harmening will join the Audit Committee, effective immediately after his election to our Board by our shareholders at the annual meeting. In addition, Mr. Koch will transition from being a member of the Audit Committee and Finance Committee to a member of the Nominating &amp; Governance Committee and Compensation &amp; Human Resources Committee in connection with such elections.</w:t>
      </w:r>
    </w:p>
    <w:p>
      <w:pPr>
        <w:spacing w:after="0" w:line="45" w:lineRule="exact"/>
        <w:rPr>
          <w:sz w:val="20"/>
          <w:szCs w:val="20"/>
          <w:color w:val="auto"/>
        </w:rPr>
      </w:pPr>
    </w:p>
    <w:p>
      <w:pPr>
        <w:ind w:left="300" w:right="40" w:hanging="293"/>
        <w:spacing w:after="0" w:line="267" w:lineRule="auto"/>
        <w:rPr>
          <w:sz w:val="20"/>
          <w:szCs w:val="20"/>
          <w:color w:val="auto"/>
        </w:rPr>
      </w:pPr>
      <w:r>
        <w:rPr>
          <w:rFonts w:ascii="Arial" w:cs="Arial" w:eastAsia="Arial" w:hAnsi="Arial"/>
          <w:sz w:val="14"/>
          <w:szCs w:val="14"/>
          <w:color w:val="auto"/>
        </w:rPr>
        <w:t>(2)The Board has determined that all members of the Audit Committee (current and as anticipated immediately after the annual meeting) are financially literate and that each of Janet K. Cooper and Gary L. Ellis meets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190625" cy="129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9062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220"/>
        <w:spacing w:after="0" w:line="260" w:lineRule="auto"/>
        <w:rPr>
          <w:sz w:val="20"/>
          <w:szCs w:val="20"/>
          <w:color w:val="auto"/>
        </w:rPr>
      </w:pPr>
      <w:r>
        <w:rPr>
          <w:rFonts w:ascii="Arial" w:cs="Arial" w:eastAsia="Arial" w:hAnsi="Arial"/>
          <w:sz w:val="16"/>
          <w:szCs w:val="16"/>
          <w:b w:val="1"/>
          <w:bCs w:val="1"/>
          <w:color w:val="FFFFFF"/>
        </w:rPr>
        <w:t>Compensation &amp; Human Resources Committee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Key Committee Functions</w:t>
      </w:r>
    </w:p>
    <w:p>
      <w:pPr>
        <w:spacing w:after="0" w:line="42" w:lineRule="exact"/>
        <w:rPr>
          <w:sz w:val="20"/>
          <w:szCs w:val="20"/>
          <w:color w:val="auto"/>
        </w:rPr>
      </w:pPr>
    </w:p>
    <w:p>
      <w:pPr>
        <w:ind w:left="120" w:hanging="120"/>
        <w:spacing w:after="0" w:line="246" w:lineRule="auto"/>
        <w:tabs>
          <w:tab w:leader="none" w:pos="99" w:val="left"/>
        </w:tabs>
        <w:numPr>
          <w:ilvl w:val="0"/>
          <w:numId w:val="36"/>
        </w:numPr>
        <w:rPr>
          <w:rFonts w:ascii="Arial" w:cs="Arial" w:eastAsia="Arial" w:hAnsi="Arial"/>
          <w:sz w:val="14"/>
          <w:szCs w:val="14"/>
          <w:color w:val="auto"/>
        </w:rPr>
      </w:pPr>
      <w:r>
        <w:rPr>
          <w:rFonts w:ascii="Arial" w:cs="Arial" w:eastAsia="Arial" w:hAnsi="Arial"/>
          <w:sz w:val="14"/>
          <w:szCs w:val="14"/>
          <w:color w:val="auto"/>
        </w:rPr>
        <w:t>Approves the compensation levels, salaries, incentive opportunities and other compensation arrangements for the CEO and executive officers</w:t>
      </w:r>
    </w:p>
    <w:p>
      <w:pPr>
        <w:spacing w:after="0" w:line="7" w:lineRule="exact"/>
        <w:rPr>
          <w:rFonts w:ascii="Arial" w:cs="Arial" w:eastAsia="Arial" w:hAnsi="Arial"/>
          <w:sz w:val="14"/>
          <w:szCs w:val="14"/>
          <w:color w:val="auto"/>
        </w:rPr>
      </w:pPr>
    </w:p>
    <w:p>
      <w:pPr>
        <w:ind w:left="120" w:hanging="120"/>
        <w:spacing w:after="0" w:line="246" w:lineRule="auto"/>
        <w:tabs>
          <w:tab w:leader="none" w:pos="99"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Reviews compensation policies and practices as they affect all employees and relate to risk management practices and risk-taking incentives</w:t>
      </w:r>
    </w:p>
    <w:p>
      <w:pPr>
        <w:spacing w:after="0" w:line="7" w:lineRule="exact"/>
        <w:rPr>
          <w:rFonts w:ascii="Arial" w:cs="Arial" w:eastAsia="Arial" w:hAnsi="Arial"/>
          <w:sz w:val="14"/>
          <w:szCs w:val="14"/>
          <w:color w:val="auto"/>
        </w:rPr>
      </w:pPr>
    </w:p>
    <w:p>
      <w:pPr>
        <w:ind w:left="100" w:hanging="100"/>
        <w:spacing w:after="0"/>
        <w:tabs>
          <w:tab w:leader="none" w:pos="1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Evaluates the CEO’s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26" w:right="320" w:hanging="126"/>
        <w:spacing w:after="0" w:line="234" w:lineRule="auto"/>
        <w:tabs>
          <w:tab w:leader="none" w:pos="105" w:val="left"/>
        </w:tabs>
        <w:numPr>
          <w:ilvl w:val="0"/>
          <w:numId w:val="37"/>
        </w:numPr>
        <w:rPr>
          <w:rFonts w:ascii="Arial" w:cs="Arial" w:eastAsia="Arial" w:hAnsi="Arial"/>
          <w:sz w:val="15"/>
          <w:szCs w:val="15"/>
          <w:color w:val="auto"/>
        </w:rPr>
      </w:pPr>
      <w:r>
        <w:rPr>
          <w:rFonts w:ascii="Arial" w:cs="Arial" w:eastAsia="Arial" w:hAnsi="Arial"/>
          <w:sz w:val="15"/>
          <w:szCs w:val="15"/>
          <w:color w:val="auto"/>
        </w:rPr>
        <w:t>Approves performance goals for performance based awards</w:t>
      </w:r>
    </w:p>
    <w:p>
      <w:pPr>
        <w:spacing w:after="0" w:line="6" w:lineRule="exact"/>
        <w:rPr>
          <w:rFonts w:ascii="Arial" w:cs="Arial" w:eastAsia="Arial" w:hAnsi="Arial"/>
          <w:sz w:val="15"/>
          <w:szCs w:val="15"/>
          <w:color w:val="auto"/>
        </w:rPr>
      </w:pPr>
    </w:p>
    <w:p>
      <w:pPr>
        <w:ind w:left="126" w:hanging="126"/>
        <w:spacing w:after="0" w:line="226" w:lineRule="auto"/>
        <w:tabs>
          <w:tab w:leader="none" w:pos="105"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Reviews with Management the Compensation Discussion and Analysis, the Committee report on executive compensation, and any compensation-related proposals, including say-on-pay and frequency of say-on-pay proposals</w:t>
      </w:r>
    </w:p>
    <w:p>
      <w:pPr>
        <w:spacing w:after="0" w:line="8" w:lineRule="exact"/>
        <w:rPr>
          <w:rFonts w:ascii="Arial" w:cs="Arial" w:eastAsia="Arial" w:hAnsi="Arial"/>
          <w:sz w:val="15"/>
          <w:szCs w:val="15"/>
          <w:color w:val="auto"/>
        </w:rPr>
      </w:pPr>
    </w:p>
    <w:p>
      <w:pPr>
        <w:ind w:left="126" w:right="260" w:hanging="126"/>
        <w:spacing w:after="0" w:line="234" w:lineRule="auto"/>
        <w:tabs>
          <w:tab w:leader="none" w:pos="105"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Reviews non-employee director compensation components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189865</wp:posOffset>
            </wp:positionV>
            <wp:extent cx="606869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Committee Members</w:t>
      </w:r>
      <w:r>
        <w:rPr>
          <w:rFonts w:ascii="Arial" w:cs="Arial" w:eastAsia="Arial" w:hAnsi="Arial"/>
          <w:sz w:val="24"/>
          <w:szCs w:val="24"/>
          <w:b w:val="1"/>
          <w:bCs w:val="1"/>
          <w:color w:val="C00000"/>
          <w:vertAlign w:val="superscript"/>
        </w:rPr>
        <w:t>(1)</w:t>
      </w:r>
    </w:p>
    <w:p>
      <w:pPr>
        <w:spacing w:after="0"/>
        <w:rPr>
          <w:sz w:val="20"/>
          <w:szCs w:val="20"/>
          <w:color w:val="auto"/>
        </w:rPr>
      </w:pPr>
      <w:r>
        <w:rPr>
          <w:rFonts w:ascii="Arial" w:cs="Arial" w:eastAsia="Arial" w:hAnsi="Arial"/>
          <w:sz w:val="15"/>
          <w:szCs w:val="15"/>
          <w:color w:val="auto"/>
        </w:rPr>
        <w:t>Mr. Twomey (Chair)</w:t>
      </w:r>
    </w:p>
    <w:p>
      <w:pPr>
        <w:spacing w:after="0"/>
        <w:rPr>
          <w:sz w:val="20"/>
          <w:szCs w:val="20"/>
          <w:color w:val="auto"/>
        </w:rPr>
      </w:pPr>
      <w:r>
        <w:rPr>
          <w:rFonts w:ascii="Arial" w:cs="Arial" w:eastAsia="Arial" w:hAnsi="Arial"/>
          <w:sz w:val="15"/>
          <w:szCs w:val="15"/>
          <w:color w:val="auto"/>
        </w:rPr>
        <w:t>Mr. Buhrmaster</w:t>
      </w:r>
    </w:p>
    <w:p>
      <w:pPr>
        <w:spacing w:after="0"/>
        <w:rPr>
          <w:sz w:val="20"/>
          <w:szCs w:val="20"/>
          <w:color w:val="auto"/>
        </w:rPr>
      </w:pPr>
      <w:r>
        <w:rPr>
          <w:rFonts w:ascii="Arial" w:cs="Arial" w:eastAsia="Arial" w:hAnsi="Arial"/>
          <w:sz w:val="15"/>
          <w:szCs w:val="15"/>
          <w:color w:val="auto"/>
        </w:rPr>
        <w:t>Mr. Ettinger</w:t>
      </w:r>
    </w:p>
    <w:p>
      <w:pPr>
        <w:spacing w:after="0"/>
        <w:rPr>
          <w:sz w:val="20"/>
          <w:szCs w:val="20"/>
          <w:color w:val="auto"/>
        </w:rPr>
      </w:pPr>
      <w:r>
        <w:rPr>
          <w:rFonts w:ascii="Arial" w:cs="Arial" w:eastAsia="Arial" w:hAnsi="Arial"/>
          <w:sz w:val="15"/>
          <w:szCs w:val="15"/>
          <w:color w:val="auto"/>
        </w:rPr>
        <w:t>Mr. O’Rourke</w:t>
      </w:r>
    </w:p>
    <w:p>
      <w:pPr>
        <w:spacing w:after="0"/>
        <w:rPr>
          <w:sz w:val="20"/>
          <w:szCs w:val="20"/>
          <w:color w:val="auto"/>
        </w:rPr>
      </w:pPr>
      <w:r>
        <w:rPr>
          <w:rFonts w:ascii="Arial" w:cs="Arial" w:eastAsia="Arial" w:hAnsi="Arial"/>
          <w:sz w:val="15"/>
          <w:szCs w:val="15"/>
          <w:color w:val="auto"/>
        </w:rPr>
        <w:t>Mr. Steinhafel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2018</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4</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 3</w:t>
      </w:r>
    </w:p>
    <w:p>
      <w:pPr>
        <w:spacing w:after="0" w:line="200" w:lineRule="exact"/>
        <w:rPr>
          <w:sz w:val="20"/>
          <w:szCs w:val="20"/>
          <w:color w:val="auto"/>
        </w:rPr>
      </w:pPr>
    </w:p>
    <w:p>
      <w:pPr>
        <w:sectPr>
          <w:pgSz w:w="11900" w:h="16838" w:orient="portrait"/>
          <w:cols w:equalWidth="0" w:num="4">
            <w:col w:w="1660" w:space="260"/>
            <w:col w:w="3300" w:space="194"/>
            <w:col w:w="3366" w:space="160"/>
            <w:col w:w="2460"/>
          </w:cols>
          <w:pgMar w:left="240" w:top="140" w:right="259" w:bottom="1440" w:gutter="0" w:footer="0" w:header="0"/>
        </w:sectPr>
      </w:pPr>
    </w:p>
    <w:p>
      <w:pPr>
        <w:spacing w:after="0" w:line="80" w:lineRule="exact"/>
        <w:rPr>
          <w:sz w:val="20"/>
          <w:szCs w:val="20"/>
          <w:color w:val="auto"/>
        </w:rPr>
      </w:pPr>
    </w:p>
    <w:p>
      <w:pPr>
        <w:ind w:left="300" w:hanging="293"/>
        <w:spacing w:after="0" w:line="239" w:lineRule="auto"/>
        <w:rPr>
          <w:sz w:val="20"/>
          <w:szCs w:val="20"/>
          <w:color w:val="auto"/>
        </w:rPr>
      </w:pPr>
      <w:r>
        <w:rPr>
          <w:rFonts w:ascii="Arial" w:cs="Arial" w:eastAsia="Arial" w:hAnsi="Arial"/>
          <w:sz w:val="15"/>
          <w:szCs w:val="15"/>
          <w:color w:val="auto"/>
        </w:rPr>
        <w:t>(1)In connection with Mr. Twomey’s retirement at the annual meeting, the Nominating &amp; Governance Committee and Board have selected Mr. O’Rouke to serve as Chair of the Compensation &amp; Human Resources Committee, effective immediately following the annual meeting. In addition, in anticipation of the election of Mr. Harmening and Ms. Mullen at the annual meeting, the Nominating &amp; Governance Committee and Board have determined that (i) Ms. Mullen will join the Compensation &amp; Human Resources Committee and Nominating &amp; Governance Committee and (ii) Mr. Koch will transition from being a member of the Audit Committee and Finance Committee to a member of the Nominating &amp; Governance Committee and Compensation &amp; Human Resources Committee, with such appointments to be effective immediately after the election of Ms. Harmening and Ms. Mullen to our Board by our shareholders at the annual meeting.</w:t>
      </w:r>
    </w:p>
    <w:p>
      <w:pPr>
        <w:sectPr>
          <w:pgSz w:w="11900" w:h="16838" w:orient="portrait"/>
          <w:cols w:equalWidth="0" w:num="1">
            <w:col w:w="11400"/>
          </w:cols>
          <w:pgMar w:left="240" w:top="140" w:right="259" w:bottom="1440" w:gutter="0" w:footer="0" w:header="0"/>
          <w:type w:val="continuous"/>
        </w:sectPr>
      </w:pPr>
    </w:p>
    <w:p>
      <w:pPr>
        <w:spacing w:after="0" w:line="140"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C00000"/>
        </w:rPr>
        <w:t>Key Committee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-106045</wp:posOffset>
            </wp:positionV>
            <wp:extent cx="1190625" cy="1159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90625" cy="1159510"/>
                    </a:xfrm>
                    <a:prstGeom prst="rect">
                      <a:avLst/>
                    </a:prstGeom>
                    <a:noFill/>
                  </pic:spPr>
                </pic:pic>
              </a:graphicData>
            </a:graphic>
          </wp:anchor>
        </w:drawing>
      </w:r>
    </w:p>
    <w:p>
      <w:pPr>
        <w:spacing w:after="0" w:line="22" w:lineRule="exact"/>
        <w:rPr>
          <w:sz w:val="20"/>
          <w:szCs w:val="20"/>
          <w:color w:val="auto"/>
        </w:rPr>
      </w:pPr>
    </w:p>
    <w:p>
      <w:pPr>
        <w:ind w:left="2040" w:hanging="120"/>
        <w:spacing w:after="0" w:line="250" w:lineRule="auto"/>
        <w:tabs>
          <w:tab w:leader="none" w:pos="2019"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Reviews and recommends to the Board the size and composition of the Board and its committees</w:t>
      </w:r>
    </w:p>
    <w:p>
      <w:pPr>
        <w:ind w:left="2020" w:hanging="100"/>
        <w:spacing w:after="0" w:line="227" w:lineRule="auto"/>
        <w:tabs>
          <w:tab w:leader="none" w:pos="20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Identifies individuals qualified to become Board</w:t>
      </w:r>
    </w:p>
    <w:p>
      <w:pPr>
        <w:ind w:left="400"/>
        <w:spacing w:after="0"/>
        <w:tabs>
          <w:tab w:leader="none" w:pos="2020" w:val="left"/>
        </w:tabs>
        <w:rPr>
          <w:sz w:val="20"/>
          <w:szCs w:val="20"/>
          <w:color w:val="auto"/>
        </w:rPr>
      </w:pPr>
      <w:r>
        <w:rPr>
          <w:rFonts w:ascii="Arial" w:cs="Arial" w:eastAsia="Arial" w:hAnsi="Arial"/>
          <w:sz w:val="16"/>
          <w:szCs w:val="16"/>
          <w:b w:val="1"/>
          <w:bCs w:val="1"/>
          <w:color w:val="FFFFFF"/>
        </w:rPr>
        <w:t>Nominating &amp;</w:t>
      </w:r>
      <w:r>
        <w:rPr>
          <w:sz w:val="20"/>
          <w:szCs w:val="20"/>
          <w:color w:val="auto"/>
        </w:rPr>
        <w:tab/>
      </w:r>
      <w:r>
        <w:rPr>
          <w:rFonts w:ascii="Arial" w:cs="Arial" w:eastAsia="Arial" w:hAnsi="Arial"/>
          <w:sz w:val="14"/>
          <w:szCs w:val="14"/>
          <w:color w:val="auto"/>
        </w:rPr>
        <w:t>members</w:t>
      </w:r>
    </w:p>
    <w:p>
      <w:pPr>
        <w:ind w:left="2040" w:right="40" w:hanging="2018"/>
        <w:spacing w:after="0" w:line="221" w:lineRule="auto"/>
        <w:rPr>
          <w:sz w:val="20"/>
          <w:szCs w:val="20"/>
          <w:color w:val="auto"/>
        </w:rPr>
      </w:pPr>
      <w:r>
        <w:rPr>
          <w:rFonts w:ascii="Arial" w:cs="Arial" w:eastAsia="Arial" w:hAnsi="Arial"/>
          <w:sz w:val="16"/>
          <w:szCs w:val="16"/>
          <w:b w:val="1"/>
          <w:bCs w:val="1"/>
          <w:color w:val="FFFFFF"/>
        </w:rPr>
        <w:t xml:space="preserve">Governance Committee </w:t>
      </w:r>
      <w:r>
        <w:rPr>
          <w:rFonts w:ascii="Arial" w:cs="Arial" w:eastAsia="Arial" w:hAnsi="Arial"/>
          <w:sz w:val="14"/>
          <w:szCs w:val="14"/>
          <w:color w:val="000000"/>
        </w:rPr>
        <w:t>•</w:t>
      </w:r>
      <w:r>
        <w:rPr>
          <w:rFonts w:ascii="Arial" w:cs="Arial" w:eastAsia="Arial" w:hAnsi="Arial"/>
          <w:sz w:val="16"/>
          <w:szCs w:val="16"/>
          <w:b w:val="1"/>
          <w:bCs w:val="1"/>
          <w:color w:val="FFFFFF"/>
        </w:rPr>
        <w:t xml:space="preserve"> </w:t>
      </w:r>
      <w:r>
        <w:rPr>
          <w:rFonts w:ascii="Arial" w:cs="Arial" w:eastAsia="Arial" w:hAnsi="Arial"/>
          <w:sz w:val="14"/>
          <w:szCs w:val="14"/>
          <w:color w:val="000000"/>
        </w:rPr>
        <w:t>Recommends to the Board director nominees for</w:t>
      </w:r>
      <w:r>
        <w:rPr>
          <w:rFonts w:ascii="Arial" w:cs="Arial" w:eastAsia="Arial" w:hAnsi="Arial"/>
          <w:sz w:val="16"/>
          <w:szCs w:val="16"/>
          <w:b w:val="1"/>
          <w:bCs w:val="1"/>
          <w:color w:val="FFFFFF"/>
        </w:rPr>
        <w:t xml:space="preserve"> </w:t>
      </w:r>
      <w:r>
        <w:rPr>
          <w:rFonts w:ascii="Arial" w:cs="Arial" w:eastAsia="Arial" w:hAnsi="Arial"/>
          <w:sz w:val="14"/>
          <w:szCs w:val="14"/>
          <w:color w:val="000000"/>
        </w:rPr>
        <w:t>election at the annual meeting</w:t>
      </w:r>
    </w:p>
    <w:p>
      <w:pPr>
        <w:spacing w:after="0" w:line="19" w:lineRule="exact"/>
        <w:rPr>
          <w:sz w:val="20"/>
          <w:szCs w:val="20"/>
          <w:color w:val="auto"/>
        </w:rPr>
      </w:pPr>
    </w:p>
    <w:p>
      <w:pPr>
        <w:ind w:left="2020" w:hanging="100"/>
        <w:spacing w:after="0"/>
        <w:tabs>
          <w:tab w:leader="none" w:pos="20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Oversees the annual evaluation of the Board</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126" w:right="20" w:hanging="126"/>
        <w:spacing w:after="0" w:line="227" w:lineRule="auto"/>
        <w:tabs>
          <w:tab w:leader="none" w:pos="105"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Reviews and recommends to the Board any proposed amendments or changes to Restated Certificate of Incorporation or Amended and Restated Bylaws</w:t>
      </w:r>
    </w:p>
    <w:p>
      <w:pPr>
        <w:spacing w:after="0" w:line="9" w:lineRule="exact"/>
        <w:rPr>
          <w:rFonts w:ascii="Arial" w:cs="Arial" w:eastAsia="Arial" w:hAnsi="Arial"/>
          <w:sz w:val="15"/>
          <w:szCs w:val="15"/>
          <w:color w:val="auto"/>
        </w:rPr>
      </w:pPr>
    </w:p>
    <w:p>
      <w:pPr>
        <w:ind w:left="126" w:hanging="126"/>
        <w:spacing w:after="0" w:line="234" w:lineRule="auto"/>
        <w:tabs>
          <w:tab w:leader="none" w:pos="105"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Reviews Corporate Governance Guidelines and recommends to the Board any changes</w:t>
      </w:r>
    </w:p>
    <w:p>
      <w:pPr>
        <w:spacing w:after="0" w:line="6" w:lineRule="exact"/>
        <w:rPr>
          <w:rFonts w:ascii="Arial" w:cs="Arial" w:eastAsia="Arial" w:hAnsi="Arial"/>
          <w:sz w:val="15"/>
          <w:szCs w:val="15"/>
          <w:color w:val="auto"/>
        </w:rPr>
      </w:pPr>
    </w:p>
    <w:p>
      <w:pPr>
        <w:ind w:left="106" w:hanging="106"/>
        <w:spacing w:after="0"/>
        <w:tabs>
          <w:tab w:leader="none" w:pos="106" w:val="left"/>
        </w:tabs>
        <w:numPr>
          <w:ilvl w:val="0"/>
          <w:numId w:val="40"/>
        </w:numPr>
        <w:rPr>
          <w:rFonts w:ascii="Arial" w:cs="Arial" w:eastAsia="Arial" w:hAnsi="Arial"/>
          <w:sz w:val="15"/>
          <w:szCs w:val="15"/>
          <w:color w:val="auto"/>
        </w:rPr>
      </w:pPr>
      <w:r>
        <w:rPr>
          <w:rFonts w:ascii="Arial" w:cs="Arial" w:eastAsia="Arial" w:hAnsi="Arial"/>
          <w:sz w:val="15"/>
          <w:szCs w:val="15"/>
          <w:color w:val="auto"/>
        </w:rPr>
        <w:t>Monitors corporate governance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262890</wp:posOffset>
            </wp:positionV>
            <wp:extent cx="606869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Committee Members</w:t>
      </w:r>
      <w:r>
        <w:rPr>
          <w:rFonts w:ascii="Arial" w:cs="Arial" w:eastAsia="Arial" w:hAnsi="Arial"/>
          <w:sz w:val="24"/>
          <w:szCs w:val="24"/>
          <w:b w:val="1"/>
          <w:bCs w:val="1"/>
          <w:color w:val="C00000"/>
          <w:vertAlign w:val="superscript"/>
        </w:rPr>
        <w:t>(1)</w:t>
      </w:r>
    </w:p>
    <w:p>
      <w:pPr>
        <w:ind w:right="960"/>
        <w:spacing w:after="0"/>
        <w:rPr>
          <w:sz w:val="20"/>
          <w:szCs w:val="20"/>
          <w:color w:val="auto"/>
        </w:rPr>
      </w:pPr>
      <w:r>
        <w:rPr>
          <w:rFonts w:ascii="Arial" w:cs="Arial" w:eastAsia="Arial" w:hAnsi="Arial"/>
          <w:sz w:val="15"/>
          <w:szCs w:val="15"/>
          <w:color w:val="auto"/>
        </w:rPr>
        <w:t>Mr. Buhrmaster (Chair) Mr. Ettinger Mr. O’Rourke Mr. Steinhafel Mr. Twomey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2018</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2</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 2</w:t>
      </w:r>
    </w:p>
    <w:p>
      <w:pPr>
        <w:spacing w:after="0" w:line="72" w:lineRule="exact"/>
        <w:rPr>
          <w:sz w:val="20"/>
          <w:szCs w:val="20"/>
          <w:color w:val="auto"/>
        </w:rPr>
      </w:pPr>
    </w:p>
    <w:p>
      <w:pPr>
        <w:sectPr>
          <w:pgSz w:w="11900" w:h="16838" w:orient="portrait"/>
          <w:cols w:equalWidth="0" w:num="3">
            <w:col w:w="5220" w:space="194"/>
            <w:col w:w="3206" w:space="320"/>
            <w:col w:w="2460"/>
          </w:cols>
          <w:pgMar w:left="240" w:top="140" w:right="259" w:bottom="1440" w:gutter="0" w:footer="0" w:header="0"/>
          <w:type w:val="continuous"/>
        </w:sectPr>
      </w:pPr>
    </w:p>
    <w:p>
      <w:pPr>
        <w:ind w:left="300" w:hanging="293"/>
        <w:spacing w:after="0" w:line="239" w:lineRule="auto"/>
        <w:rPr>
          <w:sz w:val="20"/>
          <w:szCs w:val="20"/>
          <w:color w:val="auto"/>
        </w:rPr>
      </w:pPr>
      <w:r>
        <w:rPr>
          <w:rFonts w:ascii="Arial" w:cs="Arial" w:eastAsia="Arial" w:hAnsi="Arial"/>
          <w:sz w:val="15"/>
          <w:szCs w:val="15"/>
          <w:color w:val="auto"/>
        </w:rPr>
        <w:t>(1)In connection with Mr. Buhrmaster’s retirement at the annual meeting, the Nominating &amp; Governance Committee and the Board have selected Mr. Ettinger to serve as Chair of the Nominating &amp; Governance Committee, effective immediately following the annual meeting. In addition, in anticipation of the election of Mr. Harmening and Ms. Mullen at the annual meeting, the Nominating &amp; Governance Committee and Board have determined that (i) Ms. Mullen will join the Compensation &amp; Human Resources Committee and Nominating &amp; Governance Committee and (ii) Mr. Koch will transition from being a member of the Audit Committee and Finance Committee to a member of the Nominating &amp; Governance Committee and Compensation &amp; Human Resources Committee, with such appointments to be effective immediately after the election of Ms. Harmening and Ms. Mullen to our Board by our shareholders at the annual meeting.</w:t>
      </w:r>
    </w:p>
    <w:p>
      <w:pPr>
        <w:sectPr>
          <w:pgSz w:w="11900" w:h="16838" w:orient="portrait"/>
          <w:cols w:equalWidth="0" w:num="1">
            <w:col w:w="11400"/>
          </w:cols>
          <w:pgMar w:left="240" w:top="140"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-616585</wp:posOffset>
            </wp:positionV>
            <wp:extent cx="1190625" cy="127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90625" cy="127571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Key Committee Functions</w:t>
      </w:r>
    </w:p>
    <w:p>
      <w:pPr>
        <w:spacing w:after="0" w:line="42" w:lineRule="exact"/>
        <w:rPr>
          <w:sz w:val="20"/>
          <w:szCs w:val="20"/>
          <w:color w:val="auto"/>
        </w:rPr>
      </w:pPr>
    </w:p>
    <w:p>
      <w:pPr>
        <w:ind w:left="120" w:hanging="120"/>
        <w:spacing w:after="0" w:line="225" w:lineRule="auto"/>
        <w:tabs>
          <w:tab w:leader="none" w:pos="99"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Reviews, and recommends to the Board as required, capital structure and related financial policies and long-range objectives, capital expenditures, tax strategies and restructuring projects, financing arrangements and cash or any special dividends</w:t>
      </w:r>
    </w:p>
    <w:p>
      <w:pPr>
        <w:spacing w:after="0" w:line="10" w:lineRule="exact"/>
        <w:rPr>
          <w:rFonts w:ascii="Arial" w:cs="Arial" w:eastAsia="Arial" w:hAnsi="Arial"/>
          <w:sz w:val="15"/>
          <w:szCs w:val="15"/>
          <w:color w:val="auto"/>
        </w:rPr>
      </w:pPr>
    </w:p>
    <w:p>
      <w:pPr>
        <w:ind w:left="120" w:right="200" w:hanging="120"/>
        <w:spacing w:after="0" w:line="229" w:lineRule="auto"/>
        <w:tabs>
          <w:tab w:leader="none" w:pos="99"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Reviews and recommends to the Board the authorization for the issuance or repurchase of equity or long-term debt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both"/>
        <w:ind w:left="126" w:hanging="126"/>
        <w:spacing w:after="0" w:line="229" w:lineRule="auto"/>
        <w:tabs>
          <w:tab w:leader="none" w:pos="105"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Reviews use of derivative, hedging and similar instruments to manage financial, currency and interest rate exposure</w:t>
      </w:r>
    </w:p>
    <w:p>
      <w:pPr>
        <w:spacing w:after="0" w:line="8" w:lineRule="exact"/>
        <w:rPr>
          <w:rFonts w:ascii="Arial" w:cs="Arial" w:eastAsia="Arial" w:hAnsi="Arial"/>
          <w:sz w:val="15"/>
          <w:szCs w:val="15"/>
          <w:color w:val="auto"/>
        </w:rPr>
      </w:pPr>
    </w:p>
    <w:p>
      <w:pPr>
        <w:ind w:left="126" w:right="20" w:hanging="126"/>
        <w:spacing w:after="0" w:line="226" w:lineRule="auto"/>
        <w:tabs>
          <w:tab w:leader="none" w:pos="105" w:val="left"/>
        </w:tabs>
        <w:numPr>
          <w:ilvl w:val="0"/>
          <w:numId w:val="42"/>
        </w:numPr>
        <w:rPr>
          <w:rFonts w:ascii="Arial" w:cs="Arial" w:eastAsia="Arial" w:hAnsi="Arial"/>
          <w:sz w:val="15"/>
          <w:szCs w:val="15"/>
          <w:color w:val="auto"/>
        </w:rPr>
      </w:pPr>
      <w:r>
        <w:rPr>
          <w:rFonts w:ascii="Arial" w:cs="Arial" w:eastAsia="Arial" w:hAnsi="Arial"/>
          <w:sz w:val="15"/>
          <w:szCs w:val="15"/>
          <w:color w:val="auto"/>
        </w:rPr>
        <w:t>Evaluates, and recommends to the Board as required, financing implications of certain proposed merger, acquisition, divestiture, joint venture and other business combination transactions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292100</wp:posOffset>
            </wp:positionV>
            <wp:extent cx="606869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Committee Members</w:t>
      </w:r>
      <w:r>
        <w:rPr>
          <w:rFonts w:ascii="Arial" w:cs="Arial" w:eastAsia="Arial" w:hAnsi="Arial"/>
          <w:sz w:val="24"/>
          <w:szCs w:val="24"/>
          <w:b w:val="1"/>
          <w:bCs w:val="1"/>
          <w:color w:val="C00000"/>
          <w:vertAlign w:val="superscript"/>
        </w:rPr>
        <w:t>(1)</w:t>
      </w:r>
    </w:p>
    <w:p>
      <w:pPr>
        <w:spacing w:after="0"/>
        <w:rPr>
          <w:sz w:val="20"/>
          <w:szCs w:val="20"/>
          <w:color w:val="auto"/>
        </w:rPr>
      </w:pPr>
      <w:r>
        <w:rPr>
          <w:rFonts w:ascii="Arial" w:cs="Arial" w:eastAsia="Arial" w:hAnsi="Arial"/>
          <w:sz w:val="15"/>
          <w:szCs w:val="15"/>
          <w:color w:val="auto"/>
        </w:rPr>
        <w:t>Mr. Ellis (Chair)</w:t>
      </w:r>
    </w:p>
    <w:p>
      <w:pPr>
        <w:spacing w:after="0"/>
        <w:rPr>
          <w:sz w:val="20"/>
          <w:szCs w:val="20"/>
          <w:color w:val="auto"/>
        </w:rPr>
      </w:pPr>
      <w:r>
        <w:rPr>
          <w:rFonts w:ascii="Arial" w:cs="Arial" w:eastAsia="Arial" w:hAnsi="Arial"/>
          <w:sz w:val="15"/>
          <w:szCs w:val="15"/>
          <w:color w:val="auto"/>
        </w:rPr>
        <w:t>Ms. Cooper</w:t>
      </w:r>
    </w:p>
    <w:p>
      <w:pPr>
        <w:spacing w:after="0"/>
        <w:rPr>
          <w:sz w:val="20"/>
          <w:szCs w:val="20"/>
          <w:color w:val="auto"/>
        </w:rPr>
      </w:pPr>
      <w:r>
        <w:rPr>
          <w:rFonts w:ascii="Arial" w:cs="Arial" w:eastAsia="Arial" w:hAnsi="Arial"/>
          <w:sz w:val="15"/>
          <w:szCs w:val="15"/>
          <w:color w:val="auto"/>
        </w:rPr>
        <w:t>Ms. Harless</w:t>
      </w:r>
    </w:p>
    <w:p>
      <w:pPr>
        <w:spacing w:after="0"/>
        <w:rPr>
          <w:sz w:val="20"/>
          <w:szCs w:val="20"/>
          <w:color w:val="auto"/>
        </w:rPr>
      </w:pPr>
      <w:r>
        <w:rPr>
          <w:rFonts w:ascii="Arial" w:cs="Arial" w:eastAsia="Arial" w:hAnsi="Arial"/>
          <w:sz w:val="15"/>
          <w:szCs w:val="15"/>
          <w:color w:val="auto"/>
        </w:rPr>
        <w:t>Mr. Koch</w:t>
      </w:r>
    </w:p>
    <w:p>
      <w:pPr>
        <w:spacing w:after="0"/>
        <w:rPr>
          <w:sz w:val="20"/>
          <w:szCs w:val="20"/>
          <w:color w:val="auto"/>
        </w:rPr>
      </w:pPr>
      <w:r>
        <w:rPr>
          <w:rFonts w:ascii="Arial" w:cs="Arial" w:eastAsia="Arial" w:hAnsi="Arial"/>
          <w:sz w:val="15"/>
          <w:szCs w:val="15"/>
          <w:color w:val="auto"/>
        </w:rPr>
        <w:t>Dr. Vale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2018</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7</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 5</w:t>
      </w:r>
    </w:p>
    <w:p>
      <w:pPr>
        <w:spacing w:after="0" w:line="200" w:lineRule="exact"/>
        <w:rPr>
          <w:sz w:val="20"/>
          <w:szCs w:val="20"/>
          <w:color w:val="auto"/>
        </w:rPr>
      </w:pPr>
    </w:p>
    <w:p>
      <w:pPr>
        <w:sectPr>
          <w:pgSz w:w="11900" w:h="16838" w:orient="portrait"/>
          <w:cols w:equalWidth="0" w:num="4">
            <w:col w:w="1360" w:space="560"/>
            <w:col w:w="3340" w:space="154"/>
            <w:col w:w="3126" w:space="400"/>
            <w:col w:w="2460"/>
          </w:cols>
          <w:pgMar w:left="240" w:top="140" w:right="259" w:bottom="1440" w:gutter="0" w:footer="0" w:header="0"/>
          <w:type w:val="continuous"/>
        </w:sectPr>
      </w:pPr>
    </w:p>
    <w:p>
      <w:pPr>
        <w:spacing w:after="0" w:line="56" w:lineRule="exact"/>
        <w:rPr>
          <w:sz w:val="20"/>
          <w:szCs w:val="20"/>
          <w:color w:val="auto"/>
        </w:rPr>
      </w:pPr>
    </w:p>
    <w:p>
      <w:pPr>
        <w:ind w:left="300" w:right="220" w:hanging="293"/>
        <w:spacing w:after="0"/>
        <w:rPr>
          <w:sz w:val="20"/>
          <w:szCs w:val="20"/>
          <w:color w:val="auto"/>
        </w:rPr>
      </w:pPr>
      <w:r>
        <w:rPr>
          <w:rFonts w:ascii="Arial" w:cs="Arial" w:eastAsia="Arial" w:hAnsi="Arial"/>
          <w:sz w:val="15"/>
          <w:szCs w:val="15"/>
          <w:color w:val="auto"/>
        </w:rPr>
        <w:t>(1)In anticipation of the election of Mr. Harmening and Ms. Mullen at the annual meeting, the Nominating &amp; Governance Committee and Board have determined that Mr. Harmening will join the Finance Committee, effective immediately after his election to our Board by our shareholders at the annual meeting. In addition, Mr. Koch will transition from being a member of the Audit Committee and Finance Committee to a member of the Nominating &amp; Governance Committee and Compensation &amp; Human Resources Committee in connection with such elections.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Board’s Role in Risk Oversight</w:t>
      </w:r>
    </w:p>
    <w:p>
      <w:pPr>
        <w:spacing w:after="0" w:line="112" w:lineRule="exact"/>
        <w:rPr>
          <w:sz w:val="20"/>
          <w:szCs w:val="20"/>
          <w:color w:val="auto"/>
        </w:rPr>
      </w:pPr>
    </w:p>
    <w:p>
      <w:pPr>
        <w:ind w:right="480" w:firstLine="408"/>
        <w:spacing w:after="0" w:line="255" w:lineRule="auto"/>
        <w:rPr>
          <w:sz w:val="20"/>
          <w:szCs w:val="20"/>
          <w:color w:val="auto"/>
        </w:rPr>
      </w:pPr>
      <w:r>
        <w:rPr>
          <w:rFonts w:ascii="Arial" w:cs="Arial" w:eastAsia="Arial" w:hAnsi="Arial"/>
          <w:sz w:val="16"/>
          <w:szCs w:val="16"/>
          <w:color w:val="auto"/>
        </w:rPr>
        <w:t>Management is primarily responsible for the identification, assessment and management of the key risks faced by our Company. We engage in an enterprise risk management, or ERM, process, which is coordinated primarily through our internal audit function, and involves:</w:t>
      </w:r>
    </w:p>
    <w:p>
      <w:pPr>
        <w:spacing w:after="0" w:line="75" w:lineRule="exact"/>
        <w:rPr>
          <w:sz w:val="20"/>
          <w:szCs w:val="20"/>
          <w:color w:val="auto"/>
        </w:rPr>
      </w:pPr>
    </w:p>
    <w:p>
      <w:pPr>
        <w:ind w:left="800" w:hanging="398"/>
        <w:spacing w:after="0" w:line="255" w:lineRule="auto"/>
        <w:tabs>
          <w:tab w:leader="none" w:pos="800" w:val="left"/>
        </w:tabs>
        <w:numPr>
          <w:ilvl w:val="0"/>
          <w:numId w:val="43"/>
        </w:numPr>
        <w:rPr>
          <w:rFonts w:ascii="Arial" w:cs="Arial" w:eastAsia="Arial" w:hAnsi="Arial"/>
          <w:sz w:val="15"/>
          <w:szCs w:val="15"/>
          <w:color w:val="auto"/>
        </w:rPr>
      </w:pPr>
      <w:r>
        <w:rPr>
          <w:rFonts w:ascii="Arial" w:cs="Arial" w:eastAsia="Arial" w:hAnsi="Arial"/>
          <w:sz w:val="16"/>
          <w:szCs w:val="16"/>
          <w:color w:val="auto"/>
        </w:rPr>
        <w:t>identification by senior leaders of our business functions and divisions of the particular risks relevant to their respective areas or to our Company as a whole;</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6"/>
          <w:szCs w:val="16"/>
          <w:color w:val="auto"/>
        </w:rPr>
        <w:t>assessment of the materiality of those risks, based on expected probability of occurrence and severity of impact;</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6"/>
          <w:szCs w:val="16"/>
          <w:color w:val="auto"/>
        </w:rPr>
        <w:t>to the extent prudent and feasible, development of strategies and plans to mitigate, monitor and control such risks; and</w:t>
      </w:r>
    </w:p>
    <w:p>
      <w:pPr>
        <w:spacing w:after="0" w:line="97" w:lineRule="exact"/>
        <w:rPr>
          <w:rFonts w:ascii="Arial" w:cs="Arial" w:eastAsia="Arial" w:hAnsi="Arial"/>
          <w:sz w:val="15"/>
          <w:szCs w:val="15"/>
          <w:color w:val="auto"/>
        </w:rPr>
      </w:pPr>
    </w:p>
    <w:p>
      <w:pPr>
        <w:ind w:left="800" w:right="500" w:hanging="398"/>
        <w:spacing w:after="0" w:line="255" w:lineRule="auto"/>
        <w:tabs>
          <w:tab w:leader="none" w:pos="800" w:val="left"/>
        </w:tabs>
        <w:numPr>
          <w:ilvl w:val="0"/>
          <w:numId w:val="43"/>
        </w:numPr>
        <w:rPr>
          <w:rFonts w:ascii="Arial" w:cs="Arial" w:eastAsia="Arial" w:hAnsi="Arial"/>
          <w:sz w:val="15"/>
          <w:szCs w:val="15"/>
          <w:color w:val="auto"/>
        </w:rPr>
      </w:pPr>
      <w:r>
        <w:rPr>
          <w:rFonts w:ascii="Arial" w:cs="Arial" w:eastAsia="Arial" w:hAnsi="Arial"/>
          <w:sz w:val="16"/>
          <w:szCs w:val="16"/>
          <w:color w:val="auto"/>
        </w:rPr>
        <w:t>scheduled reports by the respective senior leaders on such items to the relevant committee or the Board, as applicable, throughout the ERM review cycle.</w:t>
      </w:r>
    </w:p>
    <w:p>
      <w:pPr>
        <w:spacing w:after="0" w:line="75" w:lineRule="exact"/>
        <w:rPr>
          <w:sz w:val="20"/>
          <w:szCs w:val="20"/>
          <w:color w:val="auto"/>
        </w:rPr>
      </w:pPr>
    </w:p>
    <w:p>
      <w:pPr>
        <w:ind w:right="200" w:firstLine="408"/>
        <w:spacing w:after="0" w:line="244" w:lineRule="auto"/>
        <w:rPr>
          <w:sz w:val="20"/>
          <w:szCs w:val="20"/>
          <w:color w:val="auto"/>
        </w:rPr>
      </w:pPr>
      <w:r>
        <w:rPr>
          <w:rFonts w:ascii="Arial" w:cs="Arial" w:eastAsia="Arial" w:hAnsi="Arial"/>
          <w:sz w:val="16"/>
          <w:szCs w:val="16"/>
          <w:color w:val="auto"/>
        </w:rPr>
        <w:t>The Board’s oversight of these risks primarily occurs in connection with the exercise of its responsibility to oversee our business, including through the review of our long-term strategic plans, annual operating plans, financial results, merger and acquisition related activities, material legal proceedings, and management succession plans. In addition, the Board relies on its committees to assist with risk oversight within their respective areas of responsibility and expertise as follows:</w:t>
      </w:r>
    </w:p>
    <w:p>
      <w:pPr>
        <w:spacing w:after="0" w:line="85" w:lineRule="exact"/>
        <w:rPr>
          <w:sz w:val="20"/>
          <w:szCs w:val="20"/>
          <w:color w:val="auto"/>
        </w:rPr>
      </w:pPr>
    </w:p>
    <w:p>
      <w:pPr>
        <w:ind w:left="800" w:right="240" w:hanging="398"/>
        <w:spacing w:after="0" w:line="242" w:lineRule="auto"/>
        <w:tabs>
          <w:tab w:leader="none" w:pos="800" w:val="left"/>
        </w:tabs>
        <w:numPr>
          <w:ilvl w:val="0"/>
          <w:numId w:val="44"/>
        </w:numPr>
        <w:rPr>
          <w:rFonts w:ascii="Arial" w:cs="Arial" w:eastAsia="Arial" w:hAnsi="Arial"/>
          <w:sz w:val="15"/>
          <w:szCs w:val="15"/>
          <w:color w:val="auto"/>
        </w:rPr>
      </w:pPr>
      <w:r>
        <w:rPr>
          <w:rFonts w:ascii="Arial" w:cs="Arial" w:eastAsia="Arial" w:hAnsi="Arial"/>
          <w:sz w:val="16"/>
          <w:szCs w:val="16"/>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strategy, performance and experience of our information technology and security function and practices, including those related to cybersecurity; performance of our health and safety program; and our general policies and procedures regarding accounting and financial matters and internal controls. The Audit Committee is also responsible for providing oversight of our ERM process by discussing our procedures with respect to risk assessment and risk management, including our major financial and business risk exposures and the steps Management has taken to monitor and control such exposures.</w:t>
      </w:r>
    </w:p>
    <w:p>
      <w:pPr>
        <w:spacing w:after="0" w:line="85" w:lineRule="exact"/>
        <w:rPr>
          <w:rFonts w:ascii="Arial" w:cs="Arial" w:eastAsia="Arial" w:hAnsi="Arial"/>
          <w:sz w:val="15"/>
          <w:szCs w:val="15"/>
          <w:color w:val="auto"/>
        </w:rPr>
      </w:pPr>
    </w:p>
    <w:p>
      <w:pPr>
        <w:ind w:left="800" w:hanging="398"/>
        <w:spacing w:after="0" w:line="244" w:lineRule="auto"/>
        <w:tabs>
          <w:tab w:leader="none" w:pos="800" w:val="left"/>
        </w:tabs>
        <w:numPr>
          <w:ilvl w:val="0"/>
          <w:numId w:val="44"/>
        </w:numPr>
        <w:rPr>
          <w:rFonts w:ascii="Arial" w:cs="Arial" w:eastAsia="Arial" w:hAnsi="Arial"/>
          <w:sz w:val="15"/>
          <w:szCs w:val="15"/>
          <w:color w:val="auto"/>
        </w:rPr>
      </w:pPr>
      <w:r>
        <w:rPr>
          <w:rFonts w:ascii="Arial" w:cs="Arial" w:eastAsia="Arial" w:hAnsi="Arial"/>
          <w:sz w:val="16"/>
          <w:szCs w:val="16"/>
          <w:color w:val="auto"/>
        </w:rPr>
        <w:t>The Compensation &amp; Human Resources Committee assists through its oversight of our compensation and human resources programs and policies, including executive compensation,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43.</w:t>
      </w:r>
    </w:p>
    <w:p>
      <w:pPr>
        <w:spacing w:after="0" w:line="84" w:lineRule="exact"/>
        <w:rPr>
          <w:rFonts w:ascii="Arial" w:cs="Arial" w:eastAsia="Arial" w:hAnsi="Arial"/>
          <w:sz w:val="15"/>
          <w:szCs w:val="15"/>
          <w:color w:val="auto"/>
        </w:rPr>
      </w:pPr>
    </w:p>
    <w:p>
      <w:pPr>
        <w:ind w:left="800" w:hanging="398"/>
        <w:spacing w:after="0" w:line="243" w:lineRule="auto"/>
        <w:tabs>
          <w:tab w:leader="none" w:pos="800" w:val="left"/>
        </w:tabs>
        <w:numPr>
          <w:ilvl w:val="0"/>
          <w:numId w:val="44"/>
        </w:numPr>
        <w:rPr>
          <w:rFonts w:ascii="Arial" w:cs="Arial" w:eastAsia="Arial" w:hAnsi="Arial"/>
          <w:sz w:val="15"/>
          <w:szCs w:val="15"/>
          <w:color w:val="auto"/>
        </w:rPr>
      </w:pPr>
      <w:r>
        <w:rPr>
          <w:rFonts w:ascii="Arial" w:cs="Arial" w:eastAsia="Arial" w:hAnsi="Arial"/>
          <w:sz w:val="16"/>
          <w:szCs w:val="16"/>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the delegated responsibilities of our Management Investment Committee relating to our ERISA-regulated employee benefit plans; and through its evaluation of, among other things, the financial impact of certain proposed business combination transactions.</w:t>
      </w:r>
    </w:p>
    <w:p>
      <w:pPr>
        <w:spacing w:after="0" w:line="85" w:lineRule="exact"/>
        <w:rPr>
          <w:rFonts w:ascii="Arial" w:cs="Arial" w:eastAsia="Arial" w:hAnsi="Arial"/>
          <w:sz w:val="15"/>
          <w:szCs w:val="15"/>
          <w:color w:val="auto"/>
        </w:rPr>
      </w:pPr>
    </w:p>
    <w:p>
      <w:pPr>
        <w:ind w:left="800" w:right="300" w:hanging="398"/>
        <w:spacing w:after="0" w:line="247" w:lineRule="auto"/>
        <w:tabs>
          <w:tab w:leader="none" w:pos="800" w:val="left"/>
        </w:tabs>
        <w:numPr>
          <w:ilvl w:val="0"/>
          <w:numId w:val="44"/>
        </w:numPr>
        <w:rPr>
          <w:rFonts w:ascii="Arial" w:cs="Arial" w:eastAsia="Arial" w:hAnsi="Arial"/>
          <w:sz w:val="15"/>
          <w:szCs w:val="15"/>
          <w:color w:val="auto"/>
        </w:rPr>
      </w:pPr>
      <w:r>
        <w:rPr>
          <w:rFonts w:ascii="Arial" w:cs="Arial" w:eastAsia="Arial" w:hAnsi="Arial"/>
          <w:sz w:val="16"/>
          <w:szCs w:val="16"/>
          <w:color w:val="auto"/>
        </w:rPr>
        <w:t>The Nominating &amp; Governance Committee assists through its oversight of our overall corporate governance structure and policies, including director nominations, director retirements, director independence and qualifications, Board leadership structure, Board committee structure and monitoring of corporate governance trends, including environmental, social and governance, or ESG, ratings.</w:t>
      </w:r>
    </w:p>
    <w:p>
      <w:pPr>
        <w:spacing w:after="0" w:line="81" w:lineRule="exact"/>
        <w:rPr>
          <w:sz w:val="20"/>
          <w:szCs w:val="20"/>
          <w:color w:val="auto"/>
        </w:rPr>
      </w:pPr>
    </w:p>
    <w:p>
      <w:pPr>
        <w:ind w:firstLine="408"/>
        <w:spacing w:after="0" w:line="247" w:lineRule="auto"/>
        <w:rPr>
          <w:sz w:val="20"/>
          <w:szCs w:val="20"/>
          <w:color w:val="auto"/>
        </w:rPr>
      </w:pPr>
      <w:r>
        <w:rPr>
          <w:rFonts w:ascii="Arial" w:cs="Arial" w:eastAsia="Arial" w:hAnsi="Arial"/>
          <w:sz w:val="16"/>
          <w:szCs w:val="16"/>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Executive Compensation Process</w:t>
      </w:r>
    </w:p>
    <w:p>
      <w:pPr>
        <w:spacing w:after="0" w:line="112" w:lineRule="exact"/>
        <w:rPr>
          <w:sz w:val="20"/>
          <w:szCs w:val="20"/>
          <w:color w:val="auto"/>
        </w:rPr>
      </w:pPr>
    </w:p>
    <w:p>
      <w:pPr>
        <w:ind w:right="120" w:firstLine="408"/>
        <w:spacing w:after="0" w:line="255" w:lineRule="auto"/>
        <w:rPr>
          <w:sz w:val="20"/>
          <w:szCs w:val="20"/>
          <w:color w:val="auto"/>
        </w:rPr>
      </w:pPr>
      <w:r>
        <w:rPr>
          <w:rFonts w:ascii="Arial" w:cs="Arial" w:eastAsia="Arial" w:hAnsi="Arial"/>
          <w:sz w:val="16"/>
          <w:szCs w:val="16"/>
          <w:color w:val="auto"/>
        </w:rPr>
        <w:t>At the beginning of each fiscal year, the Compensation &amp; Human Resources Committee reviews and approves compensation for each of our executive officers which generally includes:</w:t>
      </w:r>
    </w:p>
    <w:p>
      <w:pPr>
        <w:spacing w:after="0" w:line="75" w:lineRule="exact"/>
        <w:rPr>
          <w:sz w:val="20"/>
          <w:szCs w:val="20"/>
          <w:color w:val="auto"/>
        </w:rPr>
      </w:pPr>
    </w:p>
    <w:p>
      <w:pPr>
        <w:ind w:left="800" w:hanging="398"/>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6"/>
          <w:szCs w:val="16"/>
          <w:color w:val="auto"/>
        </w:rPr>
        <w:t>changes, if any, to base salary;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6"/>
          <w:szCs w:val="16"/>
          <w:color w:val="auto"/>
        </w:rPr>
        <w:t>incentive awards, including:</w:t>
      </w:r>
    </w:p>
    <w:p>
      <w:pPr>
        <w:spacing w:after="0" w:line="97" w:lineRule="exact"/>
        <w:rPr>
          <w:rFonts w:ascii="Arial" w:cs="Arial" w:eastAsia="Arial" w:hAnsi="Arial"/>
          <w:sz w:val="15"/>
          <w:szCs w:val="15"/>
          <w:color w:val="auto"/>
        </w:rPr>
      </w:pPr>
    </w:p>
    <w:p>
      <w:pPr>
        <w:ind w:left="1220" w:right="240" w:hanging="413"/>
        <w:spacing w:after="0" w:line="255" w:lineRule="auto"/>
        <w:tabs>
          <w:tab w:leader="none" w:pos="1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74" w:lineRule="exact"/>
        <w:rPr>
          <w:rFonts w:ascii="Arial" w:cs="Arial" w:eastAsia="Arial" w:hAnsi="Arial"/>
          <w:sz w:val="16"/>
          <w:szCs w:val="16"/>
          <w:color w:val="auto"/>
        </w:rPr>
      </w:pPr>
    </w:p>
    <w:p>
      <w:pPr>
        <w:ind w:left="1220" w:right="60" w:hanging="413"/>
        <w:spacing w:after="0" w:line="255" w:lineRule="auto"/>
        <w:tabs>
          <w:tab w:leader="none" w:pos="1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long-term incentive awards, including (i) stock option awards and (ii) three-year performance share awards, including (a) target share payout amounts and maximum share payout amounts and (b) performance measures, weightings, goals and adjustment events.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connection with this review and approval, the Compensation &amp; Human Resources Committee receives information regarding:</w:t>
      </w:r>
    </w:p>
    <w:p>
      <w:pPr>
        <w:spacing w:after="0" w:line="98" w:lineRule="exact"/>
        <w:rPr>
          <w:sz w:val="20"/>
          <w:szCs w:val="20"/>
          <w:color w:val="auto"/>
        </w:rPr>
      </w:pPr>
    </w:p>
    <w:p>
      <w:pPr>
        <w:ind w:left="800" w:right="120" w:hanging="398"/>
        <w:spacing w:after="0" w:line="255" w:lineRule="auto"/>
        <w:tabs>
          <w:tab w:leader="none" w:pos="800" w:val="left"/>
        </w:tabs>
        <w:numPr>
          <w:ilvl w:val="0"/>
          <w:numId w:val="46"/>
        </w:numPr>
        <w:rPr>
          <w:rFonts w:ascii="Arial" w:cs="Arial" w:eastAsia="Arial" w:hAnsi="Arial"/>
          <w:sz w:val="15"/>
          <w:szCs w:val="15"/>
          <w:color w:val="auto"/>
        </w:rPr>
      </w:pPr>
      <w:r>
        <w:rPr>
          <w:rFonts w:ascii="Arial" w:cs="Arial" w:eastAsia="Arial" w:hAnsi="Arial"/>
          <w:sz w:val="16"/>
          <w:szCs w:val="16"/>
          <w:color w:val="auto"/>
        </w:rPr>
        <w:t>market base salary, total cash compensation and total direct compensation data and analysis prepared by its independent external compensation consultant;</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46"/>
        </w:numPr>
        <w:rPr>
          <w:rFonts w:ascii="Arial" w:cs="Arial" w:eastAsia="Arial" w:hAnsi="Arial"/>
          <w:sz w:val="15"/>
          <w:szCs w:val="15"/>
          <w:color w:val="auto"/>
        </w:rPr>
      </w:pPr>
      <w:r>
        <w:rPr>
          <w:rFonts w:ascii="Arial" w:cs="Arial" w:eastAsia="Arial" w:hAnsi="Arial"/>
          <w:sz w:val="16"/>
          <w:szCs w:val="16"/>
          <w:color w:val="auto"/>
        </w:rPr>
        <w:t>total cash compensation to be paid for the fiscal year if annual cash incentive awards are achieved and paid at target;</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46"/>
        </w:numPr>
        <w:rPr>
          <w:rFonts w:ascii="Arial" w:cs="Arial" w:eastAsia="Arial" w:hAnsi="Arial"/>
          <w:sz w:val="15"/>
          <w:szCs w:val="15"/>
          <w:color w:val="auto"/>
        </w:rPr>
      </w:pPr>
      <w:r>
        <w:rPr>
          <w:rFonts w:ascii="Arial" w:cs="Arial" w:eastAsia="Arial" w:hAnsi="Arial"/>
          <w:sz w:val="16"/>
          <w:szCs w:val="16"/>
          <w:color w:val="auto"/>
        </w:rPr>
        <w:t>prior fiscal year target equity values;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46"/>
        </w:numPr>
        <w:rPr>
          <w:rFonts w:ascii="Arial" w:cs="Arial" w:eastAsia="Arial" w:hAnsi="Arial"/>
          <w:sz w:val="15"/>
          <w:szCs w:val="15"/>
          <w:color w:val="auto"/>
        </w:rPr>
      </w:pPr>
      <w:r>
        <w:rPr>
          <w:rFonts w:ascii="Arial" w:cs="Arial" w:eastAsia="Arial" w:hAnsi="Arial"/>
          <w:sz w:val="16"/>
          <w:szCs w:val="16"/>
          <w:color w:val="auto"/>
        </w:rPr>
        <w:t>total direct compensation for the fiscal year, assuming equity awards at target.</w:t>
      </w:r>
    </w:p>
    <w:p>
      <w:pPr>
        <w:spacing w:after="0" w:line="9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Additionally, the Committee obtains executive compensation recommendations from our Chairman and CEO, Vice President, Human Resources and Distributor Development, and Managing Director, Total Rewards and Employee Services that reflect individual performance; corporate, division and/or plant performance, as applicable; tenure in the position; comparison to market; level of professional experience; duties and responsibilities; internal pay comparisons; and outside market factors, including general economic conditions. Neither the Chairman and CEO nor the Vice President, Human Resources and Distributor Development provide input or recommendations with respect to his or her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beginning on page 29. Also, at the beginning of each fiscal year, the Committee certifies the achievement of the applicable performance goals previously established by the Committee for the annual cash incentive awards and performance share awards and approves resulting payouts, if any.</w:t>
      </w:r>
    </w:p>
    <w:p>
      <w:pPr>
        <w:spacing w:after="0" w:line="89"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The Compensation &amp; Human Resources Committee retained Willis Towers Watson to assist in the design and review of our executive compensation program during fiscal 2018. Additional information regarding the role of Willis Towers Watson during fiscal 2018 is found under “Compensation Discussion and Analysis—Role of the Independent External Compensation Consultant” beginning on page 32. From time to time, the Committee also has engaged Willis Towers Watson to perform other compensation consulting services, which in fiscal 2018 included a review of non-employee director compensation and a compensation risk assessment. For the services performed for us in fiscal 2018, the Committee assessed the independence of Willis Towers Watson pursuant to SEC and NYSE rules and concluded that the work of Willis Towers Watson did not raise any conflicts of interest. A representative from Willis Towers Watson attended two of the four Committee meetings in fiscal 2018, including executive sessions without Management present, to act as a resource to the Committee in carrying out its responsibilities. The Committee, through its Chair, can request an independent meeting with representatives from our independent external compensation consultant at any time. The Committee also has the authority to obtain advice and assistance from external legal, accounting or other advisers.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0" w:name="page31"/>
    <w:bookmarkEnd w:id="3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Director Nomination and Refreshment Process</w:t>
      </w:r>
    </w:p>
    <w:p>
      <w:pPr>
        <w:spacing w:after="0" w:line="112" w:lineRule="exact"/>
        <w:rPr>
          <w:sz w:val="20"/>
          <w:szCs w:val="20"/>
          <w:color w:val="auto"/>
        </w:rPr>
      </w:pPr>
    </w:p>
    <w:p>
      <w:pPr>
        <w:ind w:left="2" w:right="60" w:firstLine="408"/>
        <w:spacing w:after="0" w:line="244" w:lineRule="auto"/>
        <w:rPr>
          <w:sz w:val="20"/>
          <w:szCs w:val="20"/>
          <w:color w:val="auto"/>
        </w:rPr>
      </w:pPr>
      <w:r>
        <w:rPr>
          <w:rFonts w:ascii="Arial" w:cs="Arial" w:eastAsia="Arial" w:hAnsi="Arial"/>
          <w:sz w:val="16"/>
          <w:szCs w:val="16"/>
          <w:color w:val="auto"/>
        </w:rPr>
        <w:t>In identifying new nominees for election to the Board when vacancies occur, the Nominating &amp; Governance Committee may solicit recommendations for nominees from other members of our Board or Senior Management. In addition, the Committee may (i) consider candidates put forth by external search or placement firms, (ii) formally engage such firms to assist it in identifying and evaluating qualified nominees, and/or (iii) consider certain individuals who contacted the Chairman of the Board, the Lead Independent Director and/or the Board of Directors and expressed an interest in serving on the Board.</w:t>
      </w:r>
    </w:p>
    <w:p>
      <w:pPr>
        <w:spacing w:after="0" w:line="85" w:lineRule="exact"/>
        <w:rPr>
          <w:sz w:val="20"/>
          <w:szCs w:val="20"/>
          <w:color w:val="auto"/>
        </w:rPr>
      </w:pPr>
    </w:p>
    <w:p>
      <w:pPr>
        <w:ind w:left="2" w:firstLine="408"/>
        <w:spacing w:after="0" w:line="242" w:lineRule="auto"/>
        <w:rPr>
          <w:sz w:val="20"/>
          <w:szCs w:val="20"/>
          <w:color w:val="auto"/>
        </w:rPr>
      </w:pPr>
      <w:r>
        <w:rPr>
          <w:rFonts w:ascii="Arial" w:cs="Arial" w:eastAsia="Arial" w:hAnsi="Arial"/>
          <w:sz w:val="16"/>
          <w:szCs w:val="16"/>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 skills, business experience, professional experience and industry experience, each 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 representation, as well as more traditional diversity factors. As a result, the composition of the current Board reflects diversity in age, gender, background, skills, and business and professional experiences.</w:t>
      </w:r>
    </w:p>
    <w:p>
      <w:pPr>
        <w:spacing w:after="0" w:line="88" w:lineRule="exact"/>
        <w:rPr>
          <w:sz w:val="20"/>
          <w:szCs w:val="20"/>
          <w:color w:val="auto"/>
        </w:rPr>
      </w:pPr>
    </w:p>
    <w:p>
      <w:pPr>
        <w:jc w:val="both"/>
        <w:ind w:left="2" w:right="100" w:firstLine="408"/>
        <w:spacing w:after="0" w:line="247" w:lineRule="auto"/>
        <w:rPr>
          <w:sz w:val="20"/>
          <w:szCs w:val="20"/>
          <w:color w:val="auto"/>
        </w:rPr>
      </w:pPr>
      <w:r>
        <w:rPr>
          <w:rFonts w:ascii="Arial" w:cs="Arial" w:eastAsia="Arial" w:hAnsi="Arial"/>
          <w:sz w:val="16"/>
          <w:szCs w:val="16"/>
          <w:color w:val="auto"/>
        </w:rPr>
        <w:t>Once a proposed candidate is identified, the Nominating &amp; Governance Committee may solicit the views of Senior Management, Board members and any other individuals it believes may have insight into a particular candidate. The Committee may designate one or more of its members and/or other Board members to interview any proposed candidate. The Committee then will recommend a director nominee to the Board based on its evaluation of such criteria.</w:t>
      </w:r>
    </w:p>
    <w:p>
      <w:pPr>
        <w:spacing w:after="0" w:line="81" w:lineRule="exact"/>
        <w:rPr>
          <w:sz w:val="20"/>
          <w:szCs w:val="20"/>
          <w:color w:val="auto"/>
        </w:rPr>
      </w:pPr>
    </w:p>
    <w:p>
      <w:pPr>
        <w:ind w:left="2" w:right="60" w:firstLine="408"/>
        <w:spacing w:after="0" w:line="239" w:lineRule="auto"/>
        <w:rPr>
          <w:sz w:val="20"/>
          <w:szCs w:val="20"/>
          <w:color w:val="auto"/>
        </w:rPr>
      </w:pPr>
      <w:r>
        <w:rPr>
          <w:rFonts w:ascii="Arial" w:cs="Arial" w:eastAsia="Arial" w:hAnsi="Arial"/>
          <w:sz w:val="16"/>
          <w:szCs w:val="16"/>
          <w:color w:val="auto"/>
        </w:rPr>
        <w:t>As noted previously, Messrs. Buhrmaster and Twomey will be retiring from our Board in connection with the annual meeting pursuant to our Board retirement age guideline. In anticipation of such retirements, our Chairman and CEO and the Nominating &amp; Governance Committee began the process after our last annual meeting to identify nominees for election to the Board. This process included (i) considering recommendations from members of the Board, including the Chairman and CEO, (ii) engaging James Drury Partners as our external search firm to identify qualified candidates, and (iii) considering certain individuals who contacted the Chairman and CEO, the Lead Independent Director and/or the Board of Directors and expressed an interest in serving on the Board. As a result of this process, Mr. Harmening was identified through the work of James Drury Partners and Ms. Mullen was identified through recommendations by our Board. Each of Mr. Harmening and Ms. Mullen were subsequently interviewed by several members of the Board, including the Chairman and CEO, the Chair of the Nominating &amp; Governance Committee, the Chair of the Audit Committee, and the Chair of the Finance Committee. Following that process, the Nominating &amp; Governance Committee considered, and formally recommended to the full Board, that Mr. Harmening and Ms. Mullen be nominated for election by our shareholders at the annual meeting to fill the vacancies that will be created by the retirements of Messrs. Buhrmaster and Twomey at the annual meeting and that each of Mr. Harmening and Ms. Mullen be included in the group of nominees for election by our shareholders at the 2019 Annual Meeting of Shareholders for a term expiring at the 2022 Annual Meeting of Shareholders. See Proposal One—Election of Directors on page</w:t>
      </w:r>
    </w:p>
    <w:p>
      <w:pPr>
        <w:spacing w:after="0" w:line="7" w:lineRule="exact"/>
        <w:rPr>
          <w:sz w:val="20"/>
          <w:szCs w:val="20"/>
          <w:color w:val="auto"/>
        </w:rPr>
      </w:pPr>
    </w:p>
    <w:p>
      <w:pPr>
        <w:ind w:left="2" w:right="400" w:hanging="2"/>
        <w:spacing w:after="0" w:line="255" w:lineRule="auto"/>
        <w:tabs>
          <w:tab w:leader="none" w:pos="1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of Mr. Harmening and Ms. Mullen will become members of our Board effective immediately upon their election by our shareholders at the annual meeting.</w:t>
      </w:r>
    </w:p>
    <w:p>
      <w:pPr>
        <w:spacing w:after="0" w:line="75" w:lineRule="exact"/>
        <w:rPr>
          <w:sz w:val="20"/>
          <w:szCs w:val="20"/>
          <w:color w:val="auto"/>
        </w:rPr>
      </w:pPr>
    </w:p>
    <w:p>
      <w:pPr>
        <w:ind w:left="2" w:right="20" w:firstLine="408"/>
        <w:spacing w:after="0" w:line="241" w:lineRule="auto"/>
        <w:rPr>
          <w:sz w:val="20"/>
          <w:szCs w:val="20"/>
          <w:color w:val="auto"/>
        </w:rPr>
      </w:pPr>
      <w:r>
        <w:rPr>
          <w:rFonts w:ascii="Arial" w:cs="Arial" w:eastAsia="Arial" w:hAnsi="Arial"/>
          <w:sz w:val="16"/>
          <w:szCs w:val="16"/>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 notice requirements contained in, and provide the specific information required by, our Amended and Restated Bylaws. The current requirements of our Amended and Restated Bylaws are as described under “Shareholder Proposals and Director Nominations for the 2020 Annual Meeting” on page 63.</w:t>
      </w:r>
    </w:p>
    <w:p>
      <w:pPr>
        <w:spacing w:after="0" w:line="18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2"/>
          </w:cols>
          <w:pgMar w:left="238" w:top="14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Compensation</w:t>
      </w:r>
    </w:p>
    <w:p>
      <w:pPr>
        <w:spacing w:after="0" w:line="92" w:lineRule="exact"/>
        <w:rPr>
          <w:sz w:val="20"/>
          <w:szCs w:val="20"/>
          <w:color w:val="auto"/>
        </w:rPr>
      </w:pPr>
    </w:p>
    <w:p>
      <w:pPr>
        <w:ind w:firstLine="408"/>
        <w:spacing w:after="0" w:line="245"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Our non-employee director compensation program generally is designed to attract and retain experienced and knowledgeable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equity-based compensation to align the interests of our directors with those of our shareholders. In fiscal 2018, our non-employee director compensation was comprised of equity compensation, in the form of annual stock and stock option awards, and cash compensation, in the form of annual retainers. Each of these components is described in more detail below. This compensation program structure, together with the feature of The Toro Company Amended and Restated 2010 Equity and Incentive Plan, as amended and restated, or the Amended and Restated 2010 Plan, that enables our directors to elect to receive a portion or all of their cash compensation in the form of our common stock, causes a substantial portion of our non-employee director compensation to be linked to our common stock performance. As current or former employee directors, Mr. Olson does not and Mr. Hoffman did not receive any additional compensation for their service as directors.</w:t>
      </w:r>
    </w:p>
    <w:p>
      <w:pPr>
        <w:spacing w:after="0" w:line="66" w:lineRule="exact"/>
        <w:rPr>
          <w:sz w:val="20"/>
          <w:szCs w:val="20"/>
          <w:color w:val="auto"/>
        </w:rPr>
      </w:pPr>
    </w:p>
    <w:p>
      <w:pPr>
        <w:ind w:right="100" w:firstLine="408"/>
        <w:spacing w:after="0" w:line="253" w:lineRule="auto"/>
        <w:rPr>
          <w:sz w:val="20"/>
          <w:szCs w:val="20"/>
          <w:color w:val="auto"/>
        </w:rPr>
      </w:pPr>
      <w:r>
        <w:rPr>
          <w:rFonts w:ascii="Arial" w:cs="Arial" w:eastAsia="Arial" w:hAnsi="Arial"/>
          <w:sz w:val="16"/>
          <w:szCs w:val="16"/>
          <w:b w:val="1"/>
          <w:bCs w:val="1"/>
          <w:color w:val="auto"/>
        </w:rPr>
        <w:t xml:space="preserve">Processes for Consideration and Determination of Director Compensation. </w:t>
      </w:r>
      <w:r>
        <w:rPr>
          <w:rFonts w:ascii="Arial" w:cs="Arial" w:eastAsia="Arial" w:hAnsi="Arial"/>
          <w:sz w:val="16"/>
          <w:szCs w:val="16"/>
          <w:color w:val="auto"/>
        </w:rPr>
        <w:t>The Board has delegated to the Compensation &amp; Human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responsibility, among other things, to review and recommend to the Board any proposed changes in non-employee director compensation. In connection with such review, the Compensation &amp; Human Resources Committee is assisted in performing its duties by our Human Resources Department and also engages an independent external compensation consultant to provide analysis regarding non-employee director compensation.</w:t>
      </w:r>
    </w:p>
    <w:p>
      <w:pPr>
        <w:spacing w:after="0" w:line="77" w:lineRule="exact"/>
        <w:rPr>
          <w:sz w:val="20"/>
          <w:szCs w:val="20"/>
          <w:color w:val="auto"/>
        </w:rPr>
      </w:pPr>
    </w:p>
    <w:p>
      <w:pPr>
        <w:ind w:right="80" w:firstLine="408"/>
        <w:spacing w:after="0" w:line="242" w:lineRule="auto"/>
        <w:rPr>
          <w:sz w:val="20"/>
          <w:szCs w:val="20"/>
          <w:color w:val="auto"/>
        </w:rPr>
      </w:pPr>
      <w:r>
        <w:rPr>
          <w:rFonts w:ascii="Arial" w:cs="Arial" w:eastAsia="Arial" w:hAnsi="Arial"/>
          <w:sz w:val="16"/>
          <w:szCs w:val="16"/>
          <w:color w:val="auto"/>
        </w:rPr>
        <w:t>The Compensation &amp; Human Resources Committee engages Willis Towers Watson to review our non-employee director compensation each year. The Willis Towers Watson review consists of, among other things, analysis of board compensation trends and a competitive assessment based on a selected group of manufacturing companies operating in the United States that are similar size to us from a revenue and market capitalization perspective. The Compensation &amp; Human Resources Committee considered this data in determining whether to recommend any changes to our non-employee director compensation program and the approved non-employee director compensation program is presented in the table below. Overall, the reviews by Willis Towers Watson showed that our non-employee director compensation program aligned with market trends from a design perspective and at or below the peer group midpoint from a compensation level standpoint.</w:t>
      </w:r>
    </w:p>
    <w:p>
      <w:pPr>
        <w:spacing w:after="0" w:line="66" w:lineRule="exact"/>
        <w:rPr>
          <w:sz w:val="20"/>
          <w:szCs w:val="20"/>
          <w:color w:val="auto"/>
        </w:rPr>
      </w:pPr>
    </w:p>
    <w:p>
      <w:pPr>
        <w:ind w:right="920" w:firstLine="408"/>
        <w:spacing w:after="0" w:line="281" w:lineRule="auto"/>
        <w:rPr>
          <w:sz w:val="20"/>
          <w:szCs w:val="20"/>
          <w:color w:val="auto"/>
        </w:rPr>
      </w:pPr>
      <w:r>
        <w:rPr>
          <w:rFonts w:ascii="Arial" w:cs="Arial" w:eastAsia="Arial" w:hAnsi="Arial"/>
          <w:sz w:val="16"/>
          <w:szCs w:val="16"/>
          <w:b w:val="1"/>
          <w:bCs w:val="1"/>
          <w:color w:val="auto"/>
        </w:rPr>
        <w:t xml:space="preserve">Elements of Our Non-Employee Director Compensation Program. </w:t>
      </w:r>
      <w:r>
        <w:rPr>
          <w:rFonts w:ascii="Arial" w:cs="Arial" w:eastAsia="Arial" w:hAnsi="Arial"/>
          <w:sz w:val="16"/>
          <w:szCs w:val="16"/>
          <w:color w:val="auto"/>
        </w:rPr>
        <w:t>The following table sets forth our fiscal 2018 non-employee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program. There were no changes for the fiscal 2019 program.</w:t>
      </w:r>
    </w:p>
    <w:p>
      <w:pPr>
        <w:spacing w:after="0" w:line="68" w:lineRule="exact"/>
        <w:rPr>
          <w:sz w:val="20"/>
          <w:szCs w:val="20"/>
          <w:color w:val="auto"/>
        </w:rPr>
      </w:pPr>
    </w:p>
    <w:tbl>
      <w:tblPr>
        <w:tblLayout w:type="fixed"/>
        <w:tblInd w:w="800" w:type="dxa"/>
        <w:tblCellMar>
          <w:top w:w="0" w:type="dxa"/>
          <w:left w:w="0" w:type="dxa"/>
          <w:bottom w:w="0" w:type="dxa"/>
          <w:right w:w="0" w:type="dxa"/>
        </w:tblCellMar>
      </w:tblPr>
      <w:tr>
        <w:trPr>
          <w:trHeight w:val="159"/>
        </w:trPr>
        <w:tc>
          <w:tcPr>
            <w:tcW w:w="668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Non-Employee Director Compensation</w:t>
            </w:r>
          </w:p>
        </w:tc>
        <w:tc>
          <w:tcPr>
            <w:tcW w:w="1860" w:type="dxa"/>
            <w:vAlign w:val="bottom"/>
            <w:shd w:val="clear" w:color="auto" w:fill="C00000"/>
          </w:tcPr>
          <w:p>
            <w:pPr>
              <w:spacing w:after="0"/>
              <w:rPr>
                <w:sz w:val="13"/>
                <w:szCs w:val="13"/>
                <w:color w:val="auto"/>
              </w:rPr>
            </w:pPr>
          </w:p>
        </w:tc>
        <w:tc>
          <w:tcPr>
            <w:tcW w:w="1300" w:type="dxa"/>
            <w:vAlign w:val="bottom"/>
            <w:shd w:val="clear" w:color="auto" w:fill="C00000"/>
          </w:tcPr>
          <w:p>
            <w:pPr>
              <w:jc w:val="right"/>
              <w:ind w:right="387"/>
              <w:spacing w:after="0"/>
              <w:rPr>
                <w:sz w:val="20"/>
                <w:szCs w:val="20"/>
                <w:color w:val="auto"/>
              </w:rPr>
            </w:pPr>
            <w:r>
              <w:rPr>
                <w:rFonts w:ascii="Arial" w:cs="Arial" w:eastAsia="Arial" w:hAnsi="Arial"/>
                <w:sz w:val="13"/>
                <w:szCs w:val="13"/>
                <w:b w:val="1"/>
                <w:bCs w:val="1"/>
                <w:color w:val="FFFFFF"/>
              </w:rPr>
              <w:t>Fiscal 2018</w:t>
            </w:r>
          </w:p>
        </w:tc>
      </w:tr>
      <w:tr>
        <w:trPr>
          <w:trHeight w:val="184"/>
        </w:trPr>
        <w:tc>
          <w:tcPr>
            <w:tcW w:w="6680" w:type="dxa"/>
            <w:vAlign w:val="bottom"/>
          </w:tcPr>
          <w:p>
            <w:pPr>
              <w:spacing w:after="0"/>
              <w:rPr>
                <w:sz w:val="20"/>
                <w:szCs w:val="20"/>
                <w:color w:val="auto"/>
              </w:rPr>
            </w:pPr>
            <w:r>
              <w:rPr>
                <w:rFonts w:ascii="Arial" w:cs="Arial" w:eastAsia="Arial" w:hAnsi="Arial"/>
                <w:sz w:val="15"/>
                <w:szCs w:val="15"/>
                <w:color w:val="auto"/>
              </w:rPr>
              <w:t>Annual Stock Award Value</w:t>
            </w:r>
          </w:p>
        </w:tc>
        <w:tc>
          <w:tcPr>
            <w:tcW w:w="18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47"/>
              <w:spacing w:after="0"/>
              <w:rPr>
                <w:sz w:val="20"/>
                <w:szCs w:val="20"/>
                <w:color w:val="auto"/>
              </w:rPr>
            </w:pPr>
            <w:r>
              <w:rPr>
                <w:rFonts w:ascii="Arial" w:cs="Arial" w:eastAsia="Arial" w:hAnsi="Arial"/>
                <w:sz w:val="15"/>
                <w:szCs w:val="15"/>
                <w:color w:val="auto"/>
              </w:rPr>
              <w:t>60,000</w:t>
            </w:r>
          </w:p>
        </w:tc>
      </w:tr>
      <w:tr>
        <w:trPr>
          <w:trHeight w:val="184"/>
        </w:trPr>
        <w:tc>
          <w:tcPr>
            <w:tcW w:w="6680" w:type="dxa"/>
            <w:vAlign w:val="bottom"/>
            <w:shd w:val="clear" w:color="auto" w:fill="D9D9D9"/>
          </w:tcPr>
          <w:p>
            <w:pPr>
              <w:spacing w:after="0"/>
              <w:rPr>
                <w:sz w:val="20"/>
                <w:szCs w:val="20"/>
                <w:color w:val="auto"/>
              </w:rPr>
            </w:pPr>
            <w:r>
              <w:rPr>
                <w:rFonts w:ascii="Arial" w:cs="Arial" w:eastAsia="Arial" w:hAnsi="Arial"/>
                <w:sz w:val="15"/>
                <w:szCs w:val="15"/>
                <w:color w:val="auto"/>
              </w:rPr>
              <w:t>Annual Stock Option Award Value</w:t>
            </w:r>
          </w:p>
        </w:tc>
        <w:tc>
          <w:tcPr>
            <w:tcW w:w="18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9D9D9"/>
          </w:tcPr>
          <w:p>
            <w:pPr>
              <w:jc w:val="right"/>
              <w:ind w:right="47"/>
              <w:spacing w:after="0"/>
              <w:rPr>
                <w:sz w:val="20"/>
                <w:szCs w:val="20"/>
                <w:color w:val="auto"/>
              </w:rPr>
            </w:pPr>
            <w:r>
              <w:rPr>
                <w:rFonts w:ascii="Arial" w:cs="Arial" w:eastAsia="Arial" w:hAnsi="Arial"/>
                <w:sz w:val="15"/>
                <w:szCs w:val="15"/>
                <w:color w:val="auto"/>
              </w:rPr>
              <w:t>55,000</w:t>
            </w:r>
          </w:p>
        </w:tc>
      </w:tr>
      <w:tr>
        <w:trPr>
          <w:trHeight w:val="184"/>
        </w:trPr>
        <w:tc>
          <w:tcPr>
            <w:tcW w:w="6680" w:type="dxa"/>
            <w:vAlign w:val="bottom"/>
          </w:tcPr>
          <w:p>
            <w:pPr>
              <w:spacing w:after="0"/>
              <w:rPr>
                <w:sz w:val="20"/>
                <w:szCs w:val="20"/>
                <w:color w:val="auto"/>
              </w:rPr>
            </w:pPr>
            <w:r>
              <w:rPr>
                <w:rFonts w:ascii="Arial" w:cs="Arial" w:eastAsia="Arial" w:hAnsi="Arial"/>
                <w:sz w:val="15"/>
                <w:szCs w:val="15"/>
                <w:color w:val="auto"/>
              </w:rPr>
              <w:t>Annual Board and Committee Member Retainers</w:t>
            </w: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4"/>
        </w:trPr>
        <w:tc>
          <w:tcPr>
            <w:tcW w:w="66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Board</w:t>
            </w:r>
          </w:p>
        </w:tc>
        <w:tc>
          <w:tcPr>
            <w:tcW w:w="18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9D9D9"/>
          </w:tcPr>
          <w:p>
            <w:pPr>
              <w:jc w:val="right"/>
              <w:ind w:right="47"/>
              <w:spacing w:after="0"/>
              <w:rPr>
                <w:sz w:val="20"/>
                <w:szCs w:val="20"/>
                <w:color w:val="auto"/>
              </w:rPr>
            </w:pPr>
            <w:r>
              <w:rPr>
                <w:rFonts w:ascii="Arial" w:cs="Arial" w:eastAsia="Arial" w:hAnsi="Arial"/>
                <w:sz w:val="15"/>
                <w:szCs w:val="15"/>
                <w:color w:val="auto"/>
              </w:rPr>
              <w:t>80,000</w:t>
            </w:r>
          </w:p>
        </w:tc>
      </w:tr>
      <w:tr>
        <w:trPr>
          <w:trHeight w:val="184"/>
        </w:trPr>
        <w:tc>
          <w:tcPr>
            <w:tcW w:w="6680" w:type="dxa"/>
            <w:vAlign w:val="bottom"/>
          </w:tcPr>
          <w:p>
            <w:pPr>
              <w:ind w:left="220"/>
              <w:spacing w:after="0"/>
              <w:rPr>
                <w:sz w:val="20"/>
                <w:szCs w:val="20"/>
                <w:color w:val="auto"/>
              </w:rPr>
            </w:pPr>
            <w:r>
              <w:rPr>
                <w:rFonts w:ascii="Arial" w:cs="Arial" w:eastAsia="Arial" w:hAnsi="Arial"/>
                <w:sz w:val="15"/>
                <w:szCs w:val="15"/>
                <w:color w:val="auto"/>
              </w:rPr>
              <w:t>Audit Committee Member</w:t>
            </w:r>
          </w:p>
        </w:tc>
        <w:tc>
          <w:tcPr>
            <w:tcW w:w="18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47"/>
              <w:spacing w:after="0"/>
              <w:rPr>
                <w:sz w:val="20"/>
                <w:szCs w:val="20"/>
                <w:color w:val="auto"/>
              </w:rPr>
            </w:pPr>
            <w:r>
              <w:rPr>
                <w:rFonts w:ascii="Arial" w:cs="Arial" w:eastAsia="Arial" w:hAnsi="Arial"/>
                <w:sz w:val="15"/>
                <w:szCs w:val="15"/>
                <w:color w:val="auto"/>
              </w:rPr>
              <w:t>12,500</w:t>
            </w:r>
          </w:p>
        </w:tc>
      </w:tr>
      <w:tr>
        <w:trPr>
          <w:trHeight w:val="184"/>
        </w:trPr>
        <w:tc>
          <w:tcPr>
            <w:tcW w:w="66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Compensation &amp; Human Resources Committee Member</w:t>
            </w:r>
          </w:p>
        </w:tc>
        <w:tc>
          <w:tcPr>
            <w:tcW w:w="18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9D9D9"/>
          </w:tcPr>
          <w:p>
            <w:pPr>
              <w:jc w:val="right"/>
              <w:ind w:right="47"/>
              <w:spacing w:after="0"/>
              <w:rPr>
                <w:sz w:val="20"/>
                <w:szCs w:val="20"/>
                <w:color w:val="auto"/>
              </w:rPr>
            </w:pPr>
            <w:r>
              <w:rPr>
                <w:rFonts w:ascii="Arial" w:cs="Arial" w:eastAsia="Arial" w:hAnsi="Arial"/>
                <w:sz w:val="15"/>
                <w:szCs w:val="15"/>
                <w:color w:val="auto"/>
              </w:rPr>
              <w:t>7,000</w:t>
            </w:r>
          </w:p>
        </w:tc>
      </w:tr>
      <w:tr>
        <w:trPr>
          <w:trHeight w:val="184"/>
        </w:trPr>
        <w:tc>
          <w:tcPr>
            <w:tcW w:w="6680" w:type="dxa"/>
            <w:vAlign w:val="bottom"/>
          </w:tcPr>
          <w:p>
            <w:pPr>
              <w:ind w:left="220"/>
              <w:spacing w:after="0"/>
              <w:rPr>
                <w:sz w:val="20"/>
                <w:szCs w:val="20"/>
                <w:color w:val="auto"/>
              </w:rPr>
            </w:pPr>
            <w:r>
              <w:rPr>
                <w:rFonts w:ascii="Arial" w:cs="Arial" w:eastAsia="Arial" w:hAnsi="Arial"/>
                <w:sz w:val="15"/>
                <w:szCs w:val="15"/>
                <w:color w:val="auto"/>
              </w:rPr>
              <w:t>Nominating &amp; Governance Committee Member</w:t>
            </w:r>
          </w:p>
        </w:tc>
        <w:tc>
          <w:tcPr>
            <w:tcW w:w="18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47"/>
              <w:spacing w:after="0"/>
              <w:rPr>
                <w:sz w:val="20"/>
                <w:szCs w:val="20"/>
                <w:color w:val="auto"/>
              </w:rPr>
            </w:pPr>
            <w:r>
              <w:rPr>
                <w:rFonts w:ascii="Arial" w:cs="Arial" w:eastAsia="Arial" w:hAnsi="Arial"/>
                <w:sz w:val="15"/>
                <w:szCs w:val="15"/>
                <w:color w:val="auto"/>
              </w:rPr>
              <w:t>6,000</w:t>
            </w:r>
          </w:p>
        </w:tc>
      </w:tr>
      <w:tr>
        <w:trPr>
          <w:trHeight w:val="184"/>
        </w:trPr>
        <w:tc>
          <w:tcPr>
            <w:tcW w:w="66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Finance Committee Member</w:t>
            </w:r>
          </w:p>
        </w:tc>
        <w:tc>
          <w:tcPr>
            <w:tcW w:w="18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9D9D9"/>
          </w:tcPr>
          <w:p>
            <w:pPr>
              <w:jc w:val="right"/>
              <w:ind w:right="47"/>
              <w:spacing w:after="0"/>
              <w:rPr>
                <w:sz w:val="20"/>
                <w:szCs w:val="20"/>
                <w:color w:val="auto"/>
              </w:rPr>
            </w:pPr>
            <w:r>
              <w:rPr>
                <w:rFonts w:ascii="Arial" w:cs="Arial" w:eastAsia="Arial" w:hAnsi="Arial"/>
                <w:sz w:val="15"/>
                <w:szCs w:val="15"/>
                <w:color w:val="auto"/>
              </w:rPr>
              <w:t>6,000</w:t>
            </w:r>
          </w:p>
        </w:tc>
      </w:tr>
      <w:tr>
        <w:trPr>
          <w:trHeight w:val="184"/>
        </w:trPr>
        <w:tc>
          <w:tcPr>
            <w:tcW w:w="6680" w:type="dxa"/>
            <w:vAlign w:val="bottom"/>
          </w:tcPr>
          <w:p>
            <w:pPr>
              <w:spacing w:after="0"/>
              <w:rPr>
                <w:sz w:val="20"/>
                <w:szCs w:val="20"/>
                <w:color w:val="auto"/>
              </w:rPr>
            </w:pPr>
            <w:r>
              <w:rPr>
                <w:rFonts w:ascii="Arial" w:cs="Arial" w:eastAsia="Arial" w:hAnsi="Arial"/>
                <w:sz w:val="15"/>
                <w:szCs w:val="15"/>
                <w:color w:val="auto"/>
              </w:rPr>
              <w:t>Annual Lead Independent Director and Committee Chair Additional Retainers</w:t>
            </w: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4"/>
        </w:trPr>
        <w:tc>
          <w:tcPr>
            <w:tcW w:w="66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Lead Independent Director</w:t>
            </w:r>
          </w:p>
        </w:tc>
        <w:tc>
          <w:tcPr>
            <w:tcW w:w="18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9D9D9"/>
          </w:tcPr>
          <w:p>
            <w:pPr>
              <w:jc w:val="right"/>
              <w:ind w:right="47"/>
              <w:spacing w:after="0"/>
              <w:rPr>
                <w:sz w:val="20"/>
                <w:szCs w:val="20"/>
                <w:color w:val="auto"/>
              </w:rPr>
            </w:pPr>
            <w:r>
              <w:rPr>
                <w:rFonts w:ascii="Arial" w:cs="Arial" w:eastAsia="Arial" w:hAnsi="Arial"/>
                <w:sz w:val="15"/>
                <w:szCs w:val="15"/>
                <w:color w:val="auto"/>
              </w:rPr>
              <w:t>25,000</w:t>
            </w:r>
          </w:p>
        </w:tc>
      </w:tr>
      <w:tr>
        <w:trPr>
          <w:trHeight w:val="184"/>
        </w:trPr>
        <w:tc>
          <w:tcPr>
            <w:tcW w:w="6680" w:type="dxa"/>
            <w:vAlign w:val="bottom"/>
          </w:tcPr>
          <w:p>
            <w:pPr>
              <w:ind w:left="220"/>
              <w:spacing w:after="0"/>
              <w:rPr>
                <w:sz w:val="20"/>
                <w:szCs w:val="20"/>
                <w:color w:val="auto"/>
              </w:rPr>
            </w:pPr>
            <w:r>
              <w:rPr>
                <w:rFonts w:ascii="Arial" w:cs="Arial" w:eastAsia="Arial" w:hAnsi="Arial"/>
                <w:sz w:val="15"/>
                <w:szCs w:val="15"/>
                <w:color w:val="auto"/>
              </w:rPr>
              <w:t>Audit Committee Chair</w:t>
            </w:r>
          </w:p>
        </w:tc>
        <w:tc>
          <w:tcPr>
            <w:tcW w:w="18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47"/>
              <w:spacing w:after="0"/>
              <w:rPr>
                <w:sz w:val="20"/>
                <w:szCs w:val="20"/>
                <w:color w:val="auto"/>
              </w:rPr>
            </w:pPr>
            <w:r>
              <w:rPr>
                <w:rFonts w:ascii="Arial" w:cs="Arial" w:eastAsia="Arial" w:hAnsi="Arial"/>
                <w:sz w:val="15"/>
                <w:szCs w:val="15"/>
                <w:color w:val="auto"/>
              </w:rPr>
              <w:t>20,000</w:t>
            </w:r>
          </w:p>
        </w:tc>
      </w:tr>
      <w:tr>
        <w:trPr>
          <w:trHeight w:val="184"/>
        </w:trPr>
        <w:tc>
          <w:tcPr>
            <w:tcW w:w="66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Compensation &amp; Human Resources Committee Chair</w:t>
            </w:r>
          </w:p>
        </w:tc>
        <w:tc>
          <w:tcPr>
            <w:tcW w:w="18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9D9D9"/>
          </w:tcPr>
          <w:p>
            <w:pPr>
              <w:jc w:val="right"/>
              <w:ind w:right="47"/>
              <w:spacing w:after="0"/>
              <w:rPr>
                <w:sz w:val="20"/>
                <w:szCs w:val="20"/>
                <w:color w:val="auto"/>
              </w:rPr>
            </w:pPr>
            <w:r>
              <w:rPr>
                <w:rFonts w:ascii="Arial" w:cs="Arial" w:eastAsia="Arial" w:hAnsi="Arial"/>
                <w:sz w:val="15"/>
                <w:szCs w:val="15"/>
                <w:color w:val="auto"/>
              </w:rPr>
              <w:t>12,000</w:t>
            </w:r>
          </w:p>
        </w:tc>
      </w:tr>
      <w:tr>
        <w:trPr>
          <w:trHeight w:val="184"/>
        </w:trPr>
        <w:tc>
          <w:tcPr>
            <w:tcW w:w="6680" w:type="dxa"/>
            <w:vAlign w:val="bottom"/>
          </w:tcPr>
          <w:p>
            <w:pPr>
              <w:ind w:left="220"/>
              <w:spacing w:after="0"/>
              <w:rPr>
                <w:sz w:val="20"/>
                <w:szCs w:val="20"/>
                <w:color w:val="auto"/>
              </w:rPr>
            </w:pPr>
            <w:r>
              <w:rPr>
                <w:rFonts w:ascii="Arial" w:cs="Arial" w:eastAsia="Arial" w:hAnsi="Arial"/>
                <w:sz w:val="15"/>
                <w:szCs w:val="15"/>
                <w:color w:val="auto"/>
              </w:rPr>
              <w:t>Nominating &amp; Governance Committee Chair</w:t>
            </w:r>
          </w:p>
        </w:tc>
        <w:tc>
          <w:tcPr>
            <w:tcW w:w="18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47"/>
              <w:spacing w:after="0"/>
              <w:rPr>
                <w:sz w:val="20"/>
                <w:szCs w:val="20"/>
                <w:color w:val="auto"/>
              </w:rPr>
            </w:pPr>
            <w:r>
              <w:rPr>
                <w:rFonts w:ascii="Arial" w:cs="Arial" w:eastAsia="Arial" w:hAnsi="Arial"/>
                <w:sz w:val="15"/>
                <w:szCs w:val="15"/>
                <w:color w:val="auto"/>
              </w:rPr>
              <w:t>7,500</w:t>
            </w:r>
          </w:p>
        </w:tc>
      </w:tr>
      <w:tr>
        <w:trPr>
          <w:trHeight w:val="184"/>
        </w:trPr>
        <w:tc>
          <w:tcPr>
            <w:tcW w:w="66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Finance Committee Chair</w:t>
            </w:r>
          </w:p>
        </w:tc>
        <w:tc>
          <w:tcPr>
            <w:tcW w:w="18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D9D9D9"/>
          </w:tcPr>
          <w:p>
            <w:pPr>
              <w:jc w:val="right"/>
              <w:ind w:right="47"/>
              <w:spacing w:after="0"/>
              <w:rPr>
                <w:sz w:val="20"/>
                <w:szCs w:val="20"/>
                <w:color w:val="auto"/>
              </w:rPr>
            </w:pPr>
            <w:r>
              <w:rPr>
                <w:rFonts w:ascii="Arial" w:cs="Arial" w:eastAsia="Arial" w:hAnsi="Arial"/>
                <w:sz w:val="15"/>
                <w:szCs w:val="15"/>
                <w:color w:val="auto"/>
              </w:rPr>
              <w:t>7,500</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summarizes the key characteristics of the elements of our non-employee director compensation program:</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3"/>
                <w:szCs w:val="13"/>
                <w:b w:val="1"/>
                <w:bCs w:val="1"/>
                <w:color w:val="FFFFFF"/>
              </w:rPr>
              <w:t>Element</w:t>
            </w:r>
          </w:p>
        </w:tc>
        <w:tc>
          <w:tcPr>
            <w:tcW w:w="9620" w:type="dxa"/>
            <w:vAlign w:val="bottom"/>
            <w:tcBorders>
              <w:bottom w:val="single" w:sz="8" w:color="C00000"/>
            </w:tcBorders>
            <w:shd w:val="clear" w:color="auto" w:fill="C00000"/>
          </w:tcPr>
          <w:p>
            <w:pPr>
              <w:ind w:left="4280"/>
              <w:spacing w:after="0"/>
              <w:rPr>
                <w:sz w:val="20"/>
                <w:szCs w:val="20"/>
                <w:color w:val="auto"/>
              </w:rPr>
            </w:pPr>
            <w:r>
              <w:rPr>
                <w:rFonts w:ascii="Arial" w:cs="Arial" w:eastAsia="Arial" w:hAnsi="Arial"/>
                <w:sz w:val="13"/>
                <w:szCs w:val="13"/>
                <w:b w:val="1"/>
                <w:bCs w:val="1"/>
                <w:color w:val="FFFFFF"/>
              </w:rPr>
              <w:t>Key Characteristics</w:t>
            </w:r>
          </w:p>
        </w:tc>
      </w:tr>
      <w:tr>
        <w:trPr>
          <w:trHeight w:val="186"/>
        </w:trPr>
        <w:tc>
          <w:tcPr>
            <w:tcW w:w="1800" w:type="dxa"/>
            <w:vAlign w:val="bottom"/>
          </w:tcPr>
          <w:p>
            <w:pPr>
              <w:spacing w:after="0"/>
              <w:rPr>
                <w:sz w:val="20"/>
                <w:szCs w:val="20"/>
                <w:color w:val="auto"/>
              </w:rPr>
            </w:pPr>
            <w:r>
              <w:rPr>
                <w:rFonts w:ascii="Arial" w:cs="Arial" w:eastAsia="Arial" w:hAnsi="Arial"/>
                <w:sz w:val="15"/>
                <w:szCs w:val="15"/>
                <w:color w:val="auto"/>
              </w:rPr>
              <w:t>Annual Retainers</w:t>
            </w:r>
          </w:p>
        </w:tc>
        <w:tc>
          <w:tcPr>
            <w:tcW w:w="9620" w:type="dxa"/>
            <w:vAlign w:val="bottom"/>
          </w:tcPr>
          <w:p>
            <w:pPr>
              <w:ind w:left="160"/>
              <w:spacing w:after="0"/>
              <w:rPr>
                <w:sz w:val="20"/>
                <w:szCs w:val="20"/>
                <w:color w:val="auto"/>
              </w:rPr>
            </w:pPr>
            <w:r>
              <w:rPr>
                <w:rFonts w:ascii="Arial" w:cs="Arial" w:eastAsia="Arial" w:hAnsi="Arial"/>
                <w:sz w:val="15"/>
                <w:szCs w:val="15"/>
                <w:color w:val="auto"/>
                <w:w w:val="99"/>
              </w:rPr>
              <w:t>Each Board and committee member, committee chair and the Lead Independent Director receive annual retainers as described in the foregoing</w:t>
            </w:r>
          </w:p>
        </w:tc>
      </w:tr>
      <w:tr>
        <w:trPr>
          <w:trHeight w:val="186"/>
        </w:trPr>
        <w:tc>
          <w:tcPr>
            <w:tcW w:w="1800" w:type="dxa"/>
            <w:vAlign w:val="bottom"/>
          </w:tcPr>
          <w:p>
            <w:pPr>
              <w:spacing w:after="0"/>
              <w:rPr>
                <w:sz w:val="16"/>
                <w:szCs w:val="16"/>
                <w:color w:val="auto"/>
              </w:rPr>
            </w:pPr>
          </w:p>
        </w:tc>
        <w:tc>
          <w:tcPr>
            <w:tcW w:w="9620" w:type="dxa"/>
            <w:vAlign w:val="bottom"/>
          </w:tcPr>
          <w:p>
            <w:pPr>
              <w:ind w:left="160"/>
              <w:spacing w:after="0"/>
              <w:rPr>
                <w:sz w:val="20"/>
                <w:szCs w:val="20"/>
                <w:color w:val="auto"/>
              </w:rPr>
            </w:pPr>
            <w:r>
              <w:rPr>
                <w:rFonts w:ascii="Arial" w:cs="Arial" w:eastAsia="Arial" w:hAnsi="Arial"/>
                <w:sz w:val="15"/>
                <w:szCs w:val="15"/>
                <w:color w:val="auto"/>
              </w:rPr>
              <w:t>table for their respective service on our Board.</w:t>
            </w:r>
          </w:p>
        </w:tc>
      </w:tr>
      <w:tr>
        <w:trPr>
          <w:trHeight w:val="194"/>
        </w:trPr>
        <w:tc>
          <w:tcPr>
            <w:tcW w:w="1800" w:type="dxa"/>
            <w:vAlign w:val="bottom"/>
            <w:shd w:val="clear" w:color="auto" w:fill="D9D9D9"/>
          </w:tcPr>
          <w:p>
            <w:pPr>
              <w:spacing w:after="0"/>
              <w:rPr>
                <w:sz w:val="20"/>
                <w:szCs w:val="20"/>
                <w:color w:val="auto"/>
              </w:rPr>
            </w:pPr>
            <w:r>
              <w:rPr>
                <w:rFonts w:ascii="Arial" w:cs="Arial" w:eastAsia="Arial" w:hAnsi="Arial"/>
                <w:sz w:val="15"/>
                <w:szCs w:val="15"/>
                <w:color w:val="auto"/>
              </w:rPr>
              <w:t>Stock Awards</w:t>
            </w: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w w:val="98"/>
              </w:rPr>
              <w:t>On the first business day of our fiscal year (usually November 1), shares of our common stock are automatically granted under the Amended and</w:t>
            </w:r>
          </w:p>
        </w:tc>
      </w:tr>
      <w:tr>
        <w:trPr>
          <w:trHeight w:val="172"/>
        </w:trPr>
        <w:tc>
          <w:tcPr>
            <w:tcW w:w="1800" w:type="dxa"/>
            <w:vAlign w:val="bottom"/>
            <w:shd w:val="clear" w:color="auto" w:fill="D9D9D9"/>
          </w:tcPr>
          <w:p>
            <w:pPr>
              <w:spacing w:after="0"/>
              <w:rPr>
                <w:sz w:val="14"/>
                <w:szCs w:val="14"/>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w w:val="98"/>
              </w:rPr>
              <w:t>Restated 2010 Plan. The stock award is determined by dividing the stock award value by the average of the closing prices of our common stock,</w:t>
            </w:r>
          </w:p>
        </w:tc>
      </w:tr>
      <w:tr>
        <w:trPr>
          <w:trHeight w:val="194"/>
        </w:trPr>
        <w:tc>
          <w:tcPr>
            <w:tcW w:w="1800" w:type="dxa"/>
            <w:vAlign w:val="bottom"/>
            <w:shd w:val="clear" w:color="auto" w:fill="D9D9D9"/>
          </w:tcPr>
          <w:p>
            <w:pPr>
              <w:spacing w:after="0"/>
              <w:rPr>
                <w:sz w:val="16"/>
                <w:szCs w:val="16"/>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as reported on the NYSE, during the three months prior to the grant. The shares are fully vested at the time of grant.</w:t>
            </w:r>
          </w:p>
        </w:tc>
      </w:tr>
      <w:tr>
        <w:trPr>
          <w:trHeight w:val="186"/>
        </w:trPr>
        <w:tc>
          <w:tcPr>
            <w:tcW w:w="1800" w:type="dxa"/>
            <w:vAlign w:val="bottom"/>
          </w:tcPr>
          <w:p>
            <w:pPr>
              <w:spacing w:after="0"/>
              <w:rPr>
                <w:sz w:val="20"/>
                <w:szCs w:val="20"/>
                <w:color w:val="auto"/>
              </w:rPr>
            </w:pPr>
            <w:r>
              <w:rPr>
                <w:rFonts w:ascii="Arial" w:cs="Arial" w:eastAsia="Arial" w:hAnsi="Arial"/>
                <w:sz w:val="15"/>
                <w:szCs w:val="15"/>
                <w:color w:val="auto"/>
              </w:rPr>
              <w:t>Stock Option Awards</w:t>
            </w:r>
          </w:p>
        </w:tc>
        <w:tc>
          <w:tcPr>
            <w:tcW w:w="9620" w:type="dxa"/>
            <w:vAlign w:val="bottom"/>
          </w:tcPr>
          <w:p>
            <w:pPr>
              <w:ind w:left="160"/>
              <w:spacing w:after="0"/>
              <w:rPr>
                <w:sz w:val="20"/>
                <w:szCs w:val="20"/>
                <w:color w:val="auto"/>
              </w:rPr>
            </w:pPr>
            <w:r>
              <w:rPr>
                <w:rFonts w:ascii="Arial" w:cs="Arial" w:eastAsia="Arial" w:hAnsi="Arial"/>
                <w:sz w:val="15"/>
                <w:szCs w:val="15"/>
                <w:color w:val="auto"/>
              </w:rPr>
              <w:t>On the first business day of our fiscal year, a stock option to purchase shares of our common stock is automatically granted. The stock option</w:t>
            </w:r>
          </w:p>
        </w:tc>
      </w:tr>
      <w:tr>
        <w:trPr>
          <w:trHeight w:val="172"/>
        </w:trPr>
        <w:tc>
          <w:tcPr>
            <w:tcW w:w="1800" w:type="dxa"/>
            <w:vAlign w:val="bottom"/>
          </w:tcPr>
          <w:p>
            <w:pPr>
              <w:spacing w:after="0"/>
              <w:rPr>
                <w:sz w:val="14"/>
                <w:szCs w:val="14"/>
                <w:color w:val="auto"/>
              </w:rPr>
            </w:pPr>
          </w:p>
        </w:tc>
        <w:tc>
          <w:tcPr>
            <w:tcW w:w="9620" w:type="dxa"/>
            <w:vAlign w:val="bottom"/>
          </w:tcPr>
          <w:p>
            <w:pPr>
              <w:ind w:left="160"/>
              <w:spacing w:after="0"/>
              <w:rPr>
                <w:sz w:val="20"/>
                <w:szCs w:val="20"/>
                <w:color w:val="auto"/>
              </w:rPr>
            </w:pPr>
            <w:r>
              <w:rPr>
                <w:rFonts w:ascii="Arial" w:cs="Arial" w:eastAsia="Arial" w:hAnsi="Arial"/>
                <w:sz w:val="15"/>
                <w:szCs w:val="15"/>
                <w:color w:val="auto"/>
                <w:w w:val="98"/>
              </w:rPr>
              <w:t>award is determined by dividing the stock option award value by the grant date fair value of a stock option to purchase one share of our common</w:t>
            </w:r>
          </w:p>
        </w:tc>
      </w:tr>
      <w:tr>
        <w:trPr>
          <w:trHeight w:val="186"/>
        </w:trPr>
        <w:tc>
          <w:tcPr>
            <w:tcW w:w="1800" w:type="dxa"/>
            <w:vAlign w:val="bottom"/>
          </w:tcPr>
          <w:p>
            <w:pPr>
              <w:spacing w:after="0"/>
              <w:rPr>
                <w:sz w:val="16"/>
                <w:szCs w:val="16"/>
                <w:color w:val="auto"/>
              </w:rPr>
            </w:pPr>
          </w:p>
        </w:tc>
        <w:tc>
          <w:tcPr>
            <w:tcW w:w="9620" w:type="dxa"/>
            <w:vAlign w:val="bottom"/>
          </w:tcPr>
          <w:p>
            <w:pPr>
              <w:ind w:left="160"/>
              <w:spacing w:after="0"/>
              <w:rPr>
                <w:sz w:val="20"/>
                <w:szCs w:val="20"/>
                <w:color w:val="auto"/>
              </w:rPr>
            </w:pPr>
            <w:r>
              <w:rPr>
                <w:rFonts w:ascii="Arial" w:cs="Arial" w:eastAsia="Arial" w:hAnsi="Arial"/>
                <w:sz w:val="15"/>
                <w:szCs w:val="15"/>
                <w:color w:val="auto"/>
              </w:rPr>
              <w:t>stock. See below for additional information regarding vesting of stock option grants.</w:t>
            </w:r>
          </w:p>
        </w:tc>
      </w:tr>
      <w:tr>
        <w:trPr>
          <w:trHeight w:val="194"/>
        </w:trPr>
        <w:tc>
          <w:tcPr>
            <w:tcW w:w="1800" w:type="dxa"/>
            <w:vAlign w:val="bottom"/>
            <w:shd w:val="clear" w:color="auto" w:fill="D9D9D9"/>
          </w:tcPr>
          <w:p>
            <w:pPr>
              <w:spacing w:after="0"/>
              <w:rPr>
                <w:sz w:val="20"/>
                <w:szCs w:val="20"/>
                <w:color w:val="auto"/>
              </w:rPr>
            </w:pPr>
            <w:r>
              <w:rPr>
                <w:rFonts w:ascii="Arial" w:cs="Arial" w:eastAsia="Arial" w:hAnsi="Arial"/>
                <w:sz w:val="15"/>
                <w:szCs w:val="15"/>
                <w:color w:val="auto"/>
              </w:rPr>
              <w:t>Common Stock In Lieu of</w:t>
            </w: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w w:val="99"/>
              </w:rPr>
              <w:t>Our non-employee directors may elect to convert a portion or all of their calendar year annual retainers otherwise payable in cash into shares of</w:t>
            </w:r>
          </w:p>
        </w:tc>
      </w:tr>
      <w:tr>
        <w:trPr>
          <w:trHeight w:val="172"/>
        </w:trPr>
        <w:tc>
          <w:tcPr>
            <w:tcW w:w="1800" w:type="dxa"/>
            <w:vAlign w:val="bottom"/>
            <w:shd w:val="clear" w:color="auto" w:fill="D9D9D9"/>
          </w:tcPr>
          <w:p>
            <w:pPr>
              <w:spacing w:after="0"/>
              <w:rPr>
                <w:sz w:val="20"/>
                <w:szCs w:val="20"/>
                <w:color w:val="auto"/>
              </w:rPr>
            </w:pPr>
            <w:r>
              <w:rPr>
                <w:rFonts w:ascii="Arial" w:cs="Arial" w:eastAsia="Arial" w:hAnsi="Arial"/>
                <w:sz w:val="15"/>
                <w:szCs w:val="15"/>
                <w:color w:val="auto"/>
              </w:rPr>
              <w:t>Annual Retainers</w:t>
            </w: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our common stock. Annual retainers earned after the date a director makes a stock-in-lieu of cash election for a calendar year are issued in</w:t>
            </w:r>
          </w:p>
        </w:tc>
      </w:tr>
      <w:tr>
        <w:trPr>
          <w:trHeight w:val="172"/>
        </w:trPr>
        <w:tc>
          <w:tcPr>
            <w:tcW w:w="1800" w:type="dxa"/>
            <w:vAlign w:val="bottom"/>
            <w:shd w:val="clear" w:color="auto" w:fill="D9D9D9"/>
          </w:tcPr>
          <w:p>
            <w:pPr>
              <w:spacing w:after="0"/>
              <w:rPr>
                <w:sz w:val="14"/>
                <w:szCs w:val="14"/>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shares of common stock in December of that year, the number of which is determined by dividing the dollar amount of the annual retainers</w:t>
            </w:r>
          </w:p>
        </w:tc>
      </w:tr>
      <w:tr>
        <w:trPr>
          <w:trHeight w:val="172"/>
        </w:trPr>
        <w:tc>
          <w:tcPr>
            <w:tcW w:w="1800" w:type="dxa"/>
            <w:vAlign w:val="bottom"/>
            <w:shd w:val="clear" w:color="auto" w:fill="D9D9D9"/>
          </w:tcPr>
          <w:p>
            <w:pPr>
              <w:spacing w:after="0"/>
              <w:rPr>
                <w:sz w:val="14"/>
                <w:szCs w:val="14"/>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w w:val="99"/>
              </w:rPr>
              <w:t>earned in the calendar year and elected to be converted into shares of our common stock by the closing price of our common stock, as reported</w:t>
            </w:r>
          </w:p>
        </w:tc>
      </w:tr>
      <w:tr>
        <w:trPr>
          <w:trHeight w:val="194"/>
        </w:trPr>
        <w:tc>
          <w:tcPr>
            <w:tcW w:w="1800" w:type="dxa"/>
            <w:vAlign w:val="bottom"/>
            <w:shd w:val="clear" w:color="auto" w:fill="D9D9D9"/>
          </w:tcPr>
          <w:p>
            <w:pPr>
              <w:spacing w:after="0"/>
              <w:rPr>
                <w:sz w:val="16"/>
                <w:szCs w:val="16"/>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on the NYSE, on the date that the shares are issued.</w:t>
            </w:r>
          </w:p>
        </w:tc>
      </w:tr>
    </w:tbl>
    <w:p>
      <w:pPr>
        <w:spacing w:after="0" w:line="14" w:lineRule="exact"/>
        <w:rPr>
          <w:sz w:val="20"/>
          <w:szCs w:val="20"/>
          <w:color w:val="auto"/>
        </w:rPr>
      </w:pPr>
    </w:p>
    <w:p>
      <w:pPr>
        <w:ind w:left="1960" w:right="100" w:hanging="1959"/>
        <w:spacing w:after="0" w:line="239" w:lineRule="auto"/>
        <w:rPr>
          <w:sz w:val="20"/>
          <w:szCs w:val="20"/>
          <w:color w:val="auto"/>
        </w:rPr>
      </w:pPr>
      <w:r>
        <w:rPr>
          <w:rFonts w:ascii="Arial" w:cs="Arial" w:eastAsia="Arial" w:hAnsi="Arial"/>
          <w:sz w:val="15"/>
          <w:szCs w:val="15"/>
          <w:color w:val="auto"/>
        </w:rPr>
        <w:t>Deferred Compensation Plan Non-employee directors may elect to defer receipt of all or a part of his or her stock award and/or cash compensation on a calendar year basis under The Toro Company Deferred Compensation Plan for Non-Employee Directors, or the Deferred Plan for Directors. Because the value of a director’s deferred compensation account fluctuates, as applicable, based on the market value of our common stock or based on a rate of return on funds that are comparable to funds available in The Toro Company Investment, Savings and Employee Stock Ownership Plan, or IS&amp;ESOP, earnings on deferred compensation are not preferential. Dividends paid on our common stock are credited to a director’s account as additional common stock units. A director is fully vested in his or her deferred compensation accounts. Distributions under the Deferred Plan for Directors are payable in accordance with the director participant’s prior distribution elections upon the earliest of retirement, prior to retirement if a valid election has been made or in an unforeseeable financial emergency.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0" w:type="dxa"/>
            <w:vAlign w:val="bottom"/>
            <w:shd w:val="clear" w:color="auto" w:fill="D9D9D9"/>
          </w:tcPr>
          <w:p>
            <w:pPr>
              <w:spacing w:after="0"/>
              <w:rPr>
                <w:sz w:val="20"/>
                <w:szCs w:val="20"/>
                <w:color w:val="auto"/>
              </w:rPr>
            </w:pPr>
            <w:r>
              <w:rPr>
                <w:rFonts w:ascii="Arial" w:cs="Arial" w:eastAsia="Arial" w:hAnsi="Arial"/>
                <w:sz w:val="15"/>
                <w:szCs w:val="15"/>
                <w:color w:val="auto"/>
              </w:rPr>
              <w:t>Company Products</w:t>
            </w: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Each of our non-employee directors is entitled to receive certain Company products and related parts, service and accessories for his or her</w:t>
            </w:r>
          </w:p>
        </w:tc>
      </w:tr>
      <w:tr>
        <w:trPr>
          <w:trHeight w:val="172"/>
        </w:trPr>
        <w:tc>
          <w:tcPr>
            <w:tcW w:w="1800" w:type="dxa"/>
            <w:vAlign w:val="bottom"/>
            <w:shd w:val="clear" w:color="auto" w:fill="D9D9D9"/>
          </w:tcPr>
          <w:p>
            <w:pPr>
              <w:spacing w:after="0"/>
              <w:rPr>
                <w:sz w:val="14"/>
                <w:szCs w:val="14"/>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w w:val="98"/>
              </w:rPr>
              <w:t>personal use, at no cost; provided, however, that directors are responsible for payment of applicable taxes attributable to the value of such items.</w:t>
            </w:r>
          </w:p>
        </w:tc>
      </w:tr>
      <w:tr>
        <w:trPr>
          <w:trHeight w:val="172"/>
        </w:trPr>
        <w:tc>
          <w:tcPr>
            <w:tcW w:w="1800" w:type="dxa"/>
            <w:vAlign w:val="bottom"/>
            <w:shd w:val="clear" w:color="auto" w:fill="D9D9D9"/>
          </w:tcPr>
          <w:p>
            <w:pPr>
              <w:spacing w:after="0"/>
              <w:rPr>
                <w:sz w:val="14"/>
                <w:szCs w:val="14"/>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The value of products, parts and accessories is deemed to be our distributor net price or its equivalent, which is also the price at which such</w:t>
            </w:r>
          </w:p>
        </w:tc>
      </w:tr>
      <w:tr>
        <w:trPr>
          <w:trHeight w:val="194"/>
        </w:trPr>
        <w:tc>
          <w:tcPr>
            <w:tcW w:w="1800" w:type="dxa"/>
            <w:vAlign w:val="bottom"/>
            <w:shd w:val="clear" w:color="auto" w:fill="D9D9D9"/>
          </w:tcPr>
          <w:p>
            <w:pPr>
              <w:spacing w:after="0"/>
              <w:rPr>
                <w:sz w:val="16"/>
                <w:szCs w:val="16"/>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items are generally available to our employees for purchase.</w:t>
            </w:r>
          </w:p>
        </w:tc>
      </w:tr>
      <w:tr>
        <w:trPr>
          <w:trHeight w:val="186"/>
        </w:trPr>
        <w:tc>
          <w:tcPr>
            <w:tcW w:w="1800" w:type="dxa"/>
            <w:vAlign w:val="bottom"/>
          </w:tcPr>
          <w:p>
            <w:pPr>
              <w:spacing w:after="0"/>
              <w:rPr>
                <w:sz w:val="20"/>
                <w:szCs w:val="20"/>
                <w:color w:val="auto"/>
              </w:rPr>
            </w:pPr>
            <w:r>
              <w:rPr>
                <w:rFonts w:ascii="Arial" w:cs="Arial" w:eastAsia="Arial" w:hAnsi="Arial"/>
                <w:sz w:val="15"/>
                <w:szCs w:val="15"/>
                <w:color w:val="auto"/>
              </w:rPr>
              <w:t>Charitable Giving</w:t>
            </w:r>
          </w:p>
        </w:tc>
        <w:tc>
          <w:tcPr>
            <w:tcW w:w="9620" w:type="dxa"/>
            <w:vAlign w:val="bottom"/>
          </w:tcPr>
          <w:p>
            <w:pPr>
              <w:ind w:left="160"/>
              <w:spacing w:after="0"/>
              <w:rPr>
                <w:sz w:val="20"/>
                <w:szCs w:val="20"/>
                <w:color w:val="auto"/>
              </w:rPr>
            </w:pPr>
            <w:r>
              <w:rPr>
                <w:rFonts w:ascii="Arial" w:cs="Arial" w:eastAsia="Arial" w:hAnsi="Arial"/>
                <w:sz w:val="15"/>
                <w:szCs w:val="15"/>
                <w:color w:val="auto"/>
              </w:rPr>
              <w:t>We offer a matching gift program for our non-employee directors, similar to the matching gift program offered to all employees, which provides</w:t>
            </w:r>
          </w:p>
        </w:tc>
      </w:tr>
      <w:tr>
        <w:trPr>
          <w:trHeight w:val="172"/>
        </w:trPr>
        <w:tc>
          <w:tcPr>
            <w:tcW w:w="1800" w:type="dxa"/>
            <w:vAlign w:val="bottom"/>
          </w:tcPr>
          <w:p>
            <w:pPr>
              <w:spacing w:after="0"/>
              <w:rPr>
                <w:sz w:val="14"/>
                <w:szCs w:val="14"/>
                <w:color w:val="auto"/>
              </w:rPr>
            </w:pPr>
          </w:p>
        </w:tc>
        <w:tc>
          <w:tcPr>
            <w:tcW w:w="9620" w:type="dxa"/>
            <w:vAlign w:val="bottom"/>
          </w:tcPr>
          <w:p>
            <w:pPr>
              <w:ind w:left="160"/>
              <w:spacing w:after="0"/>
              <w:rPr>
                <w:sz w:val="20"/>
                <w:szCs w:val="20"/>
                <w:color w:val="auto"/>
              </w:rPr>
            </w:pPr>
            <w:r>
              <w:rPr>
                <w:rFonts w:ascii="Arial" w:cs="Arial" w:eastAsia="Arial" w:hAnsi="Arial"/>
                <w:sz w:val="15"/>
                <w:szCs w:val="15"/>
                <w:color w:val="auto"/>
                <w:w w:val="98"/>
              </w:rPr>
              <w:t>that a gift or gifts by a director and/or his or her spouse to one or more tax exempt 501(c)(3) charitable organizations located in the United States</w:t>
            </w:r>
          </w:p>
        </w:tc>
      </w:tr>
      <w:tr>
        <w:trPr>
          <w:trHeight w:val="186"/>
        </w:trPr>
        <w:tc>
          <w:tcPr>
            <w:tcW w:w="1800" w:type="dxa"/>
            <w:vAlign w:val="bottom"/>
          </w:tcPr>
          <w:p>
            <w:pPr>
              <w:spacing w:after="0"/>
              <w:rPr>
                <w:sz w:val="16"/>
                <w:szCs w:val="16"/>
                <w:color w:val="auto"/>
              </w:rPr>
            </w:pPr>
          </w:p>
        </w:tc>
        <w:tc>
          <w:tcPr>
            <w:tcW w:w="9620" w:type="dxa"/>
            <w:vAlign w:val="bottom"/>
          </w:tcPr>
          <w:p>
            <w:pPr>
              <w:ind w:left="160"/>
              <w:spacing w:after="0"/>
              <w:rPr>
                <w:sz w:val="20"/>
                <w:szCs w:val="20"/>
                <w:color w:val="auto"/>
              </w:rPr>
            </w:pPr>
            <w:r>
              <w:rPr>
                <w:rFonts w:ascii="Arial" w:cs="Arial" w:eastAsia="Arial" w:hAnsi="Arial"/>
                <w:sz w:val="15"/>
                <w:szCs w:val="15"/>
                <w:color w:val="auto"/>
              </w:rPr>
              <w:t>will be matched by us in an aggregate amount of up to $1,000 per director per year.</w:t>
            </w:r>
          </w:p>
        </w:tc>
      </w:tr>
      <w:tr>
        <w:trPr>
          <w:trHeight w:val="194"/>
        </w:trPr>
        <w:tc>
          <w:tcPr>
            <w:tcW w:w="1800" w:type="dxa"/>
            <w:vAlign w:val="bottom"/>
            <w:shd w:val="clear" w:color="auto" w:fill="D9D9D9"/>
          </w:tcPr>
          <w:p>
            <w:pPr>
              <w:spacing w:after="0"/>
              <w:rPr>
                <w:sz w:val="20"/>
                <w:szCs w:val="20"/>
                <w:color w:val="auto"/>
              </w:rPr>
            </w:pPr>
            <w:r>
              <w:rPr>
                <w:rFonts w:ascii="Arial" w:cs="Arial" w:eastAsia="Arial" w:hAnsi="Arial"/>
                <w:sz w:val="15"/>
                <w:szCs w:val="15"/>
                <w:color w:val="auto"/>
              </w:rPr>
              <w:t>Indemnification and D&amp;O</w:t>
            </w: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w w:val="98"/>
              </w:rPr>
              <w:t>Each non-employee director is a party to an indemnification agreement with us pursuant to which we have agreed to provide indemnification and</w:t>
            </w:r>
          </w:p>
        </w:tc>
      </w:tr>
      <w:tr>
        <w:trPr>
          <w:trHeight w:val="172"/>
        </w:trPr>
        <w:tc>
          <w:tcPr>
            <w:tcW w:w="1800" w:type="dxa"/>
            <w:vAlign w:val="bottom"/>
            <w:shd w:val="clear" w:color="auto" w:fill="D9D9D9"/>
          </w:tcPr>
          <w:p>
            <w:pPr>
              <w:spacing w:after="0"/>
              <w:rPr>
                <w:sz w:val="20"/>
                <w:szCs w:val="20"/>
                <w:color w:val="auto"/>
              </w:rPr>
            </w:pPr>
            <w:r>
              <w:rPr>
                <w:rFonts w:ascii="Arial" w:cs="Arial" w:eastAsia="Arial" w:hAnsi="Arial"/>
                <w:sz w:val="15"/>
                <w:szCs w:val="15"/>
                <w:color w:val="auto"/>
              </w:rPr>
              <w:t>Insurance</w:t>
            </w: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w w:val="99"/>
              </w:rPr>
              <w:t>advancement of expenses to the fullest extent permitted by Delaware law and our Restated Certificate of Incorporation and continued coverage</w:t>
            </w:r>
          </w:p>
        </w:tc>
      </w:tr>
      <w:tr>
        <w:trPr>
          <w:trHeight w:val="194"/>
        </w:trPr>
        <w:tc>
          <w:tcPr>
            <w:tcW w:w="1800" w:type="dxa"/>
            <w:vAlign w:val="bottom"/>
            <w:shd w:val="clear" w:color="auto" w:fill="D9D9D9"/>
          </w:tcPr>
          <w:p>
            <w:pPr>
              <w:spacing w:after="0"/>
              <w:rPr>
                <w:sz w:val="16"/>
                <w:szCs w:val="16"/>
                <w:color w:val="auto"/>
              </w:rPr>
            </w:pPr>
          </w:p>
        </w:tc>
        <w:tc>
          <w:tcPr>
            <w:tcW w:w="9620" w:type="dxa"/>
            <w:vAlign w:val="bottom"/>
            <w:shd w:val="clear" w:color="auto" w:fill="D9D9D9"/>
          </w:tcPr>
          <w:p>
            <w:pPr>
              <w:ind w:left="160"/>
              <w:spacing w:after="0"/>
              <w:rPr>
                <w:sz w:val="20"/>
                <w:szCs w:val="20"/>
                <w:color w:val="auto"/>
              </w:rPr>
            </w:pPr>
            <w:r>
              <w:rPr>
                <w:rFonts w:ascii="Arial" w:cs="Arial" w:eastAsia="Arial" w:hAnsi="Arial"/>
                <w:sz w:val="15"/>
                <w:szCs w:val="15"/>
                <w:color w:val="auto"/>
              </w:rPr>
              <w:t>under our D&amp;O insurance.</w:t>
            </w:r>
          </w:p>
        </w:tc>
      </w:tr>
    </w:tbl>
    <w:p>
      <w:pPr>
        <w:spacing w:after="0" w:line="77" w:lineRule="exact"/>
        <w:rPr>
          <w:sz w:val="20"/>
          <w:szCs w:val="20"/>
          <w:color w:val="auto"/>
        </w:rPr>
      </w:pPr>
    </w:p>
    <w:p>
      <w:pPr>
        <w:ind w:right="260" w:firstLine="408"/>
        <w:spacing w:after="0" w:line="281" w:lineRule="auto"/>
        <w:rPr>
          <w:sz w:val="20"/>
          <w:szCs w:val="20"/>
          <w:color w:val="auto"/>
        </w:rPr>
      </w:pPr>
      <w:r>
        <w:rPr>
          <w:rFonts w:ascii="Arial" w:cs="Arial" w:eastAsia="Arial" w:hAnsi="Arial"/>
          <w:sz w:val="16"/>
          <w:szCs w:val="16"/>
          <w:b w:val="1"/>
          <w:bCs w:val="1"/>
          <w:i w:val="1"/>
          <w:iCs w:val="1"/>
          <w:color w:val="auto"/>
        </w:rPr>
        <w:t xml:space="preserve">Stock Option Vesting. </w:t>
      </w:r>
      <w:r>
        <w:rPr>
          <w:rFonts w:ascii="Arial" w:cs="Arial" w:eastAsia="Arial" w:hAnsi="Arial"/>
          <w:sz w:val="16"/>
          <w:szCs w:val="16"/>
          <w:color w:val="auto"/>
        </w:rPr>
        <w:t>Except as described below, stock options granted to our non-employee directors vest in three equal installments on each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first, second and third year anniversaries of the date of grant and remain exercisable for a term of ten years after the date of grant.</w:t>
      </w:r>
    </w:p>
    <w:p>
      <w:pPr>
        <w:spacing w:after="0" w:line="55" w:lineRule="exact"/>
        <w:rPr>
          <w:sz w:val="20"/>
          <w:szCs w:val="20"/>
          <w:color w:val="auto"/>
        </w:rPr>
      </w:pPr>
    </w:p>
    <w:p>
      <w:pPr>
        <w:ind w:right="100" w:firstLine="408"/>
        <w:spacing w:after="0" w:line="247" w:lineRule="auto"/>
        <w:rPr>
          <w:sz w:val="20"/>
          <w:szCs w:val="20"/>
          <w:color w:val="auto"/>
        </w:rPr>
      </w:pPr>
      <w:r>
        <w:rPr>
          <w:rFonts w:ascii="Arial" w:cs="Arial" w:eastAsia="Arial" w:hAnsi="Arial"/>
          <w:sz w:val="16"/>
          <w:szCs w:val="16"/>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81" w:lineRule="exact"/>
        <w:rPr>
          <w:sz w:val="20"/>
          <w:szCs w:val="20"/>
          <w:color w:val="auto"/>
        </w:rPr>
      </w:pPr>
    </w:p>
    <w:p>
      <w:pPr>
        <w:ind w:right="140" w:firstLine="408"/>
        <w:spacing w:after="0" w:line="242" w:lineRule="auto"/>
        <w:rPr>
          <w:sz w:val="20"/>
          <w:szCs w:val="20"/>
          <w:color w:val="auto"/>
        </w:rPr>
      </w:pPr>
      <w:r>
        <w:rPr>
          <w:rFonts w:ascii="Arial" w:cs="Arial" w:eastAsia="Arial" w:hAnsi="Arial"/>
          <w:sz w:val="16"/>
          <w:szCs w:val="16"/>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3" w:name="page34"/>
    <w:bookmarkEnd w:id="3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2" w:right="100"/>
        <w:spacing w:after="0" w:line="255" w:lineRule="auto"/>
        <w:rPr>
          <w:sz w:val="20"/>
          <w:szCs w:val="20"/>
          <w:color w:val="auto"/>
        </w:rPr>
      </w:pPr>
      <w:r>
        <w:rPr>
          <w:rFonts w:ascii="Arial" w:cs="Arial" w:eastAsia="Arial" w:hAnsi="Arial"/>
          <w:sz w:val="16"/>
          <w:szCs w:val="16"/>
          <w:color w:val="auto"/>
        </w:rPr>
        <w:t>directors have served as a member of the Board for ten full fiscal years or longer: Robert C. Buhrmaster, Janet K. Cooper, Gary L. Ellis, Katherine J. Harless, Gregg W. Steinhafel and Christopher A. Twomey.</w:t>
      </w:r>
    </w:p>
    <w:p>
      <w:pPr>
        <w:spacing w:after="0" w:line="75" w:lineRule="exact"/>
        <w:rPr>
          <w:sz w:val="20"/>
          <w:szCs w:val="20"/>
          <w:color w:val="auto"/>
        </w:rPr>
      </w:pPr>
    </w:p>
    <w:p>
      <w:pPr>
        <w:ind w:left="2" w:firstLine="408"/>
        <w:spacing w:after="0" w:line="243" w:lineRule="auto"/>
        <w:rPr>
          <w:sz w:val="20"/>
          <w:szCs w:val="20"/>
          <w:color w:val="auto"/>
        </w:rPr>
      </w:pPr>
      <w:r>
        <w:rPr>
          <w:rFonts w:ascii="Arial" w:cs="Arial" w:eastAsia="Arial" w:hAnsi="Arial"/>
          <w:sz w:val="16"/>
          <w:szCs w:val="16"/>
          <w:color w:val="auto"/>
        </w:rPr>
        <w:t>If there is a change in control of our Company, stock options granted under the Amended and Restated 2010 Plan will vest immediately and remain exercisable for the remaining term and stock options granted under The Toro Company 2000 Directors Stock Plan, as amended, or 2000 Directors Stock Plan, will remain exercisable for three years or their respective expiration date, if earlier. The general definition of a change in control under the Amended and Restated 2010 Plan and the 2000 Directors Stock Plan is described under “Potential Payments Upon Termination or Change in Control—Change in Control” beginning on page 55.</w:t>
      </w:r>
    </w:p>
    <w:p>
      <w:pPr>
        <w:spacing w:after="0" w:line="66" w:lineRule="exact"/>
        <w:rPr>
          <w:sz w:val="20"/>
          <w:szCs w:val="20"/>
          <w:color w:val="auto"/>
        </w:rPr>
      </w:pPr>
    </w:p>
    <w:p>
      <w:pPr>
        <w:ind w:left="2" w:right="160" w:firstLine="408"/>
        <w:spacing w:after="0" w:line="250" w:lineRule="auto"/>
        <w:rPr>
          <w:sz w:val="20"/>
          <w:szCs w:val="20"/>
          <w:color w:val="auto"/>
        </w:rPr>
      </w:pPr>
      <w:r>
        <w:rPr>
          <w:rFonts w:ascii="Arial" w:cs="Arial" w:eastAsia="Arial" w:hAnsi="Arial"/>
          <w:sz w:val="16"/>
          <w:szCs w:val="16"/>
          <w:b w:val="1"/>
          <w:bCs w:val="1"/>
          <w:color w:val="auto"/>
        </w:rPr>
        <w:t xml:space="preserve">Director Compensation for Fiscal 2018. </w:t>
      </w:r>
      <w:r>
        <w:rPr>
          <w:rFonts w:ascii="Arial" w:cs="Arial" w:eastAsia="Arial" w:hAnsi="Arial"/>
          <w:sz w:val="16"/>
          <w:szCs w:val="16"/>
          <w:color w:val="auto"/>
        </w:rPr>
        <w:t>The following table provides summary information concerning the compensation of each individual non-employee director who served during fiscal 2018. Each of Richard M. Olson, who served as Chairman and CEO in fiscal 2018, and Michael J. Hoffman, who served as Executive Chairman at the beginning of fiscal 2018, is not compensated separately for his service as a director. Mr. Olson’s compensation is discussed in the “Executive Compensation” section beginning on page 29. Neither Mr. Harmening nor Ms. Mullen served as a director in fiscal 2018 and, therefore, are not included in this table.</w:t>
      </w:r>
    </w:p>
    <w:p>
      <w:pPr>
        <w:spacing w:after="0" w:line="90"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60" w:type="dxa"/>
            <w:vAlign w:val="bottom"/>
            <w:shd w:val="clear" w:color="auto" w:fill="C00000"/>
          </w:tcPr>
          <w:p>
            <w:pPr>
              <w:spacing w:after="0"/>
              <w:rPr>
                <w:sz w:val="13"/>
                <w:szCs w:val="13"/>
                <w:color w:val="auto"/>
              </w:rPr>
            </w:pPr>
          </w:p>
        </w:tc>
        <w:tc>
          <w:tcPr>
            <w:tcW w:w="1080" w:type="dxa"/>
            <w:vAlign w:val="bottom"/>
            <w:shd w:val="clear" w:color="auto" w:fill="C00000"/>
          </w:tcPr>
          <w:p>
            <w:pPr>
              <w:spacing w:after="0"/>
              <w:rPr>
                <w:sz w:val="13"/>
                <w:szCs w:val="13"/>
                <w:color w:val="auto"/>
              </w:rPr>
            </w:pPr>
          </w:p>
        </w:tc>
        <w:tc>
          <w:tcPr>
            <w:tcW w:w="1360" w:type="dxa"/>
            <w:vAlign w:val="bottom"/>
            <w:shd w:val="clear" w:color="auto" w:fill="C00000"/>
          </w:tcPr>
          <w:p>
            <w:pPr>
              <w:jc w:val="center"/>
              <w:ind w:right="229"/>
              <w:spacing w:after="0"/>
              <w:rPr>
                <w:sz w:val="20"/>
                <w:szCs w:val="20"/>
                <w:color w:val="auto"/>
              </w:rPr>
            </w:pPr>
            <w:r>
              <w:rPr>
                <w:rFonts w:ascii="Arial" w:cs="Arial" w:eastAsia="Arial" w:hAnsi="Arial"/>
                <w:sz w:val="13"/>
                <w:szCs w:val="13"/>
                <w:b w:val="1"/>
                <w:bCs w:val="1"/>
                <w:color w:val="FFFFFF"/>
              </w:rPr>
              <w:t>Fees Earned or</w:t>
            </w:r>
          </w:p>
        </w:tc>
        <w:tc>
          <w:tcPr>
            <w:tcW w:w="300" w:type="dxa"/>
            <w:vAlign w:val="bottom"/>
            <w:shd w:val="clear" w:color="auto" w:fill="C00000"/>
          </w:tcPr>
          <w:p>
            <w:pPr>
              <w:spacing w:after="0"/>
              <w:rPr>
                <w:sz w:val="13"/>
                <w:szCs w:val="13"/>
                <w:color w:val="auto"/>
              </w:rPr>
            </w:pPr>
          </w:p>
        </w:tc>
        <w:tc>
          <w:tcPr>
            <w:tcW w:w="1320" w:type="dxa"/>
            <w:vAlign w:val="bottom"/>
            <w:shd w:val="clear" w:color="auto" w:fill="C00000"/>
          </w:tcPr>
          <w:p>
            <w:pPr>
              <w:spacing w:after="0"/>
              <w:rPr>
                <w:sz w:val="13"/>
                <w:szCs w:val="13"/>
                <w:color w:val="auto"/>
              </w:rPr>
            </w:pPr>
          </w:p>
        </w:tc>
        <w:tc>
          <w:tcPr>
            <w:tcW w:w="280" w:type="dxa"/>
            <w:vAlign w:val="bottom"/>
            <w:shd w:val="clear" w:color="auto" w:fill="C00000"/>
          </w:tcPr>
          <w:p>
            <w:pPr>
              <w:spacing w:after="0"/>
              <w:rPr>
                <w:sz w:val="13"/>
                <w:szCs w:val="13"/>
                <w:color w:val="auto"/>
              </w:rPr>
            </w:pPr>
          </w:p>
        </w:tc>
        <w:tc>
          <w:tcPr>
            <w:tcW w:w="1360" w:type="dxa"/>
            <w:vAlign w:val="bottom"/>
            <w:shd w:val="clear" w:color="auto" w:fill="C00000"/>
          </w:tcPr>
          <w:p>
            <w:pPr>
              <w:spacing w:after="0"/>
              <w:rPr>
                <w:sz w:val="13"/>
                <w:szCs w:val="13"/>
                <w:color w:val="auto"/>
              </w:rPr>
            </w:pPr>
          </w:p>
        </w:tc>
        <w:tc>
          <w:tcPr>
            <w:tcW w:w="280" w:type="dxa"/>
            <w:vAlign w:val="bottom"/>
            <w:shd w:val="clear" w:color="auto" w:fill="C00000"/>
          </w:tcPr>
          <w:p>
            <w:pPr>
              <w:spacing w:after="0"/>
              <w:rPr>
                <w:sz w:val="13"/>
                <w:szCs w:val="13"/>
                <w:color w:val="auto"/>
              </w:rPr>
            </w:pPr>
          </w:p>
        </w:tc>
        <w:tc>
          <w:tcPr>
            <w:tcW w:w="1340" w:type="dxa"/>
            <w:vAlign w:val="bottom"/>
            <w:shd w:val="clear" w:color="auto" w:fill="C00000"/>
          </w:tcPr>
          <w:p>
            <w:pPr>
              <w:jc w:val="center"/>
              <w:ind w:right="209"/>
              <w:spacing w:after="0"/>
              <w:rPr>
                <w:sz w:val="20"/>
                <w:szCs w:val="20"/>
                <w:color w:val="auto"/>
              </w:rPr>
            </w:pPr>
            <w:r>
              <w:rPr>
                <w:rFonts w:ascii="Arial" w:cs="Arial" w:eastAsia="Arial" w:hAnsi="Arial"/>
                <w:sz w:val="13"/>
                <w:szCs w:val="13"/>
                <w:b w:val="1"/>
                <w:bCs w:val="1"/>
                <w:color w:val="FFFFFF"/>
                <w:w w:val="98"/>
              </w:rPr>
              <w:t>All Other</w:t>
            </w:r>
          </w:p>
        </w:tc>
        <w:tc>
          <w:tcPr>
            <w:tcW w:w="440" w:type="dxa"/>
            <w:vAlign w:val="bottom"/>
            <w:shd w:val="clear" w:color="auto" w:fill="C00000"/>
          </w:tcPr>
          <w:p>
            <w:pPr>
              <w:spacing w:after="0"/>
              <w:rPr>
                <w:sz w:val="13"/>
                <w:szCs w:val="13"/>
                <w:color w:val="auto"/>
              </w:rPr>
            </w:pPr>
          </w:p>
        </w:tc>
        <w:tc>
          <w:tcPr>
            <w:tcW w:w="1200" w:type="dxa"/>
            <w:vAlign w:val="bottom"/>
            <w:shd w:val="clear" w:color="auto" w:fill="C00000"/>
          </w:tcPr>
          <w:p>
            <w:pPr>
              <w:spacing w:after="0"/>
              <w:rPr>
                <w:sz w:val="13"/>
                <w:szCs w:val="13"/>
                <w:color w:val="auto"/>
              </w:rPr>
            </w:pPr>
          </w:p>
        </w:tc>
      </w:tr>
      <w:tr>
        <w:trPr>
          <w:trHeight w:val="142"/>
        </w:trPr>
        <w:tc>
          <w:tcPr>
            <w:tcW w:w="246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1360" w:type="dxa"/>
            <w:vAlign w:val="bottom"/>
            <w:shd w:val="clear" w:color="auto" w:fill="C00000"/>
          </w:tcPr>
          <w:p>
            <w:pPr>
              <w:jc w:val="center"/>
              <w:ind w:right="209"/>
              <w:spacing w:after="0" w:line="143" w:lineRule="exact"/>
              <w:rPr>
                <w:sz w:val="20"/>
                <w:szCs w:val="20"/>
                <w:color w:val="auto"/>
              </w:rPr>
            </w:pPr>
            <w:r>
              <w:rPr>
                <w:rFonts w:ascii="Arial" w:cs="Arial" w:eastAsia="Arial" w:hAnsi="Arial"/>
                <w:sz w:val="13"/>
                <w:szCs w:val="13"/>
                <w:b w:val="1"/>
                <w:bCs w:val="1"/>
                <w:color w:val="FFFFFF"/>
              </w:rPr>
              <w:t>Paid in Cash</w:t>
            </w:r>
          </w:p>
        </w:tc>
        <w:tc>
          <w:tcPr>
            <w:tcW w:w="300" w:type="dxa"/>
            <w:vAlign w:val="bottom"/>
            <w:shd w:val="clear" w:color="auto" w:fill="C00000"/>
          </w:tcPr>
          <w:p>
            <w:pPr>
              <w:spacing w:after="0"/>
              <w:rPr>
                <w:sz w:val="12"/>
                <w:szCs w:val="12"/>
                <w:color w:val="auto"/>
              </w:rPr>
            </w:pPr>
          </w:p>
        </w:tc>
        <w:tc>
          <w:tcPr>
            <w:tcW w:w="1320" w:type="dxa"/>
            <w:vAlign w:val="bottom"/>
            <w:shd w:val="clear" w:color="auto" w:fill="C00000"/>
          </w:tcPr>
          <w:p>
            <w:pPr>
              <w:jc w:val="right"/>
              <w:ind w:right="309"/>
              <w:spacing w:after="0" w:line="143" w:lineRule="exact"/>
              <w:rPr>
                <w:sz w:val="20"/>
                <w:szCs w:val="20"/>
                <w:color w:val="auto"/>
              </w:rPr>
            </w:pPr>
            <w:r>
              <w:rPr>
                <w:rFonts w:ascii="Arial" w:cs="Arial" w:eastAsia="Arial" w:hAnsi="Arial"/>
                <w:sz w:val="13"/>
                <w:szCs w:val="13"/>
                <w:b w:val="1"/>
                <w:bCs w:val="1"/>
                <w:color w:val="FFFFFF"/>
              </w:rPr>
              <w:t>Stock Awards</w:t>
            </w:r>
          </w:p>
        </w:tc>
        <w:tc>
          <w:tcPr>
            <w:tcW w:w="280" w:type="dxa"/>
            <w:vAlign w:val="bottom"/>
            <w:shd w:val="clear" w:color="auto" w:fill="C00000"/>
          </w:tcPr>
          <w:p>
            <w:pPr>
              <w:spacing w:after="0"/>
              <w:rPr>
                <w:sz w:val="12"/>
                <w:szCs w:val="12"/>
                <w:color w:val="auto"/>
              </w:rPr>
            </w:pPr>
          </w:p>
        </w:tc>
        <w:tc>
          <w:tcPr>
            <w:tcW w:w="1360" w:type="dxa"/>
            <w:vAlign w:val="bottom"/>
            <w:shd w:val="clear" w:color="auto" w:fill="C00000"/>
          </w:tcPr>
          <w:p>
            <w:pPr>
              <w:jc w:val="right"/>
              <w:ind w:right="290"/>
              <w:spacing w:after="0" w:line="143" w:lineRule="exact"/>
              <w:rPr>
                <w:sz w:val="20"/>
                <w:szCs w:val="20"/>
                <w:color w:val="auto"/>
              </w:rPr>
            </w:pPr>
            <w:r>
              <w:rPr>
                <w:rFonts w:ascii="Arial" w:cs="Arial" w:eastAsia="Arial" w:hAnsi="Arial"/>
                <w:sz w:val="13"/>
                <w:szCs w:val="13"/>
                <w:b w:val="1"/>
                <w:bCs w:val="1"/>
                <w:color w:val="FFFFFF"/>
              </w:rPr>
              <w:t>Option Awards</w:t>
            </w:r>
          </w:p>
        </w:tc>
        <w:tc>
          <w:tcPr>
            <w:tcW w:w="280" w:type="dxa"/>
            <w:vAlign w:val="bottom"/>
            <w:shd w:val="clear" w:color="auto" w:fill="C00000"/>
          </w:tcPr>
          <w:p>
            <w:pPr>
              <w:spacing w:after="0"/>
              <w:rPr>
                <w:sz w:val="12"/>
                <w:szCs w:val="12"/>
                <w:color w:val="auto"/>
              </w:rPr>
            </w:pPr>
          </w:p>
        </w:tc>
        <w:tc>
          <w:tcPr>
            <w:tcW w:w="1340" w:type="dxa"/>
            <w:vAlign w:val="bottom"/>
            <w:shd w:val="clear" w:color="auto" w:fill="C00000"/>
          </w:tcPr>
          <w:p>
            <w:pPr>
              <w:jc w:val="center"/>
              <w:ind w:right="209"/>
              <w:spacing w:after="0" w:line="143" w:lineRule="exact"/>
              <w:rPr>
                <w:sz w:val="20"/>
                <w:szCs w:val="20"/>
                <w:color w:val="auto"/>
              </w:rPr>
            </w:pPr>
            <w:r>
              <w:rPr>
                <w:rFonts w:ascii="Arial" w:cs="Arial" w:eastAsia="Arial" w:hAnsi="Arial"/>
                <w:sz w:val="13"/>
                <w:szCs w:val="13"/>
                <w:b w:val="1"/>
                <w:bCs w:val="1"/>
                <w:color w:val="FFFFFF"/>
                <w:w w:val="99"/>
              </w:rPr>
              <w:t>Compensation</w:t>
            </w:r>
          </w:p>
        </w:tc>
        <w:tc>
          <w:tcPr>
            <w:tcW w:w="440" w:type="dxa"/>
            <w:vAlign w:val="bottom"/>
            <w:shd w:val="clear" w:color="auto" w:fill="C00000"/>
          </w:tcPr>
          <w:p>
            <w:pPr>
              <w:spacing w:after="0"/>
              <w:rPr>
                <w:sz w:val="12"/>
                <w:szCs w:val="12"/>
                <w:color w:val="auto"/>
              </w:rPr>
            </w:pPr>
          </w:p>
        </w:tc>
        <w:tc>
          <w:tcPr>
            <w:tcW w:w="1200" w:type="dxa"/>
            <w:vAlign w:val="bottom"/>
            <w:shd w:val="clear" w:color="auto" w:fill="C00000"/>
          </w:tcPr>
          <w:p>
            <w:pPr>
              <w:jc w:val="right"/>
              <w:ind w:right="588"/>
              <w:spacing w:after="0" w:line="143" w:lineRule="exact"/>
              <w:rPr>
                <w:sz w:val="20"/>
                <w:szCs w:val="20"/>
                <w:color w:val="auto"/>
              </w:rPr>
            </w:pPr>
            <w:r>
              <w:rPr>
                <w:rFonts w:ascii="Arial" w:cs="Arial" w:eastAsia="Arial" w:hAnsi="Arial"/>
                <w:sz w:val="13"/>
                <w:szCs w:val="13"/>
                <w:b w:val="1"/>
                <w:bCs w:val="1"/>
                <w:color w:val="FFFFFF"/>
              </w:rPr>
              <w:t>Total</w:t>
            </w:r>
          </w:p>
        </w:tc>
      </w:tr>
      <w:tr>
        <w:trPr>
          <w:trHeight w:val="163"/>
        </w:trPr>
        <w:tc>
          <w:tcPr>
            <w:tcW w:w="24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080" w:type="dxa"/>
            <w:vAlign w:val="bottom"/>
            <w:shd w:val="clear" w:color="auto" w:fill="C00000"/>
          </w:tcPr>
          <w:p>
            <w:pPr>
              <w:spacing w:after="0"/>
              <w:rPr>
                <w:sz w:val="14"/>
                <w:szCs w:val="14"/>
                <w:color w:val="auto"/>
              </w:rPr>
            </w:pPr>
          </w:p>
        </w:tc>
        <w:tc>
          <w:tcPr>
            <w:tcW w:w="1360" w:type="dxa"/>
            <w:vAlign w:val="bottom"/>
            <w:shd w:val="clear" w:color="auto" w:fill="C00000"/>
          </w:tcPr>
          <w:p>
            <w:pPr>
              <w:jc w:val="center"/>
              <w:ind w:right="209"/>
              <w:spacing w:after="0" w:line="164" w:lineRule="exact"/>
              <w:rPr>
                <w:sz w:val="20"/>
                <w:szCs w:val="20"/>
                <w:color w:val="auto"/>
              </w:rPr>
            </w:pPr>
            <w:r>
              <w:rPr>
                <w:rFonts w:ascii="Arial" w:cs="Arial" w:eastAsia="Arial" w:hAnsi="Arial"/>
                <w:sz w:val="11"/>
                <w:szCs w:val="11"/>
                <w:b w:val="1"/>
                <w:bCs w:val="1"/>
                <w:color w:val="FFFFFF"/>
                <w:w w:val="99"/>
              </w:rPr>
              <w:t>($)</w:t>
            </w:r>
            <w:r>
              <w:rPr>
                <w:rFonts w:ascii="Arial" w:cs="Arial" w:eastAsia="Arial" w:hAnsi="Arial"/>
                <w:sz w:val="18"/>
                <w:szCs w:val="18"/>
                <w:b w:val="1"/>
                <w:bCs w:val="1"/>
                <w:color w:val="FFFFFF"/>
                <w:w w:val="99"/>
                <w:vertAlign w:val="superscript"/>
              </w:rPr>
              <w:t>(1)</w:t>
            </w:r>
          </w:p>
        </w:tc>
        <w:tc>
          <w:tcPr>
            <w:tcW w:w="300" w:type="dxa"/>
            <w:vAlign w:val="bottom"/>
            <w:shd w:val="clear" w:color="auto" w:fill="C00000"/>
          </w:tcPr>
          <w:p>
            <w:pPr>
              <w:spacing w:after="0"/>
              <w:rPr>
                <w:sz w:val="14"/>
                <w:szCs w:val="14"/>
                <w:color w:val="auto"/>
              </w:rPr>
            </w:pPr>
          </w:p>
        </w:tc>
        <w:tc>
          <w:tcPr>
            <w:tcW w:w="1320" w:type="dxa"/>
            <w:vAlign w:val="bottom"/>
            <w:shd w:val="clear" w:color="auto" w:fill="C00000"/>
          </w:tcPr>
          <w:p>
            <w:pPr>
              <w:jc w:val="right"/>
              <w:ind w:right="589"/>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(2)</w:t>
            </w:r>
          </w:p>
        </w:tc>
        <w:tc>
          <w:tcPr>
            <w:tcW w:w="280" w:type="dxa"/>
            <w:vAlign w:val="bottom"/>
            <w:shd w:val="clear" w:color="auto" w:fill="C00000"/>
          </w:tcPr>
          <w:p>
            <w:pPr>
              <w:spacing w:after="0"/>
              <w:rPr>
                <w:sz w:val="14"/>
                <w:szCs w:val="14"/>
                <w:color w:val="auto"/>
              </w:rPr>
            </w:pPr>
          </w:p>
        </w:tc>
        <w:tc>
          <w:tcPr>
            <w:tcW w:w="1360" w:type="dxa"/>
            <w:vAlign w:val="bottom"/>
            <w:shd w:val="clear" w:color="auto" w:fill="C00000"/>
          </w:tcPr>
          <w:p>
            <w:pPr>
              <w:jc w:val="right"/>
              <w:ind w:right="530"/>
              <w:spacing w:after="0" w:line="164"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9"/>
                <w:szCs w:val="9"/>
                <w:b w:val="1"/>
                <w:bCs w:val="1"/>
                <w:color w:val="FFFFFF"/>
              </w:rPr>
              <w:t>(3)(4)</w:t>
            </w:r>
          </w:p>
        </w:tc>
        <w:tc>
          <w:tcPr>
            <w:tcW w:w="280" w:type="dxa"/>
            <w:vAlign w:val="bottom"/>
            <w:shd w:val="clear" w:color="auto" w:fill="C00000"/>
          </w:tcPr>
          <w:p>
            <w:pPr>
              <w:spacing w:after="0"/>
              <w:rPr>
                <w:sz w:val="14"/>
                <w:szCs w:val="14"/>
                <w:color w:val="auto"/>
              </w:rPr>
            </w:pPr>
          </w:p>
        </w:tc>
        <w:tc>
          <w:tcPr>
            <w:tcW w:w="1340" w:type="dxa"/>
            <w:vAlign w:val="bottom"/>
            <w:shd w:val="clear" w:color="auto" w:fill="C00000"/>
          </w:tcPr>
          <w:p>
            <w:pPr>
              <w:jc w:val="center"/>
              <w:ind w:right="209"/>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(5)</w:t>
            </w:r>
          </w:p>
        </w:tc>
        <w:tc>
          <w:tcPr>
            <w:tcW w:w="440" w:type="dxa"/>
            <w:vAlign w:val="bottom"/>
            <w:shd w:val="clear" w:color="auto" w:fill="C00000"/>
          </w:tcPr>
          <w:p>
            <w:pPr>
              <w:spacing w:after="0"/>
              <w:rPr>
                <w:sz w:val="14"/>
                <w:szCs w:val="14"/>
                <w:color w:val="auto"/>
              </w:rPr>
            </w:pPr>
          </w:p>
        </w:tc>
        <w:tc>
          <w:tcPr>
            <w:tcW w:w="1200" w:type="dxa"/>
            <w:vAlign w:val="bottom"/>
            <w:shd w:val="clear" w:color="auto" w:fill="C00000"/>
          </w:tcPr>
          <w:p>
            <w:pPr>
              <w:jc w:val="right"/>
              <w:ind w:right="668"/>
              <w:spacing w:after="0"/>
              <w:rPr>
                <w:sz w:val="20"/>
                <w:szCs w:val="20"/>
                <w:color w:val="auto"/>
              </w:rPr>
            </w:pPr>
            <w:r>
              <w:rPr>
                <w:rFonts w:ascii="Arial" w:cs="Arial" w:eastAsia="Arial" w:hAnsi="Arial"/>
                <w:sz w:val="13"/>
                <w:szCs w:val="13"/>
                <w:b w:val="1"/>
                <w:bCs w:val="1"/>
                <w:color w:val="FFFFFF"/>
              </w:rPr>
              <w:t>($)</w:t>
            </w:r>
          </w:p>
        </w:tc>
      </w:tr>
      <w:tr>
        <w:trPr>
          <w:trHeight w:val="184"/>
        </w:trPr>
        <w:tc>
          <w:tcPr>
            <w:tcW w:w="2460" w:type="dxa"/>
            <w:vAlign w:val="bottom"/>
          </w:tcPr>
          <w:p>
            <w:pPr>
              <w:spacing w:after="0"/>
              <w:rPr>
                <w:sz w:val="20"/>
                <w:szCs w:val="20"/>
                <w:color w:val="auto"/>
              </w:rPr>
            </w:pPr>
            <w:r>
              <w:rPr>
                <w:rFonts w:ascii="Arial" w:cs="Arial" w:eastAsia="Arial" w:hAnsi="Arial"/>
                <w:sz w:val="15"/>
                <w:szCs w:val="15"/>
                <w:color w:val="auto"/>
              </w:rPr>
              <w:t>Robert C. Buhrmaster</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9"/>
              <w:spacing w:after="0"/>
              <w:rPr>
                <w:sz w:val="20"/>
                <w:szCs w:val="20"/>
                <w:color w:val="auto"/>
              </w:rPr>
            </w:pPr>
            <w:r>
              <w:rPr>
                <w:rFonts w:ascii="Arial" w:cs="Arial" w:eastAsia="Arial" w:hAnsi="Arial"/>
                <w:sz w:val="15"/>
                <w:szCs w:val="15"/>
                <w:color w:val="auto"/>
              </w:rPr>
              <w:t>125,500</w:t>
            </w:r>
          </w:p>
        </w:tc>
        <w:tc>
          <w:tcPr>
            <w:tcW w:w="3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9"/>
              <w:spacing w:after="0"/>
              <w:rPr>
                <w:sz w:val="20"/>
                <w:szCs w:val="20"/>
                <w:color w:val="auto"/>
              </w:rPr>
            </w:pPr>
            <w:r>
              <w:rPr>
                <w:rFonts w:ascii="Arial" w:cs="Arial" w:eastAsia="Arial" w:hAnsi="Arial"/>
                <w:sz w:val="15"/>
                <w:szCs w:val="15"/>
                <w:color w:val="auto"/>
              </w:rPr>
              <w:t>1,586</w:t>
            </w:r>
          </w:p>
        </w:tc>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8"/>
              <w:spacing w:after="0"/>
              <w:rPr>
                <w:sz w:val="20"/>
                <w:szCs w:val="20"/>
                <w:color w:val="auto"/>
              </w:rPr>
            </w:pPr>
            <w:r>
              <w:rPr>
                <w:rFonts w:ascii="Arial" w:cs="Arial" w:eastAsia="Arial" w:hAnsi="Arial"/>
                <w:sz w:val="15"/>
                <w:szCs w:val="15"/>
                <w:color w:val="auto"/>
              </w:rPr>
              <w:t>240,927</w:t>
            </w:r>
          </w:p>
        </w:tc>
      </w:tr>
      <w:tr>
        <w:trPr>
          <w:trHeight w:val="184"/>
        </w:trPr>
        <w:tc>
          <w:tcPr>
            <w:tcW w:w="2460" w:type="dxa"/>
            <w:vAlign w:val="bottom"/>
            <w:shd w:val="clear" w:color="auto" w:fill="D9D9D9"/>
          </w:tcPr>
          <w:p>
            <w:pPr>
              <w:spacing w:after="0"/>
              <w:rPr>
                <w:sz w:val="20"/>
                <w:szCs w:val="20"/>
                <w:color w:val="auto"/>
              </w:rPr>
            </w:pPr>
            <w:r>
              <w:rPr>
                <w:rFonts w:ascii="Arial" w:cs="Arial" w:eastAsia="Arial" w:hAnsi="Arial"/>
                <w:sz w:val="15"/>
                <w:szCs w:val="15"/>
                <w:color w:val="auto"/>
              </w:rPr>
              <w:t>Janet K. Cooper</w:t>
            </w: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69"/>
              <w:spacing w:after="0"/>
              <w:rPr>
                <w:sz w:val="20"/>
                <w:szCs w:val="20"/>
                <w:color w:val="auto"/>
              </w:rPr>
            </w:pPr>
            <w:r>
              <w:rPr>
                <w:rFonts w:ascii="Arial" w:cs="Arial" w:eastAsia="Arial" w:hAnsi="Arial"/>
                <w:sz w:val="15"/>
                <w:szCs w:val="15"/>
                <w:color w:val="auto"/>
              </w:rPr>
              <w:t>118,500</w:t>
            </w:r>
          </w:p>
        </w:tc>
        <w:tc>
          <w:tcPr>
            <w:tcW w:w="3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1,796</w:t>
            </w:r>
          </w:p>
        </w:tc>
        <w:tc>
          <w:tcPr>
            <w:tcW w:w="440" w:type="dxa"/>
            <w:vAlign w:val="bottom"/>
            <w:shd w:val="clear" w:color="auto" w:fill="D9D9D9"/>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234,137</w:t>
            </w:r>
          </w:p>
        </w:tc>
      </w:tr>
      <w:tr>
        <w:trPr>
          <w:trHeight w:val="184"/>
        </w:trPr>
        <w:tc>
          <w:tcPr>
            <w:tcW w:w="2460" w:type="dxa"/>
            <w:vAlign w:val="bottom"/>
          </w:tcPr>
          <w:p>
            <w:pPr>
              <w:spacing w:after="0"/>
              <w:rPr>
                <w:sz w:val="20"/>
                <w:szCs w:val="20"/>
                <w:color w:val="auto"/>
              </w:rPr>
            </w:pPr>
            <w:r>
              <w:rPr>
                <w:rFonts w:ascii="Arial" w:cs="Arial" w:eastAsia="Arial" w:hAnsi="Arial"/>
                <w:sz w:val="15"/>
                <w:szCs w:val="15"/>
                <w:color w:val="auto"/>
              </w:rPr>
              <w:t>Gary L. Ellis</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9"/>
              <w:spacing w:after="0"/>
              <w:rPr>
                <w:sz w:val="20"/>
                <w:szCs w:val="20"/>
                <w:color w:val="auto"/>
              </w:rPr>
            </w:pPr>
            <w:r>
              <w:rPr>
                <w:rFonts w:ascii="Arial" w:cs="Arial" w:eastAsia="Arial" w:hAnsi="Arial"/>
                <w:sz w:val="15"/>
                <w:szCs w:val="15"/>
                <w:color w:val="auto"/>
              </w:rPr>
              <w:t>106,000</w:t>
            </w:r>
          </w:p>
        </w:tc>
        <w:tc>
          <w:tcPr>
            <w:tcW w:w="3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9"/>
              <w:spacing w:after="0"/>
              <w:rPr>
                <w:sz w:val="20"/>
                <w:szCs w:val="20"/>
                <w:color w:val="auto"/>
              </w:rPr>
            </w:pPr>
            <w:r>
              <w:rPr>
                <w:rFonts w:ascii="Arial" w:cs="Arial" w:eastAsia="Arial" w:hAnsi="Arial"/>
                <w:sz w:val="15"/>
                <w:szCs w:val="15"/>
                <w:color w:val="auto"/>
              </w:rPr>
              <w:t>4,884</w:t>
            </w:r>
          </w:p>
        </w:tc>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8"/>
              <w:spacing w:after="0"/>
              <w:rPr>
                <w:sz w:val="20"/>
                <w:szCs w:val="20"/>
                <w:color w:val="auto"/>
              </w:rPr>
            </w:pPr>
            <w:r>
              <w:rPr>
                <w:rFonts w:ascii="Arial" w:cs="Arial" w:eastAsia="Arial" w:hAnsi="Arial"/>
                <w:sz w:val="15"/>
                <w:szCs w:val="15"/>
                <w:color w:val="auto"/>
              </w:rPr>
              <w:t>224,725</w:t>
            </w:r>
          </w:p>
        </w:tc>
      </w:tr>
      <w:tr>
        <w:trPr>
          <w:trHeight w:val="184"/>
        </w:trPr>
        <w:tc>
          <w:tcPr>
            <w:tcW w:w="2460" w:type="dxa"/>
            <w:vAlign w:val="bottom"/>
            <w:shd w:val="clear" w:color="auto" w:fill="D9D9D9"/>
          </w:tcPr>
          <w:p>
            <w:pPr>
              <w:spacing w:after="0" w:line="184" w:lineRule="exact"/>
              <w:rPr>
                <w:sz w:val="20"/>
                <w:szCs w:val="20"/>
                <w:color w:val="auto"/>
              </w:rPr>
            </w:pPr>
            <w:r>
              <w:rPr>
                <w:rFonts w:ascii="Arial" w:cs="Arial" w:eastAsia="Arial" w:hAnsi="Arial"/>
                <w:sz w:val="13"/>
                <w:szCs w:val="13"/>
                <w:color w:val="auto"/>
              </w:rPr>
              <w:t>Jeffrey M. Ettinger</w:t>
            </w:r>
            <w:r>
              <w:rPr>
                <w:rFonts w:ascii="Arial" w:cs="Arial" w:eastAsia="Arial" w:hAnsi="Arial"/>
                <w:sz w:val="21"/>
                <w:szCs w:val="21"/>
                <w:color w:val="auto"/>
                <w:vertAlign w:val="superscript"/>
              </w:rPr>
              <w:t>(6)</w:t>
            </w: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69"/>
              <w:spacing w:after="0"/>
              <w:rPr>
                <w:sz w:val="20"/>
                <w:szCs w:val="20"/>
                <w:color w:val="auto"/>
              </w:rPr>
            </w:pPr>
            <w:r>
              <w:rPr>
                <w:rFonts w:ascii="Arial" w:cs="Arial" w:eastAsia="Arial" w:hAnsi="Arial"/>
                <w:sz w:val="15"/>
                <w:szCs w:val="15"/>
                <w:color w:val="auto"/>
              </w:rPr>
              <w:t>93,000</w:t>
            </w:r>
          </w:p>
        </w:tc>
        <w:tc>
          <w:tcPr>
            <w:tcW w:w="3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0</w:t>
            </w:r>
          </w:p>
        </w:tc>
        <w:tc>
          <w:tcPr>
            <w:tcW w:w="440" w:type="dxa"/>
            <w:vAlign w:val="bottom"/>
            <w:shd w:val="clear" w:color="auto" w:fill="D9D9D9"/>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206,841</w:t>
            </w:r>
          </w:p>
        </w:tc>
      </w:tr>
      <w:tr>
        <w:trPr>
          <w:trHeight w:val="184"/>
        </w:trPr>
        <w:tc>
          <w:tcPr>
            <w:tcW w:w="2460" w:type="dxa"/>
            <w:vAlign w:val="bottom"/>
          </w:tcPr>
          <w:p>
            <w:pPr>
              <w:spacing w:after="0" w:line="184" w:lineRule="exact"/>
              <w:rPr>
                <w:sz w:val="20"/>
                <w:szCs w:val="20"/>
                <w:color w:val="auto"/>
              </w:rPr>
            </w:pPr>
            <w:r>
              <w:rPr>
                <w:rFonts w:ascii="Arial" w:cs="Arial" w:eastAsia="Arial" w:hAnsi="Arial"/>
                <w:sz w:val="13"/>
                <w:szCs w:val="13"/>
                <w:color w:val="auto"/>
              </w:rPr>
              <w:t>Katherine J. Harless</w:t>
            </w:r>
            <w:r>
              <w:rPr>
                <w:rFonts w:ascii="Arial" w:cs="Arial" w:eastAsia="Arial" w:hAnsi="Arial"/>
                <w:sz w:val="21"/>
                <w:szCs w:val="21"/>
                <w:color w:val="auto"/>
                <w:vertAlign w:val="superscript"/>
              </w:rPr>
              <w:t>(7)</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9"/>
              <w:spacing w:after="0"/>
              <w:rPr>
                <w:sz w:val="20"/>
                <w:szCs w:val="20"/>
                <w:color w:val="auto"/>
              </w:rPr>
            </w:pPr>
            <w:r>
              <w:rPr>
                <w:rFonts w:ascii="Arial" w:cs="Arial" w:eastAsia="Arial" w:hAnsi="Arial"/>
                <w:sz w:val="15"/>
                <w:szCs w:val="15"/>
                <w:color w:val="auto"/>
              </w:rPr>
              <w:t>98,750</w:t>
            </w:r>
          </w:p>
        </w:tc>
        <w:tc>
          <w:tcPr>
            <w:tcW w:w="3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9"/>
              <w:spacing w:after="0"/>
              <w:rPr>
                <w:sz w:val="20"/>
                <w:szCs w:val="20"/>
                <w:color w:val="auto"/>
              </w:rPr>
            </w:pPr>
            <w:r>
              <w:rPr>
                <w:rFonts w:ascii="Arial" w:cs="Arial" w:eastAsia="Arial" w:hAnsi="Arial"/>
                <w:sz w:val="15"/>
                <w:szCs w:val="15"/>
                <w:color w:val="auto"/>
              </w:rPr>
              <w:t>4,972</w:t>
            </w:r>
          </w:p>
        </w:tc>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8"/>
              <w:spacing w:after="0"/>
              <w:rPr>
                <w:sz w:val="20"/>
                <w:szCs w:val="20"/>
                <w:color w:val="auto"/>
              </w:rPr>
            </w:pPr>
            <w:r>
              <w:rPr>
                <w:rFonts w:ascii="Arial" w:cs="Arial" w:eastAsia="Arial" w:hAnsi="Arial"/>
                <w:sz w:val="15"/>
                <w:szCs w:val="15"/>
                <w:color w:val="auto"/>
              </w:rPr>
              <w:t>217,563</w:t>
            </w:r>
          </w:p>
        </w:tc>
      </w:tr>
      <w:tr>
        <w:trPr>
          <w:trHeight w:val="184"/>
        </w:trPr>
        <w:tc>
          <w:tcPr>
            <w:tcW w:w="2460" w:type="dxa"/>
            <w:vAlign w:val="bottom"/>
            <w:shd w:val="clear" w:color="auto" w:fill="D9D9D9"/>
          </w:tcPr>
          <w:p>
            <w:pPr>
              <w:spacing w:after="0"/>
              <w:rPr>
                <w:sz w:val="20"/>
                <w:szCs w:val="20"/>
                <w:color w:val="auto"/>
              </w:rPr>
            </w:pPr>
            <w:r>
              <w:rPr>
                <w:rFonts w:ascii="Arial" w:cs="Arial" w:eastAsia="Arial" w:hAnsi="Arial"/>
                <w:sz w:val="15"/>
                <w:szCs w:val="15"/>
                <w:color w:val="auto"/>
              </w:rPr>
              <w:t>D. Christian Koch</w:t>
            </w: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69"/>
              <w:spacing w:after="0"/>
              <w:rPr>
                <w:sz w:val="20"/>
                <w:szCs w:val="20"/>
                <w:color w:val="auto"/>
              </w:rPr>
            </w:pPr>
            <w:r>
              <w:rPr>
                <w:rFonts w:ascii="Arial" w:cs="Arial" w:eastAsia="Arial" w:hAnsi="Arial"/>
                <w:sz w:val="15"/>
                <w:szCs w:val="15"/>
                <w:color w:val="auto"/>
              </w:rPr>
              <w:t>98,500</w:t>
            </w:r>
          </w:p>
        </w:tc>
        <w:tc>
          <w:tcPr>
            <w:tcW w:w="3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554</w:t>
            </w:r>
          </w:p>
        </w:tc>
        <w:tc>
          <w:tcPr>
            <w:tcW w:w="440" w:type="dxa"/>
            <w:vAlign w:val="bottom"/>
            <w:shd w:val="clear" w:color="auto" w:fill="D9D9D9"/>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212,895</w:t>
            </w:r>
          </w:p>
        </w:tc>
      </w:tr>
      <w:tr>
        <w:trPr>
          <w:trHeight w:val="184"/>
        </w:trPr>
        <w:tc>
          <w:tcPr>
            <w:tcW w:w="2460" w:type="dxa"/>
            <w:vAlign w:val="bottom"/>
          </w:tcPr>
          <w:p>
            <w:pPr>
              <w:spacing w:after="0"/>
              <w:rPr>
                <w:sz w:val="20"/>
                <w:szCs w:val="20"/>
                <w:color w:val="auto"/>
              </w:rPr>
            </w:pPr>
            <w:r>
              <w:rPr>
                <w:rFonts w:ascii="Arial" w:cs="Arial" w:eastAsia="Arial" w:hAnsi="Arial"/>
                <w:sz w:val="15"/>
                <w:szCs w:val="15"/>
                <w:color w:val="auto"/>
              </w:rPr>
              <w:t>James C. O’Rourke</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9"/>
              <w:spacing w:after="0"/>
              <w:rPr>
                <w:sz w:val="20"/>
                <w:szCs w:val="20"/>
                <w:color w:val="auto"/>
              </w:rPr>
            </w:pPr>
            <w:r>
              <w:rPr>
                <w:rFonts w:ascii="Arial" w:cs="Arial" w:eastAsia="Arial" w:hAnsi="Arial"/>
                <w:sz w:val="15"/>
                <w:szCs w:val="15"/>
                <w:color w:val="auto"/>
              </w:rPr>
              <w:t>94,375</w:t>
            </w:r>
          </w:p>
        </w:tc>
        <w:tc>
          <w:tcPr>
            <w:tcW w:w="3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9"/>
              <w:spacing w:after="0"/>
              <w:rPr>
                <w:sz w:val="20"/>
                <w:szCs w:val="20"/>
                <w:color w:val="auto"/>
              </w:rPr>
            </w:pPr>
            <w:r>
              <w:rPr>
                <w:rFonts w:ascii="Arial" w:cs="Arial" w:eastAsia="Arial" w:hAnsi="Arial"/>
                <w:sz w:val="15"/>
                <w:szCs w:val="15"/>
                <w:color w:val="auto"/>
              </w:rPr>
              <w:t>2,446</w:t>
            </w:r>
          </w:p>
        </w:tc>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8"/>
              <w:spacing w:after="0"/>
              <w:rPr>
                <w:sz w:val="20"/>
                <w:szCs w:val="20"/>
                <w:color w:val="auto"/>
              </w:rPr>
            </w:pPr>
            <w:r>
              <w:rPr>
                <w:rFonts w:ascii="Arial" w:cs="Arial" w:eastAsia="Arial" w:hAnsi="Arial"/>
                <w:sz w:val="15"/>
                <w:szCs w:val="15"/>
                <w:color w:val="auto"/>
              </w:rPr>
              <w:t>210,662</w:t>
            </w:r>
          </w:p>
        </w:tc>
      </w:tr>
      <w:tr>
        <w:trPr>
          <w:trHeight w:val="184"/>
        </w:trPr>
        <w:tc>
          <w:tcPr>
            <w:tcW w:w="2460" w:type="dxa"/>
            <w:vAlign w:val="bottom"/>
            <w:shd w:val="clear" w:color="auto" w:fill="D9D9D9"/>
          </w:tcPr>
          <w:p>
            <w:pPr>
              <w:spacing w:after="0"/>
              <w:rPr>
                <w:sz w:val="20"/>
                <w:szCs w:val="20"/>
                <w:color w:val="auto"/>
              </w:rPr>
            </w:pPr>
            <w:r>
              <w:rPr>
                <w:rFonts w:ascii="Arial" w:cs="Arial" w:eastAsia="Arial" w:hAnsi="Arial"/>
                <w:sz w:val="15"/>
                <w:szCs w:val="15"/>
                <w:color w:val="auto"/>
              </w:rPr>
              <w:t>Gregg W. Steinhafel</w:t>
            </w: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69"/>
              <w:spacing w:after="0"/>
              <w:rPr>
                <w:sz w:val="20"/>
                <w:szCs w:val="20"/>
                <w:color w:val="auto"/>
              </w:rPr>
            </w:pPr>
            <w:r>
              <w:rPr>
                <w:rFonts w:ascii="Arial" w:cs="Arial" w:eastAsia="Arial" w:hAnsi="Arial"/>
                <w:sz w:val="15"/>
                <w:szCs w:val="15"/>
                <w:color w:val="auto"/>
              </w:rPr>
              <w:t>93,000</w:t>
            </w:r>
          </w:p>
        </w:tc>
        <w:tc>
          <w:tcPr>
            <w:tcW w:w="3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13,465</w:t>
            </w:r>
          </w:p>
        </w:tc>
        <w:tc>
          <w:tcPr>
            <w:tcW w:w="440" w:type="dxa"/>
            <w:vAlign w:val="bottom"/>
            <w:shd w:val="clear" w:color="auto" w:fill="D9D9D9"/>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220,306</w:t>
            </w:r>
          </w:p>
        </w:tc>
      </w:tr>
      <w:tr>
        <w:trPr>
          <w:trHeight w:val="184"/>
        </w:trPr>
        <w:tc>
          <w:tcPr>
            <w:tcW w:w="2460" w:type="dxa"/>
            <w:vAlign w:val="bottom"/>
          </w:tcPr>
          <w:p>
            <w:pPr>
              <w:spacing w:after="0"/>
              <w:rPr>
                <w:sz w:val="20"/>
                <w:szCs w:val="20"/>
                <w:color w:val="auto"/>
              </w:rPr>
            </w:pPr>
            <w:r>
              <w:rPr>
                <w:rFonts w:ascii="Arial" w:cs="Arial" w:eastAsia="Arial" w:hAnsi="Arial"/>
                <w:sz w:val="15"/>
                <w:szCs w:val="15"/>
                <w:color w:val="auto"/>
              </w:rPr>
              <w:t>Christopher A. Twomey</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9"/>
              <w:spacing w:after="0"/>
              <w:rPr>
                <w:sz w:val="20"/>
                <w:szCs w:val="20"/>
                <w:color w:val="auto"/>
              </w:rPr>
            </w:pPr>
            <w:r>
              <w:rPr>
                <w:rFonts w:ascii="Arial" w:cs="Arial" w:eastAsia="Arial" w:hAnsi="Arial"/>
                <w:sz w:val="15"/>
                <w:szCs w:val="15"/>
                <w:color w:val="auto"/>
              </w:rPr>
              <w:t>105,000</w:t>
            </w:r>
          </w:p>
        </w:tc>
        <w:tc>
          <w:tcPr>
            <w:tcW w:w="3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49"/>
              <w:spacing w:after="0"/>
              <w:rPr>
                <w:sz w:val="20"/>
                <w:szCs w:val="20"/>
                <w:color w:val="auto"/>
              </w:rPr>
            </w:pPr>
            <w:r>
              <w:rPr>
                <w:rFonts w:ascii="Arial" w:cs="Arial" w:eastAsia="Arial" w:hAnsi="Arial"/>
                <w:sz w:val="15"/>
                <w:szCs w:val="15"/>
                <w:color w:val="auto"/>
              </w:rPr>
              <w:t>58,846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70"/>
              <w:spacing w:after="0"/>
              <w:rPr>
                <w:sz w:val="20"/>
                <w:szCs w:val="20"/>
                <w:color w:val="auto"/>
              </w:rPr>
            </w:pPr>
            <w:r>
              <w:rPr>
                <w:rFonts w:ascii="Arial" w:cs="Arial" w:eastAsia="Arial" w:hAnsi="Arial"/>
                <w:sz w:val="15"/>
                <w:szCs w:val="15"/>
                <w:color w:val="auto"/>
              </w:rPr>
              <w:t>54,995</w:t>
            </w:r>
          </w:p>
        </w:tc>
        <w:tc>
          <w:tcPr>
            <w:tcW w:w="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9"/>
              <w:spacing w:after="0"/>
              <w:rPr>
                <w:sz w:val="20"/>
                <w:szCs w:val="20"/>
                <w:color w:val="auto"/>
              </w:rPr>
            </w:pPr>
            <w:r>
              <w:rPr>
                <w:rFonts w:ascii="Arial" w:cs="Arial" w:eastAsia="Arial" w:hAnsi="Arial"/>
                <w:sz w:val="15"/>
                <w:szCs w:val="15"/>
                <w:color w:val="auto"/>
              </w:rPr>
              <w:t>9,685</w:t>
            </w:r>
          </w:p>
        </w:tc>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8"/>
              <w:spacing w:after="0"/>
              <w:rPr>
                <w:sz w:val="20"/>
                <w:szCs w:val="20"/>
                <w:color w:val="auto"/>
              </w:rPr>
            </w:pPr>
            <w:r>
              <w:rPr>
                <w:rFonts w:ascii="Arial" w:cs="Arial" w:eastAsia="Arial" w:hAnsi="Arial"/>
                <w:sz w:val="15"/>
                <w:szCs w:val="15"/>
                <w:color w:val="auto"/>
              </w:rPr>
              <w:t>228,526</w:t>
            </w:r>
          </w:p>
        </w:tc>
      </w:tr>
      <w:tr>
        <w:trPr>
          <w:trHeight w:val="184"/>
        </w:trPr>
        <w:tc>
          <w:tcPr>
            <w:tcW w:w="2460" w:type="dxa"/>
            <w:vAlign w:val="bottom"/>
            <w:shd w:val="clear" w:color="auto" w:fill="D9D9D9"/>
          </w:tcPr>
          <w:p>
            <w:pPr>
              <w:spacing w:after="0" w:line="184" w:lineRule="exact"/>
              <w:rPr>
                <w:sz w:val="20"/>
                <w:szCs w:val="20"/>
                <w:color w:val="auto"/>
              </w:rPr>
            </w:pPr>
            <w:r>
              <w:rPr>
                <w:rFonts w:ascii="Arial" w:cs="Arial" w:eastAsia="Arial" w:hAnsi="Arial"/>
                <w:sz w:val="13"/>
                <w:szCs w:val="13"/>
                <w:color w:val="auto"/>
              </w:rPr>
              <w:t>Michael G. Vale</w:t>
            </w:r>
            <w:r>
              <w:rPr>
                <w:rFonts w:ascii="Arial" w:cs="Arial" w:eastAsia="Arial" w:hAnsi="Arial"/>
                <w:sz w:val="21"/>
                <w:szCs w:val="21"/>
                <w:color w:val="auto"/>
                <w:vertAlign w:val="superscript"/>
              </w:rPr>
              <w:t>(8)</w:t>
            </w:r>
          </w:p>
        </w:tc>
        <w:tc>
          <w:tcPr>
            <w:tcW w:w="10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69"/>
              <w:spacing w:after="0"/>
              <w:rPr>
                <w:sz w:val="20"/>
                <w:szCs w:val="20"/>
                <w:color w:val="auto"/>
              </w:rPr>
            </w:pPr>
            <w:r>
              <w:rPr>
                <w:rFonts w:ascii="Arial" w:cs="Arial" w:eastAsia="Arial" w:hAnsi="Arial"/>
                <w:sz w:val="15"/>
                <w:szCs w:val="15"/>
                <w:color w:val="auto"/>
              </w:rPr>
              <w:t>82,173</w:t>
            </w:r>
          </w:p>
        </w:tc>
        <w:tc>
          <w:tcPr>
            <w:tcW w:w="3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0</w:t>
            </w:r>
          </w:p>
        </w:tc>
        <w:tc>
          <w:tcPr>
            <w:tcW w:w="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70"/>
              <w:spacing w:after="0"/>
              <w:rPr>
                <w:sz w:val="20"/>
                <w:szCs w:val="20"/>
                <w:color w:val="auto"/>
              </w:rPr>
            </w:pPr>
            <w:r>
              <w:rPr>
                <w:rFonts w:ascii="Arial" w:cs="Arial" w:eastAsia="Arial" w:hAnsi="Arial"/>
                <w:sz w:val="15"/>
                <w:szCs w:val="15"/>
                <w:color w:val="auto"/>
              </w:rPr>
              <w:t>0</w:t>
            </w:r>
          </w:p>
        </w:tc>
        <w:tc>
          <w:tcPr>
            <w:tcW w:w="28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34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0</w:t>
            </w:r>
          </w:p>
        </w:tc>
        <w:tc>
          <w:tcPr>
            <w:tcW w:w="440" w:type="dxa"/>
            <w:vAlign w:val="bottom"/>
            <w:shd w:val="clear" w:color="auto" w:fill="D9D9D9"/>
          </w:tcPr>
          <w:p>
            <w:pPr>
              <w:jc w:val="right"/>
              <w:ind w:right="146"/>
              <w:spacing w:after="0"/>
              <w:rPr>
                <w:sz w:val="20"/>
                <w:szCs w:val="20"/>
                <w:color w:val="auto"/>
              </w:rPr>
            </w:pPr>
            <w:r>
              <w:rPr>
                <w:rFonts w:ascii="Arial" w:cs="Arial" w:eastAsia="Arial" w:hAnsi="Arial"/>
                <w:sz w:val="15"/>
                <w:szCs w:val="15"/>
                <w:color w:val="auto"/>
              </w:rPr>
              <w:t>$</w:t>
            </w:r>
          </w:p>
        </w:tc>
        <w:tc>
          <w:tcPr>
            <w:tcW w:w="120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82,173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20777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9" w:lineRule="exact"/>
        <w:rPr>
          <w:sz w:val="20"/>
          <w:szCs w:val="20"/>
          <w:color w:val="auto"/>
        </w:rPr>
      </w:pPr>
    </w:p>
    <w:p>
      <w:pPr>
        <w:ind w:left="402" w:right="300" w:hanging="402"/>
        <w:spacing w:after="0" w:line="255" w:lineRule="auto"/>
        <w:tabs>
          <w:tab w:leader="none" w:pos="402"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a director otherwise elected to convert a portion or all of his or her annual retainers into shares of our common stock under our Amended and Restated 2010 Plan, annual retainers were paid in cash in four quarterly installments at the beginning of each fiscal quarter.</w:t>
      </w:r>
    </w:p>
    <w:p>
      <w:pPr>
        <w:spacing w:after="0" w:line="25" w:lineRule="exact"/>
        <w:rPr>
          <w:rFonts w:ascii="Arial" w:cs="Arial" w:eastAsia="Arial" w:hAnsi="Arial"/>
          <w:sz w:val="16"/>
          <w:szCs w:val="16"/>
          <w:color w:val="auto"/>
        </w:rPr>
      </w:pPr>
    </w:p>
    <w:p>
      <w:pPr>
        <w:ind w:left="402" w:right="200" w:hanging="402"/>
        <w:spacing w:after="0" w:line="242" w:lineRule="auto"/>
        <w:tabs>
          <w:tab w:leader="none" w:pos="402"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November 1, 2017, 932 shares of our common stock were granted to each non-employee director with the calculation based on the average of the closing prices of our common stock, as reported on the NYSE, during the three months prior to the grant, which was $64.35. However, the amount reported in the table represents the grant date fair value, computed in accordance with Financial Accounting Standards Board (FASB) Accounting Standard Codification (ASC) Topic 718. The closing price on the grant date of $63.14 was used in calculating the grant date fair value. The automatic grant of stock awards on November 1, 2017, were the only stock awards granted to directors during fiscal 2018. As of October 31, 2018, no directors held any restricted stock or other unvested stock awards.</w:t>
      </w:r>
    </w:p>
    <w:p>
      <w:pPr>
        <w:spacing w:after="0" w:line="38" w:lineRule="exact"/>
        <w:rPr>
          <w:rFonts w:ascii="Arial" w:cs="Arial" w:eastAsia="Arial" w:hAnsi="Arial"/>
          <w:sz w:val="16"/>
          <w:szCs w:val="16"/>
          <w:color w:val="auto"/>
        </w:rPr>
      </w:pPr>
    </w:p>
    <w:p>
      <w:pPr>
        <w:ind w:left="402" w:right="60" w:hanging="402"/>
        <w:spacing w:after="0" w:line="239" w:lineRule="auto"/>
        <w:tabs>
          <w:tab w:leader="none" w:pos="402"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November 1, 2017, a stock option to purchase 3,846 shares of our common stock was granted to each non-employee director. The amount reported in the table represents the grant date fair value computed in accordance with FASB ASC Topic 718. The grant date fair value is based on a Black-Scholes model valuation of $14.2993 per share. The following assumptions were used in the Black-Scholes calculation: a risk-free interest rate of</w:t>
      </w:r>
    </w:p>
    <w:p>
      <w:pPr>
        <w:spacing w:after="0" w:line="1" w:lineRule="exact"/>
        <w:rPr>
          <w:rFonts w:ascii="Arial" w:cs="Arial" w:eastAsia="Arial" w:hAnsi="Arial"/>
          <w:sz w:val="16"/>
          <w:szCs w:val="16"/>
          <w:color w:val="auto"/>
        </w:rPr>
      </w:pPr>
    </w:p>
    <w:p>
      <w:pPr>
        <w:ind w:left="402" w:right="60"/>
        <w:spacing w:after="0" w:line="243" w:lineRule="auto"/>
        <w:rPr>
          <w:rFonts w:ascii="Arial" w:cs="Arial" w:eastAsia="Arial" w:hAnsi="Arial"/>
          <w:sz w:val="16"/>
          <w:szCs w:val="16"/>
          <w:color w:val="auto"/>
        </w:rPr>
      </w:pPr>
      <w:r>
        <w:rPr>
          <w:rFonts w:ascii="Arial" w:cs="Arial" w:eastAsia="Arial" w:hAnsi="Arial"/>
          <w:sz w:val="16"/>
          <w:szCs w:val="16"/>
          <w:color w:val="auto"/>
        </w:rPr>
        <w:t>2.14%; expected life of 6.3 years; expected volatility of 21.83%; and an expected dividend yield of 1.01%. The exercise price per share is equal to 100% of the fair market value of one share of our common stock on the date of grant, as determined by the closing price for our common stock, as reported on the NYSE, which was $63.14 on November 1, 2017. The actual value of the stock option awards, if any, to be realized by a director depends upon whether the price of our common stock at exercise is greater than the exercise price of the stock options. The automatic grant of stock option awards on November 1, 2017 were the only stock options granted to directors during fiscal 2018.</w:t>
      </w:r>
    </w:p>
    <w:p>
      <w:pPr>
        <w:spacing w:after="0" w:line="36" w:lineRule="exact"/>
        <w:rPr>
          <w:rFonts w:ascii="Arial" w:cs="Arial" w:eastAsia="Arial" w:hAnsi="Arial"/>
          <w:sz w:val="16"/>
          <w:szCs w:val="16"/>
          <w:color w:val="auto"/>
        </w:rPr>
      </w:pPr>
    </w:p>
    <w:p>
      <w:pPr>
        <w:ind w:left="402" w:right="20" w:hanging="402"/>
        <w:spacing w:after="0" w:line="244" w:lineRule="auto"/>
        <w:tabs>
          <w:tab w:leader="none" w:pos="40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October 31, 2018, the aggregate number of stock options (exercisable and unexercisable) held by each director was as follows: Mr. Buhrmaster— 65,373; Ms. Cooper—50,265; Mr. Ellis—65,373; Mr. Ettinger—50,265; Ms. Harless—54,373; Mr. Koch—8,797; Mr. O’Rourke—24,131; Mr. Steinhafel— 19,027; and Mr. Twomey—30,973. These numbers are different from the numbers set forth in the “Stock Options” column in footnote (2) to the “Directors and Executive Officers” stock ownership table beginning on page 60 which</w:t>
      </w:r>
    </w:p>
    <w:p>
      <w:pPr>
        <w:spacing w:after="0" w:line="18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34" w:name="page35"/>
    <w:bookmarkEnd w:id="34"/>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46"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 sets forth information as of January 22, 2019 and (ii) does not include options that will become exercisable more than 60 days after January 22, 2019.</w:t>
      </w:r>
    </w:p>
    <w:p>
      <w:pPr>
        <w:spacing w:after="0" w:line="48" w:lineRule="exact"/>
        <w:rPr>
          <w:sz w:val="20"/>
          <w:szCs w:val="20"/>
          <w:color w:val="auto"/>
        </w:rPr>
      </w:pPr>
    </w:p>
    <w:p>
      <w:pPr>
        <w:ind w:left="402" w:hanging="402"/>
        <w:spacing w:after="0" w:line="243" w:lineRule="auto"/>
        <w:tabs>
          <w:tab w:leader="none" w:pos="4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generally do not provide perquisites and other personal benefits to our non-employee directors other than Company products for personal use. The amount reported includes for (i) each of Ms. Harless and Messrs. Ellis, O’Rourke, Steinhafel and Twomey the value of products, parts, service or accessories, as described under “Company Products” on page 21; (ii) each of Mses. Cooper and Harless and Mr. Twomey a charitable donation under our director matching gift program, as described under “Charitable Giving” on page 21; and (iii) each of Ms. Cooper and Messrs. Buhrmaster, Ellis, Koch, O’Rourke and Steinhafel the incremental cost to the Company for spousal travel in connection with an off-site board meeting.</w:t>
      </w:r>
    </w:p>
    <w:p>
      <w:pPr>
        <w:spacing w:after="0" w:line="36" w:lineRule="exact"/>
        <w:rPr>
          <w:rFonts w:ascii="Arial" w:cs="Arial" w:eastAsia="Arial" w:hAnsi="Arial"/>
          <w:sz w:val="16"/>
          <w:szCs w:val="16"/>
          <w:color w:val="auto"/>
        </w:rPr>
      </w:pPr>
    </w:p>
    <w:p>
      <w:pPr>
        <w:ind w:left="402" w:right="120" w:hanging="402"/>
        <w:spacing w:after="0" w:line="244" w:lineRule="auto"/>
        <w:tabs>
          <w:tab w:leader="none" w:pos="4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Ettinger elected to convert his calendar 2017 and calendar 2018 retainers into shares of our common stock under the Amended and Restated 2010 Plan. On December 17, 2018, based on that day’s closing stock price of $56.48, as reported on the NYSE, Mr. Ettinger received 1,646 shares of our common stock in lieu of $92,966 cash that would have been paid in calendar 2018. The amount shown in the “Fees Earned or Paid in Cash” column represents the amount he earned for fiscal 2018.</w:t>
      </w:r>
    </w:p>
    <w:p>
      <w:pPr>
        <w:spacing w:after="0" w:line="35" w:lineRule="exact"/>
        <w:rPr>
          <w:rFonts w:ascii="Arial" w:cs="Arial" w:eastAsia="Arial" w:hAnsi="Arial"/>
          <w:sz w:val="16"/>
          <w:szCs w:val="16"/>
          <w:color w:val="auto"/>
        </w:rPr>
      </w:pPr>
    </w:p>
    <w:p>
      <w:pPr>
        <w:ind w:left="402" w:right="160" w:hanging="402"/>
        <w:spacing w:after="0" w:line="255" w:lineRule="auto"/>
        <w:tabs>
          <w:tab w:leader="none" w:pos="4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Harless elected to defer receipt of her (i) calendar 2017 and calendar 2018 retainers earned in fiscal 2018, and (ii) the annual stock award granted on November 1, 2017, each under the Deferred Plan for Directors.</w:t>
      </w:r>
    </w:p>
    <w:p>
      <w:pPr>
        <w:spacing w:after="0" w:line="25" w:lineRule="exact"/>
        <w:rPr>
          <w:rFonts w:ascii="Arial" w:cs="Arial" w:eastAsia="Arial" w:hAnsi="Arial"/>
          <w:sz w:val="16"/>
          <w:szCs w:val="16"/>
          <w:color w:val="auto"/>
        </w:rPr>
      </w:pPr>
    </w:p>
    <w:p>
      <w:pPr>
        <w:ind w:left="402" w:right="100" w:hanging="402"/>
        <w:spacing w:after="0" w:line="247" w:lineRule="auto"/>
        <w:tabs>
          <w:tab w:leader="none" w:pos="4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Dr. Vale was elected to the Board on January 1, 2018. Accordingly, the fees shown for Dr. Vale are for the period from January 1, 2018 through October 31, 2018. As he was not serving on the Board on November 1, 2017, the date of the fiscal 2018 automatic annual stock award and annual stock option grants, he did not receive such awards in fiscal 2018. Additionally, Dr. Vale elected to defer receipt of his calendar 2018 retainers earned in fiscal 2018.</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Related Person Transactions and Policies and Procedures Regarding Related Person Transactions</w:t>
      </w:r>
    </w:p>
    <w:p>
      <w:pPr>
        <w:spacing w:after="0" w:line="112" w:lineRule="exact"/>
        <w:rPr>
          <w:sz w:val="20"/>
          <w:szCs w:val="20"/>
          <w:color w:val="auto"/>
        </w:rPr>
      </w:pPr>
    </w:p>
    <w:p>
      <w:pPr>
        <w:jc w:val="both"/>
        <w:ind w:left="2" w:right="220" w:firstLine="408"/>
        <w:spacing w:after="0" w:line="247" w:lineRule="auto"/>
        <w:rPr>
          <w:sz w:val="20"/>
          <w:szCs w:val="20"/>
          <w:color w:val="auto"/>
        </w:rPr>
      </w:pPr>
      <w:r>
        <w:rPr>
          <w:rFonts w:ascii="Arial" w:cs="Arial" w:eastAsia="Arial" w:hAnsi="Arial"/>
          <w:sz w:val="16"/>
          <w:szCs w:val="16"/>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81" w:lineRule="exact"/>
        <w:rPr>
          <w:sz w:val="20"/>
          <w:szCs w:val="20"/>
          <w:color w:val="auto"/>
        </w:rPr>
      </w:pPr>
    </w:p>
    <w:p>
      <w:pPr>
        <w:ind w:left="802" w:hanging="398"/>
        <w:spacing w:after="0"/>
        <w:tabs>
          <w:tab w:leader="none" w:pos="802" w:val="left"/>
        </w:tabs>
        <w:numPr>
          <w:ilvl w:val="0"/>
          <w:numId w:val="50"/>
        </w:numPr>
        <w:rPr>
          <w:rFonts w:ascii="Arial" w:cs="Arial" w:eastAsia="Arial" w:hAnsi="Arial"/>
          <w:sz w:val="15"/>
          <w:szCs w:val="15"/>
          <w:color w:val="auto"/>
        </w:rPr>
      </w:pPr>
      <w:r>
        <w:rPr>
          <w:rFonts w:ascii="Arial" w:cs="Arial" w:eastAsia="Arial" w:hAnsi="Arial"/>
          <w:sz w:val="16"/>
          <w:szCs w:val="16"/>
          <w:color w:val="auto"/>
        </w:rPr>
        <w:t>the related person’s relationship to our Company and interest in the transaction;</w:t>
      </w:r>
    </w:p>
    <w:p>
      <w:pPr>
        <w:spacing w:after="0" w:line="97" w:lineRule="exact"/>
        <w:rPr>
          <w:rFonts w:ascii="Arial" w:cs="Arial" w:eastAsia="Arial" w:hAnsi="Arial"/>
          <w:sz w:val="15"/>
          <w:szCs w:val="15"/>
          <w:color w:val="auto"/>
        </w:rPr>
      </w:pPr>
    </w:p>
    <w:p>
      <w:pPr>
        <w:ind w:left="802" w:hanging="398"/>
        <w:spacing w:after="0"/>
        <w:tabs>
          <w:tab w:leader="none" w:pos="802" w:val="left"/>
        </w:tabs>
        <w:numPr>
          <w:ilvl w:val="0"/>
          <w:numId w:val="50"/>
        </w:numPr>
        <w:rPr>
          <w:rFonts w:ascii="Arial" w:cs="Arial" w:eastAsia="Arial" w:hAnsi="Arial"/>
          <w:sz w:val="15"/>
          <w:szCs w:val="15"/>
          <w:color w:val="auto"/>
        </w:rPr>
      </w:pPr>
      <w:r>
        <w:rPr>
          <w:rFonts w:ascii="Arial" w:cs="Arial" w:eastAsia="Arial" w:hAnsi="Arial"/>
          <w:sz w:val="16"/>
          <w:szCs w:val="16"/>
          <w:color w:val="auto"/>
        </w:rPr>
        <w:t>the material facts of the transaction;</w:t>
      </w:r>
    </w:p>
    <w:p>
      <w:pPr>
        <w:spacing w:after="0" w:line="97" w:lineRule="exact"/>
        <w:rPr>
          <w:rFonts w:ascii="Arial" w:cs="Arial" w:eastAsia="Arial" w:hAnsi="Arial"/>
          <w:sz w:val="15"/>
          <w:szCs w:val="15"/>
          <w:color w:val="auto"/>
        </w:rPr>
      </w:pPr>
    </w:p>
    <w:p>
      <w:pPr>
        <w:ind w:left="802" w:hanging="398"/>
        <w:spacing w:after="0"/>
        <w:tabs>
          <w:tab w:leader="none" w:pos="802" w:val="left"/>
        </w:tabs>
        <w:numPr>
          <w:ilvl w:val="0"/>
          <w:numId w:val="50"/>
        </w:numPr>
        <w:rPr>
          <w:rFonts w:ascii="Arial" w:cs="Arial" w:eastAsia="Arial" w:hAnsi="Arial"/>
          <w:sz w:val="15"/>
          <w:szCs w:val="15"/>
          <w:color w:val="auto"/>
        </w:rPr>
      </w:pPr>
      <w:r>
        <w:rPr>
          <w:rFonts w:ascii="Arial" w:cs="Arial" w:eastAsia="Arial" w:hAnsi="Arial"/>
          <w:sz w:val="16"/>
          <w:szCs w:val="16"/>
          <w:color w:val="auto"/>
        </w:rPr>
        <w:t>the benefits to our Company of the transaction; and</w:t>
      </w:r>
    </w:p>
    <w:p>
      <w:pPr>
        <w:spacing w:after="0" w:line="97" w:lineRule="exact"/>
        <w:rPr>
          <w:rFonts w:ascii="Arial" w:cs="Arial" w:eastAsia="Arial" w:hAnsi="Arial"/>
          <w:sz w:val="15"/>
          <w:szCs w:val="15"/>
          <w:color w:val="auto"/>
        </w:rPr>
      </w:pPr>
    </w:p>
    <w:p>
      <w:pPr>
        <w:jc w:val="both"/>
        <w:ind w:left="802" w:right="240" w:hanging="398"/>
        <w:spacing w:after="0" w:line="247" w:lineRule="auto"/>
        <w:tabs>
          <w:tab w:leader="none" w:pos="802" w:val="left"/>
        </w:tabs>
        <w:numPr>
          <w:ilvl w:val="0"/>
          <w:numId w:val="50"/>
        </w:numPr>
        <w:rPr>
          <w:rFonts w:ascii="Arial" w:cs="Arial" w:eastAsia="Arial" w:hAnsi="Arial"/>
          <w:sz w:val="15"/>
          <w:szCs w:val="15"/>
          <w:color w:val="auto"/>
        </w:rPr>
      </w:pPr>
      <w:r>
        <w:rPr>
          <w:rFonts w:ascii="Arial" w:cs="Arial" w:eastAsia="Arial" w:hAnsi="Arial"/>
          <w:sz w:val="16"/>
          <w:szCs w:val="16"/>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81" w:lineRule="exact"/>
        <w:rPr>
          <w:sz w:val="20"/>
          <w:szCs w:val="20"/>
          <w:color w:val="auto"/>
        </w:rPr>
      </w:pPr>
    </w:p>
    <w:p>
      <w:pPr>
        <w:ind w:left="2" w:right="20" w:firstLine="408"/>
        <w:spacing w:after="0" w:line="244" w:lineRule="auto"/>
        <w:rPr>
          <w:sz w:val="20"/>
          <w:szCs w:val="20"/>
          <w:color w:val="auto"/>
        </w:rPr>
      </w:pPr>
      <w:r>
        <w:rPr>
          <w:rFonts w:ascii="Arial" w:cs="Arial" w:eastAsia="Arial" w:hAnsi="Arial"/>
          <w:sz w:val="16"/>
          <w:szCs w:val="16"/>
          <w:color w:val="auto"/>
        </w:rPr>
        <w:t>Transactions in the ordinary course of business, between us and an unaffiliated corporation of which one of our non-employee directors or director nominees serves as an officer, that are at arm’s length, at prices and on terms customarily available to unrelated third party vendors or customers generally, in which the non-employee director or director nominee had no direct or indirect personal interest, nor received any personal benefit, and in amounts that are not material to our business or the business of such unaffiliated corporation, are deemed conclusively pre-approved.</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Board of Directors Business Ethics Policy Statement</w:t>
      </w:r>
    </w:p>
    <w:p>
      <w:pPr>
        <w:spacing w:after="0" w:line="112" w:lineRule="exact"/>
        <w:rPr>
          <w:sz w:val="20"/>
          <w:szCs w:val="20"/>
          <w:color w:val="auto"/>
        </w:rPr>
      </w:pPr>
    </w:p>
    <w:p>
      <w:pPr>
        <w:ind w:left="2" w:right="140" w:firstLine="408"/>
        <w:spacing w:after="0" w:line="247" w:lineRule="auto"/>
        <w:rPr>
          <w:sz w:val="20"/>
          <w:szCs w:val="20"/>
          <w:color w:val="auto"/>
        </w:rPr>
      </w:pPr>
      <w:r>
        <w:rPr>
          <w:rFonts w:ascii="Arial" w:cs="Arial" w:eastAsia="Arial" w:hAnsi="Arial"/>
          <w:sz w:val="16"/>
          <w:szCs w:val="16"/>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www.thetorocompany.com/corporategovernance.</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Code of Conduct and Code of Ethics for our CEO and Senior Financial Personnel</w:t>
      </w:r>
    </w:p>
    <w:p>
      <w:pPr>
        <w:spacing w:after="0" w:line="112" w:lineRule="exact"/>
        <w:rPr>
          <w:sz w:val="20"/>
          <w:szCs w:val="20"/>
          <w:color w:val="auto"/>
        </w:rPr>
      </w:pPr>
    </w:p>
    <w:p>
      <w:pPr>
        <w:ind w:left="2" w:right="260" w:firstLine="408"/>
        <w:spacing w:after="0" w:line="255" w:lineRule="auto"/>
        <w:rPr>
          <w:sz w:val="20"/>
          <w:szCs w:val="20"/>
          <w:color w:val="auto"/>
        </w:rPr>
      </w:pPr>
      <w:r>
        <w:rPr>
          <w:rFonts w:ascii="Arial" w:cs="Arial" w:eastAsia="Arial" w:hAnsi="Arial"/>
          <w:sz w:val="16"/>
          <w:szCs w:val="16"/>
          <w:color w:val="auto"/>
        </w:rPr>
        <w:t>All of our directors and employees are required to comply with our Code of Conduct to help ensure that our business is conducted in accordance with the highest level of moral, ethical and legal standards. We also have a</w:t>
      </w:r>
    </w:p>
    <w:p>
      <w:pPr>
        <w:spacing w:after="0" w:line="17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Code of Ethics for our CEO and Senior Financial Personnel applicable to our CEO (our principal executive officer), our Vice President, Treasurer and Chief Financial Officer (our principal financial and accounting officer), and certain senior accounting and/or treasury personnel who are also bound by the provisions set forth in the Code of Conduct relating to ethical conduct, conflicts of interest and compliance with the law. Our Code of Conduct and Code of Ethics for our CEO and Senior Financial Personnel can be found on our website at www.thetorocompany.com/corporategovernance. If necessary, we intend to satisfy the disclosure requirements of Item 5.05 of the Current Report on Form 8-K regarding amendments to or waivers from any provision of our Code of Ethics for our CEO and Senior Financial Personnel by posting such information on our website at www.thetorocompany.com/corporategovernance.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Communications with Directors; Complaint Procedures</w:t>
      </w:r>
    </w:p>
    <w:p>
      <w:pPr>
        <w:spacing w:after="0" w:line="11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Shareholders and other interested parties may communicate directly with our Board of Directors, our Board committees, our non-employee directors as a group, our Lead Independent Director, or any other specified individual director in writing by (i) sending a letter addressed to The Toro Company Board of Directors, c/o Vice President, Secretary and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Vice President, Secretary and General Counsel to the relevant director(s) as appropriate. Communications not requiring the substantive attention of our Board, such as employment inquiries, sales solicitations, donation requests, questions about our products, and other such matters, are handled directly by our Management.</w:t>
      </w:r>
    </w:p>
    <w:p>
      <w:pPr>
        <w:spacing w:after="0" w:line="86"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80" w:lineRule="exact"/>
        <w:rPr>
          <w:sz w:val="20"/>
          <w:szCs w:val="20"/>
          <w:color w:val="auto"/>
        </w:rPr>
      </w:pPr>
    </w:p>
    <w:p>
      <w:pPr>
        <w:jc w:val="center"/>
        <w:ind w:right="18"/>
        <w:spacing w:after="0"/>
        <w:rPr>
          <w:sz w:val="20"/>
          <w:szCs w:val="20"/>
          <w:color w:val="auto"/>
        </w:rPr>
      </w:pPr>
      <w:r>
        <w:rPr>
          <w:rFonts w:ascii="Arial" w:cs="Arial" w:eastAsia="Arial" w:hAnsi="Arial"/>
          <w:sz w:val="20"/>
          <w:szCs w:val="20"/>
          <w:b w:val="1"/>
          <w:bCs w:val="1"/>
          <w:color w:val="FFFFFF"/>
        </w:rPr>
        <w:t>PROPOSAL TWO—RATIFICATION OF SELECTION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259320" cy="295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9320" cy="295910"/>
                    </a:xfrm>
                    <a:prstGeom prst="rect">
                      <a:avLst/>
                    </a:prstGeom>
                    <a:noFill/>
                  </pic:spPr>
                </pic:pic>
              </a:graphicData>
            </a:graphic>
          </wp:anchor>
        </w:drawing>
      </w:r>
    </w:p>
    <w:p>
      <w:pPr>
        <w:jc w:val="center"/>
        <w:ind w:right="38"/>
        <w:spacing w:after="0"/>
        <w:rPr>
          <w:sz w:val="20"/>
          <w:szCs w:val="20"/>
          <w:color w:val="auto"/>
        </w:rPr>
      </w:pPr>
      <w:r>
        <w:rPr>
          <w:rFonts w:ascii="Arial" w:cs="Arial" w:eastAsia="Arial" w:hAnsi="Arial"/>
          <w:sz w:val="20"/>
          <w:szCs w:val="20"/>
          <w:b w:val="1"/>
          <w:bCs w:val="1"/>
          <w:color w:val="FFFFFF"/>
        </w:rPr>
        <w:t>INDEPENDENT REGISTERED PUBLIC ACCOUNTING FIRM</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Selection of Independent Registered Public Accounting Firm</w:t>
      </w:r>
    </w:p>
    <w:p>
      <w:pPr>
        <w:spacing w:after="0" w:line="112" w:lineRule="exact"/>
        <w:rPr>
          <w:sz w:val="20"/>
          <w:szCs w:val="20"/>
          <w:color w:val="auto"/>
        </w:rPr>
      </w:pPr>
    </w:p>
    <w:p>
      <w:pPr>
        <w:ind w:left="2" w:right="40" w:firstLine="408"/>
        <w:spacing w:after="0" w:line="241" w:lineRule="auto"/>
        <w:rPr>
          <w:sz w:val="20"/>
          <w:szCs w:val="20"/>
          <w:color w:val="auto"/>
        </w:rPr>
      </w:pPr>
      <w:r>
        <w:rPr>
          <w:rFonts w:ascii="Arial" w:cs="Arial" w:eastAsia="Arial" w:hAnsi="Arial"/>
          <w:sz w:val="16"/>
          <w:szCs w:val="16"/>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 Committee considers, among other factors, the quality and efficiency of the services provided by the external auditor, including the performance, technical expertise, 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 auditor’s fees. Upon consideration of these and other factors, the Audit Committee has selected KPMG LLP, or KPMG, to serve as our external auditor for fiscal 2019.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273" w:lineRule="exact"/>
        <w:rPr>
          <w:sz w:val="20"/>
          <w:szCs w:val="20"/>
          <w:color w:val="auto"/>
        </w:rPr>
      </w:pPr>
    </w:p>
    <w:p>
      <w:pPr>
        <w:ind w:left="2" w:right="740" w:firstLine="408"/>
        <w:spacing w:after="0" w:line="255" w:lineRule="auto"/>
        <w:rPr>
          <w:sz w:val="20"/>
          <w:szCs w:val="20"/>
          <w:color w:val="auto"/>
        </w:rPr>
      </w:pPr>
      <w:r>
        <w:rPr>
          <w:rFonts w:ascii="Arial" w:cs="Arial" w:eastAsia="Arial" w:hAnsi="Arial"/>
          <w:sz w:val="16"/>
          <w:szCs w:val="16"/>
          <w:color w:val="auto"/>
        </w:rPr>
        <w:t>Representatives of KPMG will be present at the annual meeting to answer appropriate questions. They also will have the opportunity to make a statement if they wish to do so.</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Audit, Audit-Related, Tax and Other Fees</w:t>
      </w:r>
    </w:p>
    <w:p>
      <w:pPr>
        <w:spacing w:after="0" w:line="112" w:lineRule="exact"/>
        <w:rPr>
          <w:sz w:val="20"/>
          <w:szCs w:val="20"/>
          <w:color w:val="auto"/>
        </w:rPr>
      </w:pPr>
    </w:p>
    <w:p>
      <w:pPr>
        <w:ind w:left="2" w:right="140" w:firstLine="408"/>
        <w:spacing w:after="0" w:line="255" w:lineRule="auto"/>
        <w:rPr>
          <w:sz w:val="20"/>
          <w:szCs w:val="20"/>
          <w:color w:val="auto"/>
        </w:rPr>
      </w:pPr>
      <w:r>
        <w:rPr>
          <w:rFonts w:ascii="Arial" w:cs="Arial" w:eastAsia="Arial" w:hAnsi="Arial"/>
          <w:sz w:val="16"/>
          <w:szCs w:val="16"/>
          <w:color w:val="auto"/>
        </w:rPr>
        <w:t>The following table sets forth the aggregate fees billed to us for professional services rendered by KPMG for fiscal 2018 and fiscal 2017 by category, as described in the footnotes to the table.</w:t>
      </w:r>
    </w:p>
    <w:p>
      <w:pPr>
        <w:spacing w:after="0" w:line="88"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4640" w:type="dxa"/>
            <w:vAlign w:val="bottom"/>
            <w:shd w:val="clear" w:color="auto" w:fill="C00000"/>
          </w:tcPr>
          <w:p>
            <w:pPr>
              <w:spacing w:after="0"/>
              <w:rPr>
                <w:sz w:val="17"/>
                <w:szCs w:val="17"/>
                <w:color w:val="auto"/>
              </w:rPr>
            </w:pPr>
          </w:p>
        </w:tc>
        <w:tc>
          <w:tcPr>
            <w:tcW w:w="3480" w:type="dxa"/>
            <w:vAlign w:val="bottom"/>
            <w:shd w:val="clear" w:color="auto" w:fill="C00000"/>
          </w:tcPr>
          <w:p>
            <w:pPr>
              <w:spacing w:after="0"/>
              <w:rPr>
                <w:sz w:val="17"/>
                <w:szCs w:val="17"/>
                <w:color w:val="auto"/>
              </w:rPr>
            </w:pPr>
          </w:p>
        </w:tc>
        <w:tc>
          <w:tcPr>
            <w:tcW w:w="1460" w:type="dxa"/>
            <w:vAlign w:val="bottom"/>
            <w:shd w:val="clear" w:color="auto" w:fill="C00000"/>
          </w:tcPr>
          <w:p>
            <w:pPr>
              <w:jc w:val="right"/>
              <w:ind w:right="528"/>
              <w:spacing w:after="0"/>
              <w:rPr>
                <w:sz w:val="20"/>
                <w:szCs w:val="20"/>
                <w:color w:val="auto"/>
              </w:rPr>
            </w:pPr>
            <w:r>
              <w:rPr>
                <w:rFonts w:ascii="Arial" w:cs="Arial" w:eastAsia="Arial" w:hAnsi="Arial"/>
                <w:sz w:val="13"/>
                <w:szCs w:val="13"/>
                <w:b w:val="1"/>
                <w:bCs w:val="1"/>
                <w:color w:val="FFFFFF"/>
              </w:rPr>
              <w:t>Fiscal 2018</w:t>
            </w:r>
          </w:p>
        </w:tc>
        <w:tc>
          <w:tcPr>
            <w:tcW w:w="420" w:type="dxa"/>
            <w:vAlign w:val="bottom"/>
            <w:shd w:val="clear" w:color="auto" w:fill="C00000"/>
          </w:tcPr>
          <w:p>
            <w:pPr>
              <w:spacing w:after="0"/>
              <w:rPr>
                <w:sz w:val="17"/>
                <w:szCs w:val="17"/>
                <w:color w:val="auto"/>
              </w:rPr>
            </w:pPr>
          </w:p>
        </w:tc>
        <w:tc>
          <w:tcPr>
            <w:tcW w:w="1420" w:type="dxa"/>
            <w:vAlign w:val="bottom"/>
            <w:shd w:val="clear" w:color="auto" w:fill="C00000"/>
          </w:tcPr>
          <w:p>
            <w:pPr>
              <w:jc w:val="right"/>
              <w:ind w:right="468"/>
              <w:spacing w:after="0"/>
              <w:rPr>
                <w:sz w:val="20"/>
                <w:szCs w:val="20"/>
                <w:color w:val="auto"/>
              </w:rPr>
            </w:pPr>
            <w:r>
              <w:rPr>
                <w:rFonts w:ascii="Arial" w:cs="Arial" w:eastAsia="Arial" w:hAnsi="Arial"/>
                <w:sz w:val="13"/>
                <w:szCs w:val="13"/>
                <w:b w:val="1"/>
                <w:bCs w:val="1"/>
                <w:color w:val="FFFFFF"/>
              </w:rPr>
              <w:t>Fiscal 2017</w:t>
            </w:r>
          </w:p>
        </w:tc>
      </w:tr>
      <w:tr>
        <w:trPr>
          <w:trHeight w:val="184"/>
        </w:trPr>
        <w:tc>
          <w:tcPr>
            <w:tcW w:w="4640" w:type="dxa"/>
            <w:vAlign w:val="bottom"/>
          </w:tcPr>
          <w:p>
            <w:pPr>
              <w:spacing w:after="0" w:line="184"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34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88"/>
              <w:spacing w:after="0"/>
              <w:rPr>
                <w:sz w:val="20"/>
                <w:szCs w:val="20"/>
                <w:color w:val="auto"/>
              </w:rPr>
            </w:pPr>
            <w:r>
              <w:rPr>
                <w:rFonts w:ascii="Arial" w:cs="Arial" w:eastAsia="Arial" w:hAnsi="Arial"/>
                <w:sz w:val="15"/>
                <w:szCs w:val="15"/>
                <w:color w:val="auto"/>
              </w:rPr>
              <w:t>1,375,200</w:t>
            </w:r>
          </w:p>
        </w:tc>
        <w:tc>
          <w:tcPr>
            <w:tcW w:w="4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48"/>
              <w:spacing w:after="0"/>
              <w:rPr>
                <w:sz w:val="20"/>
                <w:szCs w:val="20"/>
                <w:color w:val="auto"/>
              </w:rPr>
            </w:pPr>
            <w:r>
              <w:rPr>
                <w:rFonts w:ascii="Arial" w:cs="Arial" w:eastAsia="Arial" w:hAnsi="Arial"/>
                <w:sz w:val="15"/>
                <w:szCs w:val="15"/>
                <w:color w:val="auto"/>
              </w:rPr>
              <w:t>1,248,875</w:t>
            </w:r>
          </w:p>
        </w:tc>
      </w:tr>
      <w:tr>
        <w:trPr>
          <w:trHeight w:val="184"/>
        </w:trPr>
        <w:tc>
          <w:tcPr>
            <w:tcW w:w="4640" w:type="dxa"/>
            <w:vAlign w:val="bottom"/>
            <w:shd w:val="clear" w:color="auto" w:fill="D9D9D9"/>
          </w:tcPr>
          <w:p>
            <w:pPr>
              <w:spacing w:after="0" w:line="184"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3480" w:type="dxa"/>
            <w:vAlign w:val="bottom"/>
            <w:shd w:val="clear" w:color="auto" w:fill="D9D9D9"/>
          </w:tcPr>
          <w:p>
            <w:pPr>
              <w:jc w:val="right"/>
              <w:ind w:right="106"/>
              <w:spacing w:after="0"/>
              <w:rPr>
                <w:sz w:val="20"/>
                <w:szCs w:val="20"/>
                <w:color w:val="auto"/>
              </w:rPr>
            </w:pPr>
            <w:r>
              <w:rPr>
                <w:rFonts w:ascii="Arial" w:cs="Arial" w:eastAsia="Arial" w:hAnsi="Arial"/>
                <w:sz w:val="15"/>
                <w:szCs w:val="15"/>
                <w:color w:val="auto"/>
              </w:rPr>
              <w:t>$</w:t>
            </w:r>
          </w:p>
        </w:tc>
        <w:tc>
          <w:tcPr>
            <w:tcW w:w="1460" w:type="dxa"/>
            <w:vAlign w:val="bottom"/>
            <w:shd w:val="clear" w:color="auto" w:fill="D9D9D9"/>
          </w:tcPr>
          <w:p>
            <w:pPr>
              <w:jc w:val="right"/>
              <w:ind w:right="88"/>
              <w:spacing w:after="0"/>
              <w:rPr>
                <w:sz w:val="20"/>
                <w:szCs w:val="20"/>
                <w:color w:val="auto"/>
              </w:rPr>
            </w:pPr>
            <w:r>
              <w:rPr>
                <w:rFonts w:ascii="Arial" w:cs="Arial" w:eastAsia="Arial" w:hAnsi="Arial"/>
                <w:sz w:val="15"/>
                <w:szCs w:val="15"/>
                <w:color w:val="auto"/>
              </w:rPr>
              <w:t>55,300</w:t>
            </w:r>
          </w:p>
        </w:tc>
        <w:tc>
          <w:tcPr>
            <w:tcW w:w="420" w:type="dxa"/>
            <w:vAlign w:val="bottom"/>
            <w:shd w:val="clear" w:color="auto" w:fill="D9D9D9"/>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63,425</w:t>
            </w:r>
          </w:p>
        </w:tc>
      </w:tr>
      <w:tr>
        <w:trPr>
          <w:trHeight w:val="184"/>
        </w:trPr>
        <w:tc>
          <w:tcPr>
            <w:tcW w:w="4640" w:type="dxa"/>
            <w:vAlign w:val="bottom"/>
          </w:tcPr>
          <w:p>
            <w:pPr>
              <w:spacing w:after="0" w:line="184"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34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88"/>
              <w:spacing w:after="0"/>
              <w:rPr>
                <w:sz w:val="20"/>
                <w:szCs w:val="20"/>
                <w:color w:val="auto"/>
              </w:rPr>
            </w:pPr>
            <w:r>
              <w:rPr>
                <w:rFonts w:ascii="Arial" w:cs="Arial" w:eastAsia="Arial" w:hAnsi="Arial"/>
                <w:sz w:val="15"/>
                <w:szCs w:val="15"/>
                <w:color w:val="auto"/>
              </w:rPr>
              <w:t>225,705</w:t>
            </w:r>
          </w:p>
        </w:tc>
        <w:tc>
          <w:tcPr>
            <w:tcW w:w="4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48"/>
              <w:spacing w:after="0"/>
              <w:rPr>
                <w:sz w:val="20"/>
                <w:szCs w:val="20"/>
                <w:color w:val="auto"/>
              </w:rPr>
            </w:pPr>
            <w:r>
              <w:rPr>
                <w:rFonts w:ascii="Arial" w:cs="Arial" w:eastAsia="Arial" w:hAnsi="Arial"/>
                <w:sz w:val="15"/>
                <w:szCs w:val="15"/>
                <w:color w:val="auto"/>
              </w:rPr>
              <w:t>193,246</w:t>
            </w:r>
          </w:p>
        </w:tc>
      </w:tr>
      <w:tr>
        <w:trPr>
          <w:trHeight w:val="184"/>
        </w:trPr>
        <w:tc>
          <w:tcPr>
            <w:tcW w:w="4640" w:type="dxa"/>
            <w:vAlign w:val="bottom"/>
            <w:shd w:val="clear" w:color="auto" w:fill="D9D9D9"/>
          </w:tcPr>
          <w:p>
            <w:pPr>
              <w:spacing w:after="0"/>
              <w:rPr>
                <w:sz w:val="20"/>
                <w:szCs w:val="20"/>
                <w:color w:val="auto"/>
              </w:rPr>
            </w:pPr>
            <w:r>
              <w:rPr>
                <w:rFonts w:ascii="Arial" w:cs="Arial" w:eastAsia="Arial" w:hAnsi="Arial"/>
                <w:sz w:val="15"/>
                <w:szCs w:val="15"/>
                <w:color w:val="auto"/>
              </w:rPr>
              <w:t>All Other Fees</w:t>
            </w:r>
          </w:p>
        </w:tc>
        <w:tc>
          <w:tcPr>
            <w:tcW w:w="3480" w:type="dxa"/>
            <w:vAlign w:val="bottom"/>
            <w:shd w:val="clear" w:color="auto" w:fill="D9D9D9"/>
          </w:tcPr>
          <w:p>
            <w:pPr>
              <w:jc w:val="right"/>
              <w:ind w:right="106"/>
              <w:spacing w:after="0"/>
              <w:rPr>
                <w:sz w:val="20"/>
                <w:szCs w:val="20"/>
                <w:color w:val="auto"/>
              </w:rPr>
            </w:pPr>
            <w:r>
              <w:rPr>
                <w:rFonts w:ascii="Arial" w:cs="Arial" w:eastAsia="Arial" w:hAnsi="Arial"/>
                <w:sz w:val="15"/>
                <w:szCs w:val="15"/>
                <w:color w:val="auto"/>
              </w:rPr>
              <w:t>$</w:t>
            </w:r>
          </w:p>
        </w:tc>
        <w:tc>
          <w:tcPr>
            <w:tcW w:w="1460" w:type="dxa"/>
            <w:vAlign w:val="bottom"/>
            <w:shd w:val="clear" w:color="auto" w:fill="D9D9D9"/>
          </w:tcPr>
          <w:p>
            <w:pPr>
              <w:jc w:val="right"/>
              <w:ind w:right="88"/>
              <w:spacing w:after="0"/>
              <w:rPr>
                <w:sz w:val="20"/>
                <w:szCs w:val="20"/>
                <w:color w:val="auto"/>
              </w:rPr>
            </w:pPr>
            <w:r>
              <w:rPr>
                <w:rFonts w:ascii="Arial" w:cs="Arial" w:eastAsia="Arial" w:hAnsi="Arial"/>
                <w:sz w:val="15"/>
                <w:szCs w:val="15"/>
                <w:color w:val="auto"/>
              </w:rPr>
              <w:t>0</w:t>
            </w:r>
          </w:p>
        </w:tc>
        <w:tc>
          <w:tcPr>
            <w:tcW w:w="420" w:type="dxa"/>
            <w:vAlign w:val="bottom"/>
            <w:shd w:val="clear" w:color="auto" w:fill="D9D9D9"/>
          </w:tcPr>
          <w:p>
            <w:pPr>
              <w:jc w:val="right"/>
              <w:ind w:right="106"/>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20777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26" w:lineRule="exact"/>
        <w:rPr>
          <w:sz w:val="20"/>
          <w:szCs w:val="20"/>
          <w:color w:val="auto"/>
        </w:rPr>
      </w:pPr>
    </w:p>
    <w:p>
      <w:pPr>
        <w:ind w:left="402" w:right="140" w:hanging="402"/>
        <w:spacing w:after="0" w:line="244" w:lineRule="auto"/>
        <w:tabs>
          <w:tab w:leader="none" w:pos="4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Consist of aggregate fees billed, or expected to be billed, for fiscal 2018 and fiscal 2017,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84" w:lineRule="exact"/>
        <w:rPr>
          <w:rFonts w:ascii="Arial" w:cs="Arial" w:eastAsia="Arial" w:hAnsi="Arial"/>
          <w:sz w:val="16"/>
          <w:szCs w:val="16"/>
          <w:color w:val="auto"/>
        </w:rPr>
      </w:pPr>
    </w:p>
    <w:p>
      <w:pPr>
        <w:ind w:left="402" w:hanging="402"/>
        <w:spacing w:after="0"/>
        <w:tabs>
          <w:tab w:leader="none" w:pos="4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Consist of aggregate fees billed for KPMG’s services related to audits of employee benefit plans and various other attestation procedures.</w:t>
      </w:r>
    </w:p>
    <w:p>
      <w:pPr>
        <w:spacing w:after="0" w:line="97" w:lineRule="exact"/>
        <w:rPr>
          <w:rFonts w:ascii="Arial" w:cs="Arial" w:eastAsia="Arial" w:hAnsi="Arial"/>
          <w:sz w:val="16"/>
          <w:szCs w:val="16"/>
          <w:color w:val="auto"/>
        </w:rPr>
      </w:pPr>
    </w:p>
    <w:p>
      <w:pPr>
        <w:ind w:left="402" w:right="400" w:hanging="402"/>
        <w:spacing w:after="0" w:line="255" w:lineRule="auto"/>
        <w:tabs>
          <w:tab w:leader="none" w:pos="4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Consist of aggregate fees billed for professional services rendered by KPMG for permissible domestic and international tax consulting, planning and compliance services. The amount for fiscal 2017 has been revised to reflect additional professional compliance services rendered by KPMG.</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Pre-Approval Policies and Procedures</w:t>
      </w:r>
    </w:p>
    <w:p>
      <w:pPr>
        <w:spacing w:after="0" w:line="112" w:lineRule="exact"/>
        <w:rPr>
          <w:sz w:val="20"/>
          <w:szCs w:val="20"/>
          <w:color w:val="auto"/>
        </w:rPr>
      </w:pPr>
    </w:p>
    <w:p>
      <w:pPr>
        <w:ind w:left="2" w:right="100" w:firstLine="408"/>
        <w:spacing w:after="0" w:line="244" w:lineRule="auto"/>
        <w:rPr>
          <w:sz w:val="20"/>
          <w:szCs w:val="20"/>
          <w:color w:val="auto"/>
        </w:rPr>
      </w:pPr>
      <w:r>
        <w:rPr>
          <w:rFonts w:ascii="Arial" w:cs="Arial" w:eastAsia="Arial" w:hAnsi="Arial"/>
          <w:sz w:val="16"/>
          <w:szCs w:val="16"/>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p>
      <w:pPr>
        <w:spacing w:after="0" w:line="282" w:lineRule="exact"/>
        <w:rPr>
          <w:sz w:val="20"/>
          <w:szCs w:val="20"/>
          <w:color w:val="auto"/>
        </w:rPr>
      </w:pPr>
    </w:p>
    <w:tbl>
      <w:tblPr>
        <w:tblLayout w:type="fixed"/>
        <w:tblInd w:w="2" w:type="dxa"/>
        <w:tblCellMar>
          <w:top w:w="0" w:type="dxa"/>
          <w:left w:w="0" w:type="dxa"/>
          <w:bottom w:w="0" w:type="dxa"/>
          <w:right w:w="0" w:type="dxa"/>
        </w:tblCellMar>
      </w:tblPr>
      <w:tr>
        <w:trPr>
          <w:trHeight w:val="240"/>
        </w:trPr>
        <w:tc>
          <w:tcPr>
            <w:tcW w:w="9680" w:type="dxa"/>
            <w:vAlign w:val="bottom"/>
            <w:shd w:val="clear" w:color="auto" w:fill="C00000"/>
          </w:tcPr>
          <w:p>
            <w:pPr>
              <w:jc w:val="center"/>
              <w:ind w:left="367"/>
              <w:spacing w:after="0"/>
              <w:rPr>
                <w:sz w:val="20"/>
                <w:szCs w:val="20"/>
                <w:color w:val="auto"/>
              </w:rPr>
            </w:pPr>
            <w:r>
              <w:rPr>
                <w:rFonts w:ascii="Arial" w:cs="Arial" w:eastAsia="Arial" w:hAnsi="Arial"/>
                <w:sz w:val="20"/>
                <w:szCs w:val="20"/>
                <w:b w:val="1"/>
                <w:bCs w:val="1"/>
                <w:color w:val="FFFFFF"/>
                <w:w w:val="94"/>
              </w:rPr>
              <w:t>The Board of Directors Recommends a Vote FOR Ratification of the Selection of</w:t>
            </w:r>
          </w:p>
        </w:tc>
        <w:tc>
          <w:tcPr>
            <w:tcW w:w="1740" w:type="dxa"/>
            <w:vAlign w:val="bottom"/>
            <w:vMerge w:val="restart"/>
            <w:shd w:val="clear" w:color="auto" w:fill="C00000"/>
          </w:tcPr>
          <w:p>
            <w:pPr>
              <w:ind w:left="900"/>
              <w:spacing w:after="0" w:line="461" w:lineRule="exact"/>
              <w:rPr>
                <w:sz w:val="20"/>
                <w:szCs w:val="20"/>
                <w:color w:val="auto"/>
              </w:rPr>
            </w:pPr>
            <w:r>
              <w:rPr>
                <w:rFonts w:ascii="MS PGothic" w:cs="MS PGothic" w:eastAsia="MS PGothic" w:hAnsi="MS PGothic"/>
                <w:sz w:val="46"/>
                <w:szCs w:val="46"/>
                <w:color w:val="auto"/>
                <w:highlight w:val="white"/>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680" w:type="dxa"/>
            <w:vAlign w:val="bottom"/>
            <w:shd w:val="clear" w:color="auto" w:fill="C00000"/>
          </w:tcPr>
          <w:p>
            <w:pPr>
              <w:jc w:val="center"/>
              <w:ind w:left="387"/>
              <w:spacing w:after="0"/>
              <w:rPr>
                <w:sz w:val="20"/>
                <w:szCs w:val="20"/>
                <w:color w:val="auto"/>
              </w:rPr>
            </w:pPr>
            <w:r>
              <w:rPr>
                <w:rFonts w:ascii="Arial" w:cs="Arial" w:eastAsia="Arial" w:hAnsi="Arial"/>
                <w:sz w:val="20"/>
                <w:szCs w:val="20"/>
                <w:b w:val="1"/>
                <w:bCs w:val="1"/>
                <w:color w:val="FFFFFF"/>
                <w:w w:val="94"/>
              </w:rPr>
              <w:t>KPMG LLP as Our Independent Registered Public Accounting Firm for Fiscal 2019</w:t>
            </w:r>
          </w:p>
        </w:tc>
        <w:tc>
          <w:tcPr>
            <w:tcW w:w="1740" w:type="dxa"/>
            <w:vAlign w:val="bottom"/>
            <w:vMerge w:val="continue"/>
            <w:shd w:val="clear" w:color="auto" w:fill="C0000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680" w:type="dxa"/>
            <w:vAlign w:val="bottom"/>
          </w:tcPr>
          <w:p>
            <w:pPr>
              <w:jc w:val="right"/>
              <w:ind w:right="3787"/>
              <w:spacing w:after="0"/>
              <w:rPr>
                <w:sz w:val="20"/>
                <w:szCs w:val="20"/>
                <w:color w:val="auto"/>
              </w:rPr>
            </w:pPr>
            <w:r>
              <w:rPr>
                <w:rFonts w:ascii="Arial" w:cs="Arial" w:eastAsia="Arial" w:hAnsi="Arial"/>
                <w:sz w:val="16"/>
                <w:szCs w:val="16"/>
                <w:color w:val="auto"/>
              </w:rPr>
              <w:t>25</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6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-27940</wp:posOffset>
            </wp:positionV>
            <wp:extent cx="3302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2"/>
          </w:cols>
          <w:pgMar w:left="238" w:top="140" w:right="199" w:bottom="1440" w:gutter="0" w:footer="0" w:header="0"/>
        </w:sectPr>
      </w:pPr>
    </w:p>
    <w:bookmarkStart w:id="37" w:name="page38"/>
    <w:bookmarkEnd w:id="3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Audit Committee Report</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This report is furnished by the Audit Committee with respect to our financial statements for fiscal 2018.</w:t>
      </w:r>
    </w:p>
    <w:p>
      <w:pPr>
        <w:spacing w:after="0" w:line="98" w:lineRule="exact"/>
        <w:rPr>
          <w:sz w:val="20"/>
          <w:szCs w:val="20"/>
          <w:color w:val="auto"/>
        </w:rPr>
      </w:pPr>
    </w:p>
    <w:p>
      <w:pPr>
        <w:ind w:left="2" w:right="40" w:firstLine="408"/>
        <w:spacing w:after="0" w:line="243" w:lineRule="auto"/>
        <w:rPr>
          <w:sz w:val="20"/>
          <w:szCs w:val="20"/>
          <w:color w:val="auto"/>
        </w:rPr>
      </w:pPr>
      <w:r>
        <w:rPr>
          <w:rFonts w:ascii="Arial" w:cs="Arial" w:eastAsia="Arial" w:hAnsi="Arial"/>
          <w:sz w:val="16"/>
          <w:szCs w:val="16"/>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Audit Committee, is available online at www.thetorocompany.com/corporategovernance.</w:t>
      </w:r>
    </w:p>
    <w:p>
      <w:pPr>
        <w:spacing w:after="0" w:line="86" w:lineRule="exact"/>
        <w:rPr>
          <w:sz w:val="20"/>
          <w:szCs w:val="20"/>
          <w:color w:val="auto"/>
        </w:rPr>
      </w:pPr>
    </w:p>
    <w:p>
      <w:pPr>
        <w:ind w:left="2" w:right="140" w:firstLine="408"/>
        <w:spacing w:after="0" w:line="243" w:lineRule="auto"/>
        <w:rPr>
          <w:sz w:val="20"/>
          <w:szCs w:val="20"/>
          <w:color w:val="auto"/>
        </w:rPr>
      </w:pPr>
      <w:r>
        <w:rPr>
          <w:rFonts w:ascii="Arial" w:cs="Arial" w:eastAsia="Arial" w:hAnsi="Arial"/>
          <w:sz w:val="16"/>
          <w:szCs w:val="16"/>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85"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In performing its oversight role, the Audit Committee has (i) reviewed and discussed with Management our audited financial statements for fiscal 2018,</w:t>
      </w:r>
    </w:p>
    <w:p>
      <w:pPr>
        <w:ind w:left="2" w:right="600" w:hanging="2"/>
        <w:spacing w:after="0" w:line="244" w:lineRule="auto"/>
        <w:tabs>
          <w:tab w:leader="none" w:pos="2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discussed with representatives of KPMG the matters required to be discussed by PCAOB Auditing Standard 1301 (Communications with Audit Committees),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Toro and its Management.</w:t>
      </w:r>
    </w:p>
    <w:p>
      <w:pPr>
        <w:spacing w:after="0" w:line="85" w:lineRule="exact"/>
        <w:rPr>
          <w:sz w:val="20"/>
          <w:szCs w:val="20"/>
          <w:color w:val="auto"/>
        </w:rPr>
      </w:pPr>
    </w:p>
    <w:p>
      <w:pPr>
        <w:jc w:val="both"/>
        <w:ind w:left="2" w:firstLine="408"/>
        <w:spacing w:after="0" w:line="247" w:lineRule="auto"/>
        <w:rPr>
          <w:sz w:val="20"/>
          <w:szCs w:val="20"/>
          <w:color w:val="auto"/>
        </w:rPr>
      </w:pPr>
      <w:r>
        <w:rPr>
          <w:rFonts w:ascii="Arial" w:cs="Arial" w:eastAsia="Arial" w:hAnsi="Arial"/>
          <w:sz w:val="16"/>
          <w:szCs w:val="16"/>
          <w:color w:val="auto"/>
        </w:rPr>
        <w:t>Based on the review and discussions referred to in the foregoing paragraph and subject to the limitations on its responsibilities set forth in its charter, the Audit Committee recommended to our Board that our audited financial statements for fiscal 2018 be included in our Annual Report on Form 10-K for the fiscal year ended October 31, 2018, for filing with the SEC.</w:t>
      </w:r>
    </w:p>
    <w:p>
      <w:pPr>
        <w:spacing w:after="0" w:line="61"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C00000"/>
        </w:rPr>
        <w:t>Audit Committee:</w:t>
      </w:r>
    </w:p>
    <w:p>
      <w:pPr>
        <w:spacing w:after="0" w:line="2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Janet K. Cooper (Chair)</w:t>
      </w:r>
    </w:p>
    <w:p>
      <w:pPr>
        <w:jc w:val="center"/>
        <w:ind w:right="-41"/>
        <w:spacing w:after="0"/>
        <w:rPr>
          <w:sz w:val="20"/>
          <w:szCs w:val="20"/>
          <w:color w:val="auto"/>
        </w:rPr>
      </w:pPr>
      <w:r>
        <w:rPr>
          <w:rFonts w:ascii="Arial" w:cs="Arial" w:eastAsia="Arial" w:hAnsi="Arial"/>
          <w:sz w:val="16"/>
          <w:szCs w:val="16"/>
          <w:color w:val="auto"/>
        </w:rPr>
        <w:t>Gary L. Ellis</w:t>
      </w:r>
    </w:p>
    <w:p>
      <w:pPr>
        <w:jc w:val="center"/>
        <w:ind w:right="-41"/>
        <w:spacing w:after="0"/>
        <w:rPr>
          <w:sz w:val="20"/>
          <w:szCs w:val="20"/>
          <w:color w:val="auto"/>
        </w:rPr>
      </w:pPr>
      <w:r>
        <w:rPr>
          <w:rFonts w:ascii="Arial" w:cs="Arial" w:eastAsia="Arial" w:hAnsi="Arial"/>
          <w:sz w:val="16"/>
          <w:szCs w:val="16"/>
          <w:color w:val="auto"/>
        </w:rPr>
        <w:t>Katherine J. Harless</w:t>
      </w:r>
    </w:p>
    <w:p>
      <w:pPr>
        <w:jc w:val="center"/>
        <w:ind w:right="-41"/>
        <w:spacing w:after="0"/>
        <w:rPr>
          <w:sz w:val="20"/>
          <w:szCs w:val="20"/>
          <w:color w:val="auto"/>
        </w:rPr>
      </w:pPr>
      <w:r>
        <w:rPr>
          <w:rFonts w:ascii="Arial" w:cs="Arial" w:eastAsia="Arial" w:hAnsi="Arial"/>
          <w:sz w:val="16"/>
          <w:szCs w:val="16"/>
          <w:color w:val="auto"/>
        </w:rPr>
        <w:t>D. Christian Koch</w:t>
      </w:r>
    </w:p>
    <w:p>
      <w:pPr>
        <w:jc w:val="center"/>
        <w:ind w:right="-41"/>
        <w:spacing w:after="0"/>
        <w:rPr>
          <w:sz w:val="20"/>
          <w:szCs w:val="20"/>
          <w:color w:val="auto"/>
        </w:rPr>
      </w:pPr>
      <w:r>
        <w:rPr>
          <w:rFonts w:ascii="Arial" w:cs="Arial" w:eastAsia="Arial" w:hAnsi="Arial"/>
          <w:sz w:val="16"/>
          <w:szCs w:val="16"/>
          <w:color w:val="auto"/>
        </w:rPr>
        <w:t>Michael G. Vale</w:t>
      </w:r>
    </w:p>
    <w:p>
      <w:pPr>
        <w:spacing w:after="0" w:line="19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2"/>
          </w:cols>
          <w:pgMar w:left="238" w:top="140"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98055" cy="186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8055" cy="186690"/>
                    </a:xfrm>
                    <a:prstGeom prst="rect">
                      <a:avLst/>
                    </a:prstGeom>
                    <a:noFill/>
                  </pic:spPr>
                </pic:pic>
              </a:graphicData>
            </a:graphic>
          </wp:anchor>
        </w:drawing>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FFFFFF"/>
        </w:rPr>
        <w:t>PROPOSAL THREE—ADVISORY APPROVAL OF OUR EXECUTIVE COMPENSATION</w:t>
      </w:r>
    </w:p>
    <w:p>
      <w:pPr>
        <w:spacing w:after="0" w:line="25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The Board is providing our shareholders with an advisory vote on our executive compensation pursuant to the Dodd-Frank Wall Street Consumer Protection Act, or the Dodd-Frank Act, and Section 14A of the Exchange Act. This advisory vote, commonly known as a say-on-pay vote, is a non-binding vote on the compensation paid to our named executive officers as set forth in the “Executive Compensation” section of this proxy statement beginning on page 29, including in the “Compensation Discussion and Analysis,” the accompanying compensation tables and the corresponding narrative discussion and footnotes. At the 2018 Annual Meeting of Shareholders held on March 20, 2018, over 95% of the votes cast by our shareholders were in favor of our say-on-pay vote. The Compensation &amp; Human Resources Committee believes that such results affirmed shareholder support of our approach to executive compensation.</w:t>
      </w:r>
    </w:p>
    <w:p>
      <w:pPr>
        <w:spacing w:after="0" w:line="88" w:lineRule="exact"/>
        <w:rPr>
          <w:sz w:val="20"/>
          <w:szCs w:val="20"/>
          <w:color w:val="auto"/>
        </w:rPr>
      </w:pPr>
    </w:p>
    <w:p>
      <w:pPr>
        <w:ind w:right="140" w:firstLine="408"/>
        <w:spacing w:after="0" w:line="241" w:lineRule="auto"/>
        <w:rPr>
          <w:sz w:val="20"/>
          <w:szCs w:val="20"/>
          <w:color w:val="auto"/>
        </w:rPr>
      </w:pPr>
      <w:r>
        <w:rPr>
          <w:rFonts w:ascii="Arial" w:cs="Arial" w:eastAsia="Arial" w:hAnsi="Arial"/>
          <w:sz w:val="16"/>
          <w:szCs w:val="16"/>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beginning on page 29, describes our executive compensation program and the executive compensation decisions made by the Compensation &amp; Human Resources Committee in fiscal 2018 in more detail. Important considerations include:</w:t>
      </w:r>
    </w:p>
    <w:p>
      <w:pPr>
        <w:spacing w:after="0" w:line="89" w:lineRule="exact"/>
        <w:rPr>
          <w:sz w:val="20"/>
          <w:szCs w:val="20"/>
          <w:color w:val="auto"/>
        </w:rPr>
      </w:pPr>
    </w:p>
    <w:p>
      <w:pPr>
        <w:ind w:left="800" w:right="840" w:hanging="398"/>
        <w:spacing w:after="0" w:line="255" w:lineRule="auto"/>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A substantial portion of total executive compensation is linked directly to performance and requires that minimum, or threshold, levels of performance be met in order for there to be any payout.</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All incentive compensation awards, including annual and long-term equity and incentive awards, are subject to a “clawback” mechanism.</w:t>
      </w:r>
    </w:p>
    <w:p>
      <w:pPr>
        <w:spacing w:after="0" w:line="97" w:lineRule="exact"/>
        <w:rPr>
          <w:rFonts w:ascii="Arial" w:cs="Arial" w:eastAsia="Arial" w:hAnsi="Arial"/>
          <w:sz w:val="15"/>
          <w:szCs w:val="15"/>
          <w:color w:val="auto"/>
        </w:rPr>
      </w:pPr>
    </w:p>
    <w:p>
      <w:pPr>
        <w:ind w:left="800" w:right="540" w:hanging="398"/>
        <w:spacing w:after="0" w:line="255" w:lineRule="auto"/>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None of our executive officers have employment or severance agreements or arrangements, except as provided for in our change in control severance compensation policy, or CIC policy.</w:t>
      </w:r>
    </w:p>
    <w:p>
      <w:pPr>
        <w:spacing w:after="0" w:line="74" w:lineRule="exact"/>
        <w:rPr>
          <w:rFonts w:ascii="Arial" w:cs="Arial" w:eastAsia="Arial" w:hAnsi="Arial"/>
          <w:sz w:val="15"/>
          <w:szCs w:val="15"/>
          <w:color w:val="auto"/>
        </w:rPr>
      </w:pPr>
    </w:p>
    <w:p>
      <w:pPr>
        <w:ind w:left="800" w:right="740" w:hanging="398"/>
        <w:spacing w:after="0" w:line="255" w:lineRule="auto"/>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We do not provide tax “gross-up” payments under our CIC policy or in connection with any annual or long-term compensation, benefits or perquisites provided to our executive officers.</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Our executive officers receive only modest perquisites.</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We maintain stock ownership guidelines for each of our executive officers.</w:t>
      </w:r>
    </w:p>
    <w:p>
      <w:pPr>
        <w:spacing w:after="0" w:line="97" w:lineRule="exact"/>
        <w:rPr>
          <w:rFonts w:ascii="Arial" w:cs="Arial" w:eastAsia="Arial" w:hAnsi="Arial"/>
          <w:sz w:val="15"/>
          <w:szCs w:val="15"/>
          <w:color w:val="auto"/>
        </w:rPr>
      </w:pPr>
    </w:p>
    <w:p>
      <w:pPr>
        <w:ind w:left="800" w:right="280" w:hanging="398"/>
        <w:spacing w:after="0" w:line="255" w:lineRule="auto"/>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Our insider trading policy prohibits executive officers and directors from purchasing Toro securities on margin, borrowing against any account in which Toro securities are held, or pledging Toro securities as collateral for a loan.</w:t>
      </w:r>
    </w:p>
    <w:p>
      <w:pPr>
        <w:spacing w:after="0" w:line="74" w:lineRule="exact"/>
        <w:rPr>
          <w:rFonts w:ascii="Arial" w:cs="Arial" w:eastAsia="Arial" w:hAnsi="Arial"/>
          <w:sz w:val="15"/>
          <w:szCs w:val="15"/>
          <w:color w:val="auto"/>
        </w:rPr>
      </w:pPr>
    </w:p>
    <w:p>
      <w:pPr>
        <w:ind w:left="800" w:right="160" w:hanging="398"/>
        <w:spacing w:after="0" w:line="247" w:lineRule="auto"/>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Our insider trading policy prohibits employees, executive officers and directors from purchasing any financial instruments (including without limitation collars, equity swaps, prepaid variable forward contracts, and exchange funds) that are designed to hedge or offset any decrease in the market value of Toro securities.</w:t>
      </w:r>
    </w:p>
    <w:p>
      <w:pPr>
        <w:spacing w:after="0" w:line="81" w:lineRule="exact"/>
        <w:rPr>
          <w:rFonts w:ascii="Arial" w:cs="Arial" w:eastAsia="Arial" w:hAnsi="Arial"/>
          <w:sz w:val="15"/>
          <w:szCs w:val="15"/>
          <w:color w:val="auto"/>
        </w:rPr>
      </w:pPr>
    </w:p>
    <w:p>
      <w:pPr>
        <w:ind w:left="800" w:hanging="398"/>
        <w:spacing w:after="0"/>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We have an independent Compensation &amp; Human Resources Committee.</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3"/>
        </w:numPr>
        <w:rPr>
          <w:rFonts w:ascii="Arial" w:cs="Arial" w:eastAsia="Arial" w:hAnsi="Arial"/>
          <w:sz w:val="15"/>
          <w:szCs w:val="15"/>
          <w:color w:val="auto"/>
        </w:rPr>
      </w:pPr>
      <w:r>
        <w:rPr>
          <w:rFonts w:ascii="Arial" w:cs="Arial" w:eastAsia="Arial" w:hAnsi="Arial"/>
          <w:sz w:val="16"/>
          <w:szCs w:val="16"/>
          <w:color w:val="auto"/>
        </w:rPr>
        <w:t>We utilize an independent external compensation consultant.</w:t>
      </w:r>
    </w:p>
    <w:p>
      <w:pPr>
        <w:spacing w:after="0" w:line="98" w:lineRule="exact"/>
        <w:rPr>
          <w:sz w:val="20"/>
          <w:szCs w:val="20"/>
          <w:color w:val="auto"/>
        </w:rPr>
      </w:pPr>
    </w:p>
    <w:p>
      <w:pPr>
        <w:jc w:val="both"/>
        <w:ind w:right="100" w:firstLine="408"/>
        <w:spacing w:after="0" w:line="247" w:lineRule="auto"/>
        <w:rPr>
          <w:sz w:val="20"/>
          <w:szCs w:val="20"/>
          <w:color w:val="auto"/>
        </w:rPr>
      </w:pPr>
      <w:r>
        <w:rPr>
          <w:rFonts w:ascii="Arial" w:cs="Arial" w:eastAsia="Arial" w:hAnsi="Arial"/>
          <w:sz w:val="16"/>
          <w:szCs w:val="16"/>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Accordingly, the Board recommends that our shareholders vote in favor of the say-on-pay vote as set forth in the following resolution:</w:t>
      </w:r>
    </w:p>
    <w:p>
      <w:pPr>
        <w:spacing w:after="0" w:line="98" w:lineRule="exact"/>
        <w:rPr>
          <w:sz w:val="20"/>
          <w:szCs w:val="20"/>
          <w:color w:val="auto"/>
        </w:rPr>
      </w:pPr>
    </w:p>
    <w:p>
      <w:pPr>
        <w:ind w:left="400" w:right="1060"/>
        <w:spacing w:after="0" w:line="247" w:lineRule="auto"/>
        <w:rPr>
          <w:sz w:val="20"/>
          <w:szCs w:val="20"/>
          <w:color w:val="auto"/>
        </w:rPr>
      </w:pPr>
      <w:r>
        <w:rPr>
          <w:rFonts w:ascii="Arial" w:cs="Arial" w:eastAsia="Arial" w:hAnsi="Arial"/>
          <w:sz w:val="16"/>
          <w:szCs w:val="16"/>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81" w:lineRule="exact"/>
        <w:rPr>
          <w:sz w:val="20"/>
          <w:szCs w:val="20"/>
          <w:color w:val="auto"/>
        </w:rPr>
      </w:pPr>
    </w:p>
    <w:p>
      <w:pPr>
        <w:ind w:right="60" w:firstLine="408"/>
        <w:spacing w:after="0" w:line="247" w:lineRule="auto"/>
        <w:rPr>
          <w:sz w:val="20"/>
          <w:szCs w:val="20"/>
          <w:color w:val="auto"/>
        </w:rPr>
      </w:pPr>
      <w:r>
        <w:rPr>
          <w:rFonts w:ascii="Arial" w:cs="Arial" w:eastAsia="Arial" w:hAnsi="Arial"/>
          <w:sz w:val="16"/>
          <w:szCs w:val="16"/>
          <w:color w:val="auto"/>
        </w:rPr>
        <w:t>Shareholders are not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81" w:lineRule="exact"/>
        <w:rPr>
          <w:sz w:val="20"/>
          <w:szCs w:val="20"/>
          <w:color w:val="auto"/>
        </w:rPr>
      </w:pPr>
    </w:p>
    <w:p>
      <w:pPr>
        <w:ind w:right="40" w:firstLine="408"/>
        <w:spacing w:after="0" w:line="247" w:lineRule="auto"/>
        <w:rPr>
          <w:sz w:val="20"/>
          <w:szCs w:val="20"/>
          <w:color w:val="auto"/>
        </w:rPr>
      </w:pPr>
      <w:r>
        <w:rPr>
          <w:rFonts w:ascii="Arial" w:cs="Arial" w:eastAsia="Arial" w:hAnsi="Arial"/>
          <w:sz w:val="16"/>
          <w:szCs w:val="16"/>
          <w:color w:val="auto"/>
        </w:rPr>
        <w:t>In accordance with the result of the advisory vote on the frequency of the say-on-pay vote, which was conducted at the Company’s 2017 Annual Meeting of Shareholders, the Board of Directors has determined that the Company will continue to conduct an executive compensation advisory vote on an annual basis. Accordingly, the next say-on-pay vote will occur in 2020 in connection with our 2020 Annual Meeting of Shareholders.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520" w:type="dxa"/>
            <w:vAlign w:val="bottom"/>
            <w:shd w:val="clear" w:color="auto" w:fill="C00000"/>
          </w:tcPr>
          <w:p>
            <w:pPr>
              <w:jc w:val="center"/>
              <w:ind w:left="607"/>
              <w:spacing w:after="0"/>
              <w:rPr>
                <w:sz w:val="20"/>
                <w:szCs w:val="20"/>
                <w:color w:val="auto"/>
              </w:rPr>
            </w:pPr>
            <w:r>
              <w:rPr>
                <w:rFonts w:ascii="Arial" w:cs="Arial" w:eastAsia="Arial" w:hAnsi="Arial"/>
                <w:sz w:val="20"/>
                <w:szCs w:val="20"/>
                <w:b w:val="1"/>
                <w:bCs w:val="1"/>
                <w:color w:val="FFFFFF"/>
                <w:w w:val="97"/>
              </w:rPr>
              <w:t>The Board of Directors Recommends a Vote FOR Approval, on an</w:t>
            </w:r>
          </w:p>
        </w:tc>
        <w:tc>
          <w:tcPr>
            <w:tcW w:w="1900" w:type="dxa"/>
            <w:vAlign w:val="bottom"/>
            <w:vMerge w:val="restart"/>
            <w:shd w:val="clear" w:color="auto" w:fill="C00000"/>
          </w:tcPr>
          <w:p>
            <w:pPr>
              <w:ind w:left="1140"/>
              <w:spacing w:after="0" w:line="461" w:lineRule="exact"/>
              <w:rPr>
                <w:sz w:val="20"/>
                <w:szCs w:val="20"/>
                <w:color w:val="auto"/>
              </w:rPr>
            </w:pPr>
            <w:r>
              <w:rPr>
                <w:rFonts w:ascii="MS PGothic" w:cs="MS PGothic" w:eastAsia="MS PGothic" w:hAnsi="MS PGothic"/>
                <w:sz w:val="46"/>
                <w:szCs w:val="46"/>
                <w:color w:val="auto"/>
                <w:highlight w:val="white"/>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520" w:type="dxa"/>
            <w:vAlign w:val="bottom"/>
            <w:shd w:val="clear" w:color="auto" w:fill="C00000"/>
          </w:tcPr>
          <w:p>
            <w:pPr>
              <w:jc w:val="center"/>
              <w:ind w:left="667"/>
              <w:spacing w:after="0"/>
              <w:rPr>
                <w:sz w:val="20"/>
                <w:szCs w:val="20"/>
                <w:color w:val="auto"/>
              </w:rPr>
            </w:pPr>
            <w:r>
              <w:rPr>
                <w:rFonts w:ascii="Arial" w:cs="Arial" w:eastAsia="Arial" w:hAnsi="Arial"/>
                <w:sz w:val="20"/>
                <w:szCs w:val="20"/>
                <w:b w:val="1"/>
                <w:bCs w:val="1"/>
                <w:color w:val="FFFFFF"/>
                <w:w w:val="97"/>
              </w:rPr>
              <w:t>Advisory Basis, of our Executive Compensation, or Say-On-Pay Vote.</w:t>
            </w:r>
          </w:p>
        </w:tc>
        <w:tc>
          <w:tcPr>
            <w:tcW w:w="1900" w:type="dxa"/>
            <w:vAlign w:val="bottom"/>
            <w:vMerge w:val="continue"/>
            <w:shd w:val="clear" w:color="auto" w:fill="C0000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9520" w:type="dxa"/>
            <w:vAlign w:val="bottom"/>
          </w:tcPr>
          <w:p>
            <w:pPr>
              <w:jc w:val="right"/>
              <w:ind w:right="3627"/>
              <w:spacing w:after="0"/>
              <w:rPr>
                <w:sz w:val="20"/>
                <w:szCs w:val="20"/>
                <w:color w:val="auto"/>
              </w:rPr>
            </w:pPr>
            <w:r>
              <w:rPr>
                <w:rFonts w:ascii="Arial" w:cs="Arial" w:eastAsia="Arial" w:hAnsi="Arial"/>
                <w:sz w:val="16"/>
                <w:szCs w:val="16"/>
                <w:color w:val="auto"/>
              </w:rPr>
              <w:t>28</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52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EXECUTIVE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Compensation &amp; Human Resources Committee Report</w:t>
      </w:r>
    </w:p>
    <w:p>
      <w:pPr>
        <w:spacing w:after="0" w:line="118" w:lineRule="exact"/>
        <w:rPr>
          <w:sz w:val="20"/>
          <w:szCs w:val="20"/>
          <w:color w:val="auto"/>
        </w:rPr>
      </w:pPr>
    </w:p>
    <w:p>
      <w:pPr>
        <w:jc w:val="both"/>
        <w:ind w:right="120" w:firstLine="408"/>
        <w:spacing w:after="0" w:line="247" w:lineRule="auto"/>
        <w:rPr>
          <w:sz w:val="20"/>
          <w:szCs w:val="20"/>
          <w:color w:val="auto"/>
        </w:rPr>
      </w:pPr>
      <w:r>
        <w:rPr>
          <w:rFonts w:ascii="Arial" w:cs="Arial" w:eastAsia="Arial" w:hAnsi="Arial"/>
          <w:sz w:val="16"/>
          <w:szCs w:val="16"/>
          <w:color w:val="auto"/>
        </w:rPr>
        <w:t>The Compensation &amp; Human Resources Committee has reviewed and discussed the “Compensation Discussion and Analysis” with Management and recommended to the Board that the “Compensation Discussion and Analysis” be included in this proxy statement and in our Annual Report on Form 10-K for the fiscal year ended October 31, 2018.</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C00000"/>
        </w:rPr>
        <w:t>Compensation &amp; Human Resources Committee:</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Christopher A. Twomey (Chair)</w:t>
      </w:r>
    </w:p>
    <w:p>
      <w:pPr>
        <w:jc w:val="center"/>
        <w:ind w:right="-39"/>
        <w:spacing w:after="0"/>
        <w:rPr>
          <w:sz w:val="20"/>
          <w:szCs w:val="20"/>
          <w:color w:val="auto"/>
        </w:rPr>
      </w:pPr>
      <w:r>
        <w:rPr>
          <w:rFonts w:ascii="Arial" w:cs="Arial" w:eastAsia="Arial" w:hAnsi="Arial"/>
          <w:sz w:val="16"/>
          <w:szCs w:val="16"/>
          <w:color w:val="auto"/>
        </w:rPr>
        <w:t>Robert C. Buhrmaster</w:t>
      </w:r>
    </w:p>
    <w:p>
      <w:pPr>
        <w:jc w:val="center"/>
        <w:ind w:right="-39"/>
        <w:spacing w:after="0"/>
        <w:rPr>
          <w:sz w:val="20"/>
          <w:szCs w:val="20"/>
          <w:color w:val="auto"/>
        </w:rPr>
      </w:pPr>
      <w:r>
        <w:rPr>
          <w:rFonts w:ascii="Arial" w:cs="Arial" w:eastAsia="Arial" w:hAnsi="Arial"/>
          <w:sz w:val="16"/>
          <w:szCs w:val="16"/>
          <w:color w:val="auto"/>
        </w:rPr>
        <w:t>Jeffrey M. Ettinger</w:t>
      </w:r>
    </w:p>
    <w:p>
      <w:pPr>
        <w:jc w:val="center"/>
        <w:ind w:right="-39"/>
        <w:spacing w:after="0"/>
        <w:rPr>
          <w:sz w:val="20"/>
          <w:szCs w:val="20"/>
          <w:color w:val="auto"/>
        </w:rPr>
      </w:pPr>
      <w:r>
        <w:rPr>
          <w:rFonts w:ascii="Arial" w:cs="Arial" w:eastAsia="Arial" w:hAnsi="Arial"/>
          <w:sz w:val="16"/>
          <w:szCs w:val="16"/>
          <w:color w:val="auto"/>
        </w:rPr>
        <w:t>James C. O‘Rourke</w:t>
      </w:r>
    </w:p>
    <w:p>
      <w:pPr>
        <w:jc w:val="center"/>
        <w:ind w:right="-19"/>
        <w:spacing w:after="0"/>
        <w:rPr>
          <w:sz w:val="20"/>
          <w:szCs w:val="20"/>
          <w:color w:val="auto"/>
        </w:rPr>
      </w:pPr>
      <w:r>
        <w:rPr>
          <w:rFonts w:ascii="Arial" w:cs="Arial" w:eastAsia="Arial" w:hAnsi="Arial"/>
          <w:sz w:val="16"/>
          <w:szCs w:val="16"/>
          <w:color w:val="auto"/>
        </w:rPr>
        <w:t>Gregg W. Steinhafel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Compensation Discussion and Analysis</w:t>
      </w:r>
    </w:p>
    <w:p>
      <w:pPr>
        <w:spacing w:after="0" w:line="98" w:lineRule="exact"/>
        <w:rPr>
          <w:sz w:val="20"/>
          <w:szCs w:val="20"/>
          <w:color w:val="auto"/>
        </w:rPr>
      </w:pPr>
    </w:p>
    <w:p>
      <w:pPr>
        <w:ind w:right="380" w:firstLine="408"/>
        <w:spacing w:after="0" w:line="260"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In this Compensation Discussion and Analysis, or CD&amp;A, we describe key principles and approaches used to determine elements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paid or awarded to and earned by the following named executive officers whose compensation is set forth in the “Summary Compensation Table” beginning on page 44.</w:t>
      </w:r>
    </w:p>
    <w:p>
      <w:pPr>
        <w:spacing w:after="0" w:line="71" w:lineRule="exact"/>
        <w:rPr>
          <w:sz w:val="20"/>
          <w:szCs w:val="20"/>
          <w:color w:val="auto"/>
        </w:rPr>
      </w:pPr>
    </w:p>
    <w:p>
      <w:pPr>
        <w:ind w:left="800" w:hanging="398"/>
        <w:spacing w:after="0"/>
        <w:tabs>
          <w:tab w:leader="none" w:pos="800" w:val="left"/>
        </w:tabs>
        <w:numPr>
          <w:ilvl w:val="0"/>
          <w:numId w:val="54"/>
        </w:numPr>
        <w:rPr>
          <w:rFonts w:ascii="Arial" w:cs="Arial" w:eastAsia="Arial" w:hAnsi="Arial"/>
          <w:sz w:val="15"/>
          <w:szCs w:val="15"/>
          <w:color w:val="auto"/>
        </w:rPr>
      </w:pPr>
      <w:r>
        <w:rPr>
          <w:rFonts w:ascii="Arial" w:cs="Arial" w:eastAsia="Arial" w:hAnsi="Arial"/>
          <w:sz w:val="16"/>
          <w:szCs w:val="16"/>
          <w:color w:val="auto"/>
        </w:rPr>
        <w:t>Richard M. Olson, Chairman of the Board, President and CEO;</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4"/>
        </w:numPr>
        <w:rPr>
          <w:rFonts w:ascii="Arial" w:cs="Arial" w:eastAsia="Arial" w:hAnsi="Arial"/>
          <w:sz w:val="15"/>
          <w:szCs w:val="15"/>
          <w:color w:val="auto"/>
        </w:rPr>
      </w:pPr>
      <w:r>
        <w:rPr>
          <w:rFonts w:ascii="Arial" w:cs="Arial" w:eastAsia="Arial" w:hAnsi="Arial"/>
          <w:sz w:val="16"/>
          <w:szCs w:val="16"/>
          <w:color w:val="auto"/>
        </w:rPr>
        <w:t>Renee J. Peterson, Vice President, Treasurer and Chief Financial Officer;</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4"/>
        </w:numPr>
        <w:rPr>
          <w:rFonts w:ascii="Arial" w:cs="Arial" w:eastAsia="Arial" w:hAnsi="Arial"/>
          <w:sz w:val="15"/>
          <w:szCs w:val="15"/>
          <w:color w:val="auto"/>
        </w:rPr>
      </w:pPr>
      <w:r>
        <w:rPr>
          <w:rFonts w:ascii="Arial" w:cs="Arial" w:eastAsia="Arial" w:hAnsi="Arial"/>
          <w:sz w:val="16"/>
          <w:szCs w:val="16"/>
          <w:color w:val="auto"/>
        </w:rPr>
        <w:t>William E. Brown, Jr., Group Vice President, Residential and Contractor Businesses;</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4"/>
        </w:numPr>
        <w:rPr>
          <w:rFonts w:ascii="Arial" w:cs="Arial" w:eastAsia="Arial" w:hAnsi="Arial"/>
          <w:sz w:val="15"/>
          <w:szCs w:val="15"/>
          <w:color w:val="auto"/>
        </w:rPr>
      </w:pPr>
      <w:r>
        <w:rPr>
          <w:rFonts w:ascii="Arial" w:cs="Arial" w:eastAsia="Arial" w:hAnsi="Arial"/>
          <w:sz w:val="16"/>
          <w:szCs w:val="16"/>
          <w:color w:val="auto"/>
        </w:rPr>
        <w:t>Timothy P. Dordell, Vice President, Secretary and General Counsel;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4"/>
        </w:numPr>
        <w:rPr>
          <w:rFonts w:ascii="Arial" w:cs="Arial" w:eastAsia="Arial" w:hAnsi="Arial"/>
          <w:sz w:val="15"/>
          <w:szCs w:val="15"/>
          <w:color w:val="auto"/>
        </w:rPr>
      </w:pPr>
      <w:r>
        <w:rPr>
          <w:rFonts w:ascii="Arial" w:cs="Arial" w:eastAsia="Arial" w:hAnsi="Arial"/>
          <w:sz w:val="16"/>
          <w:szCs w:val="16"/>
          <w:color w:val="auto"/>
        </w:rPr>
        <w:t>Bradley A. Hamilton, Group Vice President, Commercial, International and Irrigation Businesses.</w:t>
      </w:r>
    </w:p>
    <w:p>
      <w:pPr>
        <w:spacing w:after="0" w:line="98" w:lineRule="exact"/>
        <w:rPr>
          <w:sz w:val="20"/>
          <w:szCs w:val="20"/>
          <w:color w:val="auto"/>
        </w:rPr>
      </w:pPr>
    </w:p>
    <w:p>
      <w:pPr>
        <w:ind w:right="280" w:firstLine="408"/>
        <w:spacing w:after="0" w:line="255" w:lineRule="auto"/>
        <w:rPr>
          <w:sz w:val="20"/>
          <w:szCs w:val="20"/>
          <w:color w:val="auto"/>
        </w:rPr>
      </w:pPr>
      <w:r>
        <w:rPr>
          <w:rFonts w:ascii="Arial" w:cs="Arial" w:eastAsia="Arial" w:hAnsi="Arial"/>
          <w:sz w:val="16"/>
          <w:szCs w:val="16"/>
          <w:color w:val="auto"/>
        </w:rPr>
        <w:t>Michael J. Hoffman, former Executive Chairman of the Board, retired at the beginning of the fiscal year on November 3, 2017. At that time, Mr. Olson became Chairman of the Board in addition to his previous role as President and CEO. Mr. Brown retired from our Company on January 11, 2019.</w:t>
      </w:r>
    </w:p>
    <w:p>
      <w:pPr>
        <w:spacing w:after="0" w:line="75" w:lineRule="exact"/>
        <w:rPr>
          <w:sz w:val="20"/>
          <w:szCs w:val="20"/>
          <w:color w:val="auto"/>
        </w:rPr>
      </w:pPr>
    </w:p>
    <w:p>
      <w:pPr>
        <w:ind w:right="240" w:firstLine="408"/>
        <w:spacing w:after="0" w:line="247" w:lineRule="auto"/>
        <w:rPr>
          <w:sz w:val="20"/>
          <w:szCs w:val="20"/>
          <w:color w:val="auto"/>
        </w:rPr>
      </w:pPr>
      <w:r>
        <w:rPr>
          <w:rFonts w:ascii="Arial" w:cs="Arial" w:eastAsia="Arial" w:hAnsi="Arial"/>
          <w:sz w:val="16"/>
          <w:szCs w:val="16"/>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Three—Advisory Approval of our Executive Compensation” beginning on page 27.</w:t>
      </w:r>
    </w:p>
    <w:p>
      <w:pPr>
        <w:spacing w:after="0" w:line="61" w:lineRule="exact"/>
        <w:rPr>
          <w:sz w:val="20"/>
          <w:szCs w:val="20"/>
          <w:color w:val="auto"/>
        </w:rPr>
      </w:pPr>
    </w:p>
    <w:p>
      <w:pPr>
        <w:ind w:firstLine="408"/>
        <w:spacing w:after="0" w:line="260" w:lineRule="auto"/>
        <w:rPr>
          <w:sz w:val="20"/>
          <w:szCs w:val="20"/>
          <w:color w:val="auto"/>
        </w:rPr>
      </w:pPr>
      <w:r>
        <w:rPr>
          <w:rFonts w:ascii="Arial" w:cs="Arial" w:eastAsia="Arial" w:hAnsi="Arial"/>
          <w:sz w:val="16"/>
          <w:szCs w:val="16"/>
          <w:b w:val="1"/>
          <w:bCs w:val="1"/>
          <w:i w:val="1"/>
          <w:iCs w:val="1"/>
          <w:color w:val="auto"/>
        </w:rPr>
        <w:t>Executive Compensation Program Objectives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guiding compensation philosophy is to maintain an executive compensation program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71" w:lineRule="exact"/>
        <w:rPr>
          <w:sz w:val="20"/>
          <w:szCs w:val="20"/>
          <w:color w:val="auto"/>
        </w:rPr>
      </w:pPr>
    </w:p>
    <w:p>
      <w:pPr>
        <w:ind w:left="800" w:hanging="398"/>
        <w:spacing w:after="0"/>
        <w:tabs>
          <w:tab w:leader="none" w:pos="800" w:val="left"/>
        </w:tabs>
        <w:numPr>
          <w:ilvl w:val="0"/>
          <w:numId w:val="55"/>
        </w:numPr>
        <w:rPr>
          <w:rFonts w:ascii="Arial" w:cs="Arial" w:eastAsia="Arial" w:hAnsi="Arial"/>
          <w:sz w:val="15"/>
          <w:szCs w:val="15"/>
          <w:color w:val="auto"/>
        </w:rPr>
      </w:pPr>
      <w:r>
        <w:rPr>
          <w:rFonts w:ascii="Arial" w:cs="Arial" w:eastAsia="Arial" w:hAnsi="Arial"/>
          <w:sz w:val="16"/>
          <w:szCs w:val="16"/>
          <w:color w:val="auto"/>
        </w:rPr>
        <w:t>Align interests of executive officers with shareholder interests;</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5"/>
        </w:numPr>
        <w:rPr>
          <w:rFonts w:ascii="Arial" w:cs="Arial" w:eastAsia="Arial" w:hAnsi="Arial"/>
          <w:sz w:val="15"/>
          <w:szCs w:val="15"/>
          <w:color w:val="auto"/>
        </w:rPr>
      </w:pPr>
      <w:r>
        <w:rPr>
          <w:rFonts w:ascii="Arial" w:cs="Arial" w:eastAsia="Arial" w:hAnsi="Arial"/>
          <w:sz w:val="16"/>
          <w:szCs w:val="16"/>
          <w:color w:val="auto"/>
        </w:rPr>
        <w:t>Link pay to performance;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5"/>
        </w:numPr>
        <w:rPr>
          <w:rFonts w:ascii="Arial" w:cs="Arial" w:eastAsia="Arial" w:hAnsi="Arial"/>
          <w:sz w:val="15"/>
          <w:szCs w:val="15"/>
          <w:color w:val="auto"/>
        </w:rPr>
      </w:pPr>
      <w:r>
        <w:rPr>
          <w:rFonts w:ascii="Arial" w:cs="Arial" w:eastAsia="Arial" w:hAnsi="Arial"/>
          <w:sz w:val="16"/>
          <w:szCs w:val="16"/>
          <w:color w:val="auto"/>
        </w:rPr>
        <w:t>Provide competitive target total direct compensation opportunities.</w:t>
      </w:r>
    </w:p>
    <w:p>
      <w:pPr>
        <w:spacing w:after="0" w:line="78" w:lineRule="exact"/>
        <w:rPr>
          <w:sz w:val="20"/>
          <w:szCs w:val="20"/>
          <w:color w:val="auto"/>
        </w:rPr>
      </w:pPr>
    </w:p>
    <w:p>
      <w:pPr>
        <w:jc w:val="both"/>
        <w:ind w:right="200" w:firstLine="408"/>
        <w:spacing w:after="0" w:line="253" w:lineRule="auto"/>
        <w:rPr>
          <w:sz w:val="20"/>
          <w:szCs w:val="20"/>
          <w:color w:val="auto"/>
        </w:rPr>
      </w:pPr>
      <w:r>
        <w:rPr>
          <w:rFonts w:ascii="Arial" w:cs="Arial" w:eastAsia="Arial" w:hAnsi="Arial"/>
          <w:sz w:val="16"/>
          <w:szCs w:val="16"/>
          <w:b w:val="1"/>
          <w:bCs w:val="1"/>
          <w:i w:val="1"/>
          <w:iCs w:val="1"/>
          <w:color w:val="auto"/>
        </w:rPr>
        <w:t xml:space="preserve">Highlights of Compensation Practices. </w:t>
      </w:r>
      <w:r>
        <w:rPr>
          <w:rFonts w:ascii="Arial" w:cs="Arial" w:eastAsia="Arial" w:hAnsi="Arial"/>
          <w:sz w:val="16"/>
          <w:szCs w:val="16"/>
          <w:color w:val="auto"/>
        </w:rPr>
        <w:t>At our 2018 Annual Meeting of Shareholders, our shareholders had the opportunity to vote on an advisory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say-on-pay proposal and over 95% of the votes cast were in favor of such proposal. The Compensation &amp; Human Resources Committee believes that such results affirmed shareholder support of our approach to executive compensation and did not believe it was necessary to, and, therefore, did not, make any significant changes to our executive compensation program in fiscal 2018.</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41" w:name="page42"/>
    <w:bookmarkEnd w:id="4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59320" cy="147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9320" cy="147955"/>
                    </a:xfrm>
                    <a:prstGeom prst="rect">
                      <a:avLst/>
                    </a:prstGeom>
                    <a:noFill/>
                  </pic:spPr>
                </pic:pic>
              </a:graphicData>
            </a:graphic>
          </wp:anchor>
        </w:drawing>
      </w:r>
    </w:p>
    <w:p>
      <w:pPr>
        <w:spacing w:after="0" w:line="82" w:lineRule="exact"/>
        <w:rPr>
          <w:sz w:val="20"/>
          <w:szCs w:val="20"/>
          <w:color w:val="auto"/>
        </w:rPr>
      </w:pPr>
    </w:p>
    <w:p>
      <w:pPr>
        <w:ind w:left="22"/>
        <w:spacing w:after="0"/>
        <w:rPr>
          <w:sz w:val="20"/>
          <w:szCs w:val="20"/>
          <w:color w:val="auto"/>
        </w:rPr>
      </w:pPr>
      <w:r>
        <w:rPr>
          <w:rFonts w:ascii="Arial" w:cs="Arial" w:eastAsia="Arial" w:hAnsi="Arial"/>
          <w:sz w:val="16"/>
          <w:szCs w:val="16"/>
          <w:b w:val="1"/>
          <w:bCs w:val="1"/>
          <w:color w:val="FFFFFF"/>
        </w:rPr>
        <w:t>What We Do:</w:t>
      </w:r>
    </w:p>
    <w:p>
      <w:pPr>
        <w:spacing w:after="0" w:line="81" w:lineRule="exact"/>
        <w:rPr>
          <w:sz w:val="20"/>
          <w:szCs w:val="20"/>
          <w:color w:val="auto"/>
        </w:rPr>
      </w:pPr>
    </w:p>
    <w:p>
      <w:pPr>
        <w:ind w:left="402" w:right="200" w:hanging="402"/>
        <w:spacing w:after="0" w:line="247" w:lineRule="auto"/>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link a substantial portion of total executive compensation directly to performance and require that minimum, or threshold, levels of performance be met in order for there to be any payout.</w:t>
      </w:r>
    </w:p>
    <w:p>
      <w:pPr>
        <w:spacing w:after="0" w:line="25" w:lineRule="exact"/>
        <w:rPr>
          <w:rFonts w:ascii="MS PGothic" w:cs="MS PGothic" w:eastAsia="MS PGothic" w:hAnsi="MS PGothic"/>
          <w:sz w:val="16"/>
          <w:szCs w:val="16"/>
          <w:color w:val="auto"/>
          <w:shd w:val="clear" w:color="auto" w:fill="C00000"/>
        </w:rPr>
      </w:pPr>
    </w:p>
    <w:p>
      <w:pPr>
        <w:ind w:left="402" w:right="200" w:hanging="402"/>
        <w:spacing w:after="0" w:line="247" w:lineRule="auto"/>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utilize a mix of earnings, revenue and asset-based performance measures for our annual cash incentive awards and long-term performance share awards.</w:t>
      </w:r>
    </w:p>
    <w:p>
      <w:pPr>
        <w:spacing w:after="0" w:line="25"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cap annual cash incentive award and long-term performance share award payouts at 200% of the target award.</w:t>
      </w:r>
    </w:p>
    <w:p>
      <w:pPr>
        <w:spacing w:after="0" w:line="48" w:lineRule="exact"/>
        <w:rPr>
          <w:rFonts w:ascii="MS PGothic" w:cs="MS PGothic" w:eastAsia="MS PGothic" w:hAnsi="MS PGothic"/>
          <w:sz w:val="16"/>
          <w:szCs w:val="16"/>
          <w:color w:val="auto"/>
          <w:shd w:val="clear" w:color="auto" w:fill="C00000"/>
        </w:rPr>
      </w:pPr>
    </w:p>
    <w:p>
      <w:pPr>
        <w:ind w:left="402" w:right="220" w:hanging="402"/>
        <w:spacing w:after="0" w:line="247" w:lineRule="auto"/>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utilize three-year performance share awards, the payouts of which vary based on performance and are contingent upon the achievement of three-year performance goals.</w:t>
      </w:r>
    </w:p>
    <w:p>
      <w:pPr>
        <w:spacing w:after="0" w:line="25" w:lineRule="exact"/>
        <w:rPr>
          <w:rFonts w:ascii="MS PGothic" w:cs="MS PGothic" w:eastAsia="MS PGothic" w:hAnsi="MS PGothic"/>
          <w:sz w:val="16"/>
          <w:szCs w:val="16"/>
          <w:color w:val="auto"/>
          <w:shd w:val="clear" w:color="auto" w:fill="C00000"/>
        </w:rPr>
      </w:pPr>
    </w:p>
    <w:p>
      <w:pPr>
        <w:ind w:left="402" w:hanging="402"/>
        <w:spacing w:after="0" w:line="244" w:lineRule="auto"/>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utilize stock options, the value of which is contingent upon long-term stock price performance since stock options only have value if the stock price at the time of exercise exceeds the exercise price; the exercise price reflects the closing price of our common stock, as reported on the NYSE, on the date of grant.</w:t>
      </w:r>
    </w:p>
    <w:p>
      <w:pPr>
        <w:spacing w:after="0" w:line="26"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impose a minimum vesting requirement of three years or more for our time-based equity awards.</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maintain stock ownership guidelines for our executive officers.</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include clawback provisions within our annual cash incentive and long-term incentive awards.</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have an independent Compensation &amp; Human Resources Committee which is advised by an independent external compensation consultant.</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56"/>
        </w:numPr>
        <w:rPr>
          <w:rFonts w:ascii="MS PGothic" w:cs="MS PGothic" w:eastAsia="MS PGothic" w:hAnsi="MS PGothic"/>
          <w:sz w:val="16"/>
          <w:szCs w:val="16"/>
          <w:color w:val="auto"/>
          <w:shd w:val="clear" w:color="auto" w:fill="C00000"/>
        </w:rPr>
      </w:pPr>
      <w:r>
        <w:rPr>
          <w:rFonts w:ascii="Arial" w:cs="Arial" w:eastAsia="Arial" w:hAnsi="Arial"/>
          <w:sz w:val="16"/>
          <w:szCs w:val="16"/>
          <w:color w:val="070707"/>
        </w:rPr>
        <w:t>We provide our shareholders with the opportunity to cast an advisory say-on-pay vote on an annual basis.</w:t>
      </w:r>
    </w:p>
    <w:p>
      <w:pPr>
        <w:spacing w:after="0" w:line="115" w:lineRule="exact"/>
        <w:rPr>
          <w:sz w:val="20"/>
          <w:szCs w:val="20"/>
          <w:color w:val="auto"/>
        </w:rPr>
      </w:pPr>
    </w:p>
    <w:p>
      <w:pPr>
        <w:ind w:left="22"/>
        <w:spacing w:after="0"/>
        <w:rPr>
          <w:sz w:val="20"/>
          <w:szCs w:val="20"/>
          <w:color w:val="auto"/>
        </w:rPr>
      </w:pP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59320" cy="2413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9320" cy="241300"/>
                    </a:xfrm>
                    <a:prstGeom prst="rect">
                      <a:avLst/>
                    </a:prstGeom>
                    <a:noFill/>
                  </pic:spPr>
                </pic:pic>
              </a:graphicData>
            </a:graphic>
          </wp:anchor>
        </w:drawing>
      </w:r>
    </w:p>
    <w:p>
      <w:pPr>
        <w:spacing w:after="0" w:line="73"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allow repricing or exchange of any equity awards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have individual employment agreements with any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provide gross-up payments to cover personal income taxes or excise taxes that pertain to executive 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070707"/>
        </w:rPr>
        <w:t>We do not allow hedging or pledging of Toro securities by our executive officers.</w:t>
      </w:r>
    </w:p>
    <w:p>
      <w:pPr>
        <w:spacing w:after="0" w:line="78" w:lineRule="exact"/>
        <w:rPr>
          <w:sz w:val="20"/>
          <w:szCs w:val="20"/>
          <w:color w:val="auto"/>
        </w:rPr>
      </w:pPr>
    </w:p>
    <w:p>
      <w:pPr>
        <w:ind w:left="2" w:right="300" w:firstLine="408"/>
        <w:spacing w:after="0" w:line="260" w:lineRule="auto"/>
        <w:rPr>
          <w:sz w:val="20"/>
          <w:szCs w:val="20"/>
          <w:color w:val="auto"/>
        </w:rPr>
      </w:pPr>
      <w:r>
        <w:rPr>
          <w:rFonts w:ascii="Arial" w:cs="Arial" w:eastAsia="Arial" w:hAnsi="Arial"/>
          <w:sz w:val="16"/>
          <w:szCs w:val="16"/>
          <w:b w:val="1"/>
          <w:bCs w:val="1"/>
          <w:i w:val="1"/>
          <w:iCs w:val="1"/>
          <w:color w:val="auto"/>
        </w:rPr>
        <w:t xml:space="preserve">Pay Levels/Mix. </w:t>
      </w:r>
      <w:r>
        <w:rPr>
          <w:rFonts w:ascii="Arial" w:cs="Arial" w:eastAsia="Arial" w:hAnsi="Arial"/>
          <w:sz w:val="16"/>
          <w:szCs w:val="16"/>
          <w:color w:val="auto"/>
        </w:rPr>
        <w:t>A significant portion of our executive officers’ target total direct compensation is comprised of short- and long-term variable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or at risk, compensation to directly link their pay to performance. Generally, higher level executive positions have a higher level of pay that is performance-based. For fiscal 2018:</w:t>
      </w:r>
    </w:p>
    <w:p>
      <w:pPr>
        <w:spacing w:after="0" w:line="71" w:lineRule="exact"/>
        <w:rPr>
          <w:sz w:val="20"/>
          <w:szCs w:val="20"/>
          <w:color w:val="auto"/>
        </w:rPr>
      </w:pPr>
    </w:p>
    <w:p>
      <w:pPr>
        <w:ind w:left="802" w:hanging="398"/>
        <w:spacing w:after="0"/>
        <w:tabs>
          <w:tab w:leader="none" w:pos="802" w:val="left"/>
        </w:tabs>
        <w:numPr>
          <w:ilvl w:val="0"/>
          <w:numId w:val="57"/>
        </w:numPr>
        <w:rPr>
          <w:rFonts w:ascii="Arial" w:cs="Arial" w:eastAsia="Arial" w:hAnsi="Arial"/>
          <w:sz w:val="15"/>
          <w:szCs w:val="15"/>
          <w:color w:val="auto"/>
        </w:rPr>
      </w:pPr>
      <w:r>
        <w:rPr>
          <w:rFonts w:ascii="Arial" w:cs="Arial" w:eastAsia="Arial" w:hAnsi="Arial"/>
          <w:sz w:val="16"/>
          <w:szCs w:val="16"/>
          <w:color w:val="auto"/>
        </w:rPr>
        <w:t>82% of the target total direct compensation for our Chairman and CEO was performance-based, and</w:t>
      </w:r>
    </w:p>
    <w:p>
      <w:pPr>
        <w:spacing w:after="0" w:line="97" w:lineRule="exact"/>
        <w:rPr>
          <w:rFonts w:ascii="Arial" w:cs="Arial" w:eastAsia="Arial" w:hAnsi="Arial"/>
          <w:sz w:val="15"/>
          <w:szCs w:val="15"/>
          <w:color w:val="auto"/>
        </w:rPr>
      </w:pPr>
    </w:p>
    <w:p>
      <w:pPr>
        <w:ind w:left="802" w:hanging="398"/>
        <w:spacing w:after="0"/>
        <w:tabs>
          <w:tab w:leader="none" w:pos="802" w:val="left"/>
        </w:tabs>
        <w:numPr>
          <w:ilvl w:val="0"/>
          <w:numId w:val="57"/>
        </w:numPr>
        <w:rPr>
          <w:rFonts w:ascii="Arial" w:cs="Arial" w:eastAsia="Arial" w:hAnsi="Arial"/>
          <w:sz w:val="15"/>
          <w:szCs w:val="15"/>
          <w:color w:val="auto"/>
        </w:rPr>
      </w:pPr>
      <w:r>
        <w:rPr>
          <w:rFonts w:ascii="Arial" w:cs="Arial" w:eastAsia="Arial" w:hAnsi="Arial"/>
          <w:sz w:val="16"/>
          <w:szCs w:val="16"/>
          <w:color w:val="auto"/>
        </w:rPr>
        <w:t>67% of the target total direct compensation for our other named executive officers was performance-based.</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42" w:name="page43"/>
    <w:bookmarkEnd w:id="42"/>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2" w:right="60" w:firstLine="408"/>
        <w:spacing w:after="0" w:line="244" w:lineRule="auto"/>
        <w:rPr>
          <w:sz w:val="20"/>
          <w:szCs w:val="20"/>
          <w:color w:val="auto"/>
        </w:rPr>
      </w:pPr>
      <w:r>
        <w:rPr>
          <w:rFonts w:ascii="Arial" w:cs="Arial" w:eastAsia="Arial" w:hAnsi="Arial"/>
          <w:sz w:val="16"/>
          <w:szCs w:val="16"/>
          <w:color w:val="auto"/>
        </w:rPr>
        <w:t>Short-term variable compensation is in the form of annual cash incentive awards. Long-term variable compensation is in the form of stock options that vest over three years and three-year performance share awards. We target pay opportunities within a competitive range of the market 50</w:t>
      </w:r>
      <w:r>
        <w:rPr>
          <w:rFonts w:ascii="Arial" w:cs="Arial" w:eastAsia="Arial" w:hAnsi="Arial"/>
          <w:sz w:val="13"/>
          <w:szCs w:val="13"/>
          <w:color w:val="auto"/>
        </w:rPr>
        <w:t>th</w:t>
      </w:r>
      <w:r>
        <w:rPr>
          <w:rFonts w:ascii="Arial" w:cs="Arial" w:eastAsia="Arial" w:hAnsi="Arial"/>
          <w:sz w:val="16"/>
          <w:szCs w:val="16"/>
          <w:color w:val="auto"/>
        </w:rPr>
        <w:t xml:space="preserve"> percentile for each element of compensation and in total; however, variance around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is dependent on a number of factors. We also provide our executive officers with modest perquisites and market competitive retirement and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93345</wp:posOffset>
            </wp:positionV>
            <wp:extent cx="5687695" cy="17119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87695" cy="171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2"/>
        <w:spacing w:after="0"/>
        <w:tabs>
          <w:tab w:leader="none" w:pos="3082" w:val="left"/>
        </w:tabs>
        <w:rPr>
          <w:sz w:val="20"/>
          <w:szCs w:val="20"/>
          <w:color w:val="auto"/>
        </w:rPr>
      </w:pPr>
      <w:r>
        <w:rPr>
          <w:rFonts w:ascii="Arial" w:cs="Arial" w:eastAsia="Arial" w:hAnsi="Arial"/>
          <w:sz w:val="16"/>
          <w:szCs w:val="16"/>
          <w:b w:val="1"/>
          <w:bCs w:val="1"/>
          <w:i w:val="1"/>
          <w:iCs w:val="1"/>
          <w:color w:val="auto"/>
        </w:rPr>
        <w:t>Fiscal 2018 Financial Highlights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Below are brief financial highlights for fiscal 2018.</w:t>
      </w:r>
    </w:p>
    <w:p>
      <w:pPr>
        <w:spacing w:after="0" w:line="131"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32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Financial Highlights</w:t>
            </w:r>
          </w:p>
        </w:tc>
        <w:tc>
          <w:tcPr>
            <w:tcW w:w="1480" w:type="dxa"/>
            <w:vAlign w:val="bottom"/>
            <w:shd w:val="clear" w:color="auto" w:fill="C00000"/>
          </w:tcPr>
          <w:p>
            <w:pPr>
              <w:spacing w:after="0"/>
              <w:rPr>
                <w:sz w:val="13"/>
                <w:szCs w:val="13"/>
                <w:color w:val="auto"/>
              </w:rPr>
            </w:pPr>
          </w:p>
        </w:tc>
        <w:tc>
          <w:tcPr>
            <w:tcW w:w="1700" w:type="dxa"/>
            <w:vAlign w:val="bottom"/>
            <w:shd w:val="clear" w:color="auto" w:fill="C00000"/>
          </w:tcPr>
          <w:p>
            <w:pPr>
              <w:jc w:val="right"/>
              <w:ind w:right="788"/>
              <w:spacing w:after="0"/>
              <w:rPr>
                <w:sz w:val="20"/>
                <w:szCs w:val="20"/>
                <w:color w:val="auto"/>
              </w:rPr>
            </w:pPr>
            <w:r>
              <w:rPr>
                <w:rFonts w:ascii="Arial" w:cs="Arial" w:eastAsia="Arial" w:hAnsi="Arial"/>
                <w:sz w:val="13"/>
                <w:szCs w:val="13"/>
                <w:b w:val="1"/>
                <w:bCs w:val="1"/>
                <w:color w:val="FFFFFF"/>
              </w:rPr>
              <w:t>Fiscal 2017</w:t>
            </w:r>
          </w:p>
        </w:tc>
        <w:tc>
          <w:tcPr>
            <w:tcW w:w="660" w:type="dxa"/>
            <w:vAlign w:val="bottom"/>
            <w:shd w:val="clear" w:color="auto" w:fill="C00000"/>
          </w:tcPr>
          <w:p>
            <w:pPr>
              <w:spacing w:after="0"/>
              <w:rPr>
                <w:sz w:val="13"/>
                <w:szCs w:val="13"/>
                <w:color w:val="auto"/>
              </w:rPr>
            </w:pPr>
          </w:p>
        </w:tc>
        <w:tc>
          <w:tcPr>
            <w:tcW w:w="1920" w:type="dxa"/>
            <w:vAlign w:val="bottom"/>
            <w:shd w:val="clear" w:color="auto" w:fill="C00000"/>
          </w:tcPr>
          <w:p>
            <w:pPr>
              <w:jc w:val="right"/>
              <w:ind w:right="988"/>
              <w:spacing w:after="0"/>
              <w:rPr>
                <w:sz w:val="20"/>
                <w:szCs w:val="20"/>
                <w:color w:val="auto"/>
              </w:rPr>
            </w:pPr>
            <w:r>
              <w:rPr>
                <w:rFonts w:ascii="Arial" w:cs="Arial" w:eastAsia="Arial" w:hAnsi="Arial"/>
                <w:sz w:val="13"/>
                <w:szCs w:val="13"/>
                <w:b w:val="1"/>
                <w:bCs w:val="1"/>
                <w:color w:val="FFFFFF"/>
              </w:rPr>
              <w:t>Fiscal 2018</w:t>
            </w:r>
          </w:p>
        </w:tc>
        <w:tc>
          <w:tcPr>
            <w:tcW w:w="2400" w:type="dxa"/>
            <w:vAlign w:val="bottom"/>
            <w:shd w:val="clear" w:color="auto" w:fill="C00000"/>
          </w:tcPr>
          <w:p>
            <w:pPr>
              <w:ind w:left="860"/>
              <w:spacing w:after="0"/>
              <w:rPr>
                <w:sz w:val="20"/>
                <w:szCs w:val="20"/>
                <w:color w:val="auto"/>
              </w:rPr>
            </w:pPr>
            <w:r>
              <w:rPr>
                <w:rFonts w:ascii="Arial" w:cs="Arial" w:eastAsia="Arial" w:hAnsi="Arial"/>
                <w:sz w:val="13"/>
                <w:szCs w:val="13"/>
                <w:b w:val="1"/>
                <w:bCs w:val="1"/>
                <w:color w:val="FFFFFF"/>
              </w:rPr>
              <w:t>Change</w:t>
            </w:r>
          </w:p>
        </w:tc>
      </w:tr>
      <w:tr>
        <w:trPr>
          <w:trHeight w:val="184"/>
        </w:trPr>
        <w:tc>
          <w:tcPr>
            <w:tcW w:w="3260" w:type="dxa"/>
            <w:vAlign w:val="bottom"/>
          </w:tcPr>
          <w:p>
            <w:pPr>
              <w:spacing w:after="0"/>
              <w:rPr>
                <w:sz w:val="20"/>
                <w:szCs w:val="20"/>
                <w:color w:val="auto"/>
              </w:rPr>
            </w:pPr>
            <w:r>
              <w:rPr>
                <w:rFonts w:ascii="Arial" w:cs="Arial" w:eastAsia="Arial" w:hAnsi="Arial"/>
                <w:sz w:val="15"/>
                <w:szCs w:val="15"/>
                <w:color w:val="auto"/>
              </w:rPr>
              <w:t>Net sales (in millions)</w:t>
            </w:r>
          </w:p>
        </w:tc>
        <w:tc>
          <w:tcPr>
            <w:tcW w:w="14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348"/>
              <w:spacing w:after="0"/>
              <w:rPr>
                <w:sz w:val="20"/>
                <w:szCs w:val="20"/>
                <w:color w:val="auto"/>
              </w:rPr>
            </w:pPr>
            <w:r>
              <w:rPr>
                <w:rFonts w:ascii="Arial" w:cs="Arial" w:eastAsia="Arial" w:hAnsi="Arial"/>
                <w:sz w:val="15"/>
                <w:szCs w:val="15"/>
                <w:color w:val="auto"/>
              </w:rPr>
              <w:t>2,505.2</w:t>
            </w:r>
          </w:p>
        </w:tc>
        <w:tc>
          <w:tcPr>
            <w:tcW w:w="6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588"/>
              <w:spacing w:after="0"/>
              <w:rPr>
                <w:sz w:val="20"/>
                <w:szCs w:val="20"/>
                <w:color w:val="auto"/>
              </w:rPr>
            </w:pPr>
            <w:r>
              <w:rPr>
                <w:rFonts w:ascii="Arial" w:cs="Arial" w:eastAsia="Arial" w:hAnsi="Arial"/>
                <w:sz w:val="15"/>
                <w:szCs w:val="15"/>
                <w:color w:val="auto"/>
              </w:rPr>
              <w:t>2,618.7</w:t>
            </w:r>
          </w:p>
        </w:tc>
        <w:tc>
          <w:tcPr>
            <w:tcW w:w="2400" w:type="dxa"/>
            <w:vAlign w:val="bottom"/>
          </w:tcPr>
          <w:p>
            <w:pPr>
              <w:jc w:val="center"/>
              <w:ind w:right="108"/>
              <w:spacing w:after="0"/>
              <w:rPr>
                <w:sz w:val="20"/>
                <w:szCs w:val="20"/>
                <w:color w:val="auto"/>
              </w:rPr>
            </w:pPr>
            <w:r>
              <w:rPr>
                <w:rFonts w:ascii="Arial" w:cs="Arial" w:eastAsia="Arial" w:hAnsi="Arial"/>
                <w:sz w:val="15"/>
                <w:szCs w:val="15"/>
                <w:color w:val="auto"/>
                <w:w w:val="97"/>
              </w:rPr>
              <w:t>+4.5%</w:t>
            </w:r>
          </w:p>
        </w:tc>
      </w:tr>
      <w:tr>
        <w:trPr>
          <w:trHeight w:val="184"/>
        </w:trPr>
        <w:tc>
          <w:tcPr>
            <w:tcW w:w="3260" w:type="dxa"/>
            <w:vAlign w:val="bottom"/>
            <w:shd w:val="clear" w:color="auto" w:fill="D9D9D9"/>
          </w:tcPr>
          <w:p>
            <w:pPr>
              <w:spacing w:after="0"/>
              <w:rPr>
                <w:sz w:val="20"/>
                <w:szCs w:val="20"/>
                <w:color w:val="auto"/>
              </w:rPr>
            </w:pPr>
            <w:r>
              <w:rPr>
                <w:rFonts w:ascii="Arial" w:cs="Arial" w:eastAsia="Arial" w:hAnsi="Arial"/>
                <w:sz w:val="15"/>
                <w:szCs w:val="15"/>
                <w:color w:val="auto"/>
              </w:rPr>
              <w:t>Diluted net EPS</w:t>
            </w:r>
          </w:p>
        </w:tc>
        <w:tc>
          <w:tcPr>
            <w:tcW w:w="1480" w:type="dxa"/>
            <w:vAlign w:val="bottom"/>
            <w:shd w:val="clear" w:color="auto" w:fill="D9D9D9"/>
          </w:tcPr>
          <w:p>
            <w:pPr>
              <w:jc w:val="right"/>
              <w:ind w:right="66"/>
              <w:spacing w:after="0"/>
              <w:rPr>
                <w:sz w:val="20"/>
                <w:szCs w:val="20"/>
                <w:color w:val="auto"/>
              </w:rPr>
            </w:pPr>
            <w:r>
              <w:rPr>
                <w:rFonts w:ascii="Arial" w:cs="Arial" w:eastAsia="Arial" w:hAnsi="Arial"/>
                <w:sz w:val="15"/>
                <w:szCs w:val="15"/>
                <w:color w:val="auto"/>
              </w:rPr>
              <w:t>$</w:t>
            </w:r>
          </w:p>
        </w:tc>
        <w:tc>
          <w:tcPr>
            <w:tcW w:w="170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2.41</w:t>
            </w:r>
          </w:p>
        </w:tc>
        <w:tc>
          <w:tcPr>
            <w:tcW w:w="660" w:type="dxa"/>
            <w:vAlign w:val="bottom"/>
            <w:shd w:val="clear" w:color="auto" w:fill="D9D9D9"/>
          </w:tcPr>
          <w:p>
            <w:pPr>
              <w:jc w:val="right"/>
              <w:ind w:right="86"/>
              <w:spacing w:after="0"/>
              <w:rPr>
                <w:sz w:val="20"/>
                <w:szCs w:val="20"/>
                <w:color w:val="auto"/>
              </w:rPr>
            </w:pPr>
            <w:r>
              <w:rPr>
                <w:rFonts w:ascii="Arial" w:cs="Arial" w:eastAsia="Arial" w:hAnsi="Arial"/>
                <w:sz w:val="15"/>
                <w:szCs w:val="15"/>
                <w:color w:val="auto"/>
              </w:rPr>
              <w:t>$</w:t>
            </w:r>
          </w:p>
        </w:tc>
        <w:tc>
          <w:tcPr>
            <w:tcW w:w="1920" w:type="dxa"/>
            <w:vAlign w:val="bottom"/>
            <w:shd w:val="clear" w:color="auto" w:fill="D9D9D9"/>
          </w:tcPr>
          <w:p>
            <w:pPr>
              <w:jc w:val="right"/>
              <w:ind w:right="588"/>
              <w:spacing w:after="0"/>
              <w:rPr>
                <w:sz w:val="20"/>
                <w:szCs w:val="20"/>
                <w:color w:val="auto"/>
              </w:rPr>
            </w:pPr>
            <w:r>
              <w:rPr>
                <w:rFonts w:ascii="Arial" w:cs="Arial" w:eastAsia="Arial" w:hAnsi="Arial"/>
                <w:sz w:val="15"/>
                <w:szCs w:val="15"/>
                <w:color w:val="auto"/>
              </w:rPr>
              <w:t>2.50</w:t>
            </w:r>
          </w:p>
        </w:tc>
        <w:tc>
          <w:tcPr>
            <w:tcW w:w="240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w w:val="97"/>
              </w:rPr>
              <w:t>+3.7%</w:t>
            </w:r>
          </w:p>
        </w:tc>
      </w:tr>
      <w:tr>
        <w:trPr>
          <w:trHeight w:val="184"/>
        </w:trPr>
        <w:tc>
          <w:tcPr>
            <w:tcW w:w="3260" w:type="dxa"/>
            <w:vAlign w:val="bottom"/>
          </w:tcPr>
          <w:p>
            <w:pPr>
              <w:spacing w:after="0"/>
              <w:rPr>
                <w:sz w:val="20"/>
                <w:szCs w:val="20"/>
                <w:color w:val="auto"/>
              </w:rPr>
            </w:pPr>
            <w:r>
              <w:rPr>
                <w:rFonts w:ascii="Arial" w:cs="Arial" w:eastAsia="Arial" w:hAnsi="Arial"/>
                <w:sz w:val="15"/>
                <w:szCs w:val="15"/>
                <w:color w:val="auto"/>
              </w:rPr>
              <w:t>Corporate average net assets turns*</w:t>
            </w:r>
          </w:p>
        </w:tc>
        <w:tc>
          <w:tcPr>
            <w:tcW w:w="1480" w:type="dxa"/>
            <w:vAlign w:val="bottom"/>
          </w:tcPr>
          <w:p>
            <w:pPr>
              <w:spacing w:after="0"/>
              <w:rPr>
                <w:sz w:val="15"/>
                <w:szCs w:val="15"/>
                <w:color w:val="auto"/>
              </w:rPr>
            </w:pPr>
          </w:p>
        </w:tc>
        <w:tc>
          <w:tcPr>
            <w:tcW w:w="1700" w:type="dxa"/>
            <w:vAlign w:val="bottom"/>
          </w:tcPr>
          <w:p>
            <w:pPr>
              <w:jc w:val="right"/>
              <w:ind w:right="348"/>
              <w:spacing w:after="0"/>
              <w:rPr>
                <w:sz w:val="20"/>
                <w:szCs w:val="20"/>
                <w:color w:val="auto"/>
              </w:rPr>
            </w:pPr>
            <w:r>
              <w:rPr>
                <w:rFonts w:ascii="Arial" w:cs="Arial" w:eastAsia="Arial" w:hAnsi="Arial"/>
                <w:sz w:val="15"/>
                <w:szCs w:val="15"/>
                <w:color w:val="auto"/>
              </w:rPr>
              <w:t>2.3953</w:t>
            </w:r>
          </w:p>
        </w:tc>
        <w:tc>
          <w:tcPr>
            <w:tcW w:w="660" w:type="dxa"/>
            <w:vAlign w:val="bottom"/>
          </w:tcPr>
          <w:p>
            <w:pPr>
              <w:spacing w:after="0"/>
              <w:rPr>
                <w:sz w:val="15"/>
                <w:szCs w:val="15"/>
                <w:color w:val="auto"/>
              </w:rPr>
            </w:pPr>
          </w:p>
        </w:tc>
        <w:tc>
          <w:tcPr>
            <w:tcW w:w="1920" w:type="dxa"/>
            <w:vAlign w:val="bottom"/>
          </w:tcPr>
          <w:p>
            <w:pPr>
              <w:jc w:val="right"/>
              <w:ind w:right="588"/>
              <w:spacing w:after="0"/>
              <w:rPr>
                <w:sz w:val="20"/>
                <w:szCs w:val="20"/>
                <w:color w:val="auto"/>
              </w:rPr>
            </w:pPr>
            <w:r>
              <w:rPr>
                <w:rFonts w:ascii="Arial" w:cs="Arial" w:eastAsia="Arial" w:hAnsi="Arial"/>
                <w:sz w:val="15"/>
                <w:szCs w:val="15"/>
                <w:color w:val="auto"/>
              </w:rPr>
              <w:t>2.4442</w:t>
            </w:r>
          </w:p>
        </w:tc>
        <w:tc>
          <w:tcPr>
            <w:tcW w:w="2400" w:type="dxa"/>
            <w:vAlign w:val="bottom"/>
          </w:tcPr>
          <w:p>
            <w:pPr>
              <w:ind w:left="640"/>
              <w:spacing w:after="0"/>
              <w:rPr>
                <w:sz w:val="20"/>
                <w:szCs w:val="20"/>
                <w:color w:val="auto"/>
              </w:rPr>
            </w:pPr>
            <w:r>
              <w:rPr>
                <w:rFonts w:ascii="Arial" w:cs="Arial" w:eastAsia="Arial" w:hAnsi="Arial"/>
                <w:sz w:val="15"/>
                <w:szCs w:val="15"/>
                <w:color w:val="auto"/>
              </w:rPr>
              <w:t>Increase of 0.0467 points</w:t>
            </w:r>
          </w:p>
        </w:tc>
      </w:tr>
      <w:tr>
        <w:trPr>
          <w:trHeight w:val="184"/>
        </w:trPr>
        <w:tc>
          <w:tcPr>
            <w:tcW w:w="3260" w:type="dxa"/>
            <w:vAlign w:val="bottom"/>
            <w:shd w:val="clear" w:color="auto" w:fill="D9D9D9"/>
          </w:tcPr>
          <w:p>
            <w:pPr>
              <w:spacing w:after="0"/>
              <w:rPr>
                <w:sz w:val="20"/>
                <w:szCs w:val="20"/>
                <w:color w:val="auto"/>
              </w:rPr>
            </w:pPr>
            <w:r>
              <w:rPr>
                <w:rFonts w:ascii="Arial" w:cs="Arial" w:eastAsia="Arial" w:hAnsi="Arial"/>
                <w:sz w:val="15"/>
                <w:szCs w:val="15"/>
                <w:color w:val="auto"/>
              </w:rPr>
              <w:t>Quarterly cash dividend</w:t>
            </w:r>
          </w:p>
        </w:tc>
        <w:tc>
          <w:tcPr>
            <w:tcW w:w="1480" w:type="dxa"/>
            <w:vAlign w:val="bottom"/>
            <w:shd w:val="clear" w:color="auto" w:fill="D9D9D9"/>
          </w:tcPr>
          <w:p>
            <w:pPr>
              <w:jc w:val="right"/>
              <w:ind w:right="66"/>
              <w:spacing w:after="0"/>
              <w:rPr>
                <w:sz w:val="20"/>
                <w:szCs w:val="20"/>
                <w:color w:val="auto"/>
              </w:rPr>
            </w:pPr>
            <w:r>
              <w:rPr>
                <w:rFonts w:ascii="Arial" w:cs="Arial" w:eastAsia="Arial" w:hAnsi="Arial"/>
                <w:sz w:val="15"/>
                <w:szCs w:val="15"/>
                <w:color w:val="auto"/>
              </w:rPr>
              <w:t>$</w:t>
            </w:r>
          </w:p>
        </w:tc>
        <w:tc>
          <w:tcPr>
            <w:tcW w:w="170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0.175</w:t>
            </w:r>
          </w:p>
        </w:tc>
        <w:tc>
          <w:tcPr>
            <w:tcW w:w="660" w:type="dxa"/>
            <w:vAlign w:val="bottom"/>
            <w:shd w:val="clear" w:color="auto" w:fill="D9D9D9"/>
          </w:tcPr>
          <w:p>
            <w:pPr>
              <w:jc w:val="right"/>
              <w:ind w:right="86"/>
              <w:spacing w:after="0"/>
              <w:rPr>
                <w:sz w:val="20"/>
                <w:szCs w:val="20"/>
                <w:color w:val="auto"/>
              </w:rPr>
            </w:pPr>
            <w:r>
              <w:rPr>
                <w:rFonts w:ascii="Arial" w:cs="Arial" w:eastAsia="Arial" w:hAnsi="Arial"/>
                <w:sz w:val="15"/>
                <w:szCs w:val="15"/>
                <w:color w:val="auto"/>
              </w:rPr>
              <w:t>$</w:t>
            </w:r>
          </w:p>
        </w:tc>
        <w:tc>
          <w:tcPr>
            <w:tcW w:w="1920" w:type="dxa"/>
            <w:vAlign w:val="bottom"/>
            <w:shd w:val="clear" w:color="auto" w:fill="D9D9D9"/>
          </w:tcPr>
          <w:p>
            <w:pPr>
              <w:jc w:val="right"/>
              <w:ind w:right="588"/>
              <w:spacing w:after="0"/>
              <w:rPr>
                <w:sz w:val="20"/>
                <w:szCs w:val="20"/>
                <w:color w:val="auto"/>
              </w:rPr>
            </w:pPr>
            <w:r>
              <w:rPr>
                <w:rFonts w:ascii="Arial" w:cs="Arial" w:eastAsia="Arial" w:hAnsi="Arial"/>
                <w:sz w:val="15"/>
                <w:szCs w:val="15"/>
                <w:color w:val="auto"/>
              </w:rPr>
              <w:t>0.20</w:t>
            </w:r>
          </w:p>
        </w:tc>
        <w:tc>
          <w:tcPr>
            <w:tcW w:w="240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w w:val="97"/>
              </w:rPr>
              <w:t>+14.3%</w:t>
            </w:r>
          </w:p>
        </w:tc>
      </w:tr>
      <w:tr>
        <w:trPr>
          <w:trHeight w:val="98"/>
        </w:trPr>
        <w:tc>
          <w:tcPr>
            <w:tcW w:w="3260" w:type="dxa"/>
            <w:vAlign w:val="bottom"/>
            <w:tcBorders>
              <w:bottom w:val="single" w:sz="8" w:color="C00000"/>
            </w:tcBorders>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0" w:type="dxa"/>
            <w:vAlign w:val="bottom"/>
          </w:tcPr>
          <w:p>
            <w:pPr>
              <w:spacing w:after="0"/>
              <w:rPr>
                <w:sz w:val="8"/>
                <w:szCs w:val="8"/>
                <w:color w:val="auto"/>
              </w:rPr>
            </w:pPr>
          </w:p>
        </w:tc>
      </w:tr>
    </w:tbl>
    <w:p>
      <w:pPr>
        <w:spacing w:after="0" w:line="97" w:lineRule="exact"/>
        <w:rPr>
          <w:sz w:val="20"/>
          <w:szCs w:val="20"/>
          <w:color w:val="auto"/>
        </w:rPr>
      </w:pPr>
    </w:p>
    <w:p>
      <w:pPr>
        <w:ind w:left="202" w:right="160" w:hanging="202"/>
        <w:spacing w:after="0" w:line="247" w:lineRule="auto"/>
        <w:tabs>
          <w:tab w:leader="none" w:pos="2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Corporate average net asset turns is defined as total cost of goods sold divided by the twelve month average of net assets less the twelve month average of cash and cash equivalents. Net assets is defined as the fiscal year monthly average of total assets less accounts payables, accrued liabilities, income taxes and other long-term liabilities.</w:t>
      </w:r>
    </w:p>
    <w:p>
      <w:pPr>
        <w:spacing w:after="0" w:line="81" w:lineRule="exact"/>
        <w:rPr>
          <w:sz w:val="20"/>
          <w:szCs w:val="20"/>
          <w:color w:val="auto"/>
        </w:rPr>
      </w:pPr>
    </w:p>
    <w:p>
      <w:pPr>
        <w:ind w:left="2" w:right="260" w:firstLine="408"/>
        <w:spacing w:after="0" w:line="247" w:lineRule="auto"/>
        <w:rPr>
          <w:sz w:val="20"/>
          <w:szCs w:val="20"/>
          <w:color w:val="auto"/>
        </w:rPr>
      </w:pPr>
      <w:r>
        <w:rPr>
          <w:rFonts w:ascii="Arial" w:cs="Arial" w:eastAsia="Arial" w:hAnsi="Arial"/>
          <w:sz w:val="16"/>
          <w:szCs w:val="16"/>
          <w:color w:val="auto"/>
        </w:rPr>
        <w:t>Diluted net earnings per share was significantly impacted by the enactment of U.S. Tax Reform during fiscal 2018. Additionally, during fiscal 2018, we returned just over $245 million to shareholders through the payment of approximately $85 million in dividends and the repurchase of approximately $160 million of our common stock.</w:t>
      </w:r>
    </w:p>
    <w:p>
      <w:pPr>
        <w:spacing w:after="0" w:line="61" w:lineRule="exact"/>
        <w:rPr>
          <w:sz w:val="20"/>
          <w:szCs w:val="20"/>
          <w:color w:val="auto"/>
        </w:rPr>
      </w:pPr>
    </w:p>
    <w:p>
      <w:pPr>
        <w:ind w:left="2" w:right="180" w:firstLine="408"/>
        <w:spacing w:after="0" w:line="260" w:lineRule="auto"/>
        <w:rPr>
          <w:sz w:val="20"/>
          <w:szCs w:val="20"/>
          <w:color w:val="auto"/>
        </w:rPr>
      </w:pPr>
      <w:r>
        <w:rPr>
          <w:rFonts w:ascii="Arial" w:cs="Arial" w:eastAsia="Arial" w:hAnsi="Arial"/>
          <w:sz w:val="16"/>
          <w:szCs w:val="16"/>
          <w:b w:val="1"/>
          <w:bCs w:val="1"/>
          <w:i w:val="1"/>
          <w:iCs w:val="1"/>
          <w:color w:val="auto"/>
        </w:rPr>
        <w:t xml:space="preserve">Impact on Annual Cash Incentives. </w:t>
      </w:r>
      <w:r>
        <w:rPr>
          <w:rFonts w:ascii="Arial" w:cs="Arial" w:eastAsia="Arial" w:hAnsi="Arial"/>
          <w:sz w:val="16"/>
          <w:szCs w:val="16"/>
          <w:color w:val="auto"/>
        </w:rPr>
        <w:t>As described in more detail under “Annual Cash Incentives” beginning on page 34, our fiscal 2018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(reflective of adjustments made based on defined adjustment events) as compared to the corporate performance measures established for the fiscal 2018 annual cash incentive awards, is indicated in the table below with the resulting corporate performance payout of 95.46% of target:</w:t>
      </w:r>
    </w:p>
    <w:p>
      <w:pPr>
        <w:spacing w:after="0" w:line="8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3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Corporate:</w:t>
            </w:r>
          </w:p>
        </w:tc>
        <w:tc>
          <w:tcPr>
            <w:tcW w:w="2140" w:type="dxa"/>
            <w:vAlign w:val="bottom"/>
            <w:shd w:val="clear" w:color="auto" w:fill="C00000"/>
          </w:tcPr>
          <w:p>
            <w:pPr>
              <w:jc w:val="center"/>
              <w:ind w:left="695"/>
              <w:spacing w:after="0"/>
              <w:rPr>
                <w:sz w:val="20"/>
                <w:szCs w:val="20"/>
                <w:color w:val="auto"/>
              </w:rPr>
            </w:pPr>
            <w:r>
              <w:rPr>
                <w:rFonts w:ascii="Arial" w:cs="Arial" w:eastAsia="Arial" w:hAnsi="Arial"/>
                <w:sz w:val="13"/>
                <w:szCs w:val="13"/>
                <w:b w:val="1"/>
                <w:bCs w:val="1"/>
                <w:color w:val="FFFFFF"/>
                <w:w w:val="98"/>
              </w:rPr>
              <w:t>Threshold</w:t>
            </w:r>
          </w:p>
        </w:tc>
        <w:tc>
          <w:tcPr>
            <w:tcW w:w="148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640" w:type="dxa"/>
            <w:vAlign w:val="bottom"/>
            <w:shd w:val="clear" w:color="auto" w:fill="C00000"/>
          </w:tcPr>
          <w:p>
            <w:pPr>
              <w:jc w:val="center"/>
              <w:ind w:right="135"/>
              <w:spacing w:after="0"/>
              <w:rPr>
                <w:sz w:val="20"/>
                <w:szCs w:val="20"/>
                <w:color w:val="auto"/>
              </w:rPr>
            </w:pPr>
            <w:r>
              <w:rPr>
                <w:rFonts w:ascii="Arial" w:cs="Arial" w:eastAsia="Arial" w:hAnsi="Arial"/>
                <w:sz w:val="13"/>
                <w:szCs w:val="13"/>
                <w:b w:val="1"/>
                <w:bCs w:val="1"/>
                <w:color w:val="FFFFFF"/>
                <w:w w:val="99"/>
              </w:rPr>
              <w:t>Maximum</w:t>
            </w:r>
          </w:p>
        </w:tc>
        <w:tc>
          <w:tcPr>
            <w:tcW w:w="2800" w:type="dxa"/>
            <w:vAlign w:val="bottom"/>
            <w:shd w:val="clear" w:color="auto" w:fill="C00000"/>
          </w:tcPr>
          <w:p>
            <w:pPr>
              <w:spacing w:after="0"/>
              <w:rPr>
                <w:sz w:val="12"/>
                <w:szCs w:val="12"/>
                <w:color w:val="auto"/>
              </w:rPr>
            </w:pPr>
          </w:p>
        </w:tc>
      </w:tr>
      <w:tr>
        <w:trPr>
          <w:trHeight w:val="159"/>
        </w:trPr>
        <w:tc>
          <w:tcPr>
            <w:tcW w:w="33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Fiscal 2018 Performance Measures</w:t>
            </w:r>
          </w:p>
        </w:tc>
        <w:tc>
          <w:tcPr>
            <w:tcW w:w="2140" w:type="dxa"/>
            <w:vAlign w:val="bottom"/>
            <w:shd w:val="clear" w:color="auto" w:fill="C00000"/>
          </w:tcPr>
          <w:p>
            <w:pPr>
              <w:jc w:val="center"/>
              <w:ind w:left="695"/>
              <w:spacing w:after="0"/>
              <w:rPr>
                <w:sz w:val="20"/>
                <w:szCs w:val="20"/>
                <w:color w:val="auto"/>
              </w:rPr>
            </w:pPr>
            <w:r>
              <w:rPr>
                <w:rFonts w:ascii="Arial" w:cs="Arial" w:eastAsia="Arial" w:hAnsi="Arial"/>
                <w:sz w:val="13"/>
                <w:szCs w:val="13"/>
                <w:b w:val="1"/>
                <w:bCs w:val="1"/>
                <w:color w:val="FFFFFF"/>
              </w:rPr>
              <w:t>(40% payout)</w:t>
            </w:r>
          </w:p>
        </w:tc>
        <w:tc>
          <w:tcPr>
            <w:tcW w:w="148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9"/>
              </w:rPr>
              <w:t>(100% payout)</w:t>
            </w:r>
          </w:p>
        </w:tc>
        <w:tc>
          <w:tcPr>
            <w:tcW w:w="1640" w:type="dxa"/>
            <w:vAlign w:val="bottom"/>
            <w:shd w:val="clear" w:color="auto" w:fill="C00000"/>
          </w:tcPr>
          <w:p>
            <w:pPr>
              <w:jc w:val="center"/>
              <w:ind w:right="135"/>
              <w:spacing w:after="0"/>
              <w:rPr>
                <w:sz w:val="20"/>
                <w:szCs w:val="20"/>
                <w:color w:val="auto"/>
              </w:rPr>
            </w:pPr>
            <w:r>
              <w:rPr>
                <w:rFonts w:ascii="Arial" w:cs="Arial" w:eastAsia="Arial" w:hAnsi="Arial"/>
                <w:sz w:val="13"/>
                <w:szCs w:val="13"/>
                <w:b w:val="1"/>
                <w:bCs w:val="1"/>
                <w:color w:val="FFFFFF"/>
                <w:w w:val="99"/>
              </w:rPr>
              <w:t>(200% payout)</w:t>
            </w:r>
          </w:p>
        </w:tc>
        <w:tc>
          <w:tcPr>
            <w:tcW w:w="2800" w:type="dxa"/>
            <w:vAlign w:val="bottom"/>
            <w:shd w:val="clear" w:color="auto" w:fill="C00000"/>
          </w:tcPr>
          <w:p>
            <w:pPr>
              <w:jc w:val="center"/>
              <w:ind w:right="15"/>
              <w:spacing w:after="0"/>
              <w:rPr>
                <w:sz w:val="20"/>
                <w:szCs w:val="20"/>
                <w:color w:val="auto"/>
              </w:rPr>
            </w:pPr>
            <w:r>
              <w:rPr>
                <w:rFonts w:ascii="Arial" w:cs="Arial" w:eastAsia="Arial" w:hAnsi="Arial"/>
                <w:sz w:val="13"/>
                <w:szCs w:val="13"/>
                <w:b w:val="1"/>
                <w:bCs w:val="1"/>
                <w:color w:val="FFFFFF"/>
              </w:rPr>
              <w:t>Actual</w:t>
            </w:r>
          </w:p>
        </w:tc>
      </w:tr>
      <w:tr>
        <w:trPr>
          <w:trHeight w:val="164"/>
        </w:trPr>
        <w:tc>
          <w:tcPr>
            <w:tcW w:w="3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jc w:val="center"/>
              <w:ind w:right="15"/>
              <w:spacing w:after="0"/>
              <w:rPr>
                <w:sz w:val="20"/>
                <w:szCs w:val="20"/>
                <w:color w:val="auto"/>
              </w:rPr>
            </w:pPr>
            <w:r>
              <w:rPr>
                <w:rFonts w:ascii="Arial" w:cs="Arial" w:eastAsia="Arial" w:hAnsi="Arial"/>
                <w:sz w:val="13"/>
                <w:szCs w:val="13"/>
                <w:color w:val="auto"/>
                <w:w w:val="98"/>
              </w:rPr>
              <w:t>$2.50</w:t>
            </w:r>
          </w:p>
        </w:tc>
      </w:tr>
      <w:tr>
        <w:trPr>
          <w:trHeight w:val="143"/>
        </w:trPr>
        <w:tc>
          <w:tcPr>
            <w:tcW w:w="3360" w:type="dxa"/>
            <w:vAlign w:val="bottom"/>
          </w:tcPr>
          <w:p>
            <w:pPr>
              <w:spacing w:after="0" w:line="143" w:lineRule="exact"/>
              <w:rPr>
                <w:sz w:val="20"/>
                <w:szCs w:val="20"/>
                <w:color w:val="auto"/>
              </w:rPr>
            </w:pPr>
            <w:r>
              <w:rPr>
                <w:rFonts w:ascii="Arial" w:cs="Arial" w:eastAsia="Arial" w:hAnsi="Arial"/>
                <w:sz w:val="13"/>
                <w:szCs w:val="13"/>
                <w:color w:val="auto"/>
              </w:rPr>
              <w:t>50% diluted net EPS</w:t>
            </w:r>
          </w:p>
        </w:tc>
        <w:tc>
          <w:tcPr>
            <w:tcW w:w="2140" w:type="dxa"/>
            <w:vAlign w:val="bottom"/>
          </w:tcPr>
          <w:p>
            <w:pPr>
              <w:jc w:val="center"/>
              <w:ind w:left="695"/>
              <w:spacing w:after="0" w:line="143" w:lineRule="exact"/>
              <w:rPr>
                <w:sz w:val="20"/>
                <w:szCs w:val="20"/>
                <w:color w:val="auto"/>
              </w:rPr>
            </w:pPr>
            <w:r>
              <w:rPr>
                <w:rFonts w:ascii="Arial" w:cs="Arial" w:eastAsia="Arial" w:hAnsi="Arial"/>
                <w:sz w:val="13"/>
                <w:szCs w:val="13"/>
                <w:color w:val="auto"/>
              </w:rPr>
              <w:t>$2.05</w:t>
            </w:r>
          </w:p>
        </w:tc>
        <w:tc>
          <w:tcPr>
            <w:tcW w:w="1480" w:type="dxa"/>
            <w:vAlign w:val="bottom"/>
          </w:tcPr>
          <w:p>
            <w:pPr>
              <w:jc w:val="center"/>
              <w:spacing w:after="0" w:line="143" w:lineRule="exact"/>
              <w:rPr>
                <w:sz w:val="20"/>
                <w:szCs w:val="20"/>
                <w:color w:val="auto"/>
              </w:rPr>
            </w:pPr>
            <w:r>
              <w:rPr>
                <w:rFonts w:ascii="Arial" w:cs="Arial" w:eastAsia="Arial" w:hAnsi="Arial"/>
                <w:sz w:val="13"/>
                <w:szCs w:val="13"/>
                <w:color w:val="auto"/>
              </w:rPr>
              <w:t>$2.56</w:t>
            </w:r>
          </w:p>
        </w:tc>
        <w:tc>
          <w:tcPr>
            <w:tcW w:w="1640" w:type="dxa"/>
            <w:vAlign w:val="bottom"/>
          </w:tcPr>
          <w:p>
            <w:pPr>
              <w:jc w:val="center"/>
              <w:ind w:right="135"/>
              <w:spacing w:after="0" w:line="143" w:lineRule="exact"/>
              <w:rPr>
                <w:sz w:val="20"/>
                <w:szCs w:val="20"/>
                <w:color w:val="auto"/>
              </w:rPr>
            </w:pPr>
            <w:r>
              <w:rPr>
                <w:rFonts w:ascii="Arial" w:cs="Arial" w:eastAsia="Arial" w:hAnsi="Arial"/>
                <w:sz w:val="13"/>
                <w:szCs w:val="13"/>
                <w:color w:val="auto"/>
                <w:w w:val="98"/>
              </w:rPr>
              <w:t>$3.07</w:t>
            </w:r>
          </w:p>
        </w:tc>
        <w:tc>
          <w:tcPr>
            <w:tcW w:w="2800" w:type="dxa"/>
            <w:vAlign w:val="bottom"/>
          </w:tcPr>
          <w:p>
            <w:pPr>
              <w:jc w:val="center"/>
              <w:spacing w:after="0" w:line="143" w:lineRule="exact"/>
              <w:rPr>
                <w:sz w:val="20"/>
                <w:szCs w:val="20"/>
                <w:color w:val="auto"/>
              </w:rPr>
            </w:pPr>
            <w:r>
              <w:rPr>
                <w:rFonts w:ascii="Arial" w:cs="Arial" w:eastAsia="Arial" w:hAnsi="Arial"/>
                <w:sz w:val="13"/>
                <w:szCs w:val="13"/>
                <w:color w:val="auto"/>
              </w:rPr>
              <w:t>(between threshold and target)</w:t>
            </w:r>
          </w:p>
        </w:tc>
      </w:tr>
      <w:tr>
        <w:trPr>
          <w:trHeight w:val="164"/>
        </w:trPr>
        <w:tc>
          <w:tcPr>
            <w:tcW w:w="3360" w:type="dxa"/>
            <w:vAlign w:val="bottom"/>
            <w:shd w:val="clear" w:color="auto" w:fill="D9D9D9"/>
          </w:tcPr>
          <w:p>
            <w:pPr>
              <w:spacing w:after="0"/>
              <w:rPr>
                <w:sz w:val="14"/>
                <w:szCs w:val="14"/>
                <w:color w:val="auto"/>
              </w:rPr>
            </w:pPr>
          </w:p>
        </w:tc>
        <w:tc>
          <w:tcPr>
            <w:tcW w:w="2140" w:type="dxa"/>
            <w:vAlign w:val="bottom"/>
            <w:shd w:val="clear" w:color="auto" w:fill="D9D9D9"/>
          </w:tcPr>
          <w:p>
            <w:pPr>
              <w:spacing w:after="0"/>
              <w:rPr>
                <w:sz w:val="14"/>
                <w:szCs w:val="14"/>
                <w:color w:val="auto"/>
              </w:rPr>
            </w:pPr>
          </w:p>
        </w:tc>
        <w:tc>
          <w:tcPr>
            <w:tcW w:w="1480" w:type="dxa"/>
            <w:vAlign w:val="bottom"/>
            <w:shd w:val="clear" w:color="auto" w:fill="D9D9D9"/>
          </w:tcPr>
          <w:p>
            <w:pPr>
              <w:spacing w:after="0"/>
              <w:rPr>
                <w:sz w:val="14"/>
                <w:szCs w:val="14"/>
                <w:color w:val="auto"/>
              </w:rPr>
            </w:pPr>
          </w:p>
        </w:tc>
        <w:tc>
          <w:tcPr>
            <w:tcW w:w="1640" w:type="dxa"/>
            <w:vAlign w:val="bottom"/>
            <w:shd w:val="clear" w:color="auto" w:fill="D9D9D9"/>
          </w:tcPr>
          <w:p>
            <w:pPr>
              <w:spacing w:after="0"/>
              <w:rPr>
                <w:sz w:val="14"/>
                <w:szCs w:val="14"/>
                <w:color w:val="auto"/>
              </w:rPr>
            </w:pPr>
          </w:p>
        </w:tc>
        <w:tc>
          <w:tcPr>
            <w:tcW w:w="2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3.9%</w:t>
            </w:r>
          </w:p>
        </w:tc>
      </w:tr>
      <w:tr>
        <w:trPr>
          <w:trHeight w:val="143"/>
        </w:trPr>
        <w:tc>
          <w:tcPr>
            <w:tcW w:w="3360" w:type="dxa"/>
            <w:vAlign w:val="bottom"/>
            <w:shd w:val="clear" w:color="auto" w:fill="D9D9D9"/>
          </w:tcPr>
          <w:p>
            <w:pPr>
              <w:spacing w:after="0" w:line="143" w:lineRule="exact"/>
              <w:rPr>
                <w:sz w:val="20"/>
                <w:szCs w:val="20"/>
                <w:color w:val="auto"/>
              </w:rPr>
            </w:pPr>
            <w:r>
              <w:rPr>
                <w:rFonts w:ascii="Arial" w:cs="Arial" w:eastAsia="Arial" w:hAnsi="Arial"/>
                <w:sz w:val="13"/>
                <w:szCs w:val="13"/>
                <w:color w:val="auto"/>
              </w:rPr>
              <w:t>30% corporate revenue growth</w:t>
            </w:r>
          </w:p>
        </w:tc>
        <w:tc>
          <w:tcPr>
            <w:tcW w:w="2140" w:type="dxa"/>
            <w:vAlign w:val="bottom"/>
            <w:shd w:val="clear" w:color="auto" w:fill="D9D9D9"/>
          </w:tcPr>
          <w:p>
            <w:pPr>
              <w:jc w:val="center"/>
              <w:ind w:left="695"/>
              <w:spacing w:after="0" w:line="143" w:lineRule="exact"/>
              <w:rPr>
                <w:sz w:val="20"/>
                <w:szCs w:val="20"/>
                <w:color w:val="auto"/>
              </w:rPr>
            </w:pPr>
            <w:r>
              <w:rPr>
                <w:rFonts w:ascii="Arial" w:cs="Arial" w:eastAsia="Arial" w:hAnsi="Arial"/>
                <w:sz w:val="13"/>
                <w:szCs w:val="13"/>
                <w:color w:val="auto"/>
              </w:rPr>
              <w:t>2.6%</w:t>
            </w:r>
          </w:p>
        </w:tc>
        <w:tc>
          <w:tcPr>
            <w:tcW w:w="1480" w:type="dxa"/>
            <w:vAlign w:val="bottom"/>
            <w:shd w:val="clear" w:color="auto" w:fill="D9D9D9"/>
          </w:tcPr>
          <w:p>
            <w:pPr>
              <w:jc w:val="center"/>
              <w:spacing w:after="0" w:line="143" w:lineRule="exact"/>
              <w:rPr>
                <w:sz w:val="20"/>
                <w:szCs w:val="20"/>
                <w:color w:val="auto"/>
              </w:rPr>
            </w:pPr>
            <w:r>
              <w:rPr>
                <w:rFonts w:ascii="Arial" w:cs="Arial" w:eastAsia="Arial" w:hAnsi="Arial"/>
                <w:sz w:val="13"/>
                <w:szCs w:val="13"/>
                <w:color w:val="auto"/>
                <w:w w:val="98"/>
              </w:rPr>
              <w:t>4.6% - 5.6%</w:t>
            </w:r>
          </w:p>
        </w:tc>
        <w:tc>
          <w:tcPr>
            <w:tcW w:w="1640" w:type="dxa"/>
            <w:vAlign w:val="bottom"/>
            <w:shd w:val="clear" w:color="auto" w:fill="D9D9D9"/>
          </w:tcPr>
          <w:p>
            <w:pPr>
              <w:jc w:val="center"/>
              <w:ind w:right="115"/>
              <w:spacing w:after="0" w:line="143" w:lineRule="exact"/>
              <w:rPr>
                <w:sz w:val="20"/>
                <w:szCs w:val="20"/>
                <w:color w:val="auto"/>
              </w:rPr>
            </w:pPr>
            <w:r>
              <w:rPr>
                <w:rFonts w:ascii="Arial" w:cs="Arial" w:eastAsia="Arial" w:hAnsi="Arial"/>
                <w:sz w:val="13"/>
                <w:szCs w:val="13"/>
                <w:color w:val="auto"/>
              </w:rPr>
              <w:t>7.6%</w:t>
            </w:r>
          </w:p>
        </w:tc>
        <w:tc>
          <w:tcPr>
            <w:tcW w:w="2800" w:type="dxa"/>
            <w:vAlign w:val="bottom"/>
            <w:shd w:val="clear" w:color="auto" w:fill="D9D9D9"/>
          </w:tcPr>
          <w:p>
            <w:pPr>
              <w:jc w:val="center"/>
              <w:spacing w:after="0" w:line="143" w:lineRule="exact"/>
              <w:rPr>
                <w:sz w:val="20"/>
                <w:szCs w:val="20"/>
                <w:color w:val="auto"/>
              </w:rPr>
            </w:pPr>
            <w:r>
              <w:rPr>
                <w:rFonts w:ascii="Arial" w:cs="Arial" w:eastAsia="Arial" w:hAnsi="Arial"/>
                <w:sz w:val="13"/>
                <w:szCs w:val="13"/>
                <w:color w:val="auto"/>
              </w:rPr>
              <w:t>(between threshold and target)</w:t>
            </w:r>
          </w:p>
        </w:tc>
      </w:tr>
      <w:tr>
        <w:trPr>
          <w:trHeight w:val="164"/>
        </w:trPr>
        <w:tc>
          <w:tcPr>
            <w:tcW w:w="3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jc w:val="center"/>
              <w:ind w:right="15"/>
              <w:spacing w:after="0"/>
              <w:rPr>
                <w:sz w:val="20"/>
                <w:szCs w:val="20"/>
                <w:color w:val="auto"/>
              </w:rPr>
            </w:pPr>
            <w:r>
              <w:rPr>
                <w:rFonts w:ascii="Arial" w:cs="Arial" w:eastAsia="Arial" w:hAnsi="Arial"/>
                <w:sz w:val="13"/>
                <w:szCs w:val="13"/>
                <w:color w:val="auto"/>
              </w:rPr>
              <w:t>2.4442</w:t>
            </w:r>
          </w:p>
        </w:tc>
      </w:tr>
      <w:tr>
        <w:trPr>
          <w:trHeight w:val="143"/>
        </w:trPr>
        <w:tc>
          <w:tcPr>
            <w:tcW w:w="3360" w:type="dxa"/>
            <w:vAlign w:val="bottom"/>
          </w:tcPr>
          <w:p>
            <w:pPr>
              <w:spacing w:after="0" w:line="143" w:lineRule="exact"/>
              <w:rPr>
                <w:sz w:val="20"/>
                <w:szCs w:val="20"/>
                <w:color w:val="auto"/>
              </w:rPr>
            </w:pPr>
            <w:r>
              <w:rPr>
                <w:rFonts w:ascii="Arial" w:cs="Arial" w:eastAsia="Arial" w:hAnsi="Arial"/>
                <w:sz w:val="13"/>
                <w:szCs w:val="13"/>
                <w:color w:val="auto"/>
              </w:rPr>
              <w:t>20% corporate average net assets turns</w:t>
            </w:r>
          </w:p>
        </w:tc>
        <w:tc>
          <w:tcPr>
            <w:tcW w:w="2140" w:type="dxa"/>
            <w:vAlign w:val="bottom"/>
          </w:tcPr>
          <w:p>
            <w:pPr>
              <w:jc w:val="center"/>
              <w:ind w:left="695"/>
              <w:spacing w:after="0" w:line="143" w:lineRule="exact"/>
              <w:rPr>
                <w:sz w:val="20"/>
                <w:szCs w:val="20"/>
                <w:color w:val="auto"/>
              </w:rPr>
            </w:pPr>
            <w:r>
              <w:rPr>
                <w:rFonts w:ascii="Arial" w:cs="Arial" w:eastAsia="Arial" w:hAnsi="Arial"/>
                <w:sz w:val="13"/>
                <w:szCs w:val="13"/>
                <w:color w:val="auto"/>
                <w:w w:val="97"/>
              </w:rPr>
              <w:t>1.99903</w:t>
            </w:r>
          </w:p>
        </w:tc>
        <w:tc>
          <w:tcPr>
            <w:tcW w:w="1480" w:type="dxa"/>
            <w:vAlign w:val="bottom"/>
          </w:tcPr>
          <w:p>
            <w:pPr>
              <w:jc w:val="center"/>
              <w:spacing w:after="0" w:line="143" w:lineRule="exact"/>
              <w:rPr>
                <w:sz w:val="20"/>
                <w:szCs w:val="20"/>
                <w:color w:val="auto"/>
              </w:rPr>
            </w:pPr>
            <w:r>
              <w:rPr>
                <w:rFonts w:ascii="Arial" w:cs="Arial" w:eastAsia="Arial" w:hAnsi="Arial"/>
                <w:sz w:val="13"/>
                <w:szCs w:val="13"/>
                <w:color w:val="auto"/>
              </w:rPr>
              <w:t>2.3518</w:t>
            </w:r>
          </w:p>
        </w:tc>
        <w:tc>
          <w:tcPr>
            <w:tcW w:w="1640" w:type="dxa"/>
            <w:vAlign w:val="bottom"/>
          </w:tcPr>
          <w:p>
            <w:pPr>
              <w:jc w:val="center"/>
              <w:ind w:right="135"/>
              <w:spacing w:after="0" w:line="143" w:lineRule="exact"/>
              <w:rPr>
                <w:sz w:val="20"/>
                <w:szCs w:val="20"/>
                <w:color w:val="auto"/>
              </w:rPr>
            </w:pPr>
            <w:r>
              <w:rPr>
                <w:rFonts w:ascii="Arial" w:cs="Arial" w:eastAsia="Arial" w:hAnsi="Arial"/>
                <w:sz w:val="13"/>
                <w:szCs w:val="13"/>
                <w:color w:val="auto"/>
              </w:rPr>
              <w:t>2.70457</w:t>
            </w:r>
          </w:p>
        </w:tc>
        <w:tc>
          <w:tcPr>
            <w:tcW w:w="2800" w:type="dxa"/>
            <w:vAlign w:val="bottom"/>
          </w:tcPr>
          <w:p>
            <w:pPr>
              <w:jc w:val="center"/>
              <w:ind w:right="15"/>
              <w:spacing w:after="0" w:line="143" w:lineRule="exact"/>
              <w:rPr>
                <w:sz w:val="20"/>
                <w:szCs w:val="20"/>
                <w:color w:val="auto"/>
              </w:rPr>
            </w:pPr>
            <w:r>
              <w:rPr>
                <w:rFonts w:ascii="Arial" w:cs="Arial" w:eastAsia="Arial" w:hAnsi="Arial"/>
                <w:sz w:val="13"/>
                <w:szCs w:val="13"/>
                <w:color w:val="auto"/>
              </w:rPr>
              <w:t>(between target and maximum)</w:t>
            </w:r>
          </w:p>
        </w:tc>
      </w:tr>
      <w:tr>
        <w:trPr>
          <w:trHeight w:val="208"/>
        </w:trPr>
        <w:tc>
          <w:tcPr>
            <w:tcW w:w="336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Corporate performance payout</w:t>
            </w:r>
          </w:p>
        </w:tc>
        <w:tc>
          <w:tcPr>
            <w:tcW w:w="2140" w:type="dxa"/>
            <w:vAlign w:val="bottom"/>
            <w:shd w:val="clear" w:color="auto" w:fill="D9D9D9"/>
          </w:tcPr>
          <w:p>
            <w:pPr>
              <w:spacing w:after="0"/>
              <w:rPr>
                <w:sz w:val="18"/>
                <w:szCs w:val="18"/>
                <w:color w:val="auto"/>
              </w:rPr>
            </w:pPr>
          </w:p>
        </w:tc>
        <w:tc>
          <w:tcPr>
            <w:tcW w:w="1480" w:type="dxa"/>
            <w:vAlign w:val="bottom"/>
            <w:shd w:val="clear" w:color="auto" w:fill="D9D9D9"/>
          </w:tcPr>
          <w:p>
            <w:pPr>
              <w:spacing w:after="0"/>
              <w:rPr>
                <w:sz w:val="18"/>
                <w:szCs w:val="18"/>
                <w:color w:val="auto"/>
              </w:rPr>
            </w:pPr>
          </w:p>
        </w:tc>
        <w:tc>
          <w:tcPr>
            <w:tcW w:w="1640" w:type="dxa"/>
            <w:vAlign w:val="bottom"/>
            <w:shd w:val="clear" w:color="auto" w:fill="D9D9D9"/>
          </w:tcPr>
          <w:p>
            <w:pPr>
              <w:spacing w:after="0"/>
              <w:rPr>
                <w:sz w:val="18"/>
                <w:szCs w:val="18"/>
                <w:color w:val="auto"/>
              </w:rPr>
            </w:pPr>
          </w:p>
        </w:tc>
        <w:tc>
          <w:tcPr>
            <w:tcW w:w="2800" w:type="dxa"/>
            <w:vAlign w:val="bottom"/>
            <w:shd w:val="clear" w:color="auto" w:fill="D9D9D9"/>
          </w:tcPr>
          <w:p>
            <w:pPr>
              <w:jc w:val="center"/>
              <w:ind w:right="15"/>
              <w:spacing w:after="0"/>
              <w:rPr>
                <w:sz w:val="20"/>
                <w:szCs w:val="20"/>
                <w:color w:val="auto"/>
              </w:rPr>
            </w:pPr>
            <w:r>
              <w:rPr>
                <w:rFonts w:ascii="Arial" w:cs="Arial" w:eastAsia="Arial" w:hAnsi="Arial"/>
                <w:sz w:val="13"/>
                <w:szCs w:val="13"/>
                <w:b w:val="1"/>
                <w:bCs w:val="1"/>
                <w:color w:val="auto"/>
              </w:rPr>
              <w:t>95.46% of target</w:t>
            </w:r>
          </w:p>
        </w:tc>
      </w:tr>
    </w:tbl>
    <w:p>
      <w:pPr>
        <w:spacing w:after="0" w:line="3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7" w:lineRule="exact"/>
        <w:rPr>
          <w:sz w:val="20"/>
          <w:szCs w:val="20"/>
          <w:color w:val="auto"/>
        </w:rPr>
      </w:pPr>
    </w:p>
    <w:p>
      <w:pPr>
        <w:ind w:right="80" w:firstLine="408"/>
        <w:spacing w:after="0" w:line="253" w:lineRule="auto"/>
        <w:rPr>
          <w:sz w:val="20"/>
          <w:szCs w:val="20"/>
          <w:color w:val="auto"/>
        </w:rPr>
      </w:pPr>
      <w:r>
        <w:rPr>
          <w:rFonts w:ascii="Arial" w:cs="Arial" w:eastAsia="Arial" w:hAnsi="Arial"/>
          <w:sz w:val="16"/>
          <w:szCs w:val="16"/>
          <w:b w:val="1"/>
          <w:bCs w:val="1"/>
          <w:i w:val="1"/>
          <w:iCs w:val="1"/>
          <w:color w:val="auto"/>
        </w:rPr>
        <w:t xml:space="preserve">Impact on Long-Term Incentives. </w:t>
      </w:r>
      <w:r>
        <w:rPr>
          <w:rFonts w:ascii="Arial" w:cs="Arial" w:eastAsia="Arial" w:hAnsi="Arial"/>
          <w:sz w:val="16"/>
          <w:szCs w:val="16"/>
          <w:color w:val="auto"/>
        </w:rPr>
        <w:t>As described in more detail under “Long-Term Incentives—Performance Measures for the Performance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Ending in Fiscal 2018” beginning on page 40, the three-year cumulative corporate performance for fiscal 2016 to fiscal 2018 as compared to the cumulative corporate performance measures established for the fiscal 2016 to fiscal 2018 performance period, is indicated in the table below, with the resulting payout of 118.03% of target:</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4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Fiscal 2016 to Fiscal 2018</w:t>
            </w:r>
          </w:p>
        </w:tc>
        <w:tc>
          <w:tcPr>
            <w:tcW w:w="360" w:type="dxa"/>
            <w:vAlign w:val="bottom"/>
            <w:shd w:val="clear" w:color="auto" w:fill="C00000"/>
          </w:tcPr>
          <w:p>
            <w:pPr>
              <w:spacing w:after="0"/>
              <w:rPr>
                <w:sz w:val="13"/>
                <w:szCs w:val="13"/>
                <w:color w:val="auto"/>
              </w:rPr>
            </w:pPr>
          </w:p>
        </w:tc>
        <w:tc>
          <w:tcPr>
            <w:tcW w:w="1180" w:type="dxa"/>
            <w:vAlign w:val="bottom"/>
            <w:shd w:val="clear" w:color="auto" w:fill="C00000"/>
          </w:tcPr>
          <w:p>
            <w:pPr>
              <w:jc w:val="right"/>
              <w:ind w:right="335"/>
              <w:spacing w:after="0"/>
              <w:rPr>
                <w:sz w:val="20"/>
                <w:szCs w:val="20"/>
                <w:color w:val="auto"/>
              </w:rPr>
            </w:pPr>
            <w:r>
              <w:rPr>
                <w:rFonts w:ascii="Arial" w:cs="Arial" w:eastAsia="Arial" w:hAnsi="Arial"/>
                <w:sz w:val="13"/>
                <w:szCs w:val="13"/>
                <w:b w:val="1"/>
                <w:bCs w:val="1"/>
                <w:color w:val="FFFFFF"/>
              </w:rPr>
              <w:t>Threshold</w:t>
            </w:r>
          </w:p>
        </w:tc>
        <w:tc>
          <w:tcPr>
            <w:tcW w:w="240" w:type="dxa"/>
            <w:vAlign w:val="bottom"/>
            <w:shd w:val="clear" w:color="auto" w:fill="C00000"/>
          </w:tcPr>
          <w:p>
            <w:pPr>
              <w:spacing w:after="0"/>
              <w:rPr>
                <w:sz w:val="13"/>
                <w:szCs w:val="13"/>
                <w:color w:val="auto"/>
              </w:rPr>
            </w:pPr>
          </w:p>
        </w:tc>
        <w:tc>
          <w:tcPr>
            <w:tcW w:w="1200" w:type="dxa"/>
            <w:vAlign w:val="bottom"/>
            <w:shd w:val="clear" w:color="auto" w:fill="C00000"/>
          </w:tcPr>
          <w:p>
            <w:pPr>
              <w:jc w:val="right"/>
              <w:ind w:right="455"/>
              <w:spacing w:after="0"/>
              <w:rPr>
                <w:sz w:val="20"/>
                <w:szCs w:val="20"/>
                <w:color w:val="auto"/>
              </w:rPr>
            </w:pPr>
            <w:r>
              <w:rPr>
                <w:rFonts w:ascii="Arial" w:cs="Arial" w:eastAsia="Arial" w:hAnsi="Arial"/>
                <w:sz w:val="13"/>
                <w:szCs w:val="13"/>
                <w:b w:val="1"/>
                <w:bCs w:val="1"/>
                <w:color w:val="FFFFFF"/>
              </w:rPr>
              <w:t>Target</w:t>
            </w:r>
          </w:p>
        </w:tc>
        <w:tc>
          <w:tcPr>
            <w:tcW w:w="240" w:type="dxa"/>
            <w:vAlign w:val="bottom"/>
            <w:shd w:val="clear" w:color="auto" w:fill="C00000"/>
          </w:tcPr>
          <w:p>
            <w:pPr>
              <w:spacing w:after="0"/>
              <w:rPr>
                <w:sz w:val="13"/>
                <w:szCs w:val="13"/>
                <w:color w:val="auto"/>
              </w:rPr>
            </w:pPr>
          </w:p>
        </w:tc>
        <w:tc>
          <w:tcPr>
            <w:tcW w:w="1480" w:type="dxa"/>
            <w:vAlign w:val="bottom"/>
            <w:shd w:val="clear" w:color="auto" w:fill="C00000"/>
          </w:tcPr>
          <w:p>
            <w:pPr>
              <w:jc w:val="right"/>
              <w:ind w:right="635"/>
              <w:spacing w:after="0"/>
              <w:rPr>
                <w:sz w:val="20"/>
                <w:szCs w:val="20"/>
                <w:color w:val="auto"/>
              </w:rPr>
            </w:pPr>
            <w:r>
              <w:rPr>
                <w:rFonts w:ascii="Arial" w:cs="Arial" w:eastAsia="Arial" w:hAnsi="Arial"/>
                <w:sz w:val="13"/>
                <w:szCs w:val="13"/>
                <w:b w:val="1"/>
                <w:bCs w:val="1"/>
                <w:color w:val="FFFFFF"/>
              </w:rPr>
              <w:t>Maximum</w:t>
            </w:r>
          </w:p>
        </w:tc>
        <w:tc>
          <w:tcPr>
            <w:tcW w:w="2820" w:type="dxa"/>
            <w:vAlign w:val="bottom"/>
            <w:shd w:val="clear" w:color="auto" w:fill="C00000"/>
          </w:tcPr>
          <w:p>
            <w:pPr>
              <w:spacing w:after="0"/>
              <w:rPr>
                <w:sz w:val="13"/>
                <w:szCs w:val="13"/>
                <w:color w:val="auto"/>
              </w:rPr>
            </w:pPr>
          </w:p>
        </w:tc>
      </w:tr>
      <w:tr>
        <w:trPr>
          <w:trHeight w:val="159"/>
        </w:trPr>
        <w:tc>
          <w:tcPr>
            <w:tcW w:w="344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Performance Measures</w:t>
            </w:r>
          </w:p>
        </w:tc>
        <w:tc>
          <w:tcPr>
            <w:tcW w:w="360" w:type="dxa"/>
            <w:vAlign w:val="bottom"/>
            <w:shd w:val="clear" w:color="auto" w:fill="C00000"/>
          </w:tcPr>
          <w:p>
            <w:pPr>
              <w:spacing w:after="0"/>
              <w:rPr>
                <w:sz w:val="13"/>
                <w:szCs w:val="13"/>
                <w:color w:val="auto"/>
              </w:rPr>
            </w:pPr>
          </w:p>
        </w:tc>
        <w:tc>
          <w:tcPr>
            <w:tcW w:w="1180" w:type="dxa"/>
            <w:vAlign w:val="bottom"/>
            <w:shd w:val="clear" w:color="auto" w:fill="C00000"/>
          </w:tcPr>
          <w:p>
            <w:pPr>
              <w:jc w:val="right"/>
              <w:ind w:right="235"/>
              <w:spacing w:after="0"/>
              <w:rPr>
                <w:sz w:val="20"/>
                <w:szCs w:val="20"/>
                <w:color w:val="auto"/>
              </w:rPr>
            </w:pPr>
            <w:r>
              <w:rPr>
                <w:rFonts w:ascii="Arial" w:cs="Arial" w:eastAsia="Arial" w:hAnsi="Arial"/>
                <w:sz w:val="13"/>
                <w:szCs w:val="13"/>
                <w:b w:val="1"/>
                <w:bCs w:val="1"/>
                <w:color w:val="FFFFFF"/>
              </w:rPr>
              <w:t>(40% payout)</w:t>
            </w:r>
          </w:p>
        </w:tc>
        <w:tc>
          <w:tcPr>
            <w:tcW w:w="240" w:type="dxa"/>
            <w:vAlign w:val="bottom"/>
            <w:shd w:val="clear" w:color="auto" w:fill="C00000"/>
          </w:tcPr>
          <w:p>
            <w:pPr>
              <w:spacing w:after="0"/>
              <w:rPr>
                <w:sz w:val="13"/>
                <w:szCs w:val="13"/>
                <w:color w:val="auto"/>
              </w:rPr>
            </w:pPr>
          </w:p>
        </w:tc>
        <w:tc>
          <w:tcPr>
            <w:tcW w:w="1200" w:type="dxa"/>
            <w:vAlign w:val="bottom"/>
            <w:shd w:val="clear" w:color="auto" w:fill="C00000"/>
          </w:tcPr>
          <w:p>
            <w:pPr>
              <w:jc w:val="right"/>
              <w:ind w:right="215"/>
              <w:spacing w:after="0"/>
              <w:rPr>
                <w:sz w:val="20"/>
                <w:szCs w:val="20"/>
                <w:color w:val="auto"/>
              </w:rPr>
            </w:pPr>
            <w:r>
              <w:rPr>
                <w:rFonts w:ascii="Arial" w:cs="Arial" w:eastAsia="Arial" w:hAnsi="Arial"/>
                <w:sz w:val="13"/>
                <w:szCs w:val="13"/>
                <w:b w:val="1"/>
                <w:bCs w:val="1"/>
                <w:color w:val="FFFFFF"/>
              </w:rPr>
              <w:t>(100% payout)</w:t>
            </w:r>
          </w:p>
        </w:tc>
        <w:tc>
          <w:tcPr>
            <w:tcW w:w="240" w:type="dxa"/>
            <w:vAlign w:val="bottom"/>
            <w:shd w:val="clear" w:color="auto" w:fill="C00000"/>
          </w:tcPr>
          <w:p>
            <w:pPr>
              <w:spacing w:after="0"/>
              <w:rPr>
                <w:sz w:val="13"/>
                <w:szCs w:val="13"/>
                <w:color w:val="auto"/>
              </w:rPr>
            </w:pPr>
          </w:p>
        </w:tc>
        <w:tc>
          <w:tcPr>
            <w:tcW w:w="1480" w:type="dxa"/>
            <w:vAlign w:val="bottom"/>
            <w:shd w:val="clear" w:color="auto" w:fill="C00000"/>
          </w:tcPr>
          <w:p>
            <w:pPr>
              <w:jc w:val="right"/>
              <w:ind w:right="495"/>
              <w:spacing w:after="0"/>
              <w:rPr>
                <w:sz w:val="20"/>
                <w:szCs w:val="20"/>
                <w:color w:val="auto"/>
              </w:rPr>
            </w:pPr>
            <w:r>
              <w:rPr>
                <w:rFonts w:ascii="Arial" w:cs="Arial" w:eastAsia="Arial" w:hAnsi="Arial"/>
                <w:sz w:val="13"/>
                <w:szCs w:val="13"/>
                <w:b w:val="1"/>
                <w:bCs w:val="1"/>
                <w:color w:val="FFFFFF"/>
              </w:rPr>
              <w:t>(200% payout)</w:t>
            </w:r>
          </w:p>
        </w:tc>
        <w:tc>
          <w:tcPr>
            <w:tcW w:w="2820" w:type="dxa"/>
            <w:vAlign w:val="bottom"/>
            <w:shd w:val="clear" w:color="auto" w:fill="C00000"/>
          </w:tcPr>
          <w:p>
            <w:pPr>
              <w:jc w:val="center"/>
              <w:ind w:right="115"/>
              <w:spacing w:after="0"/>
              <w:rPr>
                <w:sz w:val="20"/>
                <w:szCs w:val="20"/>
                <w:color w:val="auto"/>
              </w:rPr>
            </w:pPr>
            <w:r>
              <w:rPr>
                <w:rFonts w:ascii="Arial" w:cs="Arial" w:eastAsia="Arial" w:hAnsi="Arial"/>
                <w:sz w:val="13"/>
                <w:szCs w:val="13"/>
                <w:b w:val="1"/>
                <w:bCs w:val="1"/>
                <w:color w:val="FFFFFF"/>
              </w:rPr>
              <w:t>Actual</w:t>
            </w:r>
          </w:p>
        </w:tc>
      </w:tr>
      <w:tr>
        <w:trPr>
          <w:trHeight w:val="164"/>
        </w:trPr>
        <w:tc>
          <w:tcPr>
            <w:tcW w:w="3440" w:type="dxa"/>
            <w:vAlign w:val="bottom"/>
          </w:tcPr>
          <w:p>
            <w:pPr>
              <w:spacing w:after="0"/>
              <w:rPr>
                <w:sz w:val="20"/>
                <w:szCs w:val="20"/>
                <w:color w:val="auto"/>
              </w:rPr>
            </w:pPr>
            <w:r>
              <w:rPr>
                <w:rFonts w:ascii="Arial" w:cs="Arial" w:eastAsia="Arial" w:hAnsi="Arial"/>
                <w:sz w:val="13"/>
                <w:szCs w:val="13"/>
                <w:color w:val="auto"/>
              </w:rPr>
              <w:t>40% cumulative corporate net income plus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20" w:type="dxa"/>
            <w:vAlign w:val="bottom"/>
          </w:tcPr>
          <w:p>
            <w:pPr>
              <w:jc w:val="center"/>
              <w:ind w:right="95"/>
              <w:spacing w:after="0"/>
              <w:rPr>
                <w:sz w:val="20"/>
                <w:szCs w:val="20"/>
                <w:color w:val="auto"/>
              </w:rPr>
            </w:pPr>
            <w:r>
              <w:rPr>
                <w:rFonts w:ascii="Arial" w:cs="Arial" w:eastAsia="Arial" w:hAnsi="Arial"/>
                <w:sz w:val="13"/>
                <w:szCs w:val="13"/>
                <w:color w:val="auto"/>
                <w:w w:val="99"/>
              </w:rPr>
              <w:t>$777,190</w:t>
            </w:r>
          </w:p>
        </w:tc>
      </w:tr>
      <w:tr>
        <w:trPr>
          <w:trHeight w:val="143"/>
        </w:trPr>
        <w:tc>
          <w:tcPr>
            <w:tcW w:w="3440" w:type="dxa"/>
            <w:vAlign w:val="bottom"/>
          </w:tcPr>
          <w:p>
            <w:pPr>
              <w:ind w:left="120"/>
              <w:spacing w:after="0" w:line="143" w:lineRule="exact"/>
              <w:rPr>
                <w:sz w:val="20"/>
                <w:szCs w:val="20"/>
                <w:color w:val="auto"/>
              </w:rPr>
            </w:pPr>
            <w:r>
              <w:rPr>
                <w:rFonts w:ascii="Arial" w:cs="Arial" w:eastAsia="Arial" w:hAnsi="Arial"/>
                <w:sz w:val="13"/>
                <w:szCs w:val="13"/>
                <w:color w:val="auto"/>
              </w:rPr>
              <w:t>after-tax interest (in thousands)*</w:t>
            </w: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55"/>
              <w:spacing w:after="0" w:line="143" w:lineRule="exact"/>
              <w:rPr>
                <w:sz w:val="20"/>
                <w:szCs w:val="20"/>
                <w:color w:val="auto"/>
              </w:rPr>
            </w:pPr>
            <w:r>
              <w:rPr>
                <w:rFonts w:ascii="Arial" w:cs="Arial" w:eastAsia="Arial" w:hAnsi="Arial"/>
                <w:sz w:val="13"/>
                <w:szCs w:val="13"/>
                <w:color w:val="auto"/>
              </w:rPr>
              <w:t>589,557</w:t>
            </w: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75"/>
              <w:spacing w:after="0" w:line="143" w:lineRule="exact"/>
              <w:rPr>
                <w:sz w:val="20"/>
                <w:szCs w:val="20"/>
                <w:color w:val="auto"/>
              </w:rPr>
            </w:pPr>
            <w:r>
              <w:rPr>
                <w:rFonts w:ascii="Arial" w:cs="Arial" w:eastAsia="Arial" w:hAnsi="Arial"/>
                <w:sz w:val="13"/>
                <w:szCs w:val="13"/>
                <w:color w:val="auto"/>
              </w:rPr>
              <w:t>736,946</w:t>
            </w: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355"/>
              <w:spacing w:after="0" w:line="143" w:lineRule="exact"/>
              <w:rPr>
                <w:sz w:val="20"/>
                <w:szCs w:val="20"/>
                <w:color w:val="auto"/>
              </w:rPr>
            </w:pPr>
            <w:r>
              <w:rPr>
                <w:rFonts w:ascii="Arial" w:cs="Arial" w:eastAsia="Arial" w:hAnsi="Arial"/>
                <w:sz w:val="13"/>
                <w:szCs w:val="13"/>
                <w:color w:val="auto"/>
              </w:rPr>
              <w:t>835,203</w:t>
            </w:r>
          </w:p>
        </w:tc>
        <w:tc>
          <w:tcPr>
            <w:tcW w:w="2820" w:type="dxa"/>
            <w:vAlign w:val="bottom"/>
          </w:tcPr>
          <w:p>
            <w:pPr>
              <w:jc w:val="center"/>
              <w:ind w:right="95"/>
              <w:spacing w:after="0" w:line="143" w:lineRule="exact"/>
              <w:rPr>
                <w:sz w:val="20"/>
                <w:szCs w:val="20"/>
                <w:color w:val="auto"/>
              </w:rPr>
            </w:pPr>
            <w:r>
              <w:rPr>
                <w:rFonts w:ascii="Arial" w:cs="Arial" w:eastAsia="Arial" w:hAnsi="Arial"/>
                <w:sz w:val="13"/>
                <w:szCs w:val="13"/>
                <w:color w:val="auto"/>
              </w:rPr>
              <w:t>(between target and maximum)</w:t>
            </w:r>
          </w:p>
        </w:tc>
      </w:tr>
      <w:tr>
        <w:trPr>
          <w:trHeight w:val="164"/>
        </w:trPr>
        <w:tc>
          <w:tcPr>
            <w:tcW w:w="3440" w:type="dxa"/>
            <w:vAlign w:val="bottom"/>
            <w:shd w:val="clear" w:color="auto" w:fill="D9D9D9"/>
          </w:tcPr>
          <w:p>
            <w:pPr>
              <w:spacing w:after="0"/>
              <w:rPr>
                <w:sz w:val="20"/>
                <w:szCs w:val="20"/>
                <w:color w:val="auto"/>
              </w:rPr>
            </w:pPr>
            <w:r>
              <w:rPr>
                <w:rFonts w:ascii="Arial" w:cs="Arial" w:eastAsia="Arial" w:hAnsi="Arial"/>
                <w:sz w:val="13"/>
                <w:szCs w:val="13"/>
                <w:color w:val="auto"/>
              </w:rPr>
              <w:t>30% cumulative corporate revenue</w:t>
            </w:r>
          </w:p>
        </w:tc>
        <w:tc>
          <w:tcPr>
            <w:tcW w:w="360" w:type="dxa"/>
            <w:vAlign w:val="bottom"/>
            <w:shd w:val="clear" w:color="auto" w:fill="D9D9D9"/>
          </w:tcPr>
          <w:p>
            <w:pPr>
              <w:spacing w:after="0"/>
              <w:rPr>
                <w:sz w:val="14"/>
                <w:szCs w:val="14"/>
                <w:color w:val="auto"/>
              </w:rPr>
            </w:pPr>
          </w:p>
        </w:tc>
        <w:tc>
          <w:tcPr>
            <w:tcW w:w="118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20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480" w:type="dxa"/>
            <w:vAlign w:val="bottom"/>
            <w:shd w:val="clear" w:color="auto" w:fill="D9D9D9"/>
          </w:tcPr>
          <w:p>
            <w:pPr>
              <w:spacing w:after="0"/>
              <w:rPr>
                <w:sz w:val="14"/>
                <w:szCs w:val="14"/>
                <w:color w:val="auto"/>
              </w:rPr>
            </w:pPr>
          </w:p>
        </w:tc>
        <w:tc>
          <w:tcPr>
            <w:tcW w:w="2820" w:type="dxa"/>
            <w:vAlign w:val="bottom"/>
            <w:shd w:val="clear" w:color="auto" w:fill="D9D9D9"/>
          </w:tcPr>
          <w:p>
            <w:pPr>
              <w:jc w:val="center"/>
              <w:ind w:right="95"/>
              <w:spacing w:after="0"/>
              <w:rPr>
                <w:sz w:val="20"/>
                <w:szCs w:val="20"/>
                <w:color w:val="auto"/>
              </w:rPr>
            </w:pPr>
            <w:r>
              <w:rPr>
                <w:rFonts w:ascii="Arial" w:cs="Arial" w:eastAsia="Arial" w:hAnsi="Arial"/>
                <w:sz w:val="13"/>
                <w:szCs w:val="13"/>
                <w:color w:val="auto"/>
              </w:rPr>
              <w:t>$7,499,509</w:t>
            </w:r>
          </w:p>
        </w:tc>
      </w:tr>
      <w:tr>
        <w:trPr>
          <w:trHeight w:val="143"/>
        </w:trPr>
        <w:tc>
          <w:tcPr>
            <w:tcW w:w="3440" w:type="dxa"/>
            <w:vAlign w:val="bottom"/>
            <w:shd w:val="clear" w:color="auto" w:fill="D9D9D9"/>
          </w:tcPr>
          <w:p>
            <w:pPr>
              <w:ind w:left="120"/>
              <w:spacing w:after="0" w:line="143" w:lineRule="exact"/>
              <w:rPr>
                <w:sz w:val="20"/>
                <w:szCs w:val="20"/>
                <w:color w:val="auto"/>
              </w:rPr>
            </w:pPr>
            <w:r>
              <w:rPr>
                <w:rFonts w:ascii="Arial" w:cs="Arial" w:eastAsia="Arial" w:hAnsi="Arial"/>
                <w:sz w:val="13"/>
                <w:szCs w:val="13"/>
                <w:color w:val="auto"/>
              </w:rPr>
              <w:t>(in thousands)</w:t>
            </w:r>
          </w:p>
        </w:tc>
        <w:tc>
          <w:tcPr>
            <w:tcW w:w="3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9D9D9"/>
          </w:tcPr>
          <w:p>
            <w:pPr>
              <w:jc w:val="right"/>
              <w:ind w:right="55"/>
              <w:spacing w:after="0" w:line="143" w:lineRule="exact"/>
              <w:rPr>
                <w:sz w:val="20"/>
                <w:szCs w:val="20"/>
                <w:color w:val="auto"/>
              </w:rPr>
            </w:pPr>
            <w:r>
              <w:rPr>
                <w:rFonts w:ascii="Arial" w:cs="Arial" w:eastAsia="Arial" w:hAnsi="Arial"/>
                <w:sz w:val="13"/>
                <w:szCs w:val="13"/>
                <w:color w:val="auto"/>
              </w:rPr>
              <w:t>7,413,228</w:t>
            </w:r>
          </w:p>
        </w:tc>
        <w:tc>
          <w:tcPr>
            <w:tcW w:w="2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D9D9D9"/>
          </w:tcPr>
          <w:p>
            <w:pPr>
              <w:jc w:val="right"/>
              <w:ind w:right="75"/>
              <w:spacing w:after="0" w:line="143" w:lineRule="exact"/>
              <w:rPr>
                <w:sz w:val="20"/>
                <w:szCs w:val="20"/>
                <w:color w:val="auto"/>
              </w:rPr>
            </w:pPr>
            <w:r>
              <w:rPr>
                <w:rFonts w:ascii="Arial" w:cs="Arial" w:eastAsia="Arial" w:hAnsi="Arial"/>
                <w:sz w:val="13"/>
                <w:szCs w:val="13"/>
                <w:color w:val="auto"/>
              </w:rPr>
              <w:t>7,837,197</w:t>
            </w:r>
          </w:p>
        </w:tc>
        <w:tc>
          <w:tcPr>
            <w:tcW w:w="2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ind w:right="355"/>
              <w:spacing w:after="0" w:line="143" w:lineRule="exact"/>
              <w:rPr>
                <w:sz w:val="20"/>
                <w:szCs w:val="20"/>
                <w:color w:val="auto"/>
              </w:rPr>
            </w:pPr>
            <w:r>
              <w:rPr>
                <w:rFonts w:ascii="Arial" w:cs="Arial" w:eastAsia="Arial" w:hAnsi="Arial"/>
                <w:sz w:val="13"/>
                <w:szCs w:val="13"/>
                <w:color w:val="auto"/>
              </w:rPr>
              <w:t>8,328,472</w:t>
            </w:r>
          </w:p>
        </w:tc>
        <w:tc>
          <w:tcPr>
            <w:tcW w:w="2820" w:type="dxa"/>
            <w:vAlign w:val="bottom"/>
            <w:shd w:val="clear" w:color="auto" w:fill="D9D9D9"/>
          </w:tcPr>
          <w:p>
            <w:pPr>
              <w:jc w:val="center"/>
              <w:ind w:right="95"/>
              <w:spacing w:after="0" w:line="143" w:lineRule="exact"/>
              <w:rPr>
                <w:sz w:val="20"/>
                <w:szCs w:val="20"/>
                <w:color w:val="auto"/>
              </w:rPr>
            </w:pPr>
            <w:r>
              <w:rPr>
                <w:rFonts w:ascii="Arial" w:cs="Arial" w:eastAsia="Arial" w:hAnsi="Arial"/>
                <w:sz w:val="13"/>
                <w:szCs w:val="13"/>
                <w:color w:val="auto"/>
              </w:rPr>
              <w:t>(between threshold and target)</w:t>
            </w:r>
          </w:p>
        </w:tc>
      </w:tr>
      <w:tr>
        <w:trPr>
          <w:trHeight w:val="164"/>
        </w:trPr>
        <w:tc>
          <w:tcPr>
            <w:tcW w:w="3440" w:type="dxa"/>
            <w:vAlign w:val="bottom"/>
          </w:tcPr>
          <w:p>
            <w:pPr>
              <w:spacing w:after="0"/>
              <w:rPr>
                <w:sz w:val="20"/>
                <w:szCs w:val="20"/>
                <w:color w:val="auto"/>
              </w:rPr>
            </w:pPr>
            <w:r>
              <w:rPr>
                <w:rFonts w:ascii="Arial" w:cs="Arial" w:eastAsia="Arial" w:hAnsi="Arial"/>
                <w:sz w:val="13"/>
                <w:szCs w:val="13"/>
                <w:color w:val="auto"/>
              </w:rPr>
              <w:t>30% cumulative corporate average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20" w:type="dxa"/>
            <w:vAlign w:val="bottom"/>
          </w:tcPr>
          <w:p>
            <w:pPr>
              <w:jc w:val="center"/>
              <w:ind w:right="95"/>
              <w:spacing w:after="0"/>
              <w:rPr>
                <w:sz w:val="20"/>
                <w:szCs w:val="20"/>
                <w:color w:val="auto"/>
              </w:rPr>
            </w:pPr>
            <w:r>
              <w:rPr>
                <w:rFonts w:ascii="Arial" w:cs="Arial" w:eastAsia="Arial" w:hAnsi="Arial"/>
                <w:sz w:val="13"/>
                <w:szCs w:val="13"/>
                <w:color w:val="auto"/>
                <w:w w:val="97"/>
              </w:rPr>
              <w:t>7.14910</w:t>
            </w:r>
          </w:p>
        </w:tc>
      </w:tr>
      <w:tr>
        <w:trPr>
          <w:trHeight w:val="143"/>
        </w:trPr>
        <w:tc>
          <w:tcPr>
            <w:tcW w:w="3440" w:type="dxa"/>
            <w:vAlign w:val="bottom"/>
          </w:tcPr>
          <w:p>
            <w:pPr>
              <w:ind w:left="120"/>
              <w:spacing w:after="0" w:line="143" w:lineRule="exact"/>
              <w:rPr>
                <w:sz w:val="20"/>
                <w:szCs w:val="20"/>
                <w:color w:val="auto"/>
              </w:rPr>
            </w:pPr>
            <w:r>
              <w:rPr>
                <w:rFonts w:ascii="Arial" w:cs="Arial" w:eastAsia="Arial" w:hAnsi="Arial"/>
                <w:sz w:val="13"/>
                <w:szCs w:val="13"/>
                <w:color w:val="auto"/>
              </w:rPr>
              <w:t>net assets turns</w:t>
            </w:r>
          </w:p>
        </w:tc>
        <w:tc>
          <w:tcPr>
            <w:tcW w:w="360" w:type="dxa"/>
            <w:vAlign w:val="bottom"/>
          </w:tcPr>
          <w:p>
            <w:pPr>
              <w:spacing w:after="0"/>
              <w:rPr>
                <w:sz w:val="12"/>
                <w:szCs w:val="12"/>
                <w:color w:val="auto"/>
              </w:rPr>
            </w:pPr>
          </w:p>
        </w:tc>
        <w:tc>
          <w:tcPr>
            <w:tcW w:w="1180" w:type="dxa"/>
            <w:vAlign w:val="bottom"/>
          </w:tcPr>
          <w:p>
            <w:pPr>
              <w:jc w:val="right"/>
              <w:ind w:right="55"/>
              <w:spacing w:after="0" w:line="143" w:lineRule="exact"/>
              <w:rPr>
                <w:sz w:val="20"/>
                <w:szCs w:val="20"/>
                <w:color w:val="auto"/>
              </w:rPr>
            </w:pPr>
            <w:r>
              <w:rPr>
                <w:rFonts w:ascii="Arial" w:cs="Arial" w:eastAsia="Arial" w:hAnsi="Arial"/>
                <w:sz w:val="13"/>
                <w:szCs w:val="13"/>
                <w:color w:val="auto"/>
              </w:rPr>
              <w:t>5.62696</w:t>
            </w:r>
          </w:p>
        </w:tc>
        <w:tc>
          <w:tcPr>
            <w:tcW w:w="240" w:type="dxa"/>
            <w:vAlign w:val="bottom"/>
          </w:tcPr>
          <w:p>
            <w:pPr>
              <w:spacing w:after="0"/>
              <w:rPr>
                <w:sz w:val="12"/>
                <w:szCs w:val="12"/>
                <w:color w:val="auto"/>
              </w:rPr>
            </w:pPr>
          </w:p>
        </w:tc>
        <w:tc>
          <w:tcPr>
            <w:tcW w:w="1200" w:type="dxa"/>
            <w:vAlign w:val="bottom"/>
          </w:tcPr>
          <w:p>
            <w:pPr>
              <w:jc w:val="right"/>
              <w:ind w:right="75"/>
              <w:spacing w:after="0" w:line="143" w:lineRule="exact"/>
              <w:rPr>
                <w:sz w:val="20"/>
                <w:szCs w:val="20"/>
                <w:color w:val="auto"/>
              </w:rPr>
            </w:pPr>
            <w:r>
              <w:rPr>
                <w:rFonts w:ascii="Arial" w:cs="Arial" w:eastAsia="Arial" w:hAnsi="Arial"/>
                <w:sz w:val="13"/>
                <w:szCs w:val="13"/>
                <w:color w:val="auto"/>
              </w:rPr>
              <w:t>6.61995</w:t>
            </w:r>
          </w:p>
        </w:tc>
        <w:tc>
          <w:tcPr>
            <w:tcW w:w="240" w:type="dxa"/>
            <w:vAlign w:val="bottom"/>
          </w:tcPr>
          <w:p>
            <w:pPr>
              <w:spacing w:after="0"/>
              <w:rPr>
                <w:sz w:val="12"/>
                <w:szCs w:val="12"/>
                <w:color w:val="auto"/>
              </w:rPr>
            </w:pPr>
          </w:p>
        </w:tc>
        <w:tc>
          <w:tcPr>
            <w:tcW w:w="1480" w:type="dxa"/>
            <w:vAlign w:val="bottom"/>
          </w:tcPr>
          <w:p>
            <w:pPr>
              <w:jc w:val="right"/>
              <w:ind w:right="355"/>
              <w:spacing w:after="0" w:line="143" w:lineRule="exact"/>
              <w:rPr>
                <w:sz w:val="20"/>
                <w:szCs w:val="20"/>
                <w:color w:val="auto"/>
              </w:rPr>
            </w:pPr>
            <w:r>
              <w:rPr>
                <w:rFonts w:ascii="Arial" w:cs="Arial" w:eastAsia="Arial" w:hAnsi="Arial"/>
                <w:sz w:val="13"/>
                <w:szCs w:val="13"/>
                <w:color w:val="auto"/>
              </w:rPr>
              <w:t>7.61294</w:t>
            </w:r>
          </w:p>
        </w:tc>
        <w:tc>
          <w:tcPr>
            <w:tcW w:w="2820" w:type="dxa"/>
            <w:vAlign w:val="bottom"/>
          </w:tcPr>
          <w:p>
            <w:pPr>
              <w:jc w:val="center"/>
              <w:ind w:right="95"/>
              <w:spacing w:after="0" w:line="143" w:lineRule="exact"/>
              <w:rPr>
                <w:sz w:val="20"/>
                <w:szCs w:val="20"/>
                <w:color w:val="auto"/>
              </w:rPr>
            </w:pPr>
            <w:r>
              <w:rPr>
                <w:rFonts w:ascii="Arial" w:cs="Arial" w:eastAsia="Arial" w:hAnsi="Arial"/>
                <w:sz w:val="13"/>
                <w:szCs w:val="13"/>
                <w:color w:val="auto"/>
              </w:rPr>
              <w:t>(between target and maximum)</w:t>
            </w:r>
          </w:p>
        </w:tc>
      </w:tr>
      <w:tr>
        <w:trPr>
          <w:trHeight w:val="148"/>
        </w:trPr>
        <w:tc>
          <w:tcPr>
            <w:tcW w:w="3440" w:type="dxa"/>
            <w:vAlign w:val="bottom"/>
            <w:shd w:val="clear" w:color="auto" w:fill="D9D9D9"/>
          </w:tcPr>
          <w:p>
            <w:pPr>
              <w:spacing w:after="0" w:line="148" w:lineRule="exact"/>
              <w:rPr>
                <w:sz w:val="20"/>
                <w:szCs w:val="20"/>
                <w:color w:val="auto"/>
              </w:rPr>
            </w:pPr>
            <w:r>
              <w:rPr>
                <w:rFonts w:ascii="Arial" w:cs="Arial" w:eastAsia="Arial" w:hAnsi="Arial"/>
                <w:sz w:val="13"/>
                <w:szCs w:val="13"/>
                <w:b w:val="1"/>
                <w:bCs w:val="1"/>
                <w:color w:val="auto"/>
              </w:rPr>
              <w:t>Fiscal 2016 to fiscal 2018 performance share award</w:t>
            </w:r>
          </w:p>
        </w:tc>
        <w:tc>
          <w:tcPr>
            <w:tcW w:w="360" w:type="dxa"/>
            <w:vAlign w:val="bottom"/>
            <w:shd w:val="clear" w:color="auto" w:fill="D9D9D9"/>
          </w:tcPr>
          <w:p>
            <w:pPr>
              <w:spacing w:after="0"/>
              <w:rPr>
                <w:sz w:val="12"/>
                <w:szCs w:val="12"/>
                <w:color w:val="auto"/>
              </w:rPr>
            </w:pPr>
          </w:p>
        </w:tc>
        <w:tc>
          <w:tcPr>
            <w:tcW w:w="118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2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820" w:type="dxa"/>
            <w:vAlign w:val="bottom"/>
            <w:shd w:val="clear" w:color="auto" w:fill="D9D9D9"/>
          </w:tcPr>
          <w:p>
            <w:pPr>
              <w:spacing w:after="0"/>
              <w:rPr>
                <w:sz w:val="12"/>
                <w:szCs w:val="12"/>
                <w:color w:val="auto"/>
              </w:rPr>
            </w:pPr>
          </w:p>
        </w:tc>
      </w:tr>
      <w:tr>
        <w:trPr>
          <w:trHeight w:val="159"/>
        </w:trPr>
        <w:tc>
          <w:tcPr>
            <w:tcW w:w="344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payout</w:t>
            </w:r>
          </w:p>
        </w:tc>
        <w:tc>
          <w:tcPr>
            <w:tcW w:w="360" w:type="dxa"/>
            <w:vAlign w:val="bottom"/>
            <w:shd w:val="clear" w:color="auto" w:fill="D9D9D9"/>
          </w:tcPr>
          <w:p>
            <w:pPr>
              <w:spacing w:after="0"/>
              <w:rPr>
                <w:sz w:val="13"/>
                <w:szCs w:val="13"/>
                <w:color w:val="auto"/>
              </w:rPr>
            </w:pPr>
          </w:p>
        </w:tc>
        <w:tc>
          <w:tcPr>
            <w:tcW w:w="118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20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1480" w:type="dxa"/>
            <w:vAlign w:val="bottom"/>
            <w:shd w:val="clear" w:color="auto" w:fill="D9D9D9"/>
          </w:tcPr>
          <w:p>
            <w:pPr>
              <w:spacing w:after="0"/>
              <w:rPr>
                <w:sz w:val="13"/>
                <w:szCs w:val="13"/>
                <w:color w:val="auto"/>
              </w:rPr>
            </w:pPr>
          </w:p>
        </w:tc>
        <w:tc>
          <w:tcPr>
            <w:tcW w:w="2820" w:type="dxa"/>
            <w:vAlign w:val="bottom"/>
            <w:shd w:val="clear" w:color="auto" w:fill="D9D9D9"/>
          </w:tcPr>
          <w:p>
            <w:pPr>
              <w:jc w:val="center"/>
              <w:ind w:right="95"/>
              <w:spacing w:after="0"/>
              <w:rPr>
                <w:sz w:val="20"/>
                <w:szCs w:val="20"/>
                <w:color w:val="auto"/>
              </w:rPr>
            </w:pPr>
            <w:r>
              <w:rPr>
                <w:rFonts w:ascii="Arial" w:cs="Arial" w:eastAsia="Arial" w:hAnsi="Arial"/>
                <w:sz w:val="13"/>
                <w:szCs w:val="13"/>
                <w:b w:val="1"/>
                <w:bCs w:val="1"/>
                <w:color w:val="auto"/>
                <w:w w:val="99"/>
              </w:rPr>
              <w:t>118.03%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207772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9"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Cumulative corporate net income plus after-tax interest is defined as net earnings plus interest expense, net of taxes.</w:t>
      </w:r>
    </w:p>
    <w:p>
      <w:pPr>
        <w:spacing w:after="0" w:line="78" w:lineRule="exact"/>
        <w:rPr>
          <w:sz w:val="20"/>
          <w:szCs w:val="20"/>
          <w:color w:val="auto"/>
        </w:rPr>
      </w:pPr>
    </w:p>
    <w:p>
      <w:pPr>
        <w:ind w:firstLine="408"/>
        <w:spacing w:after="0" w:line="260" w:lineRule="auto"/>
        <w:rPr>
          <w:sz w:val="20"/>
          <w:szCs w:val="20"/>
          <w:color w:val="auto"/>
        </w:rPr>
      </w:pPr>
      <w:r>
        <w:rPr>
          <w:rFonts w:ascii="Arial" w:cs="Arial" w:eastAsia="Arial" w:hAnsi="Arial"/>
          <w:sz w:val="16"/>
          <w:szCs w:val="16"/>
          <w:b w:val="1"/>
          <w:bCs w:val="1"/>
          <w:color w:val="auto"/>
        </w:rPr>
        <w:t xml:space="preserve">How We Make Compensation Decisions. </w:t>
      </w:r>
      <w:r>
        <w:rPr>
          <w:rFonts w:ascii="Arial" w:cs="Arial" w:eastAsia="Arial" w:hAnsi="Arial"/>
          <w:sz w:val="16"/>
          <w:szCs w:val="16"/>
          <w:color w:val="auto"/>
        </w:rPr>
        <w:t>There are several elements to our executive officer compensation decision-making, which we believe allow</w:t>
      </w:r>
      <w:r>
        <w:rPr>
          <w:rFonts w:ascii="Arial" w:cs="Arial" w:eastAsia="Arial" w:hAnsi="Arial"/>
          <w:sz w:val="16"/>
          <w:szCs w:val="16"/>
          <w:b w:val="1"/>
          <w:bCs w:val="1"/>
          <w:color w:val="auto"/>
        </w:rPr>
        <w:t xml:space="preserve"> </w:t>
      </w:r>
      <w:r>
        <w:rPr>
          <w:rFonts w:ascii="Arial" w:cs="Arial" w:eastAsia="Arial" w:hAnsi="Arial"/>
          <w:sz w:val="16"/>
          <w:szCs w:val="16"/>
          <w:color w:val="auto"/>
        </w:rPr>
        <w:t>us to most effectively implement our established compensation philosophy. The Compensation &amp; Human Resources Committee, its independent external compensation consultant and Management all have a role in decision making for executive officer compensation. These roles are described below:</w:t>
      </w:r>
    </w:p>
    <w:p>
      <w:pPr>
        <w:spacing w:after="0" w:line="51" w:lineRule="exact"/>
        <w:rPr>
          <w:sz w:val="20"/>
          <w:szCs w:val="20"/>
          <w:color w:val="auto"/>
        </w:rPr>
      </w:pPr>
    </w:p>
    <w:p>
      <w:pPr>
        <w:ind w:right="360" w:firstLine="408"/>
        <w:spacing w:after="0" w:line="253" w:lineRule="auto"/>
        <w:rPr>
          <w:sz w:val="20"/>
          <w:szCs w:val="20"/>
          <w:color w:val="auto"/>
        </w:rPr>
      </w:pPr>
      <w:r>
        <w:rPr>
          <w:rFonts w:ascii="Arial" w:cs="Arial" w:eastAsia="Arial" w:hAnsi="Arial"/>
          <w:sz w:val="16"/>
          <w:szCs w:val="16"/>
          <w:b w:val="1"/>
          <w:bCs w:val="1"/>
          <w:i w:val="1"/>
          <w:iCs w:val="1"/>
          <w:color w:val="auto"/>
        </w:rPr>
        <w:t xml:space="preserve">Role of the Compensation &amp; Human Resources Committee. </w:t>
      </w:r>
      <w:r>
        <w:rPr>
          <w:rFonts w:ascii="Arial" w:cs="Arial" w:eastAsia="Arial" w:hAnsi="Arial"/>
          <w:sz w:val="16"/>
          <w:szCs w:val="16"/>
          <w:color w:val="auto"/>
        </w:rPr>
        <w:t>The Compensation &amp; Human Resources Committee, which is comprised solely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directors, oversees our executive compensation program. Within its duties, the Committee approves compensation for each of our executive officers. In addition, compensation approved by the Committee for our Chairman and CEO is submitted to the independent directors of the Board for ratification. In doing so, the Committee:</w:t>
      </w:r>
    </w:p>
    <w:p>
      <w:pPr>
        <w:spacing w:after="0" w:line="77" w:lineRule="exact"/>
        <w:rPr>
          <w:sz w:val="20"/>
          <w:szCs w:val="20"/>
          <w:color w:val="auto"/>
        </w:rPr>
      </w:pPr>
    </w:p>
    <w:p>
      <w:pPr>
        <w:ind w:left="800" w:right="60" w:hanging="398"/>
        <w:spacing w:after="0" w:line="255" w:lineRule="auto"/>
        <w:tabs>
          <w:tab w:leader="none" w:pos="800" w:val="left"/>
        </w:tabs>
        <w:numPr>
          <w:ilvl w:val="0"/>
          <w:numId w:val="59"/>
        </w:numPr>
        <w:rPr>
          <w:rFonts w:ascii="Arial" w:cs="Arial" w:eastAsia="Arial" w:hAnsi="Arial"/>
          <w:sz w:val="15"/>
          <w:szCs w:val="15"/>
          <w:color w:val="auto"/>
        </w:rPr>
      </w:pPr>
      <w:r>
        <w:rPr>
          <w:rFonts w:ascii="Arial" w:cs="Arial" w:eastAsia="Arial" w:hAnsi="Arial"/>
          <w:sz w:val="16"/>
          <w:szCs w:val="16"/>
          <w:color w:val="auto"/>
        </w:rPr>
        <w:t>Approves the total direct executive compensation package for each executive officer, including his or her base salary, annual cash incentive award and long-term incentive awards;</w:t>
      </w:r>
    </w:p>
    <w:p>
      <w:pPr>
        <w:spacing w:after="0" w:line="74" w:lineRule="exact"/>
        <w:rPr>
          <w:rFonts w:ascii="Arial" w:cs="Arial" w:eastAsia="Arial" w:hAnsi="Arial"/>
          <w:sz w:val="15"/>
          <w:szCs w:val="15"/>
          <w:color w:val="auto"/>
        </w:rPr>
      </w:pPr>
    </w:p>
    <w:p>
      <w:pPr>
        <w:ind w:left="800" w:right="440" w:hanging="398"/>
        <w:spacing w:after="0" w:line="255" w:lineRule="auto"/>
        <w:tabs>
          <w:tab w:leader="none" w:pos="800" w:val="left"/>
        </w:tabs>
        <w:numPr>
          <w:ilvl w:val="0"/>
          <w:numId w:val="59"/>
        </w:numPr>
        <w:rPr>
          <w:rFonts w:ascii="Arial" w:cs="Arial" w:eastAsia="Arial" w:hAnsi="Arial"/>
          <w:sz w:val="15"/>
          <w:szCs w:val="15"/>
          <w:color w:val="auto"/>
        </w:rPr>
      </w:pPr>
      <w:r>
        <w:rPr>
          <w:rFonts w:ascii="Arial" w:cs="Arial" w:eastAsia="Arial" w:hAnsi="Arial"/>
          <w:sz w:val="16"/>
          <w:szCs w:val="16"/>
          <w:color w:val="auto"/>
        </w:rPr>
        <w:t>Reviews and approves corporate and division financial performance measures, weightings, goals and performance adjustment events, if any, related to our annual and long-term incentive awards;</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59"/>
        </w:numPr>
        <w:rPr>
          <w:rFonts w:ascii="Arial" w:cs="Arial" w:eastAsia="Arial" w:hAnsi="Arial"/>
          <w:sz w:val="15"/>
          <w:szCs w:val="15"/>
          <w:color w:val="auto"/>
        </w:rPr>
      </w:pPr>
      <w:r>
        <w:rPr>
          <w:rFonts w:ascii="Arial" w:cs="Arial" w:eastAsia="Arial" w:hAnsi="Arial"/>
          <w:sz w:val="16"/>
          <w:szCs w:val="16"/>
          <w:color w:val="auto"/>
        </w:rPr>
        <w:t>Reviews and approves annual cash incentive award payouts and long-term performance share award payouts;</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9"/>
        </w:numPr>
        <w:rPr>
          <w:rFonts w:ascii="Arial" w:cs="Arial" w:eastAsia="Arial" w:hAnsi="Arial"/>
          <w:sz w:val="15"/>
          <w:szCs w:val="15"/>
          <w:color w:val="auto"/>
        </w:rPr>
      </w:pPr>
      <w:r>
        <w:rPr>
          <w:rFonts w:ascii="Arial" w:cs="Arial" w:eastAsia="Arial" w:hAnsi="Arial"/>
          <w:sz w:val="16"/>
          <w:szCs w:val="16"/>
          <w:color w:val="auto"/>
        </w:rPr>
        <w:t>Evaluates market competitiveness of each of our executive officer’s compensation (in total and by each individual element);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59"/>
        </w:numPr>
        <w:rPr>
          <w:rFonts w:ascii="Arial" w:cs="Arial" w:eastAsia="Arial" w:hAnsi="Arial"/>
          <w:sz w:val="15"/>
          <w:szCs w:val="15"/>
          <w:color w:val="auto"/>
        </w:rPr>
      </w:pPr>
      <w:r>
        <w:rPr>
          <w:rFonts w:ascii="Arial" w:cs="Arial" w:eastAsia="Arial" w:hAnsi="Arial"/>
          <w:sz w:val="16"/>
          <w:szCs w:val="16"/>
          <w:color w:val="auto"/>
        </w:rPr>
        <w:t>Evaluates proposed changes to other elements of our executive compensation program.</w:t>
      </w:r>
    </w:p>
    <w:p>
      <w:pPr>
        <w:spacing w:after="0" w:line="98" w:lineRule="exact"/>
        <w:rPr>
          <w:sz w:val="20"/>
          <w:szCs w:val="20"/>
          <w:color w:val="auto"/>
        </w:rPr>
      </w:pPr>
    </w:p>
    <w:p>
      <w:pPr>
        <w:jc w:val="both"/>
        <w:ind w:right="140" w:firstLine="408"/>
        <w:spacing w:after="0" w:line="247" w:lineRule="auto"/>
        <w:rPr>
          <w:sz w:val="20"/>
          <w:szCs w:val="20"/>
          <w:color w:val="auto"/>
        </w:rPr>
      </w:pPr>
      <w:r>
        <w:rPr>
          <w:rFonts w:ascii="Arial" w:cs="Arial" w:eastAsia="Arial" w:hAnsi="Arial"/>
          <w:sz w:val="16"/>
          <w:szCs w:val="16"/>
          <w:color w:val="auto"/>
        </w:rPr>
        <w:t>During fiscal 2018, the Committee received input from Willis Towers Watson, its independent external compensation consultant, and our Management, including our Chairman and CEO, Vice President, Human Resources and Distributor Development and our Managing Director, Total Rewards and Employee Services.</w:t>
      </w:r>
    </w:p>
    <w:p>
      <w:pPr>
        <w:spacing w:after="0" w:line="61" w:lineRule="exact"/>
        <w:rPr>
          <w:sz w:val="20"/>
          <w:szCs w:val="20"/>
          <w:color w:val="auto"/>
        </w:rPr>
      </w:pPr>
    </w:p>
    <w:p>
      <w:pPr>
        <w:ind w:right="640" w:firstLine="408"/>
        <w:spacing w:after="0" w:line="281" w:lineRule="auto"/>
        <w:rPr>
          <w:sz w:val="20"/>
          <w:szCs w:val="20"/>
          <w:color w:val="auto"/>
        </w:rPr>
      </w:pPr>
      <w:r>
        <w:rPr>
          <w:rFonts w:ascii="Arial" w:cs="Arial" w:eastAsia="Arial" w:hAnsi="Arial"/>
          <w:sz w:val="16"/>
          <w:szCs w:val="16"/>
          <w:b w:val="1"/>
          <w:bCs w:val="1"/>
          <w:i w:val="1"/>
          <w:iCs w:val="1"/>
          <w:color w:val="auto"/>
        </w:rPr>
        <w:t xml:space="preserve">Role of the Independent External Compensation Consultant. </w:t>
      </w:r>
      <w:r>
        <w:rPr>
          <w:rFonts w:ascii="Arial" w:cs="Arial" w:eastAsia="Arial" w:hAnsi="Arial"/>
          <w:sz w:val="16"/>
          <w:szCs w:val="16"/>
          <w:color w:val="auto"/>
        </w:rPr>
        <w:t>The Committee has sole authority to hire consultants, approve their fees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the nature and scope of their work. The Committee may replace consultants or hire additional consultants at any time.</w:t>
      </w:r>
    </w:p>
    <w:p>
      <w:pPr>
        <w:spacing w:after="0" w:line="55"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A representative from Willis Towers Watson attended two of the four Committee meetings in fiscal 2018, including attendance in executive session without Management present, and generally communicated with the Chair of the Committee in advance of, and/or following, such Committee meetings. During fiscal 2018, Willis Towers Watson reviewed and discussed executive compensation structure and trends with Management and the Committee and provided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13"/>
          <w:szCs w:val="13"/>
          <w:color w:val="auto"/>
        </w:rPr>
        <w:t>th</w:t>
      </w:r>
      <w:r>
        <w:rPr>
          <w:rFonts w:ascii="Arial" w:cs="Arial" w:eastAsia="Arial" w:hAnsi="Arial"/>
          <w:sz w:val="16"/>
          <w:szCs w:val="16"/>
          <w:color w:val="auto"/>
        </w:rPr>
        <w:t>, 50</w:t>
      </w:r>
      <w:r>
        <w:rPr>
          <w:rFonts w:ascii="Arial" w:cs="Arial" w:eastAsia="Arial" w:hAnsi="Arial"/>
          <w:sz w:val="13"/>
          <w:szCs w:val="13"/>
          <w:color w:val="auto"/>
        </w:rPr>
        <w:t>th</w:t>
      </w:r>
      <w:r>
        <w:rPr>
          <w:rFonts w:ascii="Arial" w:cs="Arial" w:eastAsia="Arial" w:hAnsi="Arial"/>
          <w:sz w:val="16"/>
          <w:szCs w:val="16"/>
          <w:color w:val="auto"/>
        </w:rPr>
        <w:t xml:space="preserve"> and 75</w:t>
      </w:r>
      <w:r>
        <w:rPr>
          <w:rFonts w:ascii="Arial" w:cs="Arial" w:eastAsia="Arial" w:hAnsi="Arial"/>
          <w:sz w:val="13"/>
          <w:szCs w:val="13"/>
          <w:color w:val="auto"/>
        </w:rPr>
        <w:t>th</w:t>
      </w:r>
      <w:r>
        <w:rPr>
          <w:rFonts w:ascii="Arial" w:cs="Arial" w:eastAsia="Arial" w:hAnsi="Arial"/>
          <w:sz w:val="16"/>
          <w:szCs w:val="16"/>
          <w:color w:val="auto"/>
        </w:rPr>
        <w:t xml:space="preserve"> percentiles. Additionally, during fiscal 2018, Willis Towers Watson reviewed and discussed executive officer compensation recommendations made by Management in advance of applicable Committee meetings and participated in discussions at the Committee meetings regarding those recommendations. Willis Towers Watson is engaged by the Committee from time to time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perform other compensation consulting services, which in fiscal 2018 included a review of non-employee director compensation and an assessment of risk as it relates to our incentive plans.</w:t>
      </w:r>
    </w:p>
    <w:p>
      <w:pPr>
        <w:spacing w:after="0" w:line="55" w:lineRule="exact"/>
        <w:rPr>
          <w:sz w:val="20"/>
          <w:szCs w:val="20"/>
          <w:color w:val="auto"/>
        </w:rPr>
      </w:pPr>
    </w:p>
    <w:p>
      <w:pPr>
        <w:ind w:right="480" w:firstLine="408"/>
        <w:spacing w:after="0" w:line="250" w:lineRule="auto"/>
        <w:rPr>
          <w:sz w:val="20"/>
          <w:szCs w:val="20"/>
          <w:color w:val="auto"/>
        </w:rPr>
      </w:pPr>
      <w:r>
        <w:rPr>
          <w:rFonts w:ascii="Arial" w:cs="Arial" w:eastAsia="Arial" w:hAnsi="Arial"/>
          <w:sz w:val="16"/>
          <w:szCs w:val="16"/>
          <w:b w:val="1"/>
          <w:bCs w:val="1"/>
          <w:i w:val="1"/>
          <w:iCs w:val="1"/>
          <w:color w:val="auto"/>
        </w:rPr>
        <w:t xml:space="preserve">Role of Management. </w:t>
      </w:r>
      <w:r>
        <w:rPr>
          <w:rFonts w:ascii="Arial" w:cs="Arial" w:eastAsia="Arial" w:hAnsi="Arial"/>
          <w:sz w:val="16"/>
          <w:szCs w:val="16"/>
          <w:color w:val="auto"/>
        </w:rPr>
        <w:t>Management’s role is to provide current compensation information and information regarding executive officer duties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responsibilities to Willis Towers Watson and provide analysis and recommendations on executive officer compensation to the Committee based on the comparison to market; the executive’s level of professional experience; the executive’s duties and responsibilities; individual performance; tenure in the position; corporate, division and/or plant performance, as applicable; internal pay comparisons; and outside market factors, including general economic conditions. None of our executive officers provides input or recommendations with respect to his or her own compensation.</w:t>
      </w:r>
    </w:p>
    <w:p>
      <w:pPr>
        <w:spacing w:after="0" w:line="59" w:lineRule="exact"/>
        <w:rPr>
          <w:sz w:val="20"/>
          <w:szCs w:val="20"/>
          <w:color w:val="auto"/>
        </w:rPr>
      </w:pPr>
    </w:p>
    <w:p>
      <w:pPr>
        <w:ind w:right="20" w:firstLine="408"/>
        <w:spacing w:after="0" w:line="246" w:lineRule="auto"/>
        <w:rPr>
          <w:sz w:val="20"/>
          <w:szCs w:val="20"/>
          <w:color w:val="auto"/>
        </w:rPr>
      </w:pPr>
      <w:r>
        <w:rPr>
          <w:rFonts w:ascii="Arial" w:cs="Arial" w:eastAsia="Arial" w:hAnsi="Arial"/>
          <w:sz w:val="16"/>
          <w:szCs w:val="16"/>
          <w:b w:val="1"/>
          <w:bCs w:val="1"/>
          <w:i w:val="1"/>
          <w:iCs w:val="1"/>
          <w:color w:val="auto"/>
        </w:rPr>
        <w:t xml:space="preserve">Use of Market Data. </w:t>
      </w:r>
      <w:r>
        <w:rPr>
          <w:rFonts w:ascii="Arial" w:cs="Arial" w:eastAsia="Arial" w:hAnsi="Arial"/>
          <w:sz w:val="16"/>
          <w:szCs w:val="16"/>
          <w:color w:val="auto"/>
        </w:rPr>
        <w:t>Since one of the objectives of our executive compensation program is to provide market competitive compensation opportunities,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fiscal 2018 the Committee used market data provided by Willis Towers Watson to help evaluate and make compensation decisions. Market data, which is size-adjusted, is provided by Willis Towers Watson through its executive compensation database, which includes over 1,000 participating companies.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for executive compensation purposes. The market data provided by Willis Towers Watson was in aggregate form and, therefore, individual data for participating companies in the survey was not considered when determining executive officer compensation in total or for any individual officer or element.</w:t>
      </w:r>
    </w:p>
    <w:p>
      <w:pPr>
        <w:spacing w:after="0" w:line="64" w:lineRule="exact"/>
        <w:rPr>
          <w:sz w:val="20"/>
          <w:szCs w:val="20"/>
          <w:color w:val="auto"/>
        </w:rPr>
      </w:pPr>
    </w:p>
    <w:p>
      <w:pPr>
        <w:ind w:right="220" w:firstLine="408"/>
        <w:spacing w:after="0" w:line="253" w:lineRule="auto"/>
        <w:rPr>
          <w:sz w:val="20"/>
          <w:szCs w:val="20"/>
          <w:color w:val="auto"/>
        </w:rPr>
      </w:pPr>
      <w:r>
        <w:rPr>
          <w:rFonts w:ascii="Arial" w:cs="Arial" w:eastAsia="Arial" w:hAnsi="Arial"/>
          <w:sz w:val="16"/>
          <w:szCs w:val="16"/>
          <w:b w:val="1"/>
          <w:bCs w:val="1"/>
          <w:color w:val="auto"/>
        </w:rPr>
        <w:t xml:space="preserve">Elements of Our Executive Compensation Program. </w:t>
      </w:r>
      <w:r>
        <w:rPr>
          <w:rFonts w:ascii="Arial" w:cs="Arial" w:eastAsia="Arial" w:hAnsi="Arial"/>
          <w:sz w:val="16"/>
          <w:szCs w:val="16"/>
          <w:color w:val="auto"/>
        </w:rPr>
        <w:t>During fiscal 2018, our executive compensation program consisted of the following key</w:t>
      </w:r>
      <w:r>
        <w:rPr>
          <w:rFonts w:ascii="Arial" w:cs="Arial" w:eastAsia="Arial" w:hAnsi="Arial"/>
          <w:sz w:val="16"/>
          <w:szCs w:val="16"/>
          <w:b w:val="1"/>
          <w:bCs w:val="1"/>
          <w:color w:val="auto"/>
        </w:rPr>
        <w:t xml:space="preserve"> </w:t>
      </w:r>
      <w:r>
        <w:rPr>
          <w:rFonts w:ascii="Arial" w:cs="Arial" w:eastAsia="Arial" w:hAnsi="Arial"/>
          <w:sz w:val="16"/>
          <w:szCs w:val="16"/>
          <w:color w:val="auto"/>
        </w:rPr>
        <w:t>elements: base salary, annual cash incentive, long-term incentives in the form of stock options and performance share awards, health and welfare benefits, retirement plans and perquisites. The following table provides some of the key characteristics of and purpose for each element along with some key actions taken during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wp:posOffset>
            </wp:positionV>
            <wp:extent cx="7259320" cy="1168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9320" cy="116840"/>
                    </a:xfrm>
                    <a:prstGeom prst="rect">
                      <a:avLst/>
                    </a:prstGeom>
                    <a:noFill/>
                  </pic:spPr>
                </pic:pic>
              </a:graphicData>
            </a:graphic>
          </wp:anchor>
        </w:drawing>
      </w:r>
    </w:p>
    <w:p>
      <w:pPr>
        <w:spacing w:after="0" w:line="59" w:lineRule="exact"/>
        <w:rPr>
          <w:sz w:val="20"/>
          <w:szCs w:val="20"/>
          <w:color w:val="auto"/>
        </w:rPr>
      </w:pPr>
    </w:p>
    <w:p>
      <w:pPr>
        <w:ind w:left="20"/>
        <w:spacing w:after="0"/>
        <w:tabs>
          <w:tab w:leader="none" w:pos="2480" w:val="left"/>
          <w:tab w:leader="none" w:pos="6200" w:val="left"/>
          <w:tab w:leader="none" w:pos="9040" w:val="left"/>
        </w:tabs>
        <w:rPr>
          <w:sz w:val="20"/>
          <w:szCs w:val="20"/>
          <w:color w:val="auto"/>
        </w:rPr>
      </w:pPr>
      <w:r>
        <w:rPr>
          <w:rFonts w:ascii="Arial" w:cs="Arial" w:eastAsia="Arial" w:hAnsi="Arial"/>
          <w:sz w:val="13"/>
          <w:szCs w:val="13"/>
          <w:b w:val="1"/>
          <w:bCs w:val="1"/>
          <w:color w:val="FFFFFF"/>
        </w:rPr>
        <w:t>Element</w:t>
      </w:r>
      <w:r>
        <w:rPr>
          <w:sz w:val="20"/>
          <w:szCs w:val="20"/>
          <w:color w:val="auto"/>
        </w:rPr>
        <w:tab/>
      </w:r>
      <w:r>
        <w:rPr>
          <w:rFonts w:ascii="Arial" w:cs="Arial" w:eastAsia="Arial" w:hAnsi="Arial"/>
          <w:sz w:val="13"/>
          <w:szCs w:val="13"/>
          <w:b w:val="1"/>
          <w:bCs w:val="1"/>
          <w:color w:val="FFFFFF"/>
        </w:rPr>
        <w:t>Key Characteristics</w:t>
      </w:r>
      <w:r>
        <w:rPr>
          <w:sz w:val="20"/>
          <w:szCs w:val="20"/>
          <w:color w:val="auto"/>
        </w:rPr>
        <w:tab/>
      </w:r>
      <w:r>
        <w:rPr>
          <w:rFonts w:ascii="Arial" w:cs="Arial" w:eastAsia="Arial" w:hAnsi="Arial"/>
          <w:sz w:val="13"/>
          <w:szCs w:val="13"/>
          <w:b w:val="1"/>
          <w:bCs w:val="1"/>
          <w:color w:val="FFFFFF"/>
        </w:rPr>
        <w:t>Purpose</w:t>
      </w:r>
      <w:r>
        <w:rPr>
          <w:sz w:val="20"/>
          <w:szCs w:val="20"/>
          <w:color w:val="auto"/>
        </w:rPr>
        <w:tab/>
      </w:r>
      <w:r>
        <w:rPr>
          <w:rFonts w:ascii="Arial" w:cs="Arial" w:eastAsia="Arial" w:hAnsi="Arial"/>
          <w:sz w:val="12"/>
          <w:szCs w:val="12"/>
          <w:b w:val="1"/>
          <w:bCs w:val="1"/>
          <w:color w:val="FFFFFF"/>
        </w:rPr>
        <w:t>Key Fiscal 2018 Actions</w:t>
      </w:r>
    </w:p>
    <w:p>
      <w:pPr>
        <w:sectPr>
          <w:pgSz w:w="11900" w:h="16838" w:orient="portrait"/>
          <w:cols w:equalWidth="0" w:num="1">
            <w:col w:w="11420"/>
          </w:cols>
          <w:pgMar w:left="240" w:top="140" w:right="239" w:bottom="1440" w:gutter="0" w:footer="0" w:header="0"/>
        </w:sectPr>
      </w:pPr>
    </w:p>
    <w:p>
      <w:pPr>
        <w:spacing w:after="0" w:line="4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5"/>
          <w:szCs w:val="15"/>
          <w:color w:val="auto"/>
        </w:rPr>
        <w:t>Base Salary</w:t>
      </w:r>
      <w:r>
        <w:rPr>
          <w:sz w:val="20"/>
          <w:szCs w:val="20"/>
          <w:color w:val="auto"/>
        </w:rPr>
        <w:tab/>
      </w:r>
      <w:r>
        <w:rPr>
          <w:rFonts w:ascii="Arial" w:cs="Arial" w:eastAsia="Arial" w:hAnsi="Arial"/>
          <w:sz w:val="14"/>
          <w:szCs w:val="14"/>
          <w:color w:val="auto"/>
        </w:rPr>
        <w:t>A fixed amount, paid in cash and reviewed</w:t>
      </w:r>
    </w:p>
    <w:p>
      <w:pPr>
        <w:ind w:left="1440"/>
        <w:spacing w:after="0"/>
        <w:rPr>
          <w:sz w:val="20"/>
          <w:szCs w:val="20"/>
          <w:color w:val="auto"/>
        </w:rPr>
      </w:pPr>
      <w:r>
        <w:rPr>
          <w:rFonts w:ascii="Arial" w:cs="Arial" w:eastAsia="Arial" w:hAnsi="Arial"/>
          <w:sz w:val="15"/>
          <w:szCs w:val="15"/>
          <w:color w:val="auto"/>
        </w:rPr>
        <w:t>annually and,</w:t>
      </w:r>
    </w:p>
    <w:p>
      <w:pPr>
        <w:spacing w:after="0" w:line="2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if appropriate, adjusted.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Provide a source of fixed income that is market Named executive officers received base salary competitive and reflects scope and responsibility of increases ranging from 3.0% to 22.4% of their</w:t>
      </w:r>
    </w:p>
    <w:p>
      <w:pPr>
        <w:spacing w:after="0" w:line="1" w:lineRule="exact"/>
        <w:rPr>
          <w:sz w:val="20"/>
          <w:szCs w:val="20"/>
          <w:color w:val="auto"/>
        </w:rPr>
      </w:pPr>
    </w:p>
    <w:p>
      <w:pPr>
        <w:spacing w:after="0"/>
        <w:tabs>
          <w:tab w:leader="none" w:pos="3340" w:val="left"/>
        </w:tabs>
        <w:rPr>
          <w:sz w:val="20"/>
          <w:szCs w:val="20"/>
          <w:color w:val="auto"/>
        </w:rPr>
      </w:pPr>
      <w:r>
        <w:rPr>
          <w:rFonts w:ascii="Arial" w:cs="Arial" w:eastAsia="Arial" w:hAnsi="Arial"/>
          <w:sz w:val="15"/>
          <w:szCs w:val="15"/>
          <w:color w:val="auto"/>
        </w:rPr>
        <w:t>the position held.</w:t>
      </w:r>
      <w:r>
        <w:rPr>
          <w:sz w:val="20"/>
          <w:szCs w:val="20"/>
          <w:color w:val="auto"/>
        </w:rPr>
        <w:tab/>
      </w:r>
      <w:r>
        <w:rPr>
          <w:rFonts w:ascii="Arial" w:cs="Arial" w:eastAsia="Arial" w:hAnsi="Arial"/>
          <w:sz w:val="14"/>
          <w:szCs w:val="14"/>
          <w:color w:val="auto"/>
        </w:rPr>
        <w:t>then current annual base salaries.</w:t>
      </w:r>
    </w:p>
    <w:p>
      <w:pPr>
        <w:spacing w:after="0" w:line="47" w:lineRule="exact"/>
        <w:rPr>
          <w:sz w:val="20"/>
          <w:szCs w:val="20"/>
          <w:color w:val="auto"/>
        </w:rPr>
      </w:pPr>
    </w:p>
    <w:p>
      <w:pPr>
        <w:sectPr>
          <w:pgSz w:w="11900" w:h="16838" w:orient="portrait"/>
          <w:cols w:equalWidth="0" w:num="2">
            <w:col w:w="4200" w:space="620"/>
            <w:col w:w="660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1360" w:type="dxa"/>
            <w:vAlign w:val="bottom"/>
            <w:shd w:val="clear" w:color="auto" w:fill="D9D9D9"/>
          </w:tcPr>
          <w:p>
            <w:pPr>
              <w:ind w:left="20"/>
              <w:spacing w:after="0"/>
              <w:rPr>
                <w:sz w:val="20"/>
                <w:szCs w:val="20"/>
                <w:color w:val="auto"/>
              </w:rPr>
            </w:pPr>
            <w:r>
              <w:rPr>
                <w:rFonts w:ascii="Arial" w:cs="Arial" w:eastAsia="Arial" w:hAnsi="Arial"/>
                <w:sz w:val="15"/>
                <w:szCs w:val="15"/>
                <w:color w:val="auto"/>
              </w:rPr>
              <w:t>Annual Cash</w:t>
            </w:r>
          </w:p>
        </w:tc>
        <w:tc>
          <w:tcPr>
            <w:tcW w:w="3360" w:type="dxa"/>
            <w:vAlign w:val="bottom"/>
            <w:shd w:val="clear" w:color="auto" w:fill="D9D9D9"/>
          </w:tcPr>
          <w:p>
            <w:pPr>
              <w:ind w:left="80"/>
              <w:spacing w:after="0"/>
              <w:rPr>
                <w:sz w:val="20"/>
                <w:szCs w:val="20"/>
                <w:color w:val="auto"/>
              </w:rPr>
            </w:pPr>
            <w:r>
              <w:rPr>
                <w:rFonts w:ascii="Arial" w:cs="Arial" w:eastAsia="Arial" w:hAnsi="Arial"/>
                <w:sz w:val="15"/>
                <w:szCs w:val="15"/>
                <w:color w:val="auto"/>
              </w:rPr>
              <w:t>A variable, short-term element of compensation</w:t>
            </w:r>
          </w:p>
        </w:tc>
        <w:tc>
          <w:tcPr>
            <w:tcW w:w="3420" w:type="dxa"/>
            <w:vAlign w:val="bottom"/>
            <w:shd w:val="clear" w:color="auto" w:fill="D9D9D9"/>
          </w:tcPr>
          <w:p>
            <w:pPr>
              <w:ind w:left="100"/>
              <w:spacing w:after="0"/>
              <w:rPr>
                <w:sz w:val="20"/>
                <w:szCs w:val="20"/>
                <w:color w:val="auto"/>
              </w:rPr>
            </w:pPr>
            <w:r>
              <w:rPr>
                <w:rFonts w:ascii="Arial" w:cs="Arial" w:eastAsia="Arial" w:hAnsi="Arial"/>
                <w:sz w:val="15"/>
                <w:szCs w:val="15"/>
                <w:color w:val="auto"/>
              </w:rPr>
              <w:t>Motivate and reward our executive officers for</w:t>
            </w: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Target awards as a percent of base salary for</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ind w:left="20"/>
              <w:spacing w:after="0"/>
              <w:rPr>
                <w:sz w:val="20"/>
                <w:szCs w:val="20"/>
                <w:color w:val="auto"/>
              </w:rPr>
            </w:pPr>
            <w:r>
              <w:rPr>
                <w:rFonts w:ascii="Arial" w:cs="Arial" w:eastAsia="Arial" w:hAnsi="Arial"/>
                <w:sz w:val="15"/>
                <w:szCs w:val="15"/>
                <w:color w:val="auto"/>
              </w:rPr>
              <w:t>Incentive</w:t>
            </w:r>
          </w:p>
        </w:tc>
        <w:tc>
          <w:tcPr>
            <w:tcW w:w="3360" w:type="dxa"/>
            <w:vAlign w:val="bottom"/>
            <w:shd w:val="clear" w:color="auto" w:fill="D9D9D9"/>
          </w:tcPr>
          <w:p>
            <w:pPr>
              <w:ind w:left="80"/>
              <w:spacing w:after="0"/>
              <w:rPr>
                <w:sz w:val="20"/>
                <w:szCs w:val="20"/>
                <w:color w:val="auto"/>
              </w:rPr>
            </w:pPr>
            <w:r>
              <w:rPr>
                <w:rFonts w:ascii="Arial" w:cs="Arial" w:eastAsia="Arial" w:hAnsi="Arial"/>
                <w:sz w:val="15"/>
                <w:szCs w:val="15"/>
                <w:color w:val="auto"/>
              </w:rPr>
              <w:t>that is payable in cash based on achievement of</w:t>
            </w:r>
          </w:p>
        </w:tc>
        <w:tc>
          <w:tcPr>
            <w:tcW w:w="3420" w:type="dxa"/>
            <w:vAlign w:val="bottom"/>
            <w:shd w:val="clear" w:color="auto" w:fill="D9D9D9"/>
          </w:tcPr>
          <w:p>
            <w:pPr>
              <w:ind w:left="100"/>
              <w:spacing w:after="0"/>
              <w:rPr>
                <w:sz w:val="20"/>
                <w:szCs w:val="20"/>
                <w:color w:val="auto"/>
              </w:rPr>
            </w:pPr>
            <w:r>
              <w:rPr>
                <w:rFonts w:ascii="Arial" w:cs="Arial" w:eastAsia="Arial" w:hAnsi="Arial"/>
                <w:sz w:val="15"/>
                <w:szCs w:val="15"/>
                <w:color w:val="auto"/>
              </w:rPr>
              <w:t>achievement of annual financial business goals</w:t>
            </w: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named executive officers were established at</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3360" w:type="dxa"/>
            <w:vAlign w:val="bottom"/>
            <w:shd w:val="clear" w:color="auto" w:fill="D9D9D9"/>
          </w:tcPr>
          <w:p>
            <w:pPr>
              <w:ind w:left="80"/>
              <w:spacing w:after="0"/>
              <w:rPr>
                <w:sz w:val="20"/>
                <w:szCs w:val="20"/>
                <w:color w:val="auto"/>
              </w:rPr>
            </w:pPr>
            <w:r>
              <w:rPr>
                <w:rFonts w:ascii="Arial" w:cs="Arial" w:eastAsia="Arial" w:hAnsi="Arial"/>
                <w:sz w:val="15"/>
                <w:szCs w:val="15"/>
                <w:color w:val="auto"/>
              </w:rPr>
              <w:t>key pre-established annual corporate financial</w:t>
            </w:r>
          </w:p>
        </w:tc>
        <w:tc>
          <w:tcPr>
            <w:tcW w:w="3420" w:type="dxa"/>
            <w:vAlign w:val="bottom"/>
            <w:shd w:val="clear" w:color="auto" w:fill="D9D9D9"/>
          </w:tcPr>
          <w:p>
            <w:pPr>
              <w:ind w:left="100"/>
              <w:spacing w:after="0"/>
              <w:rPr>
                <w:sz w:val="20"/>
                <w:szCs w:val="20"/>
                <w:color w:val="auto"/>
              </w:rPr>
            </w:pPr>
            <w:r>
              <w:rPr>
                <w:rFonts w:ascii="Arial" w:cs="Arial" w:eastAsia="Arial" w:hAnsi="Arial"/>
                <w:sz w:val="15"/>
                <w:szCs w:val="15"/>
                <w:color w:val="auto"/>
              </w:rPr>
              <w:t>intended to drive overall company and division</w:t>
            </w: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55% to 110% of fiscal year base salary.</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3360" w:type="dxa"/>
            <w:vAlign w:val="bottom"/>
            <w:shd w:val="clear" w:color="auto" w:fill="D9D9D9"/>
          </w:tcPr>
          <w:p>
            <w:pPr>
              <w:ind w:left="80"/>
              <w:spacing w:after="0"/>
              <w:rPr>
                <w:sz w:val="20"/>
                <w:szCs w:val="20"/>
                <w:color w:val="auto"/>
              </w:rPr>
            </w:pPr>
            <w:r>
              <w:rPr>
                <w:rFonts w:ascii="Arial" w:cs="Arial" w:eastAsia="Arial" w:hAnsi="Arial"/>
                <w:sz w:val="15"/>
                <w:szCs w:val="15"/>
                <w:color w:val="auto"/>
              </w:rPr>
              <w:t>goals and for division participants, division</w:t>
            </w:r>
          </w:p>
        </w:tc>
        <w:tc>
          <w:tcPr>
            <w:tcW w:w="3420" w:type="dxa"/>
            <w:vAlign w:val="bottom"/>
            <w:shd w:val="clear" w:color="auto" w:fill="D9D9D9"/>
          </w:tcPr>
          <w:p>
            <w:pPr>
              <w:ind w:left="100"/>
              <w:spacing w:after="0"/>
              <w:rPr>
                <w:sz w:val="20"/>
                <w:szCs w:val="20"/>
                <w:color w:val="auto"/>
              </w:rPr>
            </w:pPr>
            <w:r>
              <w:rPr>
                <w:rFonts w:ascii="Arial" w:cs="Arial" w:eastAsia="Arial" w:hAnsi="Arial"/>
                <w:sz w:val="15"/>
                <w:szCs w:val="15"/>
                <w:color w:val="auto"/>
              </w:rPr>
              <w:t>performance.</w:t>
            </w:r>
          </w:p>
        </w:tc>
        <w:tc>
          <w:tcPr>
            <w:tcW w:w="3280" w:type="dxa"/>
            <w:vAlign w:val="bottom"/>
            <w:vMerge w:val="restart"/>
            <w:shd w:val="clear" w:color="auto" w:fill="D9D9D9"/>
          </w:tcPr>
          <w:p>
            <w:pPr>
              <w:ind w:left="40"/>
              <w:spacing w:after="0"/>
              <w:rPr>
                <w:sz w:val="20"/>
                <w:szCs w:val="20"/>
                <w:color w:val="auto"/>
              </w:rPr>
            </w:pPr>
            <w:r>
              <w:rPr>
                <w:rFonts w:ascii="Arial" w:cs="Arial" w:eastAsia="Arial" w:hAnsi="Arial"/>
                <w:sz w:val="15"/>
                <w:szCs w:val="15"/>
                <w:color w:val="auto"/>
              </w:rPr>
              <w:t>Corporate performance measures and</w:t>
            </w:r>
          </w:p>
        </w:tc>
        <w:tc>
          <w:tcPr>
            <w:tcW w:w="0" w:type="dxa"/>
            <w:vAlign w:val="bottom"/>
          </w:tcPr>
          <w:p>
            <w:pPr>
              <w:spacing w:after="0"/>
              <w:rPr>
                <w:sz w:val="1"/>
                <w:szCs w:val="1"/>
                <w:color w:val="auto"/>
              </w:rPr>
            </w:pPr>
          </w:p>
        </w:tc>
      </w:tr>
      <w:tr>
        <w:trPr>
          <w:trHeight w:val="49"/>
        </w:trPr>
        <w:tc>
          <w:tcPr>
            <w:tcW w:w="1360" w:type="dxa"/>
            <w:vAlign w:val="bottom"/>
            <w:shd w:val="clear" w:color="auto" w:fill="D9D9D9"/>
          </w:tcPr>
          <w:p>
            <w:pPr>
              <w:spacing w:after="0"/>
              <w:rPr>
                <w:sz w:val="4"/>
                <w:szCs w:val="4"/>
                <w:color w:val="auto"/>
              </w:rPr>
            </w:pPr>
          </w:p>
        </w:tc>
        <w:tc>
          <w:tcPr>
            <w:tcW w:w="3360" w:type="dxa"/>
            <w:vAlign w:val="bottom"/>
            <w:vMerge w:val="restart"/>
            <w:shd w:val="clear" w:color="auto" w:fill="D9D9D9"/>
          </w:tcPr>
          <w:p>
            <w:pPr>
              <w:ind w:left="80"/>
              <w:spacing w:after="0"/>
              <w:rPr>
                <w:sz w:val="20"/>
                <w:szCs w:val="20"/>
                <w:color w:val="auto"/>
              </w:rPr>
            </w:pPr>
            <w:r>
              <w:rPr>
                <w:rFonts w:ascii="Arial" w:cs="Arial" w:eastAsia="Arial" w:hAnsi="Arial"/>
                <w:sz w:val="15"/>
                <w:szCs w:val="15"/>
                <w:color w:val="auto"/>
              </w:rPr>
              <w:t>financial goals.</w:t>
            </w:r>
          </w:p>
        </w:tc>
        <w:tc>
          <w:tcPr>
            <w:tcW w:w="3420" w:type="dxa"/>
            <w:vAlign w:val="bottom"/>
            <w:shd w:val="clear" w:color="auto" w:fill="D9D9D9"/>
          </w:tcPr>
          <w:p>
            <w:pPr>
              <w:spacing w:after="0"/>
              <w:rPr>
                <w:sz w:val="4"/>
                <w:szCs w:val="4"/>
                <w:color w:val="auto"/>
              </w:rPr>
            </w:pPr>
          </w:p>
        </w:tc>
        <w:tc>
          <w:tcPr>
            <w:tcW w:w="328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360" w:type="dxa"/>
            <w:vAlign w:val="bottom"/>
            <w:shd w:val="clear" w:color="auto" w:fill="D9D9D9"/>
          </w:tcPr>
          <w:p>
            <w:pPr>
              <w:spacing w:after="0"/>
              <w:rPr>
                <w:sz w:val="11"/>
                <w:szCs w:val="11"/>
                <w:color w:val="auto"/>
              </w:rPr>
            </w:pPr>
          </w:p>
        </w:tc>
        <w:tc>
          <w:tcPr>
            <w:tcW w:w="3360" w:type="dxa"/>
            <w:vAlign w:val="bottom"/>
            <w:vMerge w:val="continue"/>
            <w:shd w:val="clear" w:color="auto" w:fill="D9D9D9"/>
          </w:tcPr>
          <w:p>
            <w:pPr>
              <w:spacing w:after="0"/>
              <w:rPr>
                <w:sz w:val="11"/>
                <w:szCs w:val="11"/>
                <w:color w:val="auto"/>
              </w:rPr>
            </w:pPr>
          </w:p>
        </w:tc>
        <w:tc>
          <w:tcPr>
            <w:tcW w:w="3420" w:type="dxa"/>
            <w:vAlign w:val="bottom"/>
            <w:shd w:val="clear" w:color="auto" w:fill="D9D9D9"/>
          </w:tcPr>
          <w:p>
            <w:pPr>
              <w:spacing w:after="0"/>
              <w:rPr>
                <w:sz w:val="11"/>
                <w:szCs w:val="11"/>
                <w:color w:val="auto"/>
              </w:rPr>
            </w:pPr>
          </w:p>
        </w:tc>
        <w:tc>
          <w:tcPr>
            <w:tcW w:w="3280" w:type="dxa"/>
            <w:vAlign w:val="bottom"/>
            <w:vMerge w:val="restart"/>
            <w:shd w:val="clear" w:color="auto" w:fill="D9D9D9"/>
          </w:tcPr>
          <w:p>
            <w:pPr>
              <w:ind w:left="40"/>
              <w:spacing w:after="0"/>
              <w:rPr>
                <w:sz w:val="20"/>
                <w:szCs w:val="20"/>
                <w:color w:val="auto"/>
              </w:rPr>
            </w:pPr>
            <w:r>
              <w:rPr>
                <w:rFonts w:ascii="Arial" w:cs="Arial" w:eastAsia="Arial" w:hAnsi="Arial"/>
                <w:sz w:val="15"/>
                <w:szCs w:val="15"/>
                <w:color w:val="auto"/>
              </w:rPr>
              <w:t>weightings were established for Messrs. Olson,</w:t>
            </w:r>
          </w:p>
        </w:tc>
        <w:tc>
          <w:tcPr>
            <w:tcW w:w="0" w:type="dxa"/>
            <w:vAlign w:val="bottom"/>
          </w:tcPr>
          <w:p>
            <w:pPr>
              <w:spacing w:after="0"/>
              <w:rPr>
                <w:sz w:val="1"/>
                <w:szCs w:val="1"/>
                <w:color w:val="auto"/>
              </w:rPr>
            </w:pPr>
          </w:p>
        </w:tc>
      </w:tr>
      <w:tr>
        <w:trPr>
          <w:trHeight w:val="43"/>
        </w:trPr>
        <w:tc>
          <w:tcPr>
            <w:tcW w:w="1360" w:type="dxa"/>
            <w:vAlign w:val="bottom"/>
            <w:shd w:val="clear" w:color="auto" w:fill="D9D9D9"/>
          </w:tcPr>
          <w:p>
            <w:pPr>
              <w:spacing w:after="0"/>
              <w:rPr>
                <w:sz w:val="3"/>
                <w:szCs w:val="3"/>
                <w:color w:val="auto"/>
              </w:rPr>
            </w:pPr>
          </w:p>
        </w:tc>
        <w:tc>
          <w:tcPr>
            <w:tcW w:w="3360" w:type="dxa"/>
            <w:vAlign w:val="bottom"/>
            <w:shd w:val="clear" w:color="auto" w:fill="D9D9D9"/>
          </w:tcPr>
          <w:p>
            <w:pPr>
              <w:spacing w:after="0"/>
              <w:rPr>
                <w:sz w:val="3"/>
                <w:szCs w:val="3"/>
                <w:color w:val="auto"/>
              </w:rPr>
            </w:pPr>
          </w:p>
        </w:tc>
        <w:tc>
          <w:tcPr>
            <w:tcW w:w="3420" w:type="dxa"/>
            <w:vAlign w:val="bottom"/>
            <w:shd w:val="clear" w:color="auto" w:fill="D9D9D9"/>
          </w:tcPr>
          <w:p>
            <w:pPr>
              <w:spacing w:after="0"/>
              <w:rPr>
                <w:sz w:val="3"/>
                <w:szCs w:val="3"/>
                <w:color w:val="auto"/>
              </w:rPr>
            </w:pPr>
          </w:p>
        </w:tc>
        <w:tc>
          <w:tcPr>
            <w:tcW w:w="3280" w:type="dxa"/>
            <w:vAlign w:val="bottom"/>
            <w:vMerge w:val="continue"/>
            <w:shd w:val="clear" w:color="auto" w:fill="D9D9D9"/>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3360" w:type="dxa"/>
            <w:vAlign w:val="bottom"/>
            <w:shd w:val="clear" w:color="auto" w:fill="D9D9D9"/>
          </w:tcPr>
          <w:p>
            <w:pPr>
              <w:spacing w:after="0"/>
              <w:rPr>
                <w:sz w:val="14"/>
                <w:szCs w:val="14"/>
                <w:color w:val="auto"/>
              </w:rPr>
            </w:pPr>
          </w:p>
        </w:tc>
        <w:tc>
          <w:tcPr>
            <w:tcW w:w="3420" w:type="dxa"/>
            <w:vAlign w:val="bottom"/>
            <w:shd w:val="clear" w:color="auto" w:fill="D9D9D9"/>
          </w:tcPr>
          <w:p>
            <w:pPr>
              <w:spacing w:after="0"/>
              <w:rPr>
                <w:sz w:val="14"/>
                <w:szCs w:val="14"/>
                <w:color w:val="auto"/>
              </w:rPr>
            </w:pP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Dordell, Brown and Ms. Peterson for fiscal 2018.</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3360" w:type="dxa"/>
            <w:vAlign w:val="bottom"/>
            <w:shd w:val="clear" w:color="auto" w:fill="D9D9D9"/>
          </w:tcPr>
          <w:p>
            <w:pPr>
              <w:spacing w:after="0"/>
              <w:rPr>
                <w:sz w:val="14"/>
                <w:szCs w:val="14"/>
                <w:color w:val="auto"/>
              </w:rPr>
            </w:pPr>
          </w:p>
        </w:tc>
        <w:tc>
          <w:tcPr>
            <w:tcW w:w="3420" w:type="dxa"/>
            <w:vAlign w:val="bottom"/>
            <w:shd w:val="clear" w:color="auto" w:fill="D9D9D9"/>
          </w:tcPr>
          <w:p>
            <w:pPr>
              <w:spacing w:after="0"/>
              <w:rPr>
                <w:sz w:val="14"/>
                <w:szCs w:val="14"/>
                <w:color w:val="auto"/>
              </w:rPr>
            </w:pP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Corporate and division performance measures</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spacing w:after="0"/>
              <w:rPr>
                <w:sz w:val="14"/>
                <w:szCs w:val="14"/>
                <w:color w:val="auto"/>
              </w:rPr>
            </w:pPr>
          </w:p>
        </w:tc>
        <w:tc>
          <w:tcPr>
            <w:tcW w:w="3360" w:type="dxa"/>
            <w:vAlign w:val="bottom"/>
            <w:shd w:val="clear" w:color="auto" w:fill="D9D9D9"/>
          </w:tcPr>
          <w:p>
            <w:pPr>
              <w:spacing w:after="0"/>
              <w:rPr>
                <w:sz w:val="14"/>
                <w:szCs w:val="14"/>
                <w:color w:val="auto"/>
              </w:rPr>
            </w:pPr>
          </w:p>
        </w:tc>
        <w:tc>
          <w:tcPr>
            <w:tcW w:w="3420" w:type="dxa"/>
            <w:vAlign w:val="bottom"/>
            <w:shd w:val="clear" w:color="auto" w:fill="D9D9D9"/>
          </w:tcPr>
          <w:p>
            <w:pPr>
              <w:spacing w:after="0"/>
              <w:rPr>
                <w:sz w:val="14"/>
                <w:szCs w:val="14"/>
                <w:color w:val="auto"/>
              </w:rPr>
            </w:pP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w w:val="98"/>
              </w:rPr>
              <w:t>and weightings were established for Mr. Hamilton</w:t>
            </w:r>
          </w:p>
        </w:tc>
        <w:tc>
          <w:tcPr>
            <w:tcW w:w="0" w:type="dxa"/>
            <w:vAlign w:val="bottom"/>
          </w:tcPr>
          <w:p>
            <w:pPr>
              <w:spacing w:after="0"/>
              <w:rPr>
                <w:sz w:val="1"/>
                <w:szCs w:val="1"/>
                <w:color w:val="auto"/>
              </w:rPr>
            </w:pPr>
          </w:p>
        </w:tc>
      </w:tr>
      <w:tr>
        <w:trPr>
          <w:trHeight w:val="194"/>
        </w:trPr>
        <w:tc>
          <w:tcPr>
            <w:tcW w:w="1360" w:type="dxa"/>
            <w:vAlign w:val="bottom"/>
            <w:shd w:val="clear" w:color="auto" w:fill="D9D9D9"/>
          </w:tcPr>
          <w:p>
            <w:pPr>
              <w:spacing w:after="0"/>
              <w:rPr>
                <w:sz w:val="16"/>
                <w:szCs w:val="16"/>
                <w:color w:val="auto"/>
              </w:rPr>
            </w:pPr>
          </w:p>
        </w:tc>
        <w:tc>
          <w:tcPr>
            <w:tcW w:w="3360" w:type="dxa"/>
            <w:vAlign w:val="bottom"/>
            <w:shd w:val="clear" w:color="auto" w:fill="D9D9D9"/>
          </w:tcPr>
          <w:p>
            <w:pPr>
              <w:spacing w:after="0"/>
              <w:rPr>
                <w:sz w:val="16"/>
                <w:szCs w:val="16"/>
                <w:color w:val="auto"/>
              </w:rPr>
            </w:pPr>
          </w:p>
        </w:tc>
        <w:tc>
          <w:tcPr>
            <w:tcW w:w="3420" w:type="dxa"/>
            <w:vAlign w:val="bottom"/>
            <w:shd w:val="clear" w:color="auto" w:fill="D9D9D9"/>
          </w:tcPr>
          <w:p>
            <w:pPr>
              <w:spacing w:after="0"/>
              <w:rPr>
                <w:sz w:val="16"/>
                <w:szCs w:val="16"/>
                <w:color w:val="auto"/>
              </w:rPr>
            </w:pP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for fiscal 2018.</w:t>
            </w:r>
          </w:p>
        </w:tc>
        <w:tc>
          <w:tcPr>
            <w:tcW w:w="0" w:type="dxa"/>
            <w:vAlign w:val="bottom"/>
          </w:tcPr>
          <w:p>
            <w:pPr>
              <w:spacing w:after="0"/>
              <w:rPr>
                <w:sz w:val="1"/>
                <w:szCs w:val="1"/>
                <w:color w:val="auto"/>
              </w:rPr>
            </w:pPr>
          </w:p>
        </w:tc>
      </w:tr>
      <w:tr>
        <w:trPr>
          <w:trHeight w:val="186"/>
        </w:trPr>
        <w:tc>
          <w:tcPr>
            <w:tcW w:w="1360" w:type="dxa"/>
            <w:vAlign w:val="bottom"/>
          </w:tcPr>
          <w:p>
            <w:pPr>
              <w:ind w:left="20"/>
              <w:spacing w:after="0"/>
              <w:rPr>
                <w:sz w:val="20"/>
                <w:szCs w:val="20"/>
                <w:color w:val="auto"/>
              </w:rPr>
            </w:pPr>
            <w:r>
              <w:rPr>
                <w:rFonts w:ascii="Arial" w:cs="Arial" w:eastAsia="Arial" w:hAnsi="Arial"/>
                <w:sz w:val="15"/>
                <w:szCs w:val="15"/>
                <w:color w:val="auto"/>
              </w:rPr>
              <w:t>Long-Term</w:t>
            </w:r>
          </w:p>
        </w:tc>
        <w:tc>
          <w:tcPr>
            <w:tcW w:w="3360" w:type="dxa"/>
            <w:vAlign w:val="bottom"/>
          </w:tcPr>
          <w:p>
            <w:pPr>
              <w:ind w:left="80"/>
              <w:spacing w:after="0"/>
              <w:rPr>
                <w:sz w:val="20"/>
                <w:szCs w:val="20"/>
                <w:color w:val="auto"/>
              </w:rPr>
            </w:pPr>
            <w:r>
              <w:rPr>
                <w:rFonts w:ascii="Arial" w:cs="Arial" w:eastAsia="Arial" w:hAnsi="Arial"/>
                <w:sz w:val="15"/>
                <w:szCs w:val="15"/>
                <w:color w:val="auto"/>
              </w:rPr>
              <w:t>A variable, long-term element of compensation</w:t>
            </w:r>
          </w:p>
        </w:tc>
        <w:tc>
          <w:tcPr>
            <w:tcW w:w="6700" w:type="dxa"/>
            <w:vAlign w:val="bottom"/>
            <w:gridSpan w:val="2"/>
          </w:tcPr>
          <w:p>
            <w:pPr>
              <w:ind w:left="100"/>
              <w:spacing w:after="0"/>
              <w:rPr>
                <w:sz w:val="20"/>
                <w:szCs w:val="20"/>
                <w:color w:val="auto"/>
              </w:rPr>
            </w:pPr>
            <w:r>
              <w:rPr>
                <w:rFonts w:ascii="Arial" w:cs="Arial" w:eastAsia="Arial" w:hAnsi="Arial"/>
                <w:sz w:val="15"/>
                <w:szCs w:val="15"/>
                <w:color w:val="auto"/>
                <w:w w:val="98"/>
              </w:rPr>
              <w:t>Align the interests of our executive officers with our Our named executive officers were granted stock</w:t>
            </w:r>
          </w:p>
        </w:tc>
        <w:tc>
          <w:tcPr>
            <w:tcW w:w="0" w:type="dxa"/>
            <w:vAlign w:val="bottom"/>
          </w:tcPr>
          <w:p>
            <w:pPr>
              <w:spacing w:after="0"/>
              <w:rPr>
                <w:sz w:val="1"/>
                <w:szCs w:val="1"/>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5"/>
                <w:szCs w:val="15"/>
                <w:color w:val="auto"/>
              </w:rPr>
              <w:t>Incentives</w:t>
            </w:r>
          </w:p>
        </w:tc>
        <w:tc>
          <w:tcPr>
            <w:tcW w:w="3360" w:type="dxa"/>
            <w:vAlign w:val="bottom"/>
          </w:tcPr>
          <w:p>
            <w:pPr>
              <w:ind w:left="80"/>
              <w:spacing w:after="0"/>
              <w:rPr>
                <w:sz w:val="20"/>
                <w:szCs w:val="20"/>
                <w:color w:val="auto"/>
              </w:rPr>
            </w:pPr>
            <w:r>
              <w:rPr>
                <w:rFonts w:ascii="Arial" w:cs="Arial" w:eastAsia="Arial" w:hAnsi="Arial"/>
                <w:sz w:val="15"/>
                <w:szCs w:val="15"/>
                <w:color w:val="auto"/>
              </w:rPr>
              <w:t>that is provided in the form of stock options and</w:t>
            </w:r>
          </w:p>
        </w:tc>
        <w:tc>
          <w:tcPr>
            <w:tcW w:w="3420" w:type="dxa"/>
            <w:vAlign w:val="bottom"/>
          </w:tcPr>
          <w:p>
            <w:pPr>
              <w:ind w:left="100"/>
              <w:spacing w:after="0"/>
              <w:rPr>
                <w:sz w:val="20"/>
                <w:szCs w:val="20"/>
                <w:color w:val="auto"/>
              </w:rPr>
            </w:pPr>
            <w:r>
              <w:rPr>
                <w:rFonts w:ascii="Arial" w:cs="Arial" w:eastAsia="Arial" w:hAnsi="Arial"/>
                <w:sz w:val="15"/>
                <w:szCs w:val="15"/>
                <w:color w:val="auto"/>
              </w:rPr>
              <w:t>shareholders; encourage focus on long-term</w:t>
            </w:r>
          </w:p>
        </w:tc>
        <w:tc>
          <w:tcPr>
            <w:tcW w:w="3280" w:type="dxa"/>
            <w:vAlign w:val="bottom"/>
          </w:tcPr>
          <w:p>
            <w:pPr>
              <w:ind w:left="40"/>
              <w:spacing w:after="0"/>
              <w:rPr>
                <w:sz w:val="20"/>
                <w:szCs w:val="20"/>
                <w:color w:val="auto"/>
              </w:rPr>
            </w:pPr>
            <w:r>
              <w:rPr>
                <w:rFonts w:ascii="Arial" w:cs="Arial" w:eastAsia="Arial" w:hAnsi="Arial"/>
                <w:sz w:val="15"/>
                <w:szCs w:val="15"/>
                <w:color w:val="auto"/>
              </w:rPr>
              <w:t>options and performance share awards.</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5"/>
                <w:szCs w:val="15"/>
                <w:color w:val="auto"/>
              </w:rPr>
              <w:t>performance share awards. Stock options are</w:t>
            </w:r>
          </w:p>
        </w:tc>
        <w:tc>
          <w:tcPr>
            <w:tcW w:w="3420" w:type="dxa"/>
            <w:vAlign w:val="bottom"/>
          </w:tcPr>
          <w:p>
            <w:pPr>
              <w:ind w:left="100"/>
              <w:spacing w:after="0"/>
              <w:rPr>
                <w:sz w:val="20"/>
                <w:szCs w:val="20"/>
                <w:color w:val="auto"/>
              </w:rPr>
            </w:pPr>
            <w:r>
              <w:rPr>
                <w:rFonts w:ascii="Arial" w:cs="Arial" w:eastAsia="Arial" w:hAnsi="Arial"/>
                <w:sz w:val="15"/>
                <w:szCs w:val="15"/>
                <w:color w:val="auto"/>
                <w:w w:val="98"/>
              </w:rPr>
              <w:t>company financial performance measures that are</w:t>
            </w:r>
          </w:p>
        </w:tc>
        <w:tc>
          <w:tcPr>
            <w:tcW w:w="3280" w:type="dxa"/>
            <w:vAlign w:val="bottom"/>
          </w:tcPr>
          <w:p>
            <w:pPr>
              <w:ind w:left="40"/>
              <w:spacing w:after="0"/>
              <w:rPr>
                <w:sz w:val="20"/>
                <w:szCs w:val="20"/>
                <w:color w:val="auto"/>
              </w:rPr>
            </w:pPr>
            <w:r>
              <w:rPr>
                <w:rFonts w:ascii="Arial" w:cs="Arial" w:eastAsia="Arial" w:hAnsi="Arial"/>
                <w:sz w:val="15"/>
                <w:szCs w:val="15"/>
                <w:color w:val="auto"/>
              </w:rPr>
              <w:t>Corporate performance measures and</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3360" w:type="dxa"/>
            <w:vAlign w:val="bottom"/>
          </w:tcPr>
          <w:p>
            <w:pPr>
              <w:ind w:left="80"/>
              <w:spacing w:after="0" w:line="161" w:lineRule="exact"/>
              <w:rPr>
                <w:sz w:val="20"/>
                <w:szCs w:val="20"/>
                <w:color w:val="auto"/>
              </w:rPr>
            </w:pPr>
            <w:r>
              <w:rPr>
                <w:rFonts w:ascii="Arial" w:cs="Arial" w:eastAsia="Arial" w:hAnsi="Arial"/>
                <w:sz w:val="15"/>
                <w:szCs w:val="15"/>
                <w:color w:val="auto"/>
              </w:rPr>
              <w:t>time-based and vest no more frequently than</w:t>
            </w:r>
          </w:p>
        </w:tc>
        <w:tc>
          <w:tcPr>
            <w:tcW w:w="3420" w:type="dxa"/>
            <w:vAlign w:val="bottom"/>
          </w:tcPr>
          <w:p>
            <w:pPr>
              <w:ind w:left="100"/>
              <w:spacing w:after="0" w:line="161" w:lineRule="exact"/>
              <w:rPr>
                <w:sz w:val="20"/>
                <w:szCs w:val="20"/>
                <w:color w:val="auto"/>
              </w:rPr>
            </w:pPr>
            <w:r>
              <w:rPr>
                <w:rFonts w:ascii="Arial" w:cs="Arial" w:eastAsia="Arial" w:hAnsi="Arial"/>
                <w:sz w:val="15"/>
                <w:szCs w:val="15"/>
                <w:color w:val="auto"/>
              </w:rPr>
              <w:t>deemed strategically and operationally important</w:t>
            </w:r>
          </w:p>
        </w:tc>
        <w:tc>
          <w:tcPr>
            <w:tcW w:w="3280" w:type="dxa"/>
            <w:vAlign w:val="bottom"/>
            <w:vMerge w:val="restart"/>
          </w:tcPr>
          <w:p>
            <w:pPr>
              <w:ind w:left="40"/>
              <w:spacing w:after="0"/>
              <w:rPr>
                <w:sz w:val="20"/>
                <w:szCs w:val="20"/>
                <w:color w:val="auto"/>
              </w:rPr>
            </w:pPr>
            <w:r>
              <w:rPr>
                <w:rFonts w:ascii="Arial" w:cs="Arial" w:eastAsia="Arial" w:hAnsi="Arial"/>
                <w:sz w:val="15"/>
                <w:szCs w:val="15"/>
                <w:color w:val="auto"/>
              </w:rPr>
              <w:t>weightings were established for all of our named</w:t>
            </w: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3360" w:type="dxa"/>
            <w:vAlign w:val="bottom"/>
            <w:vMerge w:val="restart"/>
          </w:tcPr>
          <w:p>
            <w:pPr>
              <w:ind w:left="80"/>
              <w:spacing w:after="0"/>
              <w:rPr>
                <w:sz w:val="20"/>
                <w:szCs w:val="20"/>
                <w:color w:val="auto"/>
              </w:rPr>
            </w:pPr>
            <w:r>
              <w:rPr>
                <w:rFonts w:ascii="Arial" w:cs="Arial" w:eastAsia="Arial" w:hAnsi="Arial"/>
                <w:sz w:val="15"/>
                <w:szCs w:val="15"/>
                <w:color w:val="auto"/>
              </w:rPr>
              <w:t>ratably over three years and performance share</w:t>
            </w:r>
          </w:p>
        </w:tc>
        <w:tc>
          <w:tcPr>
            <w:tcW w:w="3420" w:type="dxa"/>
            <w:vAlign w:val="bottom"/>
            <w:vMerge w:val="restart"/>
          </w:tcPr>
          <w:p>
            <w:pPr>
              <w:ind w:left="100"/>
              <w:spacing w:after="0"/>
              <w:rPr>
                <w:sz w:val="20"/>
                <w:szCs w:val="20"/>
                <w:color w:val="auto"/>
              </w:rPr>
            </w:pPr>
            <w:r>
              <w:rPr>
                <w:rFonts w:ascii="Arial" w:cs="Arial" w:eastAsia="Arial" w:hAnsi="Arial"/>
                <w:sz w:val="15"/>
                <w:szCs w:val="15"/>
                <w:color w:val="auto"/>
              </w:rPr>
              <w:t>to our company; promote retention of our</w:t>
            </w:r>
          </w:p>
        </w:tc>
        <w:tc>
          <w:tcPr>
            <w:tcW w:w="3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3280" w:type="dxa"/>
            <w:vAlign w:val="bottom"/>
            <w:vMerge w:val="restart"/>
          </w:tcPr>
          <w:p>
            <w:pPr>
              <w:ind w:left="40"/>
              <w:spacing w:after="0"/>
              <w:rPr>
                <w:sz w:val="20"/>
                <w:szCs w:val="20"/>
                <w:color w:val="auto"/>
              </w:rPr>
            </w:pPr>
            <w:r>
              <w:rPr>
                <w:rFonts w:ascii="Arial" w:cs="Arial" w:eastAsia="Arial" w:hAnsi="Arial"/>
                <w:sz w:val="15"/>
                <w:szCs w:val="15"/>
                <w:color w:val="auto"/>
              </w:rPr>
              <w:t>executive officers receiving performance share</w:t>
            </w: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3360" w:type="dxa"/>
            <w:vAlign w:val="bottom"/>
            <w:vMerge w:val="restart"/>
          </w:tcPr>
          <w:p>
            <w:pPr>
              <w:ind w:left="80"/>
              <w:spacing w:after="0"/>
              <w:rPr>
                <w:sz w:val="20"/>
                <w:szCs w:val="20"/>
                <w:color w:val="auto"/>
              </w:rPr>
            </w:pPr>
            <w:r>
              <w:rPr>
                <w:rFonts w:ascii="Arial" w:cs="Arial" w:eastAsia="Arial" w:hAnsi="Arial"/>
                <w:sz w:val="15"/>
                <w:szCs w:val="15"/>
                <w:color w:val="auto"/>
              </w:rPr>
              <w:t>awards are payable based on achievement of</w:t>
            </w:r>
          </w:p>
        </w:tc>
        <w:tc>
          <w:tcPr>
            <w:tcW w:w="3420" w:type="dxa"/>
            <w:vAlign w:val="bottom"/>
            <w:vMerge w:val="restart"/>
          </w:tcPr>
          <w:p>
            <w:pPr>
              <w:ind w:left="100"/>
              <w:spacing w:after="0"/>
              <w:rPr>
                <w:sz w:val="20"/>
                <w:szCs w:val="20"/>
                <w:color w:val="auto"/>
              </w:rPr>
            </w:pPr>
            <w:r>
              <w:rPr>
                <w:rFonts w:ascii="Arial" w:cs="Arial" w:eastAsia="Arial" w:hAnsi="Arial"/>
                <w:sz w:val="15"/>
                <w:szCs w:val="15"/>
                <w:color w:val="auto"/>
              </w:rPr>
              <w:t>executive officers; and encourage significant</w:t>
            </w:r>
          </w:p>
        </w:tc>
        <w:tc>
          <w:tcPr>
            <w:tcW w:w="3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3280" w:type="dxa"/>
            <w:vAlign w:val="bottom"/>
            <w:vMerge w:val="restart"/>
          </w:tcPr>
          <w:p>
            <w:pPr>
              <w:ind w:left="40"/>
              <w:spacing w:after="0"/>
              <w:rPr>
                <w:sz w:val="20"/>
                <w:szCs w:val="20"/>
                <w:color w:val="auto"/>
              </w:rPr>
            </w:pPr>
            <w:r>
              <w:rPr>
                <w:rFonts w:ascii="Arial" w:cs="Arial" w:eastAsia="Arial" w:hAnsi="Arial"/>
                <w:sz w:val="15"/>
                <w:szCs w:val="15"/>
                <w:color w:val="auto"/>
              </w:rPr>
              <w:t>awards for our fiscal 2018 to fiscal 2020</w:t>
            </w: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3360" w:type="dxa"/>
            <w:vAlign w:val="bottom"/>
            <w:vMerge w:val="restart"/>
          </w:tcPr>
          <w:p>
            <w:pPr>
              <w:ind w:left="80"/>
              <w:spacing w:after="0"/>
              <w:rPr>
                <w:sz w:val="20"/>
                <w:szCs w:val="20"/>
                <w:color w:val="auto"/>
              </w:rPr>
            </w:pPr>
            <w:r>
              <w:rPr>
                <w:rFonts w:ascii="Arial" w:cs="Arial" w:eastAsia="Arial" w:hAnsi="Arial"/>
                <w:sz w:val="15"/>
                <w:szCs w:val="15"/>
                <w:color w:val="auto"/>
              </w:rPr>
              <w:t>cumulative financial goals after three years and</w:t>
            </w:r>
          </w:p>
        </w:tc>
        <w:tc>
          <w:tcPr>
            <w:tcW w:w="3420" w:type="dxa"/>
            <w:vAlign w:val="bottom"/>
            <w:vMerge w:val="restart"/>
          </w:tcPr>
          <w:p>
            <w:pPr>
              <w:ind w:left="100"/>
              <w:spacing w:after="0"/>
              <w:rPr>
                <w:sz w:val="20"/>
                <w:szCs w:val="20"/>
                <w:color w:val="auto"/>
              </w:rPr>
            </w:pPr>
            <w:r>
              <w:rPr>
                <w:rFonts w:ascii="Arial" w:cs="Arial" w:eastAsia="Arial" w:hAnsi="Arial"/>
                <w:sz w:val="15"/>
                <w:szCs w:val="15"/>
                <w:color w:val="auto"/>
              </w:rPr>
              <w:t>ownership of our common stock.</w:t>
            </w:r>
          </w:p>
        </w:tc>
        <w:tc>
          <w:tcPr>
            <w:tcW w:w="3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3280" w:type="dxa"/>
            <w:vAlign w:val="bottom"/>
            <w:vMerge w:val="restart"/>
          </w:tcPr>
          <w:p>
            <w:pPr>
              <w:ind w:left="40"/>
              <w:spacing w:after="0"/>
              <w:rPr>
                <w:sz w:val="20"/>
                <w:szCs w:val="20"/>
                <w:color w:val="auto"/>
              </w:rPr>
            </w:pPr>
            <w:r>
              <w:rPr>
                <w:rFonts w:ascii="Arial" w:cs="Arial" w:eastAsia="Arial" w:hAnsi="Arial"/>
                <w:sz w:val="15"/>
                <w:szCs w:val="15"/>
                <w:color w:val="auto"/>
              </w:rPr>
              <w:t>performance period.</w:t>
            </w:r>
          </w:p>
        </w:tc>
        <w:tc>
          <w:tcPr>
            <w:tcW w:w="0" w:type="dxa"/>
            <w:vAlign w:val="bottom"/>
          </w:tcPr>
          <w:p>
            <w:pPr>
              <w:spacing w:after="0"/>
              <w:rPr>
                <w:sz w:val="1"/>
                <w:szCs w:val="1"/>
                <w:color w:val="auto"/>
              </w:rPr>
            </w:pPr>
          </w:p>
        </w:tc>
      </w:tr>
      <w:tr>
        <w:trPr>
          <w:trHeight w:val="55"/>
        </w:trPr>
        <w:tc>
          <w:tcPr>
            <w:tcW w:w="1360" w:type="dxa"/>
            <w:vAlign w:val="bottom"/>
          </w:tcPr>
          <w:p>
            <w:pPr>
              <w:spacing w:after="0"/>
              <w:rPr>
                <w:sz w:val="4"/>
                <w:szCs w:val="4"/>
                <w:color w:val="auto"/>
              </w:rPr>
            </w:pPr>
          </w:p>
        </w:tc>
        <w:tc>
          <w:tcPr>
            <w:tcW w:w="3360" w:type="dxa"/>
            <w:vAlign w:val="bottom"/>
            <w:vMerge w:val="restart"/>
          </w:tcPr>
          <w:p>
            <w:pPr>
              <w:ind w:left="80"/>
              <w:spacing w:after="0"/>
              <w:rPr>
                <w:sz w:val="20"/>
                <w:szCs w:val="20"/>
                <w:color w:val="auto"/>
              </w:rPr>
            </w:pPr>
            <w:r>
              <w:rPr>
                <w:rFonts w:ascii="Arial" w:cs="Arial" w:eastAsia="Arial" w:hAnsi="Arial"/>
                <w:sz w:val="15"/>
                <w:szCs w:val="15"/>
                <w:color w:val="auto"/>
              </w:rPr>
              <w:t>are paid out in shares of our common stock.</w:t>
            </w:r>
          </w:p>
        </w:tc>
        <w:tc>
          <w:tcPr>
            <w:tcW w:w="3420" w:type="dxa"/>
            <w:vAlign w:val="bottom"/>
          </w:tcPr>
          <w:p>
            <w:pPr>
              <w:spacing w:after="0"/>
              <w:rPr>
                <w:sz w:val="4"/>
                <w:szCs w:val="4"/>
                <w:color w:val="auto"/>
              </w:rPr>
            </w:pPr>
          </w:p>
        </w:tc>
        <w:tc>
          <w:tcPr>
            <w:tcW w:w="3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34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360" w:type="dxa"/>
            <w:vAlign w:val="bottom"/>
            <w:shd w:val="clear" w:color="auto" w:fill="D9D9D9"/>
          </w:tcPr>
          <w:p>
            <w:pPr>
              <w:ind w:left="20"/>
              <w:spacing w:after="0"/>
              <w:rPr>
                <w:sz w:val="20"/>
                <w:szCs w:val="20"/>
                <w:color w:val="auto"/>
              </w:rPr>
            </w:pPr>
            <w:r>
              <w:rPr>
                <w:rFonts w:ascii="Arial" w:cs="Arial" w:eastAsia="Arial" w:hAnsi="Arial"/>
                <w:sz w:val="15"/>
                <w:szCs w:val="15"/>
                <w:color w:val="auto"/>
              </w:rPr>
              <w:t>Health and Welfare</w:t>
            </w:r>
          </w:p>
        </w:tc>
        <w:tc>
          <w:tcPr>
            <w:tcW w:w="3360" w:type="dxa"/>
            <w:vAlign w:val="bottom"/>
            <w:shd w:val="clear" w:color="auto" w:fill="D9D9D9"/>
          </w:tcPr>
          <w:p>
            <w:pPr>
              <w:ind w:left="80"/>
              <w:spacing w:after="0"/>
              <w:rPr>
                <w:sz w:val="20"/>
                <w:szCs w:val="20"/>
                <w:color w:val="auto"/>
              </w:rPr>
            </w:pPr>
            <w:r>
              <w:rPr>
                <w:rFonts w:ascii="Arial" w:cs="Arial" w:eastAsia="Arial" w:hAnsi="Arial"/>
                <w:sz w:val="15"/>
                <w:szCs w:val="15"/>
                <w:color w:val="auto"/>
              </w:rPr>
              <w:t>Includes medical and dental insurance; life,</w:t>
            </w:r>
          </w:p>
        </w:tc>
        <w:tc>
          <w:tcPr>
            <w:tcW w:w="3420" w:type="dxa"/>
            <w:vAlign w:val="bottom"/>
            <w:shd w:val="clear" w:color="auto" w:fill="D9D9D9"/>
          </w:tcPr>
          <w:p>
            <w:pPr>
              <w:ind w:left="100"/>
              <w:spacing w:after="0"/>
              <w:rPr>
                <w:sz w:val="20"/>
                <w:szCs w:val="20"/>
                <w:color w:val="auto"/>
              </w:rPr>
            </w:pPr>
            <w:r>
              <w:rPr>
                <w:rFonts w:ascii="Arial" w:cs="Arial" w:eastAsia="Arial" w:hAnsi="Arial"/>
                <w:sz w:val="15"/>
                <w:szCs w:val="15"/>
                <w:color w:val="auto"/>
              </w:rPr>
              <w:t>Provide competitive health and welfare benefits.</w:t>
            </w: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No significant changes were made to health and</w:t>
            </w:r>
          </w:p>
        </w:tc>
        <w:tc>
          <w:tcPr>
            <w:tcW w:w="0" w:type="dxa"/>
            <w:vAlign w:val="bottom"/>
          </w:tcPr>
          <w:p>
            <w:pPr>
              <w:spacing w:after="0"/>
              <w:rPr>
                <w:sz w:val="1"/>
                <w:szCs w:val="1"/>
                <w:color w:val="auto"/>
              </w:rPr>
            </w:pPr>
          </w:p>
        </w:tc>
      </w:tr>
      <w:tr>
        <w:trPr>
          <w:trHeight w:val="172"/>
        </w:trPr>
        <w:tc>
          <w:tcPr>
            <w:tcW w:w="1360" w:type="dxa"/>
            <w:vAlign w:val="bottom"/>
            <w:shd w:val="clear" w:color="auto" w:fill="D9D9D9"/>
          </w:tcPr>
          <w:p>
            <w:pPr>
              <w:ind w:left="20"/>
              <w:spacing w:after="0"/>
              <w:rPr>
                <w:sz w:val="20"/>
                <w:szCs w:val="20"/>
                <w:color w:val="auto"/>
              </w:rPr>
            </w:pPr>
            <w:r>
              <w:rPr>
                <w:rFonts w:ascii="Arial" w:cs="Arial" w:eastAsia="Arial" w:hAnsi="Arial"/>
                <w:sz w:val="15"/>
                <w:szCs w:val="15"/>
                <w:color w:val="auto"/>
              </w:rPr>
              <w:t>Benefits</w:t>
            </w:r>
          </w:p>
        </w:tc>
        <w:tc>
          <w:tcPr>
            <w:tcW w:w="3360" w:type="dxa"/>
            <w:vAlign w:val="bottom"/>
            <w:shd w:val="clear" w:color="auto" w:fill="D9D9D9"/>
          </w:tcPr>
          <w:p>
            <w:pPr>
              <w:ind w:left="80"/>
              <w:spacing w:after="0"/>
              <w:rPr>
                <w:sz w:val="20"/>
                <w:szCs w:val="20"/>
                <w:color w:val="auto"/>
              </w:rPr>
            </w:pPr>
            <w:r>
              <w:rPr>
                <w:rFonts w:ascii="Arial" w:cs="Arial" w:eastAsia="Arial" w:hAnsi="Arial"/>
                <w:sz w:val="15"/>
                <w:szCs w:val="15"/>
                <w:color w:val="auto"/>
              </w:rPr>
              <w:t>accidental death and dismemberment insurance;</w:t>
            </w:r>
          </w:p>
        </w:tc>
        <w:tc>
          <w:tcPr>
            <w:tcW w:w="3420" w:type="dxa"/>
            <w:vAlign w:val="bottom"/>
            <w:shd w:val="clear" w:color="auto" w:fill="D9D9D9"/>
          </w:tcPr>
          <w:p>
            <w:pPr>
              <w:spacing w:after="0"/>
              <w:rPr>
                <w:sz w:val="14"/>
                <w:szCs w:val="14"/>
                <w:color w:val="auto"/>
              </w:rPr>
            </w:pPr>
          </w:p>
        </w:tc>
        <w:tc>
          <w:tcPr>
            <w:tcW w:w="3280" w:type="dxa"/>
            <w:vAlign w:val="bottom"/>
            <w:shd w:val="clear" w:color="auto" w:fill="D9D9D9"/>
          </w:tcPr>
          <w:p>
            <w:pPr>
              <w:ind w:left="40"/>
              <w:spacing w:after="0"/>
              <w:rPr>
                <w:sz w:val="20"/>
                <w:szCs w:val="20"/>
                <w:color w:val="auto"/>
              </w:rPr>
            </w:pPr>
            <w:r>
              <w:rPr>
                <w:rFonts w:ascii="Arial" w:cs="Arial" w:eastAsia="Arial" w:hAnsi="Arial"/>
                <w:sz w:val="15"/>
                <w:szCs w:val="15"/>
                <w:color w:val="auto"/>
              </w:rPr>
              <w:t>welfare benefits.</w:t>
            </w:r>
          </w:p>
        </w:tc>
        <w:tc>
          <w:tcPr>
            <w:tcW w:w="0" w:type="dxa"/>
            <w:vAlign w:val="bottom"/>
          </w:tcPr>
          <w:p>
            <w:pPr>
              <w:spacing w:after="0"/>
              <w:rPr>
                <w:sz w:val="1"/>
                <w:szCs w:val="1"/>
                <w:color w:val="auto"/>
              </w:rPr>
            </w:pPr>
          </w:p>
        </w:tc>
      </w:tr>
      <w:tr>
        <w:trPr>
          <w:trHeight w:val="194"/>
        </w:trPr>
        <w:tc>
          <w:tcPr>
            <w:tcW w:w="1360" w:type="dxa"/>
            <w:vAlign w:val="bottom"/>
            <w:shd w:val="clear" w:color="auto" w:fill="D9D9D9"/>
          </w:tcPr>
          <w:p>
            <w:pPr>
              <w:spacing w:after="0"/>
              <w:rPr>
                <w:sz w:val="16"/>
                <w:szCs w:val="16"/>
                <w:color w:val="auto"/>
              </w:rPr>
            </w:pPr>
          </w:p>
        </w:tc>
        <w:tc>
          <w:tcPr>
            <w:tcW w:w="3360" w:type="dxa"/>
            <w:vAlign w:val="bottom"/>
            <w:shd w:val="clear" w:color="auto" w:fill="D9D9D9"/>
          </w:tcPr>
          <w:p>
            <w:pPr>
              <w:ind w:left="80"/>
              <w:spacing w:after="0"/>
              <w:rPr>
                <w:sz w:val="20"/>
                <w:szCs w:val="20"/>
                <w:color w:val="auto"/>
              </w:rPr>
            </w:pPr>
            <w:r>
              <w:rPr>
                <w:rFonts w:ascii="Arial" w:cs="Arial" w:eastAsia="Arial" w:hAnsi="Arial"/>
                <w:sz w:val="15"/>
                <w:szCs w:val="15"/>
                <w:color w:val="auto"/>
              </w:rPr>
              <w:t>and disability insurance.</w:t>
            </w:r>
          </w:p>
        </w:tc>
        <w:tc>
          <w:tcPr>
            <w:tcW w:w="3420" w:type="dxa"/>
            <w:vAlign w:val="bottom"/>
            <w:shd w:val="clear" w:color="auto" w:fill="D9D9D9"/>
          </w:tcPr>
          <w:p>
            <w:pPr>
              <w:spacing w:after="0"/>
              <w:rPr>
                <w:sz w:val="16"/>
                <w:szCs w:val="16"/>
                <w:color w:val="auto"/>
              </w:rPr>
            </w:pPr>
          </w:p>
        </w:tc>
        <w:tc>
          <w:tcPr>
            <w:tcW w:w="328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60" w:type="dxa"/>
            <w:vAlign w:val="bottom"/>
          </w:tcPr>
          <w:p>
            <w:pPr>
              <w:ind w:left="20"/>
              <w:spacing w:after="0"/>
              <w:rPr>
                <w:sz w:val="20"/>
                <w:szCs w:val="20"/>
                <w:color w:val="auto"/>
              </w:rPr>
            </w:pPr>
            <w:r>
              <w:rPr>
                <w:rFonts w:ascii="Arial" w:cs="Arial" w:eastAsia="Arial" w:hAnsi="Arial"/>
                <w:sz w:val="15"/>
                <w:szCs w:val="15"/>
                <w:color w:val="auto"/>
              </w:rPr>
              <w:t>Retirement Plans</w:t>
            </w:r>
          </w:p>
        </w:tc>
        <w:tc>
          <w:tcPr>
            <w:tcW w:w="6780" w:type="dxa"/>
            <w:vAlign w:val="bottom"/>
            <w:gridSpan w:val="2"/>
          </w:tcPr>
          <w:p>
            <w:pPr>
              <w:ind w:left="80"/>
              <w:spacing w:after="0"/>
              <w:rPr>
                <w:sz w:val="20"/>
                <w:szCs w:val="20"/>
                <w:color w:val="auto"/>
              </w:rPr>
            </w:pPr>
            <w:r>
              <w:rPr>
                <w:rFonts w:ascii="Arial" w:cs="Arial" w:eastAsia="Arial" w:hAnsi="Arial"/>
                <w:sz w:val="15"/>
                <w:szCs w:val="15"/>
                <w:color w:val="auto"/>
                <w:w w:val="99"/>
              </w:rPr>
              <w:t>Includes a defined contribution retirement plan and Provide an opportunity for employees to save and</w:t>
            </w:r>
          </w:p>
        </w:tc>
        <w:tc>
          <w:tcPr>
            <w:tcW w:w="3280" w:type="dxa"/>
            <w:vAlign w:val="bottom"/>
          </w:tcPr>
          <w:p>
            <w:pPr>
              <w:ind w:left="40"/>
              <w:spacing w:after="0"/>
              <w:rPr>
                <w:sz w:val="20"/>
                <w:szCs w:val="20"/>
                <w:color w:val="auto"/>
              </w:rPr>
            </w:pPr>
            <w:r>
              <w:rPr>
                <w:rFonts w:ascii="Arial" w:cs="Arial" w:eastAsia="Arial" w:hAnsi="Arial"/>
                <w:sz w:val="15"/>
                <w:szCs w:val="15"/>
                <w:color w:val="auto"/>
              </w:rPr>
              <w:t>No significant changes were made to retirement</w:t>
            </w: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5"/>
                <w:szCs w:val="15"/>
                <w:color w:val="auto"/>
              </w:rPr>
              <w:t>certain nonqualified retirement plans.</w:t>
            </w:r>
          </w:p>
        </w:tc>
        <w:tc>
          <w:tcPr>
            <w:tcW w:w="3420" w:type="dxa"/>
            <w:vAlign w:val="bottom"/>
          </w:tcPr>
          <w:p>
            <w:pPr>
              <w:ind w:left="100"/>
              <w:spacing w:after="0"/>
              <w:rPr>
                <w:sz w:val="20"/>
                <w:szCs w:val="20"/>
                <w:color w:val="auto"/>
              </w:rPr>
            </w:pPr>
            <w:r>
              <w:rPr>
                <w:rFonts w:ascii="Arial" w:cs="Arial" w:eastAsia="Arial" w:hAnsi="Arial"/>
                <w:sz w:val="15"/>
                <w:szCs w:val="15"/>
                <w:color w:val="auto"/>
              </w:rPr>
              <w:t>prepare financially for retirement.</w:t>
            </w:r>
          </w:p>
        </w:tc>
        <w:tc>
          <w:tcPr>
            <w:tcW w:w="3280" w:type="dxa"/>
            <w:vAlign w:val="bottom"/>
          </w:tcPr>
          <w:p>
            <w:pPr>
              <w:ind w:left="40"/>
              <w:spacing w:after="0"/>
              <w:rPr>
                <w:sz w:val="20"/>
                <w:szCs w:val="20"/>
                <w:color w:val="auto"/>
              </w:rPr>
            </w:pPr>
            <w:r>
              <w:rPr>
                <w:rFonts w:ascii="Arial" w:cs="Arial" w:eastAsia="Arial" w:hAnsi="Arial"/>
                <w:sz w:val="15"/>
                <w:szCs w:val="15"/>
                <w:color w:val="auto"/>
              </w:rPr>
              <w:t>plans.</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shd w:val="clear" w:color="auto" w:fill="C00000"/>
          </w:tcPr>
          <w:p>
            <w:pPr>
              <w:ind w:left="20"/>
              <w:spacing w:after="0"/>
              <w:rPr>
                <w:sz w:val="20"/>
                <w:szCs w:val="20"/>
                <w:color w:val="auto"/>
              </w:rPr>
            </w:pPr>
            <w:r>
              <w:rPr>
                <w:rFonts w:ascii="Arial" w:cs="Arial" w:eastAsia="Arial" w:hAnsi="Arial"/>
                <w:sz w:val="13"/>
                <w:szCs w:val="13"/>
                <w:b w:val="1"/>
                <w:bCs w:val="1"/>
                <w:color w:val="FFFFFF"/>
              </w:rPr>
              <w:t>Element</w:t>
            </w:r>
          </w:p>
        </w:tc>
        <w:tc>
          <w:tcPr>
            <w:tcW w:w="3640" w:type="dxa"/>
            <w:vAlign w:val="bottom"/>
            <w:shd w:val="clear" w:color="auto" w:fill="C00000"/>
          </w:tcPr>
          <w:p>
            <w:pPr>
              <w:ind w:left="1400"/>
              <w:spacing w:after="0"/>
              <w:rPr>
                <w:sz w:val="20"/>
                <w:szCs w:val="20"/>
                <w:color w:val="auto"/>
              </w:rPr>
            </w:pPr>
            <w:r>
              <w:rPr>
                <w:rFonts w:ascii="Arial" w:cs="Arial" w:eastAsia="Arial" w:hAnsi="Arial"/>
                <w:sz w:val="13"/>
                <w:szCs w:val="13"/>
                <w:b w:val="1"/>
                <w:bCs w:val="1"/>
                <w:color w:val="FFFFFF"/>
              </w:rPr>
              <w:t>Key Characteristics</w:t>
            </w:r>
          </w:p>
        </w:tc>
        <w:tc>
          <w:tcPr>
            <w:tcW w:w="3400" w:type="dxa"/>
            <w:vAlign w:val="bottom"/>
            <w:shd w:val="clear" w:color="auto" w:fill="C00000"/>
          </w:tcPr>
          <w:p>
            <w:pPr>
              <w:ind w:left="1480"/>
              <w:spacing w:after="0"/>
              <w:rPr>
                <w:sz w:val="20"/>
                <w:szCs w:val="20"/>
                <w:color w:val="auto"/>
              </w:rPr>
            </w:pPr>
            <w:r>
              <w:rPr>
                <w:rFonts w:ascii="Arial" w:cs="Arial" w:eastAsia="Arial" w:hAnsi="Arial"/>
                <w:sz w:val="13"/>
                <w:szCs w:val="13"/>
                <w:b w:val="1"/>
                <w:bCs w:val="1"/>
                <w:color w:val="FFFFFF"/>
              </w:rPr>
              <w:t>Purpose</w:t>
            </w:r>
          </w:p>
        </w:tc>
        <w:tc>
          <w:tcPr>
            <w:tcW w:w="328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9"/>
              </w:rPr>
              <w:t>Key Fiscal 2018 Actions</w:t>
            </w:r>
          </w:p>
        </w:tc>
      </w:tr>
      <w:tr>
        <w:trPr>
          <w:trHeight w:val="186"/>
        </w:trPr>
        <w:tc>
          <w:tcPr>
            <w:tcW w:w="1100" w:type="dxa"/>
            <w:vAlign w:val="bottom"/>
            <w:shd w:val="clear" w:color="auto" w:fill="D9D9D9"/>
          </w:tcPr>
          <w:p>
            <w:pPr>
              <w:ind w:left="20"/>
              <w:spacing w:after="0"/>
              <w:rPr>
                <w:sz w:val="20"/>
                <w:szCs w:val="20"/>
                <w:color w:val="auto"/>
              </w:rPr>
            </w:pPr>
            <w:r>
              <w:rPr>
                <w:rFonts w:ascii="Arial" w:cs="Arial" w:eastAsia="Arial" w:hAnsi="Arial"/>
                <w:sz w:val="15"/>
                <w:szCs w:val="15"/>
                <w:color w:val="auto"/>
              </w:rPr>
              <w:t>Perquisites</w:t>
            </w:r>
          </w:p>
        </w:tc>
        <w:tc>
          <w:tcPr>
            <w:tcW w:w="3640" w:type="dxa"/>
            <w:vAlign w:val="bottom"/>
            <w:shd w:val="clear" w:color="auto" w:fill="D9D9D9"/>
          </w:tcPr>
          <w:p>
            <w:pPr>
              <w:ind w:left="340"/>
              <w:spacing w:after="0"/>
              <w:rPr>
                <w:sz w:val="20"/>
                <w:szCs w:val="20"/>
                <w:color w:val="auto"/>
              </w:rPr>
            </w:pPr>
            <w:r>
              <w:rPr>
                <w:rFonts w:ascii="Arial" w:cs="Arial" w:eastAsia="Arial" w:hAnsi="Arial"/>
                <w:sz w:val="15"/>
                <w:szCs w:val="15"/>
                <w:color w:val="auto"/>
                <w:w w:val="99"/>
              </w:rPr>
              <w:t>Includes a financial planning allowance, company</w:t>
            </w:r>
          </w:p>
        </w:tc>
        <w:tc>
          <w:tcPr>
            <w:tcW w:w="3400" w:type="dxa"/>
            <w:vAlign w:val="bottom"/>
            <w:shd w:val="clear" w:color="auto" w:fill="D9D9D9"/>
          </w:tcPr>
          <w:p>
            <w:pPr>
              <w:ind w:left="80"/>
              <w:spacing w:after="0"/>
              <w:rPr>
                <w:sz w:val="20"/>
                <w:szCs w:val="20"/>
                <w:color w:val="auto"/>
              </w:rPr>
            </w:pPr>
            <w:r>
              <w:rPr>
                <w:rFonts w:ascii="Arial" w:cs="Arial" w:eastAsia="Arial" w:hAnsi="Arial"/>
                <w:sz w:val="15"/>
                <w:szCs w:val="15"/>
                <w:color w:val="auto"/>
              </w:rPr>
              <w:t>Assist in promoting the personal financial security</w:t>
            </w:r>
          </w:p>
        </w:tc>
        <w:tc>
          <w:tcPr>
            <w:tcW w:w="328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No significant changes were made to perquisites.</w:t>
            </w:r>
          </w:p>
        </w:tc>
      </w:tr>
      <w:tr>
        <w:trPr>
          <w:trHeight w:val="172"/>
        </w:trPr>
        <w:tc>
          <w:tcPr>
            <w:tcW w:w="1100" w:type="dxa"/>
            <w:vAlign w:val="bottom"/>
            <w:shd w:val="clear" w:color="auto" w:fill="D9D9D9"/>
          </w:tcPr>
          <w:p>
            <w:pPr>
              <w:spacing w:after="0"/>
              <w:rPr>
                <w:sz w:val="14"/>
                <w:szCs w:val="14"/>
                <w:color w:val="auto"/>
              </w:rPr>
            </w:pPr>
          </w:p>
        </w:tc>
        <w:tc>
          <w:tcPr>
            <w:tcW w:w="3640" w:type="dxa"/>
            <w:vAlign w:val="bottom"/>
            <w:shd w:val="clear" w:color="auto" w:fill="D9D9D9"/>
          </w:tcPr>
          <w:p>
            <w:pPr>
              <w:ind w:left="340"/>
              <w:spacing w:after="0"/>
              <w:rPr>
                <w:sz w:val="20"/>
                <w:szCs w:val="20"/>
                <w:color w:val="auto"/>
              </w:rPr>
            </w:pPr>
            <w:r>
              <w:rPr>
                <w:rFonts w:ascii="Arial" w:cs="Arial" w:eastAsia="Arial" w:hAnsi="Arial"/>
                <w:sz w:val="15"/>
                <w:szCs w:val="15"/>
                <w:color w:val="auto"/>
              </w:rPr>
              <w:t>products, company-leased automobile, and</w:t>
            </w:r>
          </w:p>
        </w:tc>
        <w:tc>
          <w:tcPr>
            <w:tcW w:w="3400" w:type="dxa"/>
            <w:vAlign w:val="bottom"/>
            <w:shd w:val="clear" w:color="auto" w:fill="D9D9D9"/>
          </w:tcPr>
          <w:p>
            <w:pPr>
              <w:ind w:left="80"/>
              <w:spacing w:after="0"/>
              <w:rPr>
                <w:sz w:val="20"/>
                <w:szCs w:val="20"/>
                <w:color w:val="auto"/>
              </w:rPr>
            </w:pPr>
            <w:r>
              <w:rPr>
                <w:rFonts w:ascii="Arial" w:cs="Arial" w:eastAsia="Arial" w:hAnsi="Arial"/>
                <w:sz w:val="15"/>
                <w:szCs w:val="15"/>
                <w:color w:val="auto"/>
                <w:w w:val="97"/>
              </w:rPr>
              <w:t>of our executive officers; promote the personal use</w:t>
            </w:r>
          </w:p>
        </w:tc>
        <w:tc>
          <w:tcPr>
            <w:tcW w:w="3280" w:type="dxa"/>
            <w:vAlign w:val="bottom"/>
            <w:shd w:val="clear" w:color="auto" w:fill="D9D9D9"/>
          </w:tcPr>
          <w:p>
            <w:pPr>
              <w:spacing w:after="0"/>
              <w:rPr>
                <w:sz w:val="14"/>
                <w:szCs w:val="14"/>
                <w:color w:val="auto"/>
              </w:rPr>
            </w:pPr>
          </w:p>
        </w:tc>
      </w:tr>
      <w:tr>
        <w:trPr>
          <w:trHeight w:val="172"/>
        </w:trPr>
        <w:tc>
          <w:tcPr>
            <w:tcW w:w="1100" w:type="dxa"/>
            <w:vAlign w:val="bottom"/>
            <w:shd w:val="clear" w:color="auto" w:fill="D9D9D9"/>
          </w:tcPr>
          <w:p>
            <w:pPr>
              <w:spacing w:after="0"/>
              <w:rPr>
                <w:sz w:val="14"/>
                <w:szCs w:val="14"/>
                <w:color w:val="auto"/>
              </w:rPr>
            </w:pPr>
          </w:p>
        </w:tc>
        <w:tc>
          <w:tcPr>
            <w:tcW w:w="3640" w:type="dxa"/>
            <w:vAlign w:val="bottom"/>
            <w:shd w:val="clear" w:color="auto" w:fill="D9D9D9"/>
          </w:tcPr>
          <w:p>
            <w:pPr>
              <w:ind w:left="340"/>
              <w:spacing w:after="0"/>
              <w:rPr>
                <w:sz w:val="20"/>
                <w:szCs w:val="20"/>
                <w:color w:val="auto"/>
              </w:rPr>
            </w:pPr>
            <w:r>
              <w:rPr>
                <w:rFonts w:ascii="Arial" w:cs="Arial" w:eastAsia="Arial" w:hAnsi="Arial"/>
                <w:sz w:val="15"/>
                <w:szCs w:val="15"/>
                <w:color w:val="auto"/>
              </w:rPr>
              <w:t>executive physical.</w:t>
            </w:r>
          </w:p>
        </w:tc>
        <w:tc>
          <w:tcPr>
            <w:tcW w:w="3400" w:type="dxa"/>
            <w:vAlign w:val="bottom"/>
            <w:shd w:val="clear" w:color="auto" w:fill="D9D9D9"/>
          </w:tcPr>
          <w:p>
            <w:pPr>
              <w:ind w:left="80"/>
              <w:spacing w:after="0"/>
              <w:rPr>
                <w:sz w:val="20"/>
                <w:szCs w:val="20"/>
                <w:color w:val="auto"/>
              </w:rPr>
            </w:pPr>
            <w:r>
              <w:rPr>
                <w:rFonts w:ascii="Arial" w:cs="Arial" w:eastAsia="Arial" w:hAnsi="Arial"/>
                <w:sz w:val="15"/>
                <w:szCs w:val="15"/>
                <w:color w:val="auto"/>
              </w:rPr>
              <w:t>of our products by our executive officers; promote</w:t>
            </w:r>
          </w:p>
        </w:tc>
        <w:tc>
          <w:tcPr>
            <w:tcW w:w="3280" w:type="dxa"/>
            <w:vAlign w:val="bottom"/>
            <w:shd w:val="clear" w:color="auto" w:fill="D9D9D9"/>
          </w:tcPr>
          <w:p>
            <w:pPr>
              <w:spacing w:after="0"/>
              <w:rPr>
                <w:sz w:val="14"/>
                <w:szCs w:val="14"/>
                <w:color w:val="auto"/>
              </w:rPr>
            </w:pPr>
          </w:p>
        </w:tc>
      </w:tr>
      <w:tr>
        <w:trPr>
          <w:trHeight w:val="172"/>
        </w:trPr>
        <w:tc>
          <w:tcPr>
            <w:tcW w:w="1100" w:type="dxa"/>
            <w:vAlign w:val="bottom"/>
            <w:shd w:val="clear" w:color="auto" w:fill="D9D9D9"/>
          </w:tcPr>
          <w:p>
            <w:pPr>
              <w:spacing w:after="0"/>
              <w:rPr>
                <w:sz w:val="14"/>
                <w:szCs w:val="14"/>
                <w:color w:val="auto"/>
              </w:rPr>
            </w:pPr>
          </w:p>
        </w:tc>
        <w:tc>
          <w:tcPr>
            <w:tcW w:w="3640" w:type="dxa"/>
            <w:vAlign w:val="bottom"/>
            <w:shd w:val="clear" w:color="auto" w:fill="D9D9D9"/>
          </w:tcPr>
          <w:p>
            <w:pPr>
              <w:spacing w:after="0"/>
              <w:rPr>
                <w:sz w:val="14"/>
                <w:szCs w:val="14"/>
                <w:color w:val="auto"/>
              </w:rPr>
            </w:pPr>
          </w:p>
        </w:tc>
        <w:tc>
          <w:tcPr>
            <w:tcW w:w="3400" w:type="dxa"/>
            <w:vAlign w:val="bottom"/>
            <w:shd w:val="clear" w:color="auto" w:fill="D9D9D9"/>
          </w:tcPr>
          <w:p>
            <w:pPr>
              <w:ind w:left="80"/>
              <w:spacing w:after="0"/>
              <w:rPr>
                <w:sz w:val="20"/>
                <w:szCs w:val="20"/>
                <w:color w:val="auto"/>
              </w:rPr>
            </w:pPr>
            <w:r>
              <w:rPr>
                <w:rFonts w:ascii="Arial" w:cs="Arial" w:eastAsia="Arial" w:hAnsi="Arial"/>
                <w:sz w:val="15"/>
                <w:szCs w:val="15"/>
                <w:color w:val="auto"/>
              </w:rPr>
              <w:t>the attraction and retention of our executive</w:t>
            </w:r>
          </w:p>
        </w:tc>
        <w:tc>
          <w:tcPr>
            <w:tcW w:w="3280" w:type="dxa"/>
            <w:vAlign w:val="bottom"/>
            <w:shd w:val="clear" w:color="auto" w:fill="D9D9D9"/>
          </w:tcPr>
          <w:p>
            <w:pPr>
              <w:spacing w:after="0"/>
              <w:rPr>
                <w:sz w:val="14"/>
                <w:szCs w:val="14"/>
                <w:color w:val="auto"/>
              </w:rPr>
            </w:pPr>
          </w:p>
        </w:tc>
      </w:tr>
      <w:tr>
        <w:trPr>
          <w:trHeight w:val="172"/>
        </w:trPr>
        <w:tc>
          <w:tcPr>
            <w:tcW w:w="1100" w:type="dxa"/>
            <w:vAlign w:val="bottom"/>
            <w:shd w:val="clear" w:color="auto" w:fill="D9D9D9"/>
          </w:tcPr>
          <w:p>
            <w:pPr>
              <w:spacing w:after="0"/>
              <w:rPr>
                <w:sz w:val="14"/>
                <w:szCs w:val="14"/>
                <w:color w:val="auto"/>
              </w:rPr>
            </w:pPr>
          </w:p>
        </w:tc>
        <w:tc>
          <w:tcPr>
            <w:tcW w:w="3640" w:type="dxa"/>
            <w:vAlign w:val="bottom"/>
            <w:shd w:val="clear" w:color="auto" w:fill="D9D9D9"/>
          </w:tcPr>
          <w:p>
            <w:pPr>
              <w:spacing w:after="0"/>
              <w:rPr>
                <w:sz w:val="14"/>
                <w:szCs w:val="14"/>
                <w:color w:val="auto"/>
              </w:rPr>
            </w:pPr>
          </w:p>
        </w:tc>
        <w:tc>
          <w:tcPr>
            <w:tcW w:w="3400" w:type="dxa"/>
            <w:vAlign w:val="bottom"/>
            <w:shd w:val="clear" w:color="auto" w:fill="D9D9D9"/>
          </w:tcPr>
          <w:p>
            <w:pPr>
              <w:ind w:left="80"/>
              <w:spacing w:after="0"/>
              <w:rPr>
                <w:sz w:val="20"/>
                <w:szCs w:val="20"/>
                <w:color w:val="auto"/>
              </w:rPr>
            </w:pPr>
            <w:r>
              <w:rPr>
                <w:rFonts w:ascii="Arial" w:cs="Arial" w:eastAsia="Arial" w:hAnsi="Arial"/>
                <w:sz w:val="15"/>
                <w:szCs w:val="15"/>
                <w:color w:val="auto"/>
              </w:rPr>
              <w:t>officers; and promote the wellbeing of our</w:t>
            </w:r>
          </w:p>
        </w:tc>
        <w:tc>
          <w:tcPr>
            <w:tcW w:w="3280" w:type="dxa"/>
            <w:vAlign w:val="bottom"/>
            <w:shd w:val="clear" w:color="auto" w:fill="D9D9D9"/>
          </w:tcPr>
          <w:p>
            <w:pPr>
              <w:spacing w:after="0"/>
              <w:rPr>
                <w:sz w:val="14"/>
                <w:szCs w:val="14"/>
                <w:color w:val="auto"/>
              </w:rPr>
            </w:pPr>
          </w:p>
        </w:tc>
      </w:tr>
      <w:tr>
        <w:trPr>
          <w:trHeight w:val="194"/>
        </w:trPr>
        <w:tc>
          <w:tcPr>
            <w:tcW w:w="1100" w:type="dxa"/>
            <w:vAlign w:val="bottom"/>
            <w:shd w:val="clear" w:color="auto" w:fill="D9D9D9"/>
          </w:tcPr>
          <w:p>
            <w:pPr>
              <w:spacing w:after="0"/>
              <w:rPr>
                <w:sz w:val="16"/>
                <w:szCs w:val="16"/>
                <w:color w:val="auto"/>
              </w:rPr>
            </w:pPr>
          </w:p>
        </w:tc>
        <w:tc>
          <w:tcPr>
            <w:tcW w:w="3640" w:type="dxa"/>
            <w:vAlign w:val="bottom"/>
            <w:shd w:val="clear" w:color="auto" w:fill="D9D9D9"/>
          </w:tcPr>
          <w:p>
            <w:pPr>
              <w:spacing w:after="0"/>
              <w:rPr>
                <w:sz w:val="16"/>
                <w:szCs w:val="16"/>
                <w:color w:val="auto"/>
              </w:rPr>
            </w:pPr>
          </w:p>
        </w:tc>
        <w:tc>
          <w:tcPr>
            <w:tcW w:w="3400" w:type="dxa"/>
            <w:vAlign w:val="bottom"/>
            <w:shd w:val="clear" w:color="auto" w:fill="D9D9D9"/>
          </w:tcPr>
          <w:p>
            <w:pPr>
              <w:ind w:left="80"/>
              <w:spacing w:after="0"/>
              <w:rPr>
                <w:sz w:val="20"/>
                <w:szCs w:val="20"/>
                <w:color w:val="auto"/>
              </w:rPr>
            </w:pPr>
            <w:r>
              <w:rPr>
                <w:rFonts w:ascii="Arial" w:cs="Arial" w:eastAsia="Arial" w:hAnsi="Arial"/>
                <w:sz w:val="15"/>
                <w:szCs w:val="15"/>
                <w:color w:val="auto"/>
              </w:rPr>
              <w:t>executive officers.</w:t>
            </w:r>
          </w:p>
        </w:tc>
        <w:tc>
          <w:tcPr>
            <w:tcW w:w="3280" w:type="dxa"/>
            <w:vAlign w:val="bottom"/>
            <w:shd w:val="clear" w:color="auto" w:fill="D9D9D9"/>
          </w:tcPr>
          <w:p>
            <w:pPr>
              <w:spacing w:after="0"/>
              <w:rPr>
                <w:sz w:val="16"/>
                <w:szCs w:val="16"/>
                <w:color w:val="auto"/>
              </w:rPr>
            </w:pPr>
          </w:p>
        </w:tc>
      </w:tr>
    </w:tbl>
    <w:p>
      <w:pPr>
        <w:spacing w:after="0" w:line="97" w:lineRule="exact"/>
        <w:rPr>
          <w:sz w:val="20"/>
          <w:szCs w:val="20"/>
          <w:color w:val="auto"/>
        </w:rPr>
      </w:pPr>
    </w:p>
    <w:p>
      <w:pPr>
        <w:ind w:right="340" w:firstLine="408"/>
        <w:spacing w:after="0" w:line="255" w:lineRule="auto"/>
        <w:rPr>
          <w:sz w:val="20"/>
          <w:szCs w:val="20"/>
          <w:color w:val="auto"/>
        </w:rPr>
      </w:pPr>
      <w:r>
        <w:rPr>
          <w:rFonts w:ascii="Arial" w:cs="Arial" w:eastAsia="Arial" w:hAnsi="Arial"/>
          <w:sz w:val="16"/>
          <w:szCs w:val="16"/>
          <w:color w:val="auto"/>
        </w:rPr>
        <w:t>We describe each key element of our executive compensation program in more detail in the following pages, along with the compensation decisions made in fiscal 2018.</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Base Salary.</w:t>
      </w:r>
    </w:p>
    <w:p>
      <w:pPr>
        <w:spacing w:after="0" w:line="102" w:lineRule="exact"/>
        <w:rPr>
          <w:sz w:val="20"/>
          <w:szCs w:val="20"/>
          <w:color w:val="auto"/>
        </w:rPr>
      </w:pPr>
    </w:p>
    <w:p>
      <w:pPr>
        <w:ind w:right="60" w:firstLine="408"/>
        <w:spacing w:after="0" w:line="25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review base salaries for our executive officers on an annual basis to ensure that they remain market competitive and reflect the scope</w:t>
      </w:r>
      <w:r>
        <w:rPr>
          <w:rFonts w:ascii="Arial" w:cs="Arial" w:eastAsia="Arial" w:hAnsi="Arial"/>
          <w:sz w:val="16"/>
          <w:szCs w:val="16"/>
          <w:i w:val="1"/>
          <w:iCs w:val="1"/>
          <w:color w:val="auto"/>
        </w:rPr>
        <w:t xml:space="preserve"> </w:t>
      </w:r>
      <w:r>
        <w:rPr>
          <w:rFonts w:ascii="Arial" w:cs="Arial" w:eastAsia="Arial" w:hAnsi="Arial"/>
          <w:sz w:val="16"/>
          <w:szCs w:val="16"/>
          <w:color w:val="auto"/>
        </w:rPr>
        <w:t>and responsibility of their positions. Base salaries for our executive officers are reviewed and discussed at the regular meeting of the Compensation &amp; Human Resources Committee held in November or December of each year. Additionally, base salaries for executive officers are reviewed upon a change in an executive officer’s responsibilities or role.</w:t>
      </w:r>
    </w:p>
    <w:p>
      <w:pPr>
        <w:spacing w:after="0" w:line="64" w:lineRule="exact"/>
        <w:rPr>
          <w:sz w:val="20"/>
          <w:szCs w:val="20"/>
          <w:color w:val="auto"/>
        </w:rPr>
      </w:pPr>
    </w:p>
    <w:p>
      <w:pPr>
        <w:ind w:right="60" w:firstLine="408"/>
        <w:spacing w:after="0" w:line="248" w:lineRule="auto"/>
        <w:rPr>
          <w:sz w:val="20"/>
          <w:szCs w:val="20"/>
          <w:color w:val="auto"/>
        </w:rPr>
      </w:pP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When we recommended fiscal 2018 base salaries for our named executive officers, the following factors were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base salary, positioning relative to competitive market data, scope and complexity of the position, experience, tenure, historical and current levels of function, division, and individual performance and internal pay comparisons. Fiscal 2018 annual base salaries, fiscal 2018 annual base salary increases compared to fiscal 2017 and fiscal 2018 annual base salaries compared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are provided in the table below for our named executive officers: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shd w:val="clear" w:color="auto" w:fill="C00000"/>
          </w:tcPr>
          <w:p>
            <w:pPr>
              <w:spacing w:after="0"/>
              <w:rPr>
                <w:sz w:val="13"/>
                <w:szCs w:val="13"/>
                <w:color w:val="auto"/>
              </w:rPr>
            </w:pPr>
          </w:p>
        </w:tc>
        <w:tc>
          <w:tcPr>
            <w:tcW w:w="1260" w:type="dxa"/>
            <w:vAlign w:val="bottom"/>
            <w:shd w:val="clear" w:color="auto" w:fill="C00000"/>
          </w:tcPr>
          <w:p>
            <w:pPr>
              <w:spacing w:after="0"/>
              <w:rPr>
                <w:sz w:val="13"/>
                <w:szCs w:val="13"/>
                <w:color w:val="auto"/>
              </w:rPr>
            </w:pPr>
          </w:p>
        </w:tc>
        <w:tc>
          <w:tcPr>
            <w:tcW w:w="2240" w:type="dxa"/>
            <w:vAlign w:val="bottom"/>
            <w:shd w:val="clear" w:color="auto" w:fill="C00000"/>
          </w:tcPr>
          <w:p>
            <w:pPr>
              <w:jc w:val="right"/>
              <w:ind w:right="1009"/>
              <w:spacing w:after="0"/>
              <w:rPr>
                <w:sz w:val="20"/>
                <w:szCs w:val="20"/>
                <w:color w:val="auto"/>
              </w:rPr>
            </w:pPr>
            <w:r>
              <w:rPr>
                <w:rFonts w:ascii="Arial" w:cs="Arial" w:eastAsia="Arial" w:hAnsi="Arial"/>
                <w:sz w:val="13"/>
                <w:szCs w:val="13"/>
                <w:b w:val="1"/>
                <w:bCs w:val="1"/>
                <w:color w:val="FFFFFF"/>
              </w:rPr>
              <w:t>Fiscal 2018</w:t>
            </w:r>
          </w:p>
        </w:tc>
        <w:tc>
          <w:tcPr>
            <w:tcW w:w="3120" w:type="dxa"/>
            <w:vAlign w:val="bottom"/>
            <w:shd w:val="clear" w:color="auto" w:fill="C00000"/>
          </w:tcPr>
          <w:p>
            <w:pPr>
              <w:jc w:val="right"/>
              <w:ind w:right="709"/>
              <w:spacing w:after="0"/>
              <w:rPr>
                <w:sz w:val="20"/>
                <w:szCs w:val="20"/>
                <w:color w:val="auto"/>
              </w:rPr>
            </w:pPr>
            <w:r>
              <w:rPr>
                <w:rFonts w:ascii="Arial" w:cs="Arial" w:eastAsia="Arial" w:hAnsi="Arial"/>
                <w:sz w:val="13"/>
                <w:szCs w:val="13"/>
                <w:b w:val="1"/>
                <w:bCs w:val="1"/>
                <w:color w:val="FFFFFF"/>
              </w:rPr>
              <w:t>Fiscal 2018 Annual Base Salary</w:t>
            </w:r>
          </w:p>
        </w:tc>
        <w:tc>
          <w:tcPr>
            <w:tcW w:w="2940" w:type="dxa"/>
            <w:vAlign w:val="bottom"/>
            <w:shd w:val="clear" w:color="auto" w:fill="C00000"/>
          </w:tcPr>
          <w:p>
            <w:pPr>
              <w:jc w:val="right"/>
              <w:ind w:right="490"/>
              <w:spacing w:after="0"/>
              <w:rPr>
                <w:sz w:val="20"/>
                <w:szCs w:val="20"/>
                <w:color w:val="auto"/>
              </w:rPr>
            </w:pPr>
            <w:r>
              <w:rPr>
                <w:rFonts w:ascii="Arial" w:cs="Arial" w:eastAsia="Arial" w:hAnsi="Arial"/>
                <w:sz w:val="13"/>
                <w:szCs w:val="13"/>
                <w:b w:val="1"/>
                <w:bCs w:val="1"/>
                <w:color w:val="FFFFFF"/>
              </w:rPr>
              <w:t>Fiscal 2018 Annual Base Salary</w:t>
            </w:r>
          </w:p>
        </w:tc>
      </w:tr>
      <w:tr>
        <w:trPr>
          <w:trHeight w:val="163"/>
        </w:trPr>
        <w:tc>
          <w:tcPr>
            <w:tcW w:w="18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260" w:type="dxa"/>
            <w:vAlign w:val="bottom"/>
            <w:shd w:val="clear" w:color="auto" w:fill="C00000"/>
          </w:tcPr>
          <w:p>
            <w:pPr>
              <w:spacing w:after="0"/>
              <w:rPr>
                <w:sz w:val="14"/>
                <w:szCs w:val="14"/>
                <w:color w:val="auto"/>
              </w:rPr>
            </w:pPr>
          </w:p>
        </w:tc>
        <w:tc>
          <w:tcPr>
            <w:tcW w:w="2240" w:type="dxa"/>
            <w:vAlign w:val="bottom"/>
            <w:shd w:val="clear" w:color="auto" w:fill="C00000"/>
          </w:tcPr>
          <w:p>
            <w:pPr>
              <w:jc w:val="right"/>
              <w:ind w:right="749"/>
              <w:spacing w:after="0"/>
              <w:rPr>
                <w:sz w:val="20"/>
                <w:szCs w:val="20"/>
                <w:color w:val="auto"/>
              </w:rPr>
            </w:pPr>
            <w:r>
              <w:rPr>
                <w:rFonts w:ascii="Arial" w:cs="Arial" w:eastAsia="Arial" w:hAnsi="Arial"/>
                <w:sz w:val="13"/>
                <w:szCs w:val="13"/>
                <w:b w:val="1"/>
                <w:bCs w:val="1"/>
                <w:color w:val="FFFFFF"/>
              </w:rPr>
              <w:t>Annual Base Salary</w:t>
            </w:r>
          </w:p>
        </w:tc>
        <w:tc>
          <w:tcPr>
            <w:tcW w:w="3120" w:type="dxa"/>
            <w:vAlign w:val="bottom"/>
            <w:shd w:val="clear" w:color="auto" w:fill="C00000"/>
          </w:tcPr>
          <w:p>
            <w:pPr>
              <w:jc w:val="right"/>
              <w:ind w:right="649"/>
              <w:spacing w:after="0"/>
              <w:rPr>
                <w:sz w:val="20"/>
                <w:szCs w:val="20"/>
                <w:color w:val="auto"/>
              </w:rPr>
            </w:pPr>
            <w:r>
              <w:rPr>
                <w:rFonts w:ascii="Arial" w:cs="Arial" w:eastAsia="Arial" w:hAnsi="Arial"/>
                <w:sz w:val="13"/>
                <w:szCs w:val="13"/>
                <w:b w:val="1"/>
                <w:bCs w:val="1"/>
                <w:color w:val="FFFFFF"/>
              </w:rPr>
              <w:t>Change Compared to Fiscal 2017</w:t>
            </w:r>
          </w:p>
        </w:tc>
        <w:tc>
          <w:tcPr>
            <w:tcW w:w="2940" w:type="dxa"/>
            <w:vAlign w:val="bottom"/>
            <w:shd w:val="clear" w:color="auto" w:fill="C00000"/>
          </w:tcPr>
          <w:p>
            <w:pPr>
              <w:jc w:val="right"/>
              <w:ind w:right="350"/>
              <w:spacing w:after="0" w:line="164" w:lineRule="exact"/>
              <w:rPr>
                <w:sz w:val="20"/>
                <w:szCs w:val="20"/>
                <w:color w:val="auto"/>
              </w:rPr>
            </w:pPr>
            <w:r>
              <w:rPr>
                <w:rFonts w:ascii="Arial" w:cs="Arial" w:eastAsia="Arial" w:hAnsi="Arial"/>
                <w:sz w:val="11"/>
                <w:szCs w:val="11"/>
                <w:b w:val="1"/>
                <w:bCs w:val="1"/>
                <w:color w:val="FFFFFF"/>
              </w:rPr>
              <w:t>Compared to Market 50</w:t>
            </w:r>
            <w:r>
              <w:rPr>
                <w:rFonts w:ascii="Arial" w:cs="Arial" w:eastAsia="Arial" w:hAnsi="Arial"/>
                <w:sz w:val="18"/>
                <w:szCs w:val="18"/>
                <w:b w:val="1"/>
                <w:bCs w:val="1"/>
                <w:color w:val="FFFFFF"/>
                <w:vertAlign w:val="superscript"/>
              </w:rPr>
              <w:t>th</w:t>
            </w:r>
            <w:r>
              <w:rPr>
                <w:rFonts w:ascii="Arial" w:cs="Arial" w:eastAsia="Arial" w:hAnsi="Arial"/>
                <w:sz w:val="11"/>
                <w:szCs w:val="11"/>
                <w:b w:val="1"/>
                <w:bCs w:val="1"/>
                <w:color w:val="FFFFFF"/>
              </w:rPr>
              <w:t xml:space="preserve"> Percentile</w:t>
            </w:r>
          </w:p>
        </w:tc>
      </w:tr>
      <w:tr>
        <w:trPr>
          <w:trHeight w:val="184"/>
        </w:trPr>
        <w:tc>
          <w:tcPr>
            <w:tcW w:w="1860" w:type="dxa"/>
            <w:vAlign w:val="bottom"/>
          </w:tcPr>
          <w:p>
            <w:pPr>
              <w:spacing w:after="0"/>
              <w:rPr>
                <w:sz w:val="20"/>
                <w:szCs w:val="20"/>
                <w:color w:val="auto"/>
              </w:rPr>
            </w:pPr>
            <w:r>
              <w:rPr>
                <w:rFonts w:ascii="Arial" w:cs="Arial" w:eastAsia="Arial" w:hAnsi="Arial"/>
                <w:sz w:val="15"/>
                <w:szCs w:val="15"/>
                <w:color w:val="auto"/>
              </w:rPr>
              <w:t>Mr. Olson</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289"/>
              <w:spacing w:after="0"/>
              <w:rPr>
                <w:sz w:val="20"/>
                <w:szCs w:val="20"/>
                <w:color w:val="auto"/>
              </w:rPr>
            </w:pPr>
            <w:r>
              <w:rPr>
                <w:rFonts w:ascii="Arial" w:cs="Arial" w:eastAsia="Arial" w:hAnsi="Arial"/>
                <w:sz w:val="15"/>
                <w:szCs w:val="15"/>
                <w:color w:val="auto"/>
              </w:rPr>
              <w:t>875,000</w:t>
            </w:r>
          </w:p>
        </w:tc>
        <w:tc>
          <w:tcPr>
            <w:tcW w:w="3120" w:type="dxa"/>
            <w:vAlign w:val="bottom"/>
          </w:tcPr>
          <w:p>
            <w:pPr>
              <w:jc w:val="right"/>
              <w:ind w:right="209"/>
              <w:spacing w:after="0"/>
              <w:rPr>
                <w:sz w:val="20"/>
                <w:szCs w:val="20"/>
                <w:color w:val="auto"/>
              </w:rPr>
            </w:pPr>
            <w:r>
              <w:rPr>
                <w:rFonts w:ascii="Arial" w:cs="Arial" w:eastAsia="Arial" w:hAnsi="Arial"/>
                <w:sz w:val="15"/>
                <w:szCs w:val="15"/>
                <w:color w:val="auto"/>
              </w:rPr>
              <w:t>12.9%</w:t>
            </w:r>
          </w:p>
        </w:tc>
        <w:tc>
          <w:tcPr>
            <w:tcW w:w="2940" w:type="dxa"/>
            <w:vAlign w:val="bottom"/>
          </w:tcPr>
          <w:p>
            <w:pPr>
              <w:jc w:val="right"/>
              <w:spacing w:after="0"/>
              <w:rPr>
                <w:sz w:val="20"/>
                <w:szCs w:val="20"/>
                <w:color w:val="auto"/>
              </w:rPr>
            </w:pPr>
            <w:r>
              <w:rPr>
                <w:rFonts w:ascii="Arial" w:cs="Arial" w:eastAsia="Arial" w:hAnsi="Arial"/>
                <w:sz w:val="15"/>
                <w:szCs w:val="15"/>
                <w:color w:val="auto"/>
              </w:rPr>
              <w:t>7% below</w:t>
            </w:r>
          </w:p>
        </w:tc>
      </w:tr>
      <w:tr>
        <w:trPr>
          <w:trHeight w:val="184"/>
        </w:trPr>
        <w:tc>
          <w:tcPr>
            <w:tcW w:w="186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1260" w:type="dxa"/>
            <w:vAlign w:val="bottom"/>
            <w:shd w:val="clear" w:color="auto" w:fill="D9D9D9"/>
          </w:tcPr>
          <w:p>
            <w:pPr>
              <w:jc w:val="right"/>
              <w:ind w:right="126"/>
              <w:spacing w:after="0"/>
              <w:rPr>
                <w:sz w:val="20"/>
                <w:szCs w:val="20"/>
                <w:color w:val="auto"/>
              </w:rPr>
            </w:pPr>
            <w:r>
              <w:rPr>
                <w:rFonts w:ascii="Arial" w:cs="Arial" w:eastAsia="Arial" w:hAnsi="Arial"/>
                <w:sz w:val="15"/>
                <w:szCs w:val="15"/>
                <w:color w:val="auto"/>
              </w:rPr>
              <w:t>$</w:t>
            </w:r>
          </w:p>
        </w:tc>
        <w:tc>
          <w:tcPr>
            <w:tcW w:w="2240" w:type="dxa"/>
            <w:vAlign w:val="bottom"/>
            <w:shd w:val="clear" w:color="auto" w:fill="D9D9D9"/>
          </w:tcPr>
          <w:p>
            <w:pPr>
              <w:jc w:val="right"/>
              <w:ind w:right="289"/>
              <w:spacing w:after="0"/>
              <w:rPr>
                <w:sz w:val="20"/>
                <w:szCs w:val="20"/>
                <w:color w:val="auto"/>
              </w:rPr>
            </w:pPr>
            <w:r>
              <w:rPr>
                <w:rFonts w:ascii="Arial" w:cs="Arial" w:eastAsia="Arial" w:hAnsi="Arial"/>
                <w:sz w:val="15"/>
                <w:szCs w:val="15"/>
                <w:color w:val="auto"/>
              </w:rPr>
              <w:t>520,000</w:t>
            </w:r>
          </w:p>
        </w:tc>
        <w:tc>
          <w:tcPr>
            <w:tcW w:w="3120" w:type="dxa"/>
            <w:vAlign w:val="bottom"/>
            <w:shd w:val="clear" w:color="auto" w:fill="D9D9D9"/>
          </w:tcPr>
          <w:p>
            <w:pPr>
              <w:jc w:val="right"/>
              <w:ind w:right="209"/>
              <w:spacing w:after="0"/>
              <w:rPr>
                <w:sz w:val="20"/>
                <w:szCs w:val="20"/>
                <w:color w:val="auto"/>
              </w:rPr>
            </w:pPr>
            <w:r>
              <w:rPr>
                <w:rFonts w:ascii="Arial" w:cs="Arial" w:eastAsia="Arial" w:hAnsi="Arial"/>
                <w:sz w:val="15"/>
                <w:szCs w:val="15"/>
                <w:color w:val="auto"/>
              </w:rPr>
              <w:t>3.0%</w:t>
            </w:r>
          </w:p>
        </w:tc>
        <w:tc>
          <w:tcPr>
            <w:tcW w:w="29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At market</w:t>
            </w:r>
          </w:p>
        </w:tc>
      </w:tr>
      <w:tr>
        <w:trPr>
          <w:trHeight w:val="184"/>
        </w:trPr>
        <w:tc>
          <w:tcPr>
            <w:tcW w:w="1860" w:type="dxa"/>
            <w:vAlign w:val="bottom"/>
          </w:tcPr>
          <w:p>
            <w:pPr>
              <w:spacing w:after="0"/>
              <w:rPr>
                <w:sz w:val="20"/>
                <w:szCs w:val="20"/>
                <w:color w:val="auto"/>
              </w:rPr>
            </w:pPr>
            <w:r>
              <w:rPr>
                <w:rFonts w:ascii="Arial" w:cs="Arial" w:eastAsia="Arial" w:hAnsi="Arial"/>
                <w:sz w:val="15"/>
                <w:szCs w:val="15"/>
                <w:color w:val="auto"/>
              </w:rPr>
              <w:t>Mr. Brown</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289"/>
              <w:spacing w:after="0"/>
              <w:rPr>
                <w:sz w:val="20"/>
                <w:szCs w:val="20"/>
                <w:color w:val="auto"/>
              </w:rPr>
            </w:pPr>
            <w:r>
              <w:rPr>
                <w:rFonts w:ascii="Arial" w:cs="Arial" w:eastAsia="Arial" w:hAnsi="Arial"/>
                <w:sz w:val="15"/>
                <w:szCs w:val="15"/>
                <w:color w:val="auto"/>
              </w:rPr>
              <w:t>445,000</w:t>
            </w:r>
          </w:p>
        </w:tc>
        <w:tc>
          <w:tcPr>
            <w:tcW w:w="3120" w:type="dxa"/>
            <w:vAlign w:val="bottom"/>
          </w:tcPr>
          <w:p>
            <w:pPr>
              <w:jc w:val="right"/>
              <w:ind w:right="209"/>
              <w:spacing w:after="0"/>
              <w:rPr>
                <w:sz w:val="20"/>
                <w:szCs w:val="20"/>
                <w:color w:val="auto"/>
              </w:rPr>
            </w:pPr>
            <w:r>
              <w:rPr>
                <w:rFonts w:ascii="Arial" w:cs="Arial" w:eastAsia="Arial" w:hAnsi="Arial"/>
                <w:sz w:val="15"/>
                <w:szCs w:val="15"/>
                <w:color w:val="auto"/>
              </w:rPr>
              <w:t>3.0%</w:t>
            </w:r>
          </w:p>
        </w:tc>
        <w:tc>
          <w:tcPr>
            <w:tcW w:w="2940" w:type="dxa"/>
            <w:vAlign w:val="bottom"/>
          </w:tcPr>
          <w:p>
            <w:pPr>
              <w:jc w:val="right"/>
              <w:spacing w:after="0"/>
              <w:rPr>
                <w:sz w:val="20"/>
                <w:szCs w:val="20"/>
                <w:color w:val="auto"/>
              </w:rPr>
            </w:pPr>
            <w:r>
              <w:rPr>
                <w:rFonts w:ascii="Arial" w:cs="Arial" w:eastAsia="Arial" w:hAnsi="Arial"/>
                <w:sz w:val="15"/>
                <w:szCs w:val="15"/>
                <w:color w:val="auto"/>
              </w:rPr>
              <w:t>7% below</w:t>
            </w:r>
          </w:p>
        </w:tc>
      </w:tr>
      <w:tr>
        <w:trPr>
          <w:trHeight w:val="184"/>
        </w:trPr>
        <w:tc>
          <w:tcPr>
            <w:tcW w:w="1860" w:type="dxa"/>
            <w:vAlign w:val="bottom"/>
            <w:shd w:val="clear" w:color="auto" w:fill="D9D9D9"/>
          </w:tcPr>
          <w:p>
            <w:pPr>
              <w:spacing w:after="0"/>
              <w:rPr>
                <w:sz w:val="20"/>
                <w:szCs w:val="20"/>
                <w:color w:val="auto"/>
              </w:rPr>
            </w:pPr>
            <w:r>
              <w:rPr>
                <w:rFonts w:ascii="Arial" w:cs="Arial" w:eastAsia="Arial" w:hAnsi="Arial"/>
                <w:sz w:val="15"/>
                <w:szCs w:val="15"/>
                <w:color w:val="auto"/>
              </w:rPr>
              <w:t>Mr. Dordell</w:t>
            </w:r>
          </w:p>
        </w:tc>
        <w:tc>
          <w:tcPr>
            <w:tcW w:w="1260" w:type="dxa"/>
            <w:vAlign w:val="bottom"/>
            <w:shd w:val="clear" w:color="auto" w:fill="D9D9D9"/>
          </w:tcPr>
          <w:p>
            <w:pPr>
              <w:jc w:val="right"/>
              <w:ind w:right="126"/>
              <w:spacing w:after="0"/>
              <w:rPr>
                <w:sz w:val="20"/>
                <w:szCs w:val="20"/>
                <w:color w:val="auto"/>
              </w:rPr>
            </w:pPr>
            <w:r>
              <w:rPr>
                <w:rFonts w:ascii="Arial" w:cs="Arial" w:eastAsia="Arial" w:hAnsi="Arial"/>
                <w:sz w:val="15"/>
                <w:szCs w:val="15"/>
                <w:color w:val="auto"/>
              </w:rPr>
              <w:t>$</w:t>
            </w:r>
          </w:p>
        </w:tc>
        <w:tc>
          <w:tcPr>
            <w:tcW w:w="2240" w:type="dxa"/>
            <w:vAlign w:val="bottom"/>
            <w:shd w:val="clear" w:color="auto" w:fill="D9D9D9"/>
          </w:tcPr>
          <w:p>
            <w:pPr>
              <w:jc w:val="right"/>
              <w:ind w:right="289"/>
              <w:spacing w:after="0"/>
              <w:rPr>
                <w:sz w:val="20"/>
                <w:szCs w:val="20"/>
                <w:color w:val="auto"/>
              </w:rPr>
            </w:pPr>
            <w:r>
              <w:rPr>
                <w:rFonts w:ascii="Arial" w:cs="Arial" w:eastAsia="Arial" w:hAnsi="Arial"/>
                <w:sz w:val="15"/>
                <w:szCs w:val="15"/>
                <w:color w:val="auto"/>
              </w:rPr>
              <w:t>438,000</w:t>
            </w:r>
          </w:p>
        </w:tc>
        <w:tc>
          <w:tcPr>
            <w:tcW w:w="3120" w:type="dxa"/>
            <w:vAlign w:val="bottom"/>
            <w:shd w:val="clear" w:color="auto" w:fill="D9D9D9"/>
          </w:tcPr>
          <w:p>
            <w:pPr>
              <w:jc w:val="right"/>
              <w:ind w:right="209"/>
              <w:spacing w:after="0"/>
              <w:rPr>
                <w:sz w:val="20"/>
                <w:szCs w:val="20"/>
                <w:color w:val="auto"/>
              </w:rPr>
            </w:pPr>
            <w:r>
              <w:rPr>
                <w:rFonts w:ascii="Arial" w:cs="Arial" w:eastAsia="Arial" w:hAnsi="Arial"/>
                <w:sz w:val="15"/>
                <w:szCs w:val="15"/>
                <w:color w:val="auto"/>
              </w:rPr>
              <w:t>3.1%</w:t>
            </w:r>
          </w:p>
        </w:tc>
        <w:tc>
          <w:tcPr>
            <w:tcW w:w="29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At market</w:t>
            </w:r>
          </w:p>
        </w:tc>
      </w:tr>
      <w:tr>
        <w:trPr>
          <w:trHeight w:val="191"/>
        </w:trPr>
        <w:tc>
          <w:tcPr>
            <w:tcW w:w="1860" w:type="dxa"/>
            <w:vAlign w:val="bottom"/>
          </w:tcPr>
          <w:p>
            <w:pPr>
              <w:spacing w:after="0"/>
              <w:rPr>
                <w:sz w:val="20"/>
                <w:szCs w:val="20"/>
                <w:color w:val="auto"/>
              </w:rPr>
            </w:pPr>
            <w:r>
              <w:rPr>
                <w:rFonts w:ascii="Arial" w:cs="Arial" w:eastAsia="Arial" w:hAnsi="Arial"/>
                <w:sz w:val="15"/>
                <w:szCs w:val="15"/>
                <w:color w:val="auto"/>
              </w:rPr>
              <w:t>Mr. Hamilton</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289"/>
              <w:spacing w:after="0"/>
              <w:rPr>
                <w:sz w:val="20"/>
                <w:szCs w:val="20"/>
                <w:color w:val="auto"/>
              </w:rPr>
            </w:pPr>
            <w:r>
              <w:rPr>
                <w:rFonts w:ascii="Arial" w:cs="Arial" w:eastAsia="Arial" w:hAnsi="Arial"/>
                <w:sz w:val="15"/>
                <w:szCs w:val="15"/>
                <w:color w:val="auto"/>
              </w:rPr>
              <w:t>350,000</w:t>
            </w:r>
          </w:p>
        </w:tc>
        <w:tc>
          <w:tcPr>
            <w:tcW w:w="3120" w:type="dxa"/>
            <w:vAlign w:val="bottom"/>
          </w:tcPr>
          <w:p>
            <w:pPr>
              <w:jc w:val="right"/>
              <w:ind w:right="209"/>
              <w:spacing w:after="0"/>
              <w:rPr>
                <w:sz w:val="20"/>
                <w:szCs w:val="20"/>
                <w:color w:val="auto"/>
              </w:rPr>
            </w:pPr>
            <w:r>
              <w:rPr>
                <w:rFonts w:ascii="Arial" w:cs="Arial" w:eastAsia="Arial" w:hAnsi="Arial"/>
                <w:sz w:val="15"/>
                <w:szCs w:val="15"/>
                <w:color w:val="auto"/>
              </w:rPr>
              <w:t>22.4%</w:t>
            </w:r>
          </w:p>
        </w:tc>
        <w:tc>
          <w:tcPr>
            <w:tcW w:w="2940" w:type="dxa"/>
            <w:vAlign w:val="bottom"/>
          </w:tcPr>
          <w:p>
            <w:pPr>
              <w:jc w:val="right"/>
              <w:spacing w:after="0"/>
              <w:rPr>
                <w:sz w:val="20"/>
                <w:szCs w:val="20"/>
                <w:color w:val="auto"/>
              </w:rPr>
            </w:pPr>
            <w:r>
              <w:rPr>
                <w:rFonts w:ascii="Arial" w:cs="Arial" w:eastAsia="Arial" w:hAnsi="Arial"/>
                <w:sz w:val="15"/>
                <w:szCs w:val="15"/>
                <w:color w:val="auto"/>
              </w:rPr>
              <w:t>21% below</w:t>
            </w:r>
          </w:p>
        </w:tc>
      </w:tr>
    </w:tbl>
    <w:p>
      <w:pPr>
        <w:spacing w:after="0" w:line="90"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Mr. Olson’s fiscal 2018 annual base salary was increased to $875,000. The Compensation &amp; Human Resources Committee believes that this increase in base salary is reflective of the significant increase in his duties and responsibilities as he transitioned into the Chairman and CEO role, while also bringing his base salary closer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In early fiscal 2018, Mr. Hamilton was promoted from vice president to group vice president, resulting in increased responsibility for multiple divisions, including our commercial and international divisions, from general management of one division, our commercial division. As a result, the Compensation &amp; Human Resources Committee increased his base salary $350,000 to reflect the significant increase in his duties and responsibilities. The Committee believes that Mr. Hamilton’s position compared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is appropriate given the short period of time in which he has been a group vice president. Base salary increases for our other named executive officers were intended to bring their respective annual base salaries to, or closer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Annual Cash Incentives.</w:t>
      </w:r>
    </w:p>
    <w:p>
      <w:pPr>
        <w:spacing w:after="0" w:line="102" w:lineRule="exact"/>
        <w:rPr>
          <w:sz w:val="20"/>
          <w:szCs w:val="20"/>
          <w:color w:val="auto"/>
        </w:rPr>
      </w:pPr>
    </w:p>
    <w:p>
      <w:pPr>
        <w:jc w:val="both"/>
        <w:ind w:right="340" w:firstLine="408"/>
        <w:spacing w:after="0" w:line="257"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To help ensure we meet our compensation program objective of linking pay to performance, we provide the opportunity for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to earn an annual cash incentive, which is designed to motivate attainment and reward accomplishment of annual financial business goals. This is done by establishing financial goals that link to our annual financial plan.</w:t>
      </w:r>
    </w:p>
    <w:p>
      <w:pPr>
        <w:spacing w:after="0" w:line="74" w:lineRule="exact"/>
        <w:rPr>
          <w:sz w:val="20"/>
          <w:szCs w:val="20"/>
          <w:color w:val="auto"/>
        </w:rPr>
      </w:pPr>
    </w:p>
    <w:p>
      <w:pPr>
        <w:ind w:right="60" w:firstLine="408"/>
        <w:spacing w:after="0" w:line="242" w:lineRule="auto"/>
        <w:rPr>
          <w:sz w:val="20"/>
          <w:szCs w:val="20"/>
          <w:color w:val="auto"/>
        </w:rPr>
      </w:pPr>
      <w:r>
        <w:rPr>
          <w:rFonts w:ascii="Arial" w:cs="Arial" w:eastAsia="Arial" w:hAnsi="Arial"/>
          <w:sz w:val="16"/>
          <w:szCs w:val="16"/>
          <w:color w:val="auto"/>
        </w:rPr>
        <w:t>At the beginning of each fiscal year, during its regular meeting held in November or December, the Compensation &amp; Human Resources Committee approves a target award expressed as a percentage of base salary for each executive officer. Additionally, the Committee approves specific performance measures, weightings, goals and performance adjustment events, if any, at the corporate and division level for the fiscal year. The performance measures are derived from a list of performance measures included in our Amended and Restated 2010 Plan. For each performance measure, a threshold, target and maximum level of performance is defined, which have corresponding payout percentages. During the fiscal year, the Committee reviews progress against the established goals. Following the end of the fiscal year, at its regular meeting held in November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December, Management presents a summary of, and the Committee certifies, actual performance as compared to the established corporate and division goals along with a corresponding payout percentage, which is expressed as a percent of target performance. Annual cash incentive awards are paid out to the executive officers in December, and are contingent on the issuance of our press release announcing our financial results for the recently completed fiscal year.</w:t>
      </w:r>
    </w:p>
    <w:p>
      <w:pPr>
        <w:spacing w:after="0" w:line="65" w:lineRule="exact"/>
        <w:rPr>
          <w:sz w:val="20"/>
          <w:szCs w:val="20"/>
          <w:color w:val="auto"/>
        </w:rPr>
      </w:pPr>
    </w:p>
    <w:p>
      <w:pPr>
        <w:ind w:right="40" w:firstLine="408"/>
        <w:spacing w:after="0" w:line="244" w:lineRule="auto"/>
        <w:rPr>
          <w:sz w:val="20"/>
          <w:szCs w:val="20"/>
          <w:color w:val="auto"/>
        </w:rPr>
      </w:pPr>
      <w:r>
        <w:rPr>
          <w:rFonts w:ascii="Arial" w:cs="Arial" w:eastAsia="Arial" w:hAnsi="Arial"/>
          <w:sz w:val="16"/>
          <w:szCs w:val="16"/>
          <w:i w:val="1"/>
          <w:iCs w:val="1"/>
          <w:color w:val="auto"/>
        </w:rPr>
        <w:t>Target Awards</w:t>
      </w:r>
      <w:r>
        <w:rPr>
          <w:rFonts w:ascii="Arial" w:cs="Arial" w:eastAsia="Arial" w:hAnsi="Arial"/>
          <w:sz w:val="16"/>
          <w:szCs w:val="16"/>
          <w:color w:val="auto"/>
        </w:rPr>
        <w:t>. When determining the target award for each executive officer, the Committee reviews the market 50</w:t>
      </w:r>
      <w:r>
        <w:rPr>
          <w:rFonts w:ascii="Arial" w:cs="Arial" w:eastAsia="Arial" w:hAnsi="Arial"/>
          <w:sz w:val="13"/>
          <w:szCs w:val="13"/>
          <w:color w:val="auto"/>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percentile for target total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(sum of base salary and target annual cash incentive) for the position in which such executive officer serves. Our objective is that when we achieve target levels of performance for each measure, resulting total cash compensation paid to our executive officers is within a reasonable range of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Actual total cash compensation will generally exceed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if actual performance for each measure exceeds established target annual financial business goals and will generally be less than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if actual performance for each measure is below established target annual financial business goals. In addition to considering the market data, the Committee also considers experience, tenure, scope and complexity of the executive officer’s position, individual contributions and performance, as well as internal pay equity.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85" w:lineRule="exact"/>
        <w:rPr>
          <w:sz w:val="20"/>
          <w:szCs w:val="20"/>
          <w:color w:val="auto"/>
        </w:rPr>
      </w:pPr>
    </w:p>
    <w:p>
      <w:pPr>
        <w:ind w:right="100" w:firstLine="408"/>
        <w:spacing w:after="0" w:line="247" w:lineRule="auto"/>
        <w:rPr>
          <w:sz w:val="20"/>
          <w:szCs w:val="20"/>
          <w:color w:val="auto"/>
        </w:rPr>
      </w:pPr>
      <w:r>
        <w:rPr>
          <w:rFonts w:ascii="Arial" w:cs="Arial" w:eastAsia="Arial" w:hAnsi="Arial"/>
          <w:sz w:val="16"/>
          <w:szCs w:val="16"/>
          <w:color w:val="auto"/>
        </w:rPr>
        <w:t>In December 2017, the Committee approved the fiscal 2018 target awards shown below for our named executive officers. The fiscal 2018 target annual cash incentive award, the change in the target award percentage, the resulting fiscal 2018 target total cash compensation (sum of fiscal 2018 annual base salary and fiscal 2018 target annual cash incentive award) and the comparison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are also provided.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2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40" w:type="dxa"/>
            <w:vAlign w:val="bottom"/>
            <w:shd w:val="clear" w:color="auto" w:fill="C00000"/>
          </w:tcPr>
          <w:p>
            <w:pPr>
              <w:spacing w:after="0"/>
              <w:rPr>
                <w:sz w:val="10"/>
                <w:szCs w:val="10"/>
                <w:color w:val="auto"/>
              </w:rPr>
            </w:pPr>
          </w:p>
        </w:tc>
        <w:tc>
          <w:tcPr>
            <w:tcW w:w="1580" w:type="dxa"/>
            <w:vAlign w:val="bottom"/>
            <w:shd w:val="clear" w:color="auto" w:fill="C00000"/>
          </w:tcPr>
          <w:p>
            <w:pPr>
              <w:spacing w:after="0"/>
              <w:rPr>
                <w:sz w:val="10"/>
                <w:szCs w:val="10"/>
                <w:color w:val="auto"/>
              </w:rPr>
            </w:pPr>
          </w:p>
        </w:tc>
        <w:tc>
          <w:tcPr>
            <w:tcW w:w="1260" w:type="dxa"/>
            <w:vAlign w:val="bottom"/>
            <w:shd w:val="clear" w:color="auto" w:fill="C00000"/>
          </w:tcPr>
          <w:p>
            <w:pPr>
              <w:spacing w:after="0"/>
              <w:rPr>
                <w:sz w:val="10"/>
                <w:szCs w:val="10"/>
                <w:color w:val="auto"/>
              </w:rPr>
            </w:pPr>
          </w:p>
        </w:tc>
        <w:tc>
          <w:tcPr>
            <w:tcW w:w="18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220" w:type="dxa"/>
            <w:vAlign w:val="bottom"/>
            <w:shd w:val="clear" w:color="auto" w:fill="C00000"/>
          </w:tcPr>
          <w:p>
            <w:pPr>
              <w:spacing w:after="0"/>
              <w:rPr>
                <w:sz w:val="10"/>
                <w:szCs w:val="10"/>
                <w:color w:val="auto"/>
              </w:rPr>
            </w:pPr>
          </w:p>
        </w:tc>
        <w:tc>
          <w:tcPr>
            <w:tcW w:w="1360" w:type="dxa"/>
            <w:vAlign w:val="bottom"/>
            <w:shd w:val="clear" w:color="auto" w:fill="C00000"/>
          </w:tcPr>
          <w:p>
            <w:pPr>
              <w:spacing w:after="0"/>
              <w:rPr>
                <w:sz w:val="10"/>
                <w:szCs w:val="10"/>
                <w:color w:val="auto"/>
              </w:rPr>
            </w:pPr>
          </w:p>
        </w:tc>
        <w:tc>
          <w:tcPr>
            <w:tcW w:w="17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Fiscal 2018 Target</w:t>
            </w:r>
          </w:p>
        </w:tc>
      </w:tr>
      <w:tr>
        <w:trPr>
          <w:trHeight w:val="123"/>
        </w:trPr>
        <w:tc>
          <w:tcPr>
            <w:tcW w:w="172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40" w:type="dxa"/>
            <w:vAlign w:val="bottom"/>
            <w:shd w:val="clear" w:color="auto" w:fill="C00000"/>
          </w:tcPr>
          <w:p>
            <w:pPr>
              <w:spacing w:after="0"/>
              <w:rPr>
                <w:sz w:val="10"/>
                <w:szCs w:val="10"/>
                <w:color w:val="auto"/>
              </w:rPr>
            </w:pPr>
          </w:p>
        </w:tc>
        <w:tc>
          <w:tcPr>
            <w:tcW w:w="1580" w:type="dxa"/>
            <w:vAlign w:val="bottom"/>
            <w:shd w:val="clear" w:color="auto" w:fill="C00000"/>
          </w:tcPr>
          <w:p>
            <w:pPr>
              <w:spacing w:after="0"/>
              <w:rPr>
                <w:sz w:val="10"/>
                <w:szCs w:val="10"/>
                <w:color w:val="auto"/>
              </w:rPr>
            </w:pPr>
          </w:p>
        </w:tc>
        <w:tc>
          <w:tcPr>
            <w:tcW w:w="1260" w:type="dxa"/>
            <w:vAlign w:val="bottom"/>
            <w:shd w:val="clear" w:color="auto" w:fill="C00000"/>
          </w:tcPr>
          <w:p>
            <w:pPr>
              <w:jc w:val="center"/>
              <w:ind w:right="74"/>
              <w:spacing w:after="0" w:line="123" w:lineRule="exact"/>
              <w:rPr>
                <w:sz w:val="20"/>
                <w:szCs w:val="20"/>
                <w:color w:val="auto"/>
              </w:rPr>
            </w:pPr>
            <w:r>
              <w:rPr>
                <w:rFonts w:ascii="Arial" w:cs="Arial" w:eastAsia="Arial" w:hAnsi="Arial"/>
                <w:sz w:val="11"/>
                <w:szCs w:val="11"/>
                <w:b w:val="1"/>
                <w:bCs w:val="1"/>
                <w:color w:val="FFFFFF"/>
              </w:rPr>
              <w:t>Fiscal 2018</w:t>
            </w:r>
          </w:p>
        </w:tc>
        <w:tc>
          <w:tcPr>
            <w:tcW w:w="18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220" w:type="dxa"/>
            <w:vAlign w:val="bottom"/>
            <w:shd w:val="clear" w:color="auto" w:fill="C00000"/>
          </w:tcPr>
          <w:p>
            <w:pPr>
              <w:spacing w:after="0"/>
              <w:rPr>
                <w:sz w:val="10"/>
                <w:szCs w:val="10"/>
                <w:color w:val="auto"/>
              </w:rPr>
            </w:pPr>
          </w:p>
        </w:tc>
        <w:tc>
          <w:tcPr>
            <w:tcW w:w="1360" w:type="dxa"/>
            <w:vAlign w:val="bottom"/>
            <w:shd w:val="clear" w:color="auto" w:fill="C00000"/>
          </w:tcPr>
          <w:p>
            <w:pPr>
              <w:spacing w:after="0"/>
              <w:rPr>
                <w:sz w:val="10"/>
                <w:szCs w:val="10"/>
                <w:color w:val="auto"/>
              </w:rPr>
            </w:pPr>
          </w:p>
        </w:tc>
        <w:tc>
          <w:tcPr>
            <w:tcW w:w="174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rPr>
              <w:t>Total Cash</w:t>
            </w:r>
          </w:p>
        </w:tc>
      </w:tr>
      <w:tr>
        <w:trPr>
          <w:trHeight w:val="123"/>
        </w:trPr>
        <w:tc>
          <w:tcPr>
            <w:tcW w:w="172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40" w:type="dxa"/>
            <w:vAlign w:val="bottom"/>
            <w:shd w:val="clear" w:color="auto" w:fill="C00000"/>
          </w:tcPr>
          <w:p>
            <w:pPr>
              <w:spacing w:after="0"/>
              <w:rPr>
                <w:sz w:val="10"/>
                <w:szCs w:val="10"/>
                <w:color w:val="auto"/>
              </w:rPr>
            </w:pPr>
          </w:p>
        </w:tc>
        <w:tc>
          <w:tcPr>
            <w:tcW w:w="1580" w:type="dxa"/>
            <w:vAlign w:val="bottom"/>
            <w:shd w:val="clear" w:color="auto" w:fill="C00000"/>
          </w:tcPr>
          <w:p>
            <w:pPr>
              <w:jc w:val="center"/>
              <w:ind w:right="213"/>
              <w:spacing w:after="0" w:line="123" w:lineRule="exact"/>
              <w:rPr>
                <w:sz w:val="20"/>
                <w:szCs w:val="20"/>
                <w:color w:val="auto"/>
              </w:rPr>
            </w:pPr>
            <w:r>
              <w:rPr>
                <w:rFonts w:ascii="Arial" w:cs="Arial" w:eastAsia="Arial" w:hAnsi="Arial"/>
                <w:sz w:val="11"/>
                <w:szCs w:val="11"/>
                <w:b w:val="1"/>
                <w:bCs w:val="1"/>
                <w:color w:val="FFFFFF"/>
              </w:rPr>
              <w:t>Fiscal 2018</w:t>
            </w:r>
          </w:p>
        </w:tc>
        <w:tc>
          <w:tcPr>
            <w:tcW w:w="1260" w:type="dxa"/>
            <w:vAlign w:val="bottom"/>
            <w:shd w:val="clear" w:color="auto" w:fill="C00000"/>
          </w:tcPr>
          <w:p>
            <w:pPr>
              <w:jc w:val="center"/>
              <w:ind w:right="74"/>
              <w:spacing w:after="0" w:line="123" w:lineRule="exact"/>
              <w:rPr>
                <w:sz w:val="20"/>
                <w:szCs w:val="20"/>
                <w:color w:val="auto"/>
              </w:rPr>
            </w:pPr>
            <w:r>
              <w:rPr>
                <w:rFonts w:ascii="Arial" w:cs="Arial" w:eastAsia="Arial" w:hAnsi="Arial"/>
                <w:sz w:val="11"/>
                <w:szCs w:val="11"/>
                <w:b w:val="1"/>
                <w:bCs w:val="1"/>
                <w:color w:val="FFFFFF"/>
              </w:rPr>
              <w:t>Target Award</w:t>
            </w:r>
          </w:p>
        </w:tc>
        <w:tc>
          <w:tcPr>
            <w:tcW w:w="1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151"/>
              <w:spacing w:after="0" w:line="123" w:lineRule="exact"/>
              <w:rPr>
                <w:sz w:val="20"/>
                <w:szCs w:val="20"/>
                <w:color w:val="auto"/>
              </w:rPr>
            </w:pPr>
            <w:r>
              <w:rPr>
                <w:rFonts w:ascii="Arial" w:cs="Arial" w:eastAsia="Arial" w:hAnsi="Arial"/>
                <w:sz w:val="11"/>
                <w:szCs w:val="11"/>
                <w:b w:val="1"/>
                <w:bCs w:val="1"/>
                <w:color w:val="FFFFFF"/>
              </w:rPr>
              <w:t>Fiscal 2018</w:t>
            </w:r>
          </w:p>
        </w:tc>
        <w:tc>
          <w:tcPr>
            <w:tcW w:w="220" w:type="dxa"/>
            <w:vAlign w:val="bottom"/>
            <w:shd w:val="clear" w:color="auto" w:fill="C00000"/>
          </w:tcPr>
          <w:p>
            <w:pPr>
              <w:spacing w:after="0"/>
              <w:rPr>
                <w:sz w:val="10"/>
                <w:szCs w:val="10"/>
                <w:color w:val="auto"/>
              </w:rPr>
            </w:pPr>
          </w:p>
        </w:tc>
        <w:tc>
          <w:tcPr>
            <w:tcW w:w="1360" w:type="dxa"/>
            <w:vAlign w:val="bottom"/>
            <w:shd w:val="clear" w:color="auto" w:fill="C00000"/>
          </w:tcPr>
          <w:p>
            <w:pPr>
              <w:jc w:val="center"/>
              <w:ind w:right="313"/>
              <w:spacing w:after="0" w:line="123" w:lineRule="exact"/>
              <w:rPr>
                <w:sz w:val="20"/>
                <w:szCs w:val="20"/>
                <w:color w:val="auto"/>
              </w:rPr>
            </w:pPr>
            <w:r>
              <w:rPr>
                <w:rFonts w:ascii="Arial" w:cs="Arial" w:eastAsia="Arial" w:hAnsi="Arial"/>
                <w:sz w:val="11"/>
                <w:szCs w:val="11"/>
                <w:b w:val="1"/>
                <w:bCs w:val="1"/>
                <w:color w:val="FFFFFF"/>
              </w:rPr>
              <w:t>Fiscal 2018</w:t>
            </w:r>
          </w:p>
        </w:tc>
        <w:tc>
          <w:tcPr>
            <w:tcW w:w="174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rPr>
              <w:t>Compensation</w:t>
            </w:r>
          </w:p>
        </w:tc>
      </w:tr>
      <w:tr>
        <w:trPr>
          <w:trHeight w:val="123"/>
        </w:trPr>
        <w:tc>
          <w:tcPr>
            <w:tcW w:w="172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40" w:type="dxa"/>
            <w:vAlign w:val="bottom"/>
            <w:shd w:val="clear" w:color="auto" w:fill="C00000"/>
          </w:tcPr>
          <w:p>
            <w:pPr>
              <w:jc w:val="right"/>
              <w:ind w:right="369"/>
              <w:spacing w:after="0" w:line="123" w:lineRule="exact"/>
              <w:rPr>
                <w:sz w:val="20"/>
                <w:szCs w:val="20"/>
                <w:color w:val="auto"/>
              </w:rPr>
            </w:pPr>
            <w:r>
              <w:rPr>
                <w:rFonts w:ascii="Arial" w:cs="Arial" w:eastAsia="Arial" w:hAnsi="Arial"/>
                <w:sz w:val="11"/>
                <w:szCs w:val="11"/>
                <w:b w:val="1"/>
                <w:bCs w:val="1"/>
                <w:color w:val="FFFFFF"/>
              </w:rPr>
              <w:t>Fiscal 2018</w:t>
            </w:r>
          </w:p>
        </w:tc>
        <w:tc>
          <w:tcPr>
            <w:tcW w:w="1580" w:type="dxa"/>
            <w:vAlign w:val="bottom"/>
            <w:shd w:val="clear" w:color="auto" w:fill="C00000"/>
          </w:tcPr>
          <w:p>
            <w:pPr>
              <w:jc w:val="center"/>
              <w:ind w:right="213"/>
              <w:spacing w:after="0" w:line="123" w:lineRule="exact"/>
              <w:rPr>
                <w:sz w:val="20"/>
                <w:szCs w:val="20"/>
                <w:color w:val="auto"/>
              </w:rPr>
            </w:pPr>
            <w:r>
              <w:rPr>
                <w:rFonts w:ascii="Arial" w:cs="Arial" w:eastAsia="Arial" w:hAnsi="Arial"/>
                <w:sz w:val="11"/>
                <w:szCs w:val="11"/>
                <w:b w:val="1"/>
                <w:bCs w:val="1"/>
                <w:color w:val="FFFFFF"/>
              </w:rPr>
              <w:t>Award at Target</w:t>
            </w:r>
          </w:p>
        </w:tc>
        <w:tc>
          <w:tcPr>
            <w:tcW w:w="1260" w:type="dxa"/>
            <w:vAlign w:val="bottom"/>
            <w:shd w:val="clear" w:color="auto" w:fill="C00000"/>
          </w:tcPr>
          <w:p>
            <w:pPr>
              <w:jc w:val="center"/>
              <w:ind w:right="54"/>
              <w:spacing w:after="0" w:line="123" w:lineRule="exact"/>
              <w:rPr>
                <w:sz w:val="20"/>
                <w:szCs w:val="20"/>
                <w:color w:val="auto"/>
              </w:rPr>
            </w:pPr>
            <w:r>
              <w:rPr>
                <w:rFonts w:ascii="Arial" w:cs="Arial" w:eastAsia="Arial" w:hAnsi="Arial"/>
                <w:sz w:val="11"/>
                <w:szCs w:val="11"/>
                <w:b w:val="1"/>
                <w:bCs w:val="1"/>
                <w:color w:val="FFFFFF"/>
              </w:rPr>
              <w:t>Percentage</w:t>
            </w:r>
          </w:p>
        </w:tc>
        <w:tc>
          <w:tcPr>
            <w:tcW w:w="1340" w:type="dxa"/>
            <w:vAlign w:val="bottom"/>
            <w:gridSpan w:val="2"/>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rPr>
              <w:t>Target Annual Cash</w:t>
            </w:r>
          </w:p>
        </w:tc>
        <w:tc>
          <w:tcPr>
            <w:tcW w:w="220" w:type="dxa"/>
            <w:vAlign w:val="bottom"/>
            <w:shd w:val="clear" w:color="auto" w:fill="C00000"/>
          </w:tcPr>
          <w:p>
            <w:pPr>
              <w:spacing w:after="0"/>
              <w:rPr>
                <w:sz w:val="10"/>
                <w:szCs w:val="10"/>
                <w:color w:val="auto"/>
              </w:rPr>
            </w:pPr>
          </w:p>
        </w:tc>
        <w:tc>
          <w:tcPr>
            <w:tcW w:w="1360" w:type="dxa"/>
            <w:vAlign w:val="bottom"/>
            <w:shd w:val="clear" w:color="auto" w:fill="C00000"/>
          </w:tcPr>
          <w:p>
            <w:pPr>
              <w:jc w:val="center"/>
              <w:ind w:right="313"/>
              <w:spacing w:after="0" w:line="123" w:lineRule="exact"/>
              <w:rPr>
                <w:sz w:val="20"/>
                <w:szCs w:val="20"/>
                <w:color w:val="auto"/>
              </w:rPr>
            </w:pPr>
            <w:r>
              <w:rPr>
                <w:rFonts w:ascii="Arial" w:cs="Arial" w:eastAsia="Arial" w:hAnsi="Arial"/>
                <w:sz w:val="11"/>
                <w:szCs w:val="11"/>
                <w:b w:val="1"/>
                <w:bCs w:val="1"/>
                <w:color w:val="FFFFFF"/>
              </w:rPr>
              <w:t>Target Total Cash</w:t>
            </w:r>
          </w:p>
        </w:tc>
        <w:tc>
          <w:tcPr>
            <w:tcW w:w="174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rPr>
              <w:t>Compared to Market</w:t>
            </w:r>
          </w:p>
        </w:tc>
      </w:tr>
      <w:tr>
        <w:trPr>
          <w:trHeight w:val="142"/>
        </w:trPr>
        <w:tc>
          <w:tcPr>
            <w:tcW w:w="1720" w:type="dxa"/>
            <w:vAlign w:val="bottom"/>
            <w:shd w:val="clear" w:color="auto" w:fill="C00000"/>
          </w:tcPr>
          <w:p>
            <w:pPr>
              <w:spacing w:after="0"/>
              <w:rPr>
                <w:sz w:val="20"/>
                <w:szCs w:val="20"/>
                <w:color w:val="auto"/>
              </w:rPr>
            </w:pPr>
            <w:r>
              <w:rPr>
                <w:rFonts w:ascii="Arial" w:cs="Arial" w:eastAsia="Arial" w:hAnsi="Arial"/>
                <w:sz w:val="11"/>
                <w:szCs w:val="11"/>
                <w:b w:val="1"/>
                <w:bCs w:val="1"/>
                <w:color w:val="FFFFFF"/>
              </w:rPr>
              <w:t>Name</w:t>
            </w:r>
          </w:p>
        </w:tc>
        <w:tc>
          <w:tcPr>
            <w:tcW w:w="2200" w:type="dxa"/>
            <w:vAlign w:val="bottom"/>
            <w:gridSpan w:val="2"/>
            <w:shd w:val="clear" w:color="auto" w:fill="C00000"/>
          </w:tcPr>
          <w:p>
            <w:pPr>
              <w:jc w:val="right"/>
              <w:ind w:right="149"/>
              <w:spacing w:after="0"/>
              <w:rPr>
                <w:sz w:val="20"/>
                <w:szCs w:val="20"/>
                <w:color w:val="auto"/>
              </w:rPr>
            </w:pPr>
            <w:r>
              <w:rPr>
                <w:rFonts w:ascii="Arial" w:cs="Arial" w:eastAsia="Arial" w:hAnsi="Arial"/>
                <w:sz w:val="11"/>
                <w:szCs w:val="11"/>
                <w:b w:val="1"/>
                <w:bCs w:val="1"/>
                <w:color w:val="FFFFFF"/>
              </w:rPr>
              <w:t>Annual Base Salary</w:t>
            </w:r>
          </w:p>
        </w:tc>
        <w:tc>
          <w:tcPr>
            <w:tcW w:w="1580" w:type="dxa"/>
            <w:vAlign w:val="bottom"/>
            <w:shd w:val="clear" w:color="auto" w:fill="C00000"/>
          </w:tcPr>
          <w:p>
            <w:pPr>
              <w:jc w:val="center"/>
              <w:ind w:right="213"/>
              <w:spacing w:after="0"/>
              <w:rPr>
                <w:sz w:val="20"/>
                <w:szCs w:val="20"/>
                <w:color w:val="auto"/>
              </w:rPr>
            </w:pPr>
            <w:r>
              <w:rPr>
                <w:rFonts w:ascii="Arial" w:cs="Arial" w:eastAsia="Arial" w:hAnsi="Arial"/>
                <w:sz w:val="11"/>
                <w:szCs w:val="11"/>
                <w:b w:val="1"/>
                <w:bCs w:val="1"/>
                <w:color w:val="FFFFFF"/>
              </w:rPr>
              <w:t>(% of base salary)</w:t>
            </w:r>
          </w:p>
        </w:tc>
        <w:tc>
          <w:tcPr>
            <w:tcW w:w="1260" w:type="dxa"/>
            <w:vAlign w:val="bottom"/>
            <w:shd w:val="clear" w:color="auto" w:fill="C00000"/>
          </w:tcPr>
          <w:p>
            <w:pPr>
              <w:jc w:val="center"/>
              <w:ind w:right="54"/>
              <w:spacing w:after="0"/>
              <w:rPr>
                <w:sz w:val="20"/>
                <w:szCs w:val="20"/>
                <w:color w:val="auto"/>
              </w:rPr>
            </w:pPr>
            <w:r>
              <w:rPr>
                <w:rFonts w:ascii="Arial" w:cs="Arial" w:eastAsia="Arial" w:hAnsi="Arial"/>
                <w:sz w:val="11"/>
                <w:szCs w:val="11"/>
                <w:b w:val="1"/>
                <w:bCs w:val="1"/>
                <w:color w:val="FFFFFF"/>
              </w:rPr>
              <w:t>Change</w:t>
            </w:r>
          </w:p>
        </w:tc>
        <w:tc>
          <w:tcPr>
            <w:tcW w:w="180" w:type="dxa"/>
            <w:vAlign w:val="bottom"/>
            <w:shd w:val="clear" w:color="auto" w:fill="C00000"/>
          </w:tcPr>
          <w:p>
            <w:pPr>
              <w:spacing w:after="0"/>
              <w:rPr>
                <w:sz w:val="12"/>
                <w:szCs w:val="12"/>
                <w:color w:val="auto"/>
              </w:rPr>
            </w:pPr>
          </w:p>
        </w:tc>
        <w:tc>
          <w:tcPr>
            <w:tcW w:w="1160" w:type="dxa"/>
            <w:vAlign w:val="bottom"/>
            <w:shd w:val="clear" w:color="auto" w:fill="C00000"/>
          </w:tcPr>
          <w:p>
            <w:pPr>
              <w:jc w:val="center"/>
              <w:ind w:right="151"/>
              <w:spacing w:after="0"/>
              <w:rPr>
                <w:sz w:val="20"/>
                <w:szCs w:val="20"/>
                <w:color w:val="auto"/>
              </w:rPr>
            </w:pPr>
            <w:r>
              <w:rPr>
                <w:rFonts w:ascii="Arial" w:cs="Arial" w:eastAsia="Arial" w:hAnsi="Arial"/>
                <w:sz w:val="11"/>
                <w:szCs w:val="11"/>
                <w:b w:val="1"/>
                <w:bCs w:val="1"/>
                <w:color w:val="FFFFFF"/>
              </w:rPr>
              <w:t>Incentive Award</w:t>
            </w:r>
          </w:p>
        </w:tc>
        <w:tc>
          <w:tcPr>
            <w:tcW w:w="220" w:type="dxa"/>
            <w:vAlign w:val="bottom"/>
            <w:shd w:val="clear" w:color="auto" w:fill="C00000"/>
          </w:tcPr>
          <w:p>
            <w:pPr>
              <w:spacing w:after="0"/>
              <w:rPr>
                <w:sz w:val="12"/>
                <w:szCs w:val="12"/>
                <w:color w:val="auto"/>
              </w:rPr>
            </w:pPr>
          </w:p>
        </w:tc>
        <w:tc>
          <w:tcPr>
            <w:tcW w:w="1360" w:type="dxa"/>
            <w:vAlign w:val="bottom"/>
            <w:shd w:val="clear" w:color="auto" w:fill="C00000"/>
          </w:tcPr>
          <w:p>
            <w:pPr>
              <w:jc w:val="center"/>
              <w:ind w:right="293"/>
              <w:spacing w:after="0"/>
              <w:rPr>
                <w:sz w:val="20"/>
                <w:szCs w:val="20"/>
                <w:color w:val="auto"/>
              </w:rPr>
            </w:pPr>
            <w:r>
              <w:rPr>
                <w:rFonts w:ascii="Arial" w:cs="Arial" w:eastAsia="Arial" w:hAnsi="Arial"/>
                <w:sz w:val="11"/>
                <w:szCs w:val="11"/>
                <w:b w:val="1"/>
                <w:bCs w:val="1"/>
                <w:color w:val="FFFFFF"/>
              </w:rPr>
              <w:t>Compensation</w:t>
            </w:r>
          </w:p>
        </w:tc>
        <w:tc>
          <w:tcPr>
            <w:tcW w:w="17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50</w:t>
            </w:r>
            <w:r>
              <w:rPr>
                <w:rFonts w:ascii="Arial" w:cs="Arial" w:eastAsia="Arial" w:hAnsi="Arial"/>
                <w:sz w:val="9"/>
                <w:szCs w:val="9"/>
                <w:b w:val="1"/>
                <w:bCs w:val="1"/>
                <w:color w:val="FFFFFF"/>
              </w:rPr>
              <w:t>th</w:t>
            </w:r>
            <w:r>
              <w:rPr>
                <w:rFonts w:ascii="Arial" w:cs="Arial" w:eastAsia="Arial" w:hAnsi="Arial"/>
                <w:sz w:val="11"/>
                <w:szCs w:val="11"/>
                <w:b w:val="1"/>
                <w:bCs w:val="1"/>
                <w:color w:val="FFFFFF"/>
              </w:rPr>
              <w:t xml:space="preserve"> Percentile</w:t>
            </w:r>
          </w:p>
        </w:tc>
      </w:tr>
      <w:tr>
        <w:trPr>
          <w:trHeight w:val="184"/>
        </w:trPr>
        <w:tc>
          <w:tcPr>
            <w:tcW w:w="1720" w:type="dxa"/>
            <w:vAlign w:val="bottom"/>
          </w:tcPr>
          <w:p>
            <w:pPr>
              <w:spacing w:after="0"/>
              <w:rPr>
                <w:sz w:val="20"/>
                <w:szCs w:val="20"/>
                <w:color w:val="auto"/>
              </w:rPr>
            </w:pPr>
            <w:r>
              <w:rPr>
                <w:rFonts w:ascii="Arial" w:cs="Arial" w:eastAsia="Arial" w:hAnsi="Arial"/>
                <w:sz w:val="15"/>
                <w:szCs w:val="15"/>
                <w:color w:val="auto"/>
              </w:rPr>
              <w:t>Mr. Olson</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9"/>
              <w:spacing w:after="0"/>
              <w:rPr>
                <w:sz w:val="20"/>
                <w:szCs w:val="20"/>
                <w:color w:val="auto"/>
              </w:rPr>
            </w:pPr>
            <w:r>
              <w:rPr>
                <w:rFonts w:ascii="Arial" w:cs="Arial" w:eastAsia="Arial" w:hAnsi="Arial"/>
                <w:sz w:val="15"/>
                <w:szCs w:val="15"/>
                <w:color w:val="auto"/>
              </w:rPr>
              <w:t>875,000</w:t>
            </w:r>
          </w:p>
        </w:tc>
        <w:tc>
          <w:tcPr>
            <w:tcW w:w="1580" w:type="dxa"/>
            <w:vAlign w:val="bottom"/>
          </w:tcPr>
          <w:p>
            <w:pPr>
              <w:jc w:val="right"/>
              <w:ind w:right="153"/>
              <w:spacing w:after="0"/>
              <w:rPr>
                <w:sz w:val="20"/>
                <w:szCs w:val="20"/>
                <w:color w:val="auto"/>
              </w:rPr>
            </w:pPr>
            <w:r>
              <w:rPr>
                <w:rFonts w:ascii="Arial" w:cs="Arial" w:eastAsia="Arial" w:hAnsi="Arial"/>
                <w:sz w:val="15"/>
                <w:szCs w:val="15"/>
                <w:color w:val="auto"/>
              </w:rPr>
              <w:t>110%</w:t>
            </w:r>
          </w:p>
        </w:tc>
        <w:tc>
          <w:tcPr>
            <w:tcW w:w="1260" w:type="dxa"/>
            <w:vAlign w:val="bottom"/>
          </w:tcPr>
          <w:p>
            <w:pPr>
              <w:jc w:val="right"/>
              <w:spacing w:after="0"/>
              <w:rPr>
                <w:sz w:val="20"/>
                <w:szCs w:val="20"/>
                <w:color w:val="auto"/>
              </w:rPr>
            </w:pPr>
            <w:r>
              <w:rPr>
                <w:rFonts w:ascii="Arial" w:cs="Arial" w:eastAsia="Arial" w:hAnsi="Arial"/>
                <w:sz w:val="15"/>
                <w:szCs w:val="15"/>
                <w:color w:val="auto"/>
              </w:rPr>
              <w:t>+10%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1"/>
              <w:spacing w:after="0"/>
              <w:rPr>
                <w:sz w:val="20"/>
                <w:szCs w:val="20"/>
                <w:color w:val="auto"/>
              </w:rPr>
            </w:pPr>
            <w:r>
              <w:rPr>
                <w:rFonts w:ascii="Arial" w:cs="Arial" w:eastAsia="Arial" w:hAnsi="Arial"/>
                <w:sz w:val="15"/>
                <w:szCs w:val="15"/>
                <w:color w:val="auto"/>
              </w:rPr>
              <w:t>962,500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13"/>
              <w:spacing w:after="0"/>
              <w:rPr>
                <w:sz w:val="20"/>
                <w:szCs w:val="20"/>
                <w:color w:val="auto"/>
              </w:rPr>
            </w:pPr>
            <w:r>
              <w:rPr>
                <w:rFonts w:ascii="Arial" w:cs="Arial" w:eastAsia="Arial" w:hAnsi="Arial"/>
                <w:sz w:val="15"/>
                <w:szCs w:val="15"/>
                <w:color w:val="auto"/>
              </w:rPr>
              <w:t>1,837,500</w:t>
            </w:r>
          </w:p>
        </w:tc>
        <w:tc>
          <w:tcPr>
            <w:tcW w:w="1740" w:type="dxa"/>
            <w:vAlign w:val="bottom"/>
          </w:tcPr>
          <w:p>
            <w:pPr>
              <w:jc w:val="right"/>
              <w:spacing w:after="0"/>
              <w:rPr>
                <w:sz w:val="20"/>
                <w:szCs w:val="20"/>
                <w:color w:val="auto"/>
              </w:rPr>
            </w:pPr>
            <w:r>
              <w:rPr>
                <w:rFonts w:ascii="Arial" w:cs="Arial" w:eastAsia="Arial" w:hAnsi="Arial"/>
                <w:sz w:val="15"/>
                <w:szCs w:val="15"/>
                <w:color w:val="auto"/>
              </w:rPr>
              <w:t>10% below</w:t>
            </w:r>
          </w:p>
        </w:tc>
      </w:tr>
      <w:tr>
        <w:trPr>
          <w:trHeight w:val="184"/>
        </w:trPr>
        <w:tc>
          <w:tcPr>
            <w:tcW w:w="172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1060" w:type="dxa"/>
            <w:vAlign w:val="bottom"/>
            <w:shd w:val="clear" w:color="auto" w:fill="D9D9D9"/>
          </w:tcPr>
          <w:p>
            <w:pPr>
              <w:jc w:val="right"/>
              <w:ind w:right="29"/>
              <w:spacing w:after="0"/>
              <w:rPr>
                <w:sz w:val="20"/>
                <w:szCs w:val="20"/>
                <w:color w:val="auto"/>
              </w:rPr>
            </w:pPr>
            <w:r>
              <w:rPr>
                <w:rFonts w:ascii="Arial" w:cs="Arial" w:eastAsia="Arial" w:hAnsi="Arial"/>
                <w:sz w:val="15"/>
                <w:szCs w:val="15"/>
                <w:color w:val="auto"/>
              </w:rPr>
              <w:t>$</w:t>
            </w:r>
          </w:p>
        </w:tc>
        <w:tc>
          <w:tcPr>
            <w:tcW w:w="1140" w:type="dxa"/>
            <w:vAlign w:val="bottom"/>
            <w:shd w:val="clear" w:color="auto" w:fill="D9D9D9"/>
          </w:tcPr>
          <w:p>
            <w:pPr>
              <w:jc w:val="right"/>
              <w:ind w:right="109"/>
              <w:spacing w:after="0"/>
              <w:rPr>
                <w:sz w:val="20"/>
                <w:szCs w:val="20"/>
                <w:color w:val="auto"/>
              </w:rPr>
            </w:pPr>
            <w:r>
              <w:rPr>
                <w:rFonts w:ascii="Arial" w:cs="Arial" w:eastAsia="Arial" w:hAnsi="Arial"/>
                <w:sz w:val="15"/>
                <w:szCs w:val="15"/>
                <w:color w:val="auto"/>
              </w:rPr>
              <w:t>520,000</w:t>
            </w:r>
          </w:p>
        </w:tc>
        <w:tc>
          <w:tcPr>
            <w:tcW w:w="1580" w:type="dxa"/>
            <w:vAlign w:val="bottom"/>
            <w:shd w:val="clear" w:color="auto" w:fill="D9D9D9"/>
          </w:tcPr>
          <w:p>
            <w:pPr>
              <w:jc w:val="right"/>
              <w:ind w:right="153"/>
              <w:spacing w:after="0"/>
              <w:rPr>
                <w:sz w:val="20"/>
                <w:szCs w:val="20"/>
                <w:color w:val="auto"/>
              </w:rPr>
            </w:pPr>
            <w:r>
              <w:rPr>
                <w:rFonts w:ascii="Arial" w:cs="Arial" w:eastAsia="Arial" w:hAnsi="Arial"/>
                <w:sz w:val="15"/>
                <w:szCs w:val="15"/>
                <w:color w:val="auto"/>
              </w:rPr>
              <w:t>75%</w:t>
            </w:r>
          </w:p>
        </w:tc>
        <w:tc>
          <w:tcPr>
            <w:tcW w:w="12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No change</w:t>
            </w:r>
          </w:p>
        </w:tc>
        <w:tc>
          <w:tcPr>
            <w:tcW w:w="1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D9D9D9"/>
          </w:tcPr>
          <w:p>
            <w:pPr>
              <w:jc w:val="right"/>
              <w:ind w:right="51"/>
              <w:spacing w:after="0"/>
              <w:rPr>
                <w:sz w:val="20"/>
                <w:szCs w:val="20"/>
                <w:color w:val="auto"/>
              </w:rPr>
            </w:pPr>
            <w:r>
              <w:rPr>
                <w:rFonts w:ascii="Arial" w:cs="Arial" w:eastAsia="Arial" w:hAnsi="Arial"/>
                <w:sz w:val="15"/>
                <w:szCs w:val="15"/>
                <w:color w:val="auto"/>
              </w:rPr>
              <w:t>390,000</w:t>
            </w:r>
          </w:p>
        </w:tc>
        <w:tc>
          <w:tcPr>
            <w:tcW w:w="2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213"/>
              <w:spacing w:after="0"/>
              <w:rPr>
                <w:sz w:val="20"/>
                <w:szCs w:val="20"/>
                <w:color w:val="auto"/>
              </w:rPr>
            </w:pPr>
            <w:r>
              <w:rPr>
                <w:rFonts w:ascii="Arial" w:cs="Arial" w:eastAsia="Arial" w:hAnsi="Arial"/>
                <w:sz w:val="15"/>
                <w:szCs w:val="15"/>
                <w:color w:val="auto"/>
              </w:rPr>
              <w:t>910,000</w:t>
            </w:r>
          </w:p>
        </w:tc>
        <w:tc>
          <w:tcPr>
            <w:tcW w:w="1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 above</w:t>
            </w:r>
          </w:p>
        </w:tc>
      </w:tr>
      <w:tr>
        <w:trPr>
          <w:trHeight w:val="184"/>
        </w:trPr>
        <w:tc>
          <w:tcPr>
            <w:tcW w:w="1720" w:type="dxa"/>
            <w:vAlign w:val="bottom"/>
          </w:tcPr>
          <w:p>
            <w:pPr>
              <w:spacing w:after="0"/>
              <w:rPr>
                <w:sz w:val="20"/>
                <w:szCs w:val="20"/>
                <w:color w:val="auto"/>
              </w:rPr>
            </w:pPr>
            <w:r>
              <w:rPr>
                <w:rFonts w:ascii="Arial" w:cs="Arial" w:eastAsia="Arial" w:hAnsi="Arial"/>
                <w:sz w:val="15"/>
                <w:szCs w:val="15"/>
                <w:color w:val="auto"/>
              </w:rPr>
              <w:t>Mr. Brown</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9"/>
              <w:spacing w:after="0"/>
              <w:rPr>
                <w:sz w:val="20"/>
                <w:szCs w:val="20"/>
                <w:color w:val="auto"/>
              </w:rPr>
            </w:pPr>
            <w:r>
              <w:rPr>
                <w:rFonts w:ascii="Arial" w:cs="Arial" w:eastAsia="Arial" w:hAnsi="Arial"/>
                <w:sz w:val="15"/>
                <w:szCs w:val="15"/>
                <w:color w:val="auto"/>
              </w:rPr>
              <w:t>445,000</w:t>
            </w:r>
          </w:p>
        </w:tc>
        <w:tc>
          <w:tcPr>
            <w:tcW w:w="1580" w:type="dxa"/>
            <w:vAlign w:val="bottom"/>
          </w:tcPr>
          <w:p>
            <w:pPr>
              <w:jc w:val="right"/>
              <w:ind w:right="153"/>
              <w:spacing w:after="0"/>
              <w:rPr>
                <w:sz w:val="20"/>
                <w:szCs w:val="20"/>
                <w:color w:val="auto"/>
              </w:rPr>
            </w:pPr>
            <w:r>
              <w:rPr>
                <w:rFonts w:ascii="Arial" w:cs="Arial" w:eastAsia="Arial" w:hAnsi="Arial"/>
                <w:sz w:val="15"/>
                <w:szCs w:val="15"/>
                <w:color w:val="auto"/>
              </w:rPr>
              <w:t>65%</w:t>
            </w:r>
          </w:p>
        </w:tc>
        <w:tc>
          <w:tcPr>
            <w:tcW w:w="1260" w:type="dxa"/>
            <w:vAlign w:val="bottom"/>
          </w:tcPr>
          <w:p>
            <w:pPr>
              <w:jc w:val="right"/>
              <w:spacing w:after="0"/>
              <w:rPr>
                <w:sz w:val="20"/>
                <w:szCs w:val="20"/>
                <w:color w:val="auto"/>
              </w:rPr>
            </w:pPr>
            <w:r>
              <w:rPr>
                <w:rFonts w:ascii="Arial" w:cs="Arial" w:eastAsia="Arial" w:hAnsi="Arial"/>
                <w:sz w:val="15"/>
                <w:szCs w:val="15"/>
                <w:color w:val="auto"/>
              </w:rPr>
              <w:t>No change</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1"/>
              <w:spacing w:after="0"/>
              <w:rPr>
                <w:sz w:val="20"/>
                <w:szCs w:val="20"/>
                <w:color w:val="auto"/>
              </w:rPr>
            </w:pPr>
            <w:r>
              <w:rPr>
                <w:rFonts w:ascii="Arial" w:cs="Arial" w:eastAsia="Arial" w:hAnsi="Arial"/>
                <w:sz w:val="15"/>
                <w:szCs w:val="15"/>
                <w:color w:val="auto"/>
              </w:rPr>
              <w:t>289,250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13"/>
              <w:spacing w:after="0"/>
              <w:rPr>
                <w:sz w:val="20"/>
                <w:szCs w:val="20"/>
                <w:color w:val="auto"/>
              </w:rPr>
            </w:pPr>
            <w:r>
              <w:rPr>
                <w:rFonts w:ascii="Arial" w:cs="Arial" w:eastAsia="Arial" w:hAnsi="Arial"/>
                <w:sz w:val="15"/>
                <w:szCs w:val="15"/>
                <w:color w:val="auto"/>
              </w:rPr>
              <w:t>734,250</w:t>
            </w:r>
          </w:p>
        </w:tc>
        <w:tc>
          <w:tcPr>
            <w:tcW w:w="1740" w:type="dxa"/>
            <w:vAlign w:val="bottom"/>
          </w:tcPr>
          <w:p>
            <w:pPr>
              <w:jc w:val="right"/>
              <w:spacing w:after="0"/>
              <w:rPr>
                <w:sz w:val="20"/>
                <w:szCs w:val="20"/>
                <w:color w:val="auto"/>
              </w:rPr>
            </w:pPr>
            <w:r>
              <w:rPr>
                <w:rFonts w:ascii="Arial" w:cs="Arial" w:eastAsia="Arial" w:hAnsi="Arial"/>
                <w:sz w:val="15"/>
                <w:szCs w:val="15"/>
                <w:color w:val="auto"/>
              </w:rPr>
              <w:t>9% below</w:t>
            </w:r>
          </w:p>
        </w:tc>
      </w:tr>
      <w:tr>
        <w:trPr>
          <w:trHeight w:val="184"/>
        </w:trPr>
        <w:tc>
          <w:tcPr>
            <w:tcW w:w="1720" w:type="dxa"/>
            <w:vAlign w:val="bottom"/>
            <w:shd w:val="clear" w:color="auto" w:fill="D9D9D9"/>
          </w:tcPr>
          <w:p>
            <w:pPr>
              <w:spacing w:after="0"/>
              <w:rPr>
                <w:sz w:val="20"/>
                <w:szCs w:val="20"/>
                <w:color w:val="auto"/>
              </w:rPr>
            </w:pPr>
            <w:r>
              <w:rPr>
                <w:rFonts w:ascii="Arial" w:cs="Arial" w:eastAsia="Arial" w:hAnsi="Arial"/>
                <w:sz w:val="15"/>
                <w:szCs w:val="15"/>
                <w:color w:val="auto"/>
              </w:rPr>
              <w:t>Mr. Dordell</w:t>
            </w:r>
          </w:p>
        </w:tc>
        <w:tc>
          <w:tcPr>
            <w:tcW w:w="1060" w:type="dxa"/>
            <w:vAlign w:val="bottom"/>
            <w:shd w:val="clear" w:color="auto" w:fill="D9D9D9"/>
          </w:tcPr>
          <w:p>
            <w:pPr>
              <w:jc w:val="right"/>
              <w:ind w:right="29"/>
              <w:spacing w:after="0"/>
              <w:rPr>
                <w:sz w:val="20"/>
                <w:szCs w:val="20"/>
                <w:color w:val="auto"/>
              </w:rPr>
            </w:pPr>
            <w:r>
              <w:rPr>
                <w:rFonts w:ascii="Arial" w:cs="Arial" w:eastAsia="Arial" w:hAnsi="Arial"/>
                <w:sz w:val="15"/>
                <w:szCs w:val="15"/>
                <w:color w:val="auto"/>
              </w:rPr>
              <w:t>$</w:t>
            </w:r>
          </w:p>
        </w:tc>
        <w:tc>
          <w:tcPr>
            <w:tcW w:w="1140" w:type="dxa"/>
            <w:vAlign w:val="bottom"/>
            <w:shd w:val="clear" w:color="auto" w:fill="D9D9D9"/>
          </w:tcPr>
          <w:p>
            <w:pPr>
              <w:jc w:val="right"/>
              <w:ind w:right="109"/>
              <w:spacing w:after="0"/>
              <w:rPr>
                <w:sz w:val="20"/>
                <w:szCs w:val="20"/>
                <w:color w:val="auto"/>
              </w:rPr>
            </w:pPr>
            <w:r>
              <w:rPr>
                <w:rFonts w:ascii="Arial" w:cs="Arial" w:eastAsia="Arial" w:hAnsi="Arial"/>
                <w:sz w:val="15"/>
                <w:szCs w:val="15"/>
                <w:color w:val="auto"/>
              </w:rPr>
              <w:t>438,000</w:t>
            </w:r>
          </w:p>
        </w:tc>
        <w:tc>
          <w:tcPr>
            <w:tcW w:w="1580" w:type="dxa"/>
            <w:vAlign w:val="bottom"/>
            <w:shd w:val="clear" w:color="auto" w:fill="D9D9D9"/>
          </w:tcPr>
          <w:p>
            <w:pPr>
              <w:jc w:val="right"/>
              <w:ind w:right="153"/>
              <w:spacing w:after="0"/>
              <w:rPr>
                <w:sz w:val="20"/>
                <w:szCs w:val="20"/>
                <w:color w:val="auto"/>
              </w:rPr>
            </w:pPr>
            <w:r>
              <w:rPr>
                <w:rFonts w:ascii="Arial" w:cs="Arial" w:eastAsia="Arial" w:hAnsi="Arial"/>
                <w:sz w:val="15"/>
                <w:szCs w:val="15"/>
                <w:color w:val="auto"/>
              </w:rPr>
              <w:t>60%</w:t>
            </w:r>
          </w:p>
        </w:tc>
        <w:tc>
          <w:tcPr>
            <w:tcW w:w="12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No change</w:t>
            </w:r>
          </w:p>
        </w:tc>
        <w:tc>
          <w:tcPr>
            <w:tcW w:w="1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D9D9D9"/>
          </w:tcPr>
          <w:p>
            <w:pPr>
              <w:jc w:val="right"/>
              <w:ind w:right="51"/>
              <w:spacing w:after="0"/>
              <w:rPr>
                <w:sz w:val="20"/>
                <w:szCs w:val="20"/>
                <w:color w:val="auto"/>
              </w:rPr>
            </w:pPr>
            <w:r>
              <w:rPr>
                <w:rFonts w:ascii="Arial" w:cs="Arial" w:eastAsia="Arial" w:hAnsi="Arial"/>
                <w:sz w:val="15"/>
                <w:szCs w:val="15"/>
                <w:color w:val="auto"/>
              </w:rPr>
              <w:t>262,800</w:t>
            </w:r>
          </w:p>
        </w:tc>
        <w:tc>
          <w:tcPr>
            <w:tcW w:w="2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213"/>
              <w:spacing w:after="0"/>
              <w:rPr>
                <w:sz w:val="20"/>
                <w:szCs w:val="20"/>
                <w:color w:val="auto"/>
              </w:rPr>
            </w:pPr>
            <w:r>
              <w:rPr>
                <w:rFonts w:ascii="Arial" w:cs="Arial" w:eastAsia="Arial" w:hAnsi="Arial"/>
                <w:sz w:val="15"/>
                <w:szCs w:val="15"/>
                <w:color w:val="auto"/>
              </w:rPr>
              <w:t>700,800</w:t>
            </w:r>
          </w:p>
        </w:tc>
        <w:tc>
          <w:tcPr>
            <w:tcW w:w="1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 below</w:t>
            </w:r>
          </w:p>
        </w:tc>
      </w:tr>
      <w:tr>
        <w:trPr>
          <w:trHeight w:val="191"/>
        </w:trPr>
        <w:tc>
          <w:tcPr>
            <w:tcW w:w="1720" w:type="dxa"/>
            <w:vAlign w:val="bottom"/>
          </w:tcPr>
          <w:p>
            <w:pPr>
              <w:spacing w:after="0"/>
              <w:rPr>
                <w:sz w:val="20"/>
                <w:szCs w:val="20"/>
                <w:color w:val="auto"/>
              </w:rPr>
            </w:pPr>
            <w:r>
              <w:rPr>
                <w:rFonts w:ascii="Arial" w:cs="Arial" w:eastAsia="Arial" w:hAnsi="Arial"/>
                <w:sz w:val="15"/>
                <w:szCs w:val="15"/>
                <w:color w:val="auto"/>
              </w:rPr>
              <w:t>Mr. Hamilton</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09"/>
              <w:spacing w:after="0"/>
              <w:rPr>
                <w:sz w:val="20"/>
                <w:szCs w:val="20"/>
                <w:color w:val="auto"/>
              </w:rPr>
            </w:pPr>
            <w:r>
              <w:rPr>
                <w:rFonts w:ascii="Arial" w:cs="Arial" w:eastAsia="Arial" w:hAnsi="Arial"/>
                <w:sz w:val="15"/>
                <w:szCs w:val="15"/>
                <w:color w:val="auto"/>
              </w:rPr>
              <w:t>350,000</w:t>
            </w:r>
          </w:p>
        </w:tc>
        <w:tc>
          <w:tcPr>
            <w:tcW w:w="1580" w:type="dxa"/>
            <w:vAlign w:val="bottom"/>
          </w:tcPr>
          <w:p>
            <w:pPr>
              <w:jc w:val="right"/>
              <w:ind w:right="153"/>
              <w:spacing w:after="0"/>
              <w:rPr>
                <w:sz w:val="20"/>
                <w:szCs w:val="20"/>
                <w:color w:val="auto"/>
              </w:rPr>
            </w:pPr>
            <w:r>
              <w:rPr>
                <w:rFonts w:ascii="Arial" w:cs="Arial" w:eastAsia="Arial" w:hAnsi="Arial"/>
                <w:sz w:val="15"/>
                <w:szCs w:val="15"/>
                <w:color w:val="auto"/>
              </w:rPr>
              <w:t>55%</w:t>
            </w:r>
          </w:p>
        </w:tc>
        <w:tc>
          <w:tcPr>
            <w:tcW w:w="1260" w:type="dxa"/>
            <w:vAlign w:val="bottom"/>
          </w:tcPr>
          <w:p>
            <w:pPr>
              <w:jc w:val="right"/>
              <w:spacing w:after="0"/>
              <w:rPr>
                <w:sz w:val="20"/>
                <w:szCs w:val="20"/>
                <w:color w:val="auto"/>
              </w:rPr>
            </w:pPr>
            <w:r>
              <w:rPr>
                <w:rFonts w:ascii="Arial" w:cs="Arial" w:eastAsia="Arial" w:hAnsi="Arial"/>
                <w:sz w:val="15"/>
                <w:szCs w:val="15"/>
                <w:color w:val="auto"/>
              </w:rPr>
              <w:t>+5%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1"/>
              <w:spacing w:after="0"/>
              <w:rPr>
                <w:sz w:val="20"/>
                <w:szCs w:val="20"/>
                <w:color w:val="auto"/>
              </w:rPr>
            </w:pPr>
            <w:r>
              <w:rPr>
                <w:rFonts w:ascii="Arial" w:cs="Arial" w:eastAsia="Arial" w:hAnsi="Arial"/>
                <w:sz w:val="15"/>
                <w:szCs w:val="15"/>
                <w:color w:val="auto"/>
              </w:rPr>
              <w:t>192,500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13"/>
              <w:spacing w:after="0"/>
              <w:rPr>
                <w:sz w:val="20"/>
                <w:szCs w:val="20"/>
                <w:color w:val="auto"/>
              </w:rPr>
            </w:pPr>
            <w:r>
              <w:rPr>
                <w:rFonts w:ascii="Arial" w:cs="Arial" w:eastAsia="Arial" w:hAnsi="Arial"/>
                <w:sz w:val="15"/>
                <w:szCs w:val="15"/>
                <w:color w:val="auto"/>
              </w:rPr>
              <w:t>542,500</w:t>
            </w:r>
          </w:p>
        </w:tc>
        <w:tc>
          <w:tcPr>
            <w:tcW w:w="1740" w:type="dxa"/>
            <w:vAlign w:val="bottom"/>
          </w:tcPr>
          <w:p>
            <w:pPr>
              <w:jc w:val="right"/>
              <w:spacing w:after="0"/>
              <w:rPr>
                <w:sz w:val="20"/>
                <w:szCs w:val="20"/>
                <w:color w:val="auto"/>
              </w:rPr>
            </w:pPr>
            <w:r>
              <w:rPr>
                <w:rFonts w:ascii="Arial" w:cs="Arial" w:eastAsia="Arial" w:hAnsi="Arial"/>
                <w:sz w:val="15"/>
                <w:szCs w:val="15"/>
                <w:color w:val="auto"/>
              </w:rPr>
              <w:t>26% below</w:t>
            </w:r>
          </w:p>
        </w:tc>
      </w:tr>
    </w:tbl>
    <w:p>
      <w:pPr>
        <w:spacing w:after="0" w:line="90" w:lineRule="exact"/>
        <w:rPr>
          <w:sz w:val="20"/>
          <w:szCs w:val="20"/>
          <w:color w:val="auto"/>
        </w:rPr>
      </w:pPr>
    </w:p>
    <w:p>
      <w:pPr>
        <w:ind w:right="20" w:firstLine="408"/>
        <w:spacing w:after="0" w:line="247" w:lineRule="auto"/>
        <w:rPr>
          <w:sz w:val="20"/>
          <w:szCs w:val="20"/>
          <w:color w:val="auto"/>
        </w:rPr>
      </w:pPr>
      <w:r>
        <w:rPr>
          <w:rFonts w:ascii="Arial" w:cs="Arial" w:eastAsia="Arial" w:hAnsi="Arial"/>
          <w:sz w:val="16"/>
          <w:szCs w:val="16"/>
          <w:color w:val="auto"/>
        </w:rPr>
        <w:t>We believe that the fiscal 2018 target annual cash incentive awards are generally within a reasonable range of market competitive annual cash incentive opportunities given all relevant factors described previously and that the differentiation of target awards among our named executive officers was appropriate given the scope and responsibility of their respective positions.</w:t>
      </w:r>
    </w:p>
    <w:p>
      <w:pPr>
        <w:spacing w:after="0" w:line="81" w:lineRule="exact"/>
        <w:rPr>
          <w:sz w:val="20"/>
          <w:szCs w:val="20"/>
          <w:color w:val="auto"/>
        </w:rPr>
      </w:pPr>
    </w:p>
    <w:p>
      <w:pPr>
        <w:ind w:right="20" w:firstLine="408"/>
        <w:spacing w:after="0" w:line="243" w:lineRule="auto"/>
        <w:rPr>
          <w:sz w:val="20"/>
          <w:szCs w:val="20"/>
          <w:color w:val="auto"/>
        </w:rPr>
      </w:pPr>
      <w:r>
        <w:rPr>
          <w:rFonts w:ascii="Arial" w:cs="Arial" w:eastAsia="Arial" w:hAnsi="Arial"/>
          <w:sz w:val="16"/>
          <w:szCs w:val="16"/>
          <w:color w:val="auto"/>
        </w:rPr>
        <w:t>The change in the target award for Mr. Olson was made to reflect the significant increase in his duties and responsibilities as he transitioned to the Chairman and CEO role. The change in the target award for Mr. Hamilton, in combination with his base salary increase was intended to bring his target total cash compensation closer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while also allowing for the opportunity for additional increases to align with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in subsequent years as he gains experience as a group vice president. The Committee determined it was appropriate to keep the target awards for fiscal 2018 consistent with those in fiscal 2017 for the other named executive officers.</w:t>
      </w:r>
    </w:p>
    <w:p>
      <w:pPr>
        <w:spacing w:after="0" w:line="86" w:lineRule="exact"/>
        <w:rPr>
          <w:sz w:val="20"/>
          <w:szCs w:val="20"/>
          <w:color w:val="auto"/>
        </w:rPr>
      </w:pPr>
    </w:p>
    <w:p>
      <w:pPr>
        <w:ind w:right="180" w:firstLine="408"/>
        <w:spacing w:after="0" w:line="255" w:lineRule="auto"/>
        <w:rPr>
          <w:sz w:val="20"/>
          <w:szCs w:val="20"/>
          <w:color w:val="auto"/>
        </w:rPr>
      </w:pPr>
      <w:r>
        <w:rPr>
          <w:rFonts w:ascii="Arial" w:cs="Arial" w:eastAsia="Arial" w:hAnsi="Arial"/>
          <w:sz w:val="16"/>
          <w:szCs w:val="16"/>
          <w:color w:val="auto"/>
        </w:rPr>
        <w:t>Details regarding actual total cash compensation for fiscal 2018 can be found under “Annual Cash Incentives—Actual Cash Compensation Discussion and Analysis” on page 38.</w:t>
      </w:r>
    </w:p>
    <w:p>
      <w:pPr>
        <w:spacing w:after="0" w:line="59" w:lineRule="exact"/>
        <w:rPr>
          <w:sz w:val="20"/>
          <w:szCs w:val="20"/>
          <w:color w:val="auto"/>
        </w:rPr>
      </w:pPr>
    </w:p>
    <w:p>
      <w:pPr>
        <w:ind w:right="260" w:firstLine="408"/>
        <w:spacing w:after="0" w:line="244" w:lineRule="auto"/>
        <w:rPr>
          <w:sz w:val="20"/>
          <w:szCs w:val="20"/>
          <w:color w:val="auto"/>
        </w:rPr>
      </w:pPr>
      <w:r>
        <w:rPr>
          <w:rFonts w:ascii="Arial" w:cs="Arial" w:eastAsia="Arial" w:hAnsi="Arial"/>
          <w:sz w:val="16"/>
          <w:szCs w:val="16"/>
          <w:i w:val="1"/>
          <w:iCs w:val="1"/>
          <w:color w:val="auto"/>
        </w:rPr>
        <w:t xml:space="preserve">Performance Measures, Weightings and Goals. </w:t>
      </w:r>
      <w:r>
        <w:rPr>
          <w:rFonts w:ascii="Arial" w:cs="Arial" w:eastAsia="Arial" w:hAnsi="Arial"/>
          <w:sz w:val="16"/>
          <w:szCs w:val="16"/>
          <w:color w:val="auto"/>
        </w:rPr>
        <w:t>Each year, the Committee determines performance measures, weightings, goals and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events, if any, for the annual cash incentive awards. We believe that in order to motivate our executive officers to achieve annual financial business goals, it is important to select performance measures designed to motivate our executive officers to achieve our annual financial plan, as well as drive shareholder value. Key drivers in our annual financial plan for fiscal 2018 included profitability, revenue growth, and asset efficiency. Accordingly, the corporate performance measures for fiscal 2018 were diluted net EPS, corporate revenue growth, and corporate average net assets turns, and the division performance measures were division controllable profit contribution, or CPC, division revenue growth, and division working capital as a percent of sales. Division CPC is defined as divisional operating earnings plus divisional other income, net. Division working capital as a percent of sales is defined as the twelve month average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560"/>
        <w:spacing w:after="0" w:line="255" w:lineRule="auto"/>
        <w:rPr>
          <w:sz w:val="20"/>
          <w:szCs w:val="20"/>
          <w:color w:val="auto"/>
        </w:rPr>
      </w:pPr>
      <w:r>
        <w:rPr>
          <w:rFonts w:ascii="Arial" w:cs="Arial" w:eastAsia="Arial" w:hAnsi="Arial"/>
          <w:sz w:val="16"/>
          <w:szCs w:val="16"/>
          <w:color w:val="auto"/>
        </w:rPr>
        <w:t>divisional receivables divided by divisional net sales plus the twelve month average divisional inventories divided by divisional net sales minus the total Company accounts payables divided by the total Company net sales.</w:t>
      </w:r>
    </w:p>
    <w:p>
      <w:pPr>
        <w:spacing w:after="0" w:line="62" w:lineRule="exact"/>
        <w:rPr>
          <w:sz w:val="20"/>
          <w:szCs w:val="20"/>
          <w:color w:val="auto"/>
        </w:rPr>
      </w:pPr>
    </w:p>
    <w:p>
      <w:pPr>
        <w:ind w:right="80" w:firstLine="408"/>
        <w:spacing w:after="0" w:line="230" w:lineRule="auto"/>
        <w:rPr>
          <w:sz w:val="20"/>
          <w:szCs w:val="20"/>
          <w:color w:val="auto"/>
        </w:rPr>
      </w:pPr>
      <w:r>
        <w:rPr>
          <w:rFonts w:ascii="Arial" w:cs="Arial" w:eastAsia="Arial" w:hAnsi="Arial"/>
          <w:sz w:val="16"/>
          <w:szCs w:val="16"/>
          <w:color w:val="auto"/>
        </w:rPr>
        <w:t>For fiscal 2018, due to our continued focus on profitability, as well as our historically strong results on the corporate and division asset efficiency performance measures, the Committee decided that changes to the corporate and division weightings for the fiscal 2018 annual cash incentive award performance measures were appropriate. Therefore, the Committee increased the weighting of the corporate and division profitability performance measure by 10% and decreased the weighting of the corporate and division asset efficiency performance measure by 10%. As a result, for the fiscal 2018 annual cash incentive awards, the corporate and division performance measures and weightings, as approved by the Committee, were as follows:</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196"/>
        </w:trPr>
        <w:tc>
          <w:tcPr>
            <w:tcW w:w="37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Corporate Performance Measures</w:t>
            </w:r>
          </w:p>
        </w:tc>
        <w:tc>
          <w:tcPr>
            <w:tcW w:w="5960" w:type="dxa"/>
            <w:vAlign w:val="bottom"/>
            <w:shd w:val="clear" w:color="auto" w:fill="C00000"/>
          </w:tcPr>
          <w:p>
            <w:pPr>
              <w:ind w:left="1180"/>
              <w:spacing w:after="0"/>
              <w:rPr>
                <w:sz w:val="20"/>
                <w:szCs w:val="20"/>
                <w:color w:val="auto"/>
              </w:rPr>
            </w:pPr>
            <w:r>
              <w:rPr>
                <w:rFonts w:ascii="Arial" w:cs="Arial" w:eastAsia="Arial" w:hAnsi="Arial"/>
                <w:sz w:val="13"/>
                <w:szCs w:val="13"/>
                <w:b w:val="1"/>
                <w:bCs w:val="1"/>
                <w:color w:val="FFFFFF"/>
              </w:rPr>
              <w:t>Division Performance Measures</w:t>
            </w:r>
          </w:p>
        </w:tc>
      </w:tr>
      <w:tr>
        <w:trPr>
          <w:trHeight w:val="184"/>
        </w:trPr>
        <w:tc>
          <w:tcPr>
            <w:tcW w:w="3760" w:type="dxa"/>
            <w:vAlign w:val="bottom"/>
          </w:tcPr>
          <w:p>
            <w:pPr>
              <w:spacing w:after="0"/>
              <w:rPr>
                <w:sz w:val="20"/>
                <w:szCs w:val="20"/>
                <w:color w:val="auto"/>
              </w:rPr>
            </w:pPr>
            <w:r>
              <w:rPr>
                <w:rFonts w:ascii="Arial" w:cs="Arial" w:eastAsia="Arial" w:hAnsi="Arial"/>
                <w:sz w:val="15"/>
                <w:szCs w:val="15"/>
                <w:color w:val="auto"/>
              </w:rPr>
              <w:t>50% diluted net EPS</w:t>
            </w:r>
          </w:p>
        </w:tc>
        <w:tc>
          <w:tcPr>
            <w:tcW w:w="5960" w:type="dxa"/>
            <w:vAlign w:val="bottom"/>
          </w:tcPr>
          <w:p>
            <w:pPr>
              <w:ind w:left="1180"/>
              <w:spacing w:after="0"/>
              <w:rPr>
                <w:sz w:val="20"/>
                <w:szCs w:val="20"/>
                <w:color w:val="auto"/>
              </w:rPr>
            </w:pPr>
            <w:r>
              <w:rPr>
                <w:rFonts w:ascii="Arial" w:cs="Arial" w:eastAsia="Arial" w:hAnsi="Arial"/>
                <w:sz w:val="15"/>
                <w:szCs w:val="15"/>
                <w:color w:val="auto"/>
              </w:rPr>
              <w:t>50% division CPC</w:t>
            </w:r>
          </w:p>
        </w:tc>
      </w:tr>
      <w:tr>
        <w:trPr>
          <w:trHeight w:val="184"/>
        </w:trPr>
        <w:tc>
          <w:tcPr>
            <w:tcW w:w="3760" w:type="dxa"/>
            <w:vAlign w:val="bottom"/>
            <w:shd w:val="clear" w:color="auto" w:fill="D9D9D9"/>
          </w:tcPr>
          <w:p>
            <w:pPr>
              <w:spacing w:after="0"/>
              <w:rPr>
                <w:sz w:val="20"/>
                <w:szCs w:val="20"/>
                <w:color w:val="auto"/>
              </w:rPr>
            </w:pPr>
            <w:r>
              <w:rPr>
                <w:rFonts w:ascii="Arial" w:cs="Arial" w:eastAsia="Arial" w:hAnsi="Arial"/>
                <w:sz w:val="15"/>
                <w:szCs w:val="15"/>
                <w:color w:val="auto"/>
              </w:rPr>
              <w:t>30% corporate revenue growth</w:t>
            </w:r>
          </w:p>
        </w:tc>
        <w:tc>
          <w:tcPr>
            <w:tcW w:w="5960" w:type="dxa"/>
            <w:vAlign w:val="bottom"/>
            <w:shd w:val="clear" w:color="auto" w:fill="D9D9D9"/>
          </w:tcPr>
          <w:p>
            <w:pPr>
              <w:ind w:left="1180"/>
              <w:spacing w:after="0"/>
              <w:rPr>
                <w:sz w:val="20"/>
                <w:szCs w:val="20"/>
                <w:color w:val="auto"/>
              </w:rPr>
            </w:pPr>
            <w:r>
              <w:rPr>
                <w:rFonts w:ascii="Arial" w:cs="Arial" w:eastAsia="Arial" w:hAnsi="Arial"/>
                <w:sz w:val="15"/>
                <w:szCs w:val="15"/>
                <w:color w:val="auto"/>
              </w:rPr>
              <w:t>30% division revenue growth</w:t>
            </w:r>
          </w:p>
        </w:tc>
      </w:tr>
      <w:tr>
        <w:trPr>
          <w:trHeight w:val="191"/>
        </w:trPr>
        <w:tc>
          <w:tcPr>
            <w:tcW w:w="3760" w:type="dxa"/>
            <w:vAlign w:val="bottom"/>
          </w:tcPr>
          <w:p>
            <w:pPr>
              <w:spacing w:after="0"/>
              <w:rPr>
                <w:sz w:val="20"/>
                <w:szCs w:val="20"/>
                <w:color w:val="auto"/>
              </w:rPr>
            </w:pPr>
            <w:r>
              <w:rPr>
                <w:rFonts w:ascii="Arial" w:cs="Arial" w:eastAsia="Arial" w:hAnsi="Arial"/>
                <w:sz w:val="15"/>
                <w:szCs w:val="15"/>
                <w:color w:val="auto"/>
              </w:rPr>
              <w:t>20% corporate average net assets turns</w:t>
            </w:r>
          </w:p>
        </w:tc>
        <w:tc>
          <w:tcPr>
            <w:tcW w:w="5960" w:type="dxa"/>
            <w:vAlign w:val="bottom"/>
          </w:tcPr>
          <w:p>
            <w:pPr>
              <w:ind w:left="1180"/>
              <w:spacing w:after="0"/>
              <w:rPr>
                <w:sz w:val="20"/>
                <w:szCs w:val="20"/>
                <w:color w:val="auto"/>
              </w:rPr>
            </w:pPr>
            <w:r>
              <w:rPr>
                <w:rFonts w:ascii="Arial" w:cs="Arial" w:eastAsia="Arial" w:hAnsi="Arial"/>
                <w:sz w:val="15"/>
                <w:szCs w:val="15"/>
                <w:color w:val="auto"/>
              </w:rPr>
              <w:t>20% division working capital as a percent of sales</w:t>
            </w:r>
          </w:p>
        </w:tc>
      </w:tr>
    </w:tbl>
    <w:p>
      <w:pPr>
        <w:spacing w:after="0" w:line="90" w:lineRule="exact"/>
        <w:rPr>
          <w:sz w:val="20"/>
          <w:szCs w:val="20"/>
          <w:color w:val="auto"/>
        </w:rPr>
      </w:pPr>
    </w:p>
    <w:p>
      <w:pPr>
        <w:ind w:right="20" w:firstLine="408"/>
        <w:spacing w:after="0" w:line="242" w:lineRule="auto"/>
        <w:rPr>
          <w:sz w:val="20"/>
          <w:szCs w:val="20"/>
          <w:color w:val="auto"/>
        </w:rPr>
      </w:pPr>
      <w:r>
        <w:rPr>
          <w:rFonts w:ascii="Arial" w:cs="Arial" w:eastAsia="Arial" w:hAnsi="Arial"/>
          <w:sz w:val="16"/>
          <w:szCs w:val="16"/>
          <w:color w:val="auto"/>
        </w:rPr>
        <w:t>Our executive officers with all corporate responsibilities, which includes Messrs. Olson, Brown, Dordell and Ms. Peterson, had 100% of their annual cash incentive tied to corporate performance. Our executive officers with divisional responsibility, which included Mr. Hamilton, generally had 50% of their annual cash incentive tied to corporate performance and 50% tied to division performance. As a newer group vice president, with two divisions in his span of responsibilities, the Committee determined that, for fiscal 2018, it was appropriate for Mr. Hamilton to have a portion of his award tied to each of corporate and division performance. Toward the end of fiscal 2018, Mr. Hamilton gained responsibility for our irrigation and lighting division. As a result of the additional division and to encourage overall enterprise leadership and focus, Mr. Hamilton’s performance will be 100% tied to corporate performance for fiscal 2019.</w:t>
      </w:r>
    </w:p>
    <w:p>
      <w:pPr>
        <w:spacing w:after="0" w:line="88" w:lineRule="exact"/>
        <w:rPr>
          <w:sz w:val="20"/>
          <w:szCs w:val="20"/>
          <w:color w:val="auto"/>
        </w:rPr>
      </w:pPr>
    </w:p>
    <w:p>
      <w:pPr>
        <w:ind w:right="60" w:firstLine="408"/>
        <w:spacing w:after="0" w:line="244" w:lineRule="auto"/>
        <w:rPr>
          <w:sz w:val="20"/>
          <w:szCs w:val="20"/>
          <w:color w:val="auto"/>
        </w:rPr>
      </w:pPr>
      <w:r>
        <w:rPr>
          <w:rFonts w:ascii="Arial" w:cs="Arial" w:eastAsia="Arial" w:hAnsi="Arial"/>
          <w:sz w:val="16"/>
          <w:szCs w:val="16"/>
          <w:color w:val="auto"/>
        </w:rPr>
        <w:t>At its meeting in December 2017, the Committee’s first meeting of fiscal 2018, threshold, target and maximum goals were established by the Committee for each corporate and division performance measure. Target levels of performance were established based on our annual financial business plan, which takes into account our prior fiscal year financial business results, our competitive situation and the general outlook for our business during the current fiscal year. Additionally, the following thresholds affect whether or not a corporate and/or division payout is made:</w:t>
      </w:r>
    </w:p>
    <w:p>
      <w:pPr>
        <w:spacing w:after="0" w:line="85" w:lineRule="exact"/>
        <w:rPr>
          <w:sz w:val="20"/>
          <w:szCs w:val="20"/>
          <w:color w:val="auto"/>
        </w:rPr>
      </w:pPr>
    </w:p>
    <w:p>
      <w:pPr>
        <w:ind w:left="800" w:right="840" w:hanging="398"/>
        <w:spacing w:after="0" w:line="255" w:lineRule="auto"/>
        <w:tabs>
          <w:tab w:leader="none" w:pos="800" w:val="left"/>
        </w:tabs>
        <w:numPr>
          <w:ilvl w:val="0"/>
          <w:numId w:val="60"/>
        </w:numPr>
        <w:rPr>
          <w:rFonts w:ascii="Arial" w:cs="Arial" w:eastAsia="Arial" w:hAnsi="Arial"/>
          <w:sz w:val="15"/>
          <w:szCs w:val="15"/>
          <w:color w:val="auto"/>
        </w:rPr>
      </w:pPr>
      <w:r>
        <w:rPr>
          <w:rFonts w:ascii="Arial" w:cs="Arial" w:eastAsia="Arial" w:hAnsi="Arial"/>
          <w:sz w:val="16"/>
          <w:szCs w:val="16"/>
          <w:color w:val="auto"/>
        </w:rPr>
        <w:t>The diluted net EPS threshold goal, which was set at 80% of plan, must have been met in order for there to be any payout for corporate participants and any corporate portion of the payout for division participants; and</w:t>
      </w:r>
    </w:p>
    <w:p>
      <w:pPr>
        <w:spacing w:after="0" w:line="74" w:lineRule="exact"/>
        <w:rPr>
          <w:rFonts w:ascii="Arial" w:cs="Arial" w:eastAsia="Arial" w:hAnsi="Arial"/>
          <w:sz w:val="15"/>
          <w:szCs w:val="15"/>
          <w:color w:val="auto"/>
        </w:rPr>
      </w:pPr>
    </w:p>
    <w:p>
      <w:pPr>
        <w:ind w:left="800" w:hanging="398"/>
        <w:spacing w:after="0" w:line="255" w:lineRule="auto"/>
        <w:tabs>
          <w:tab w:leader="none" w:pos="800" w:val="left"/>
        </w:tabs>
        <w:numPr>
          <w:ilvl w:val="0"/>
          <w:numId w:val="60"/>
        </w:numPr>
        <w:rPr>
          <w:rFonts w:ascii="Arial" w:cs="Arial" w:eastAsia="Arial" w:hAnsi="Arial"/>
          <w:sz w:val="15"/>
          <w:szCs w:val="15"/>
          <w:color w:val="auto"/>
        </w:rPr>
      </w:pPr>
      <w:r>
        <w:rPr>
          <w:rFonts w:ascii="Arial" w:cs="Arial" w:eastAsia="Arial" w:hAnsi="Arial"/>
          <w:sz w:val="16"/>
          <w:szCs w:val="16"/>
          <w:color w:val="auto"/>
        </w:rPr>
        <w:t>For division participants to receive a division payout, CPC for the respective division must have been at least 80% of the plan, or the threshold level of performance established for that division.</w:t>
      </w:r>
    </w:p>
    <w:p>
      <w:pPr>
        <w:spacing w:after="0" w:line="75" w:lineRule="exact"/>
        <w:rPr>
          <w:sz w:val="20"/>
          <w:szCs w:val="20"/>
          <w:color w:val="auto"/>
        </w:rPr>
      </w:pPr>
    </w:p>
    <w:p>
      <w:pPr>
        <w:ind w:right="100" w:firstLine="408"/>
        <w:spacing w:after="0" w:line="244" w:lineRule="auto"/>
        <w:rPr>
          <w:sz w:val="20"/>
          <w:szCs w:val="20"/>
          <w:color w:val="auto"/>
        </w:rPr>
      </w:pPr>
      <w:r>
        <w:rPr>
          <w:rFonts w:ascii="Arial" w:cs="Arial" w:eastAsia="Arial" w:hAnsi="Arial"/>
          <w:sz w:val="16"/>
          <w:szCs w:val="16"/>
          <w:color w:val="auto"/>
        </w:rPr>
        <w:t>As provided for and in accordance with our Amended and Restated 2010 Plan, the Committee also established specific adjustment events for determining corporate performance payouts and division performance payouts under the fiscal 2018 annual cash incentive awards. With respect to corporate adjustment events, the impact of an acquisition on the fiscal 2018 annual cash incentive award payouts was determined by the size of the acquisition based on projected annual revenue for the first twelve months following the closing of an acquisition, as follows:</w:t>
      </w:r>
    </w:p>
    <w:p>
      <w:pPr>
        <w:spacing w:after="0" w:line="85" w:lineRule="exact"/>
        <w:rPr>
          <w:sz w:val="20"/>
          <w:szCs w:val="20"/>
          <w:color w:val="auto"/>
        </w:rPr>
      </w:pPr>
    </w:p>
    <w:p>
      <w:pPr>
        <w:ind w:left="800" w:right="100" w:hanging="398"/>
        <w:spacing w:after="0" w:line="255" w:lineRule="auto"/>
        <w:tabs>
          <w:tab w:leader="none" w:pos="800" w:val="left"/>
        </w:tabs>
        <w:numPr>
          <w:ilvl w:val="0"/>
          <w:numId w:val="61"/>
        </w:numPr>
        <w:rPr>
          <w:rFonts w:ascii="Arial" w:cs="Arial" w:eastAsia="Arial" w:hAnsi="Arial"/>
          <w:sz w:val="15"/>
          <w:szCs w:val="15"/>
          <w:color w:val="auto"/>
        </w:rPr>
      </w:pPr>
      <w:r>
        <w:rPr>
          <w:rFonts w:ascii="Arial" w:cs="Arial" w:eastAsia="Arial" w:hAnsi="Arial"/>
          <w:sz w:val="16"/>
          <w:szCs w:val="16"/>
          <w:color w:val="auto"/>
        </w:rPr>
        <w:t>The impact of any acquisition greater than $10 million was to be excluded from the payout calculation, unless such acquisition was included in the fiscal 2018 goals; and</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61"/>
        </w:numPr>
        <w:rPr>
          <w:rFonts w:ascii="Arial" w:cs="Arial" w:eastAsia="Arial" w:hAnsi="Arial"/>
          <w:sz w:val="15"/>
          <w:szCs w:val="15"/>
          <w:color w:val="auto"/>
        </w:rPr>
      </w:pPr>
      <w:r>
        <w:rPr>
          <w:rFonts w:ascii="Arial" w:cs="Arial" w:eastAsia="Arial" w:hAnsi="Arial"/>
          <w:sz w:val="16"/>
          <w:szCs w:val="16"/>
          <w:color w:val="auto"/>
        </w:rPr>
        <w:t>The impact of any acquisition less than $10 million was to be included in the payout calculation.</w:t>
      </w:r>
    </w:p>
    <w:p>
      <w:pPr>
        <w:spacing w:after="0" w:line="98"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In addition, any externally driven changes in accounting principles and standards were to be excluded if the cumulative net impact on the payout of all such accounting adjustments affected the award payout by more than 2%.</w:t>
      </w:r>
    </w:p>
    <w:p>
      <w:pPr>
        <w:spacing w:after="0" w:line="75" w:lineRule="exact"/>
        <w:rPr>
          <w:sz w:val="20"/>
          <w:szCs w:val="20"/>
          <w:color w:val="auto"/>
        </w:rPr>
      </w:pPr>
    </w:p>
    <w:p>
      <w:pPr>
        <w:ind w:right="500" w:firstLine="408"/>
        <w:spacing w:after="0" w:line="255" w:lineRule="auto"/>
        <w:rPr>
          <w:sz w:val="20"/>
          <w:szCs w:val="20"/>
          <w:color w:val="auto"/>
        </w:rPr>
      </w:pPr>
      <w:r>
        <w:rPr>
          <w:rFonts w:ascii="Arial" w:cs="Arial" w:eastAsia="Arial" w:hAnsi="Arial"/>
          <w:sz w:val="16"/>
          <w:szCs w:val="16"/>
          <w:color w:val="auto"/>
        </w:rPr>
        <w:t>With respect to division adjustment events, the impact of any acquisition was excluded from the payout calculation and the impact of any currency fluctuations from assumed foreign currency exchange rate plan levels was excluded from the payout calculation.</w:t>
      </w:r>
    </w:p>
    <w:p>
      <w:pPr>
        <w:spacing w:after="0" w:line="75" w:lineRule="exact"/>
        <w:rPr>
          <w:sz w:val="20"/>
          <w:szCs w:val="20"/>
          <w:color w:val="auto"/>
        </w:rPr>
      </w:pPr>
    </w:p>
    <w:p>
      <w:pPr>
        <w:ind w:right="260" w:firstLine="408"/>
        <w:spacing w:after="0" w:line="247" w:lineRule="auto"/>
        <w:rPr>
          <w:sz w:val="20"/>
          <w:szCs w:val="20"/>
          <w:color w:val="auto"/>
        </w:rPr>
      </w:pPr>
      <w:r>
        <w:rPr>
          <w:rFonts w:ascii="Arial" w:cs="Arial" w:eastAsia="Arial" w:hAnsi="Arial"/>
          <w:sz w:val="16"/>
          <w:szCs w:val="16"/>
          <w:color w:val="auto"/>
        </w:rPr>
        <w:t>Following the December 2017 Compensation &amp; Human Resources Committee meeting, Management determined that certain performance goals that were previously approved by the Committee for the fiscal 2018 annual cash incentive awards no longer aligned with the expected performance of our Company for fiscal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primarily due to expected financial statement implications as a result of the Tax Cuts and Job Act (the “Tax Act”) that was signed into law on December 22, 2017, which was after such performance goals were approved by the Committee for fiscal 2018. Management’s analysis of the expected financial statement impact due to the Tax Act occurred during the first quarter of fiscal 2018 and was included as part of the external guidance issued in connection with our fiscal 2018 first quarter earnings release that was issued on February 22, 2018 and also incorporated into our fiscal 2018 annual financial plan. To ensure ongoing alignment between pay and performance, including that the performance goals and adjustment events for the fiscal 2018 annual cash incentive awards reflected such expected financial statement impacts, the Committee approved revised fiscal 2018 performance goals and adjustment events for the fiscal 2018 annual cash incentive awards.</w:t>
      </w:r>
    </w:p>
    <w:p>
      <w:pPr>
        <w:spacing w:after="0" w:line="70" w:lineRule="exact"/>
        <w:rPr>
          <w:sz w:val="20"/>
          <w:szCs w:val="20"/>
          <w:color w:val="auto"/>
        </w:rPr>
      </w:pPr>
    </w:p>
    <w:p>
      <w:pPr>
        <w:jc w:val="both"/>
        <w:ind w:right="160" w:firstLine="408"/>
        <w:spacing w:after="0" w:line="257" w:lineRule="auto"/>
        <w:rPr>
          <w:sz w:val="20"/>
          <w:szCs w:val="20"/>
          <w:color w:val="auto"/>
        </w:rPr>
      </w:pPr>
      <w:r>
        <w:rPr>
          <w:rFonts w:ascii="Arial" w:cs="Arial" w:eastAsia="Arial" w:hAnsi="Arial"/>
          <w:sz w:val="16"/>
          <w:szCs w:val="16"/>
          <w:i w:val="1"/>
          <w:iCs w:val="1"/>
          <w:color w:val="auto"/>
        </w:rPr>
        <w:t xml:space="preserve">Corporate Performance Measures and Goals. </w:t>
      </w:r>
      <w:r>
        <w:rPr>
          <w:rFonts w:ascii="Arial" w:cs="Arial" w:eastAsia="Arial" w:hAnsi="Arial"/>
          <w:sz w:val="16"/>
          <w:szCs w:val="16"/>
          <w:color w:val="auto"/>
        </w:rPr>
        <w:t>The table below summarizes the fiscal 2018 corporate performance measures and goals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officers. In fiscal 2018, pursuant to the defined adjustment events, the impact of our acquisition of L.T. Rich Products, Inc., that was completed on March 19, 2018, was excluded from the payout calculation.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Corporate:</w:t>
            </w:r>
          </w:p>
        </w:tc>
        <w:tc>
          <w:tcPr>
            <w:tcW w:w="2160" w:type="dxa"/>
            <w:vAlign w:val="bottom"/>
            <w:shd w:val="clear" w:color="auto" w:fill="BE0000"/>
          </w:tcPr>
          <w:p>
            <w:pPr>
              <w:jc w:val="center"/>
              <w:ind w:left="695"/>
              <w:spacing w:after="0"/>
              <w:rPr>
                <w:sz w:val="20"/>
                <w:szCs w:val="20"/>
                <w:color w:val="auto"/>
              </w:rPr>
            </w:pPr>
            <w:r>
              <w:rPr>
                <w:rFonts w:ascii="Arial" w:cs="Arial" w:eastAsia="Arial" w:hAnsi="Arial"/>
                <w:sz w:val="13"/>
                <w:szCs w:val="13"/>
                <w:b w:val="1"/>
                <w:bCs w:val="1"/>
                <w:color w:val="FFFFFF"/>
              </w:rPr>
              <w:t>Threshold</w:t>
            </w:r>
          </w:p>
        </w:tc>
        <w:tc>
          <w:tcPr>
            <w:tcW w:w="1460" w:type="dxa"/>
            <w:vAlign w:val="bottom"/>
            <w:shd w:val="clear" w:color="auto" w:fill="BE0000"/>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620" w:type="dxa"/>
            <w:vAlign w:val="bottom"/>
            <w:shd w:val="clear" w:color="auto" w:fill="BE0000"/>
          </w:tcPr>
          <w:p>
            <w:pPr>
              <w:jc w:val="center"/>
              <w:ind w:right="115"/>
              <w:spacing w:after="0"/>
              <w:rPr>
                <w:sz w:val="20"/>
                <w:szCs w:val="20"/>
                <w:color w:val="auto"/>
              </w:rPr>
            </w:pPr>
            <w:r>
              <w:rPr>
                <w:rFonts w:ascii="Arial" w:cs="Arial" w:eastAsia="Arial" w:hAnsi="Arial"/>
                <w:sz w:val="13"/>
                <w:szCs w:val="13"/>
                <w:b w:val="1"/>
                <w:bCs w:val="1"/>
                <w:color w:val="FFFFFF"/>
                <w:w w:val="99"/>
              </w:rPr>
              <w:t>Maximum</w:t>
            </w:r>
          </w:p>
        </w:tc>
        <w:tc>
          <w:tcPr>
            <w:tcW w:w="2800" w:type="dxa"/>
            <w:vAlign w:val="bottom"/>
            <w:shd w:val="clear" w:color="auto" w:fill="BE0000"/>
          </w:tcPr>
          <w:p>
            <w:pPr>
              <w:spacing w:after="0"/>
              <w:rPr>
                <w:sz w:val="13"/>
                <w:szCs w:val="13"/>
                <w:color w:val="auto"/>
              </w:rPr>
            </w:pPr>
          </w:p>
        </w:tc>
      </w:tr>
      <w:tr>
        <w:trPr>
          <w:trHeight w:val="159"/>
        </w:trPr>
        <w:tc>
          <w:tcPr>
            <w:tcW w:w="338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Fiscal 2018 Performance Measures</w:t>
            </w:r>
          </w:p>
        </w:tc>
        <w:tc>
          <w:tcPr>
            <w:tcW w:w="2160" w:type="dxa"/>
            <w:vAlign w:val="bottom"/>
            <w:shd w:val="clear" w:color="auto" w:fill="BE0000"/>
          </w:tcPr>
          <w:p>
            <w:pPr>
              <w:jc w:val="center"/>
              <w:ind w:left="715"/>
              <w:spacing w:after="0"/>
              <w:rPr>
                <w:sz w:val="20"/>
                <w:szCs w:val="20"/>
                <w:color w:val="auto"/>
              </w:rPr>
            </w:pPr>
            <w:r>
              <w:rPr>
                <w:rFonts w:ascii="Arial" w:cs="Arial" w:eastAsia="Arial" w:hAnsi="Arial"/>
                <w:sz w:val="13"/>
                <w:szCs w:val="13"/>
                <w:b w:val="1"/>
                <w:bCs w:val="1"/>
                <w:color w:val="FFFFFF"/>
              </w:rPr>
              <w:t>(40% payout)</w:t>
            </w:r>
          </w:p>
        </w:tc>
        <w:tc>
          <w:tcPr>
            <w:tcW w:w="1460" w:type="dxa"/>
            <w:vAlign w:val="bottom"/>
            <w:shd w:val="clear" w:color="auto" w:fill="BE0000"/>
          </w:tcPr>
          <w:p>
            <w:pPr>
              <w:jc w:val="center"/>
              <w:spacing w:after="0"/>
              <w:rPr>
                <w:sz w:val="20"/>
                <w:szCs w:val="20"/>
                <w:color w:val="auto"/>
              </w:rPr>
            </w:pPr>
            <w:r>
              <w:rPr>
                <w:rFonts w:ascii="Arial" w:cs="Arial" w:eastAsia="Arial" w:hAnsi="Arial"/>
                <w:sz w:val="13"/>
                <w:szCs w:val="13"/>
                <w:b w:val="1"/>
                <w:bCs w:val="1"/>
                <w:color w:val="FFFFFF"/>
              </w:rPr>
              <w:t>(100% payout)</w:t>
            </w:r>
          </w:p>
        </w:tc>
        <w:tc>
          <w:tcPr>
            <w:tcW w:w="1620" w:type="dxa"/>
            <w:vAlign w:val="bottom"/>
            <w:shd w:val="clear" w:color="auto" w:fill="BE0000"/>
          </w:tcPr>
          <w:p>
            <w:pPr>
              <w:jc w:val="center"/>
              <w:ind w:right="135"/>
              <w:spacing w:after="0"/>
              <w:rPr>
                <w:sz w:val="20"/>
                <w:szCs w:val="20"/>
                <w:color w:val="auto"/>
              </w:rPr>
            </w:pPr>
            <w:r>
              <w:rPr>
                <w:rFonts w:ascii="Arial" w:cs="Arial" w:eastAsia="Arial" w:hAnsi="Arial"/>
                <w:sz w:val="13"/>
                <w:szCs w:val="13"/>
                <w:b w:val="1"/>
                <w:bCs w:val="1"/>
                <w:color w:val="FFFFFF"/>
              </w:rPr>
              <w:t>(200% payout)</w:t>
            </w:r>
          </w:p>
        </w:tc>
        <w:tc>
          <w:tcPr>
            <w:tcW w:w="2800" w:type="dxa"/>
            <w:vAlign w:val="bottom"/>
            <w:shd w:val="clear" w:color="auto" w:fill="BE0000"/>
          </w:tcPr>
          <w:p>
            <w:pPr>
              <w:jc w:val="center"/>
              <w:ind w:right="15"/>
              <w:spacing w:after="0"/>
              <w:rPr>
                <w:sz w:val="20"/>
                <w:szCs w:val="20"/>
                <w:color w:val="auto"/>
              </w:rPr>
            </w:pPr>
            <w:r>
              <w:rPr>
                <w:rFonts w:ascii="Arial" w:cs="Arial" w:eastAsia="Arial" w:hAnsi="Arial"/>
                <w:sz w:val="13"/>
                <w:szCs w:val="13"/>
                <w:b w:val="1"/>
                <w:bCs w:val="1"/>
                <w:color w:val="FFFFFF"/>
              </w:rPr>
              <w:t>Actual</w:t>
            </w:r>
          </w:p>
        </w:tc>
      </w:tr>
      <w:tr>
        <w:trPr>
          <w:trHeight w:val="164"/>
        </w:trPr>
        <w:tc>
          <w:tcPr>
            <w:tcW w:w="3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0" w:type="dxa"/>
            <w:vAlign w:val="bottom"/>
          </w:tcPr>
          <w:p>
            <w:pPr>
              <w:jc w:val="center"/>
              <w:ind w:right="15"/>
              <w:spacing w:after="0"/>
              <w:rPr>
                <w:sz w:val="20"/>
                <w:szCs w:val="20"/>
                <w:color w:val="auto"/>
              </w:rPr>
            </w:pPr>
            <w:r>
              <w:rPr>
                <w:rFonts w:ascii="Arial" w:cs="Arial" w:eastAsia="Arial" w:hAnsi="Arial"/>
                <w:sz w:val="13"/>
                <w:szCs w:val="13"/>
                <w:color w:val="auto"/>
                <w:w w:val="98"/>
              </w:rPr>
              <w:t>$2.50</w:t>
            </w:r>
          </w:p>
        </w:tc>
      </w:tr>
      <w:tr>
        <w:trPr>
          <w:trHeight w:val="143"/>
        </w:trPr>
        <w:tc>
          <w:tcPr>
            <w:tcW w:w="3380" w:type="dxa"/>
            <w:vAlign w:val="bottom"/>
          </w:tcPr>
          <w:p>
            <w:pPr>
              <w:spacing w:after="0" w:line="143" w:lineRule="exact"/>
              <w:rPr>
                <w:sz w:val="20"/>
                <w:szCs w:val="20"/>
                <w:color w:val="auto"/>
              </w:rPr>
            </w:pPr>
            <w:r>
              <w:rPr>
                <w:rFonts w:ascii="Arial" w:cs="Arial" w:eastAsia="Arial" w:hAnsi="Arial"/>
                <w:sz w:val="13"/>
                <w:szCs w:val="13"/>
                <w:color w:val="auto"/>
              </w:rPr>
              <w:t>50% diluted net EPS</w:t>
            </w:r>
          </w:p>
        </w:tc>
        <w:tc>
          <w:tcPr>
            <w:tcW w:w="2160" w:type="dxa"/>
            <w:vAlign w:val="bottom"/>
          </w:tcPr>
          <w:p>
            <w:pPr>
              <w:jc w:val="center"/>
              <w:ind w:left="695"/>
              <w:spacing w:after="0" w:line="143" w:lineRule="exact"/>
              <w:rPr>
                <w:sz w:val="20"/>
                <w:szCs w:val="20"/>
                <w:color w:val="auto"/>
              </w:rPr>
            </w:pPr>
            <w:r>
              <w:rPr>
                <w:rFonts w:ascii="Arial" w:cs="Arial" w:eastAsia="Arial" w:hAnsi="Arial"/>
                <w:sz w:val="13"/>
                <w:szCs w:val="13"/>
                <w:color w:val="auto"/>
                <w:w w:val="98"/>
              </w:rPr>
              <w:t>$2.05</w:t>
            </w:r>
          </w:p>
        </w:tc>
        <w:tc>
          <w:tcPr>
            <w:tcW w:w="1460" w:type="dxa"/>
            <w:vAlign w:val="bottom"/>
          </w:tcPr>
          <w:p>
            <w:pPr>
              <w:jc w:val="center"/>
              <w:spacing w:after="0" w:line="143" w:lineRule="exact"/>
              <w:rPr>
                <w:sz w:val="20"/>
                <w:szCs w:val="20"/>
                <w:color w:val="auto"/>
              </w:rPr>
            </w:pPr>
            <w:r>
              <w:rPr>
                <w:rFonts w:ascii="Arial" w:cs="Arial" w:eastAsia="Arial" w:hAnsi="Arial"/>
                <w:sz w:val="13"/>
                <w:szCs w:val="13"/>
                <w:color w:val="auto"/>
              </w:rPr>
              <w:t>$2.56</w:t>
            </w:r>
          </w:p>
        </w:tc>
        <w:tc>
          <w:tcPr>
            <w:tcW w:w="1620" w:type="dxa"/>
            <w:vAlign w:val="bottom"/>
          </w:tcPr>
          <w:p>
            <w:pPr>
              <w:jc w:val="center"/>
              <w:ind w:right="135"/>
              <w:spacing w:after="0" w:line="143" w:lineRule="exact"/>
              <w:rPr>
                <w:sz w:val="20"/>
                <w:szCs w:val="20"/>
                <w:color w:val="auto"/>
              </w:rPr>
            </w:pPr>
            <w:r>
              <w:rPr>
                <w:rFonts w:ascii="Arial" w:cs="Arial" w:eastAsia="Arial" w:hAnsi="Arial"/>
                <w:sz w:val="13"/>
                <w:szCs w:val="13"/>
                <w:color w:val="auto"/>
              </w:rPr>
              <w:t>$3.07</w:t>
            </w:r>
          </w:p>
        </w:tc>
        <w:tc>
          <w:tcPr>
            <w:tcW w:w="2800" w:type="dxa"/>
            <w:vAlign w:val="bottom"/>
          </w:tcPr>
          <w:p>
            <w:pPr>
              <w:jc w:val="center"/>
              <w:ind w:right="35"/>
              <w:spacing w:after="0" w:line="143" w:lineRule="exact"/>
              <w:rPr>
                <w:sz w:val="20"/>
                <w:szCs w:val="20"/>
                <w:color w:val="auto"/>
              </w:rPr>
            </w:pPr>
            <w:r>
              <w:rPr>
                <w:rFonts w:ascii="Arial" w:cs="Arial" w:eastAsia="Arial" w:hAnsi="Arial"/>
                <w:sz w:val="13"/>
                <w:szCs w:val="13"/>
                <w:color w:val="auto"/>
              </w:rPr>
              <w:t>(between threshold and target)</w:t>
            </w:r>
          </w:p>
        </w:tc>
      </w:tr>
      <w:tr>
        <w:trPr>
          <w:trHeight w:val="164"/>
        </w:trPr>
        <w:tc>
          <w:tcPr>
            <w:tcW w:w="3380" w:type="dxa"/>
            <w:vAlign w:val="bottom"/>
            <w:shd w:val="clear" w:color="auto" w:fill="D9D9D9"/>
          </w:tcPr>
          <w:p>
            <w:pPr>
              <w:spacing w:after="0"/>
              <w:rPr>
                <w:sz w:val="14"/>
                <w:szCs w:val="14"/>
                <w:color w:val="auto"/>
              </w:rPr>
            </w:pPr>
          </w:p>
        </w:tc>
        <w:tc>
          <w:tcPr>
            <w:tcW w:w="2160" w:type="dxa"/>
            <w:vAlign w:val="bottom"/>
            <w:shd w:val="clear" w:color="auto" w:fill="D9D9D9"/>
          </w:tcPr>
          <w:p>
            <w:pPr>
              <w:spacing w:after="0"/>
              <w:rPr>
                <w:sz w:val="14"/>
                <w:szCs w:val="14"/>
                <w:color w:val="auto"/>
              </w:rPr>
            </w:pPr>
          </w:p>
        </w:tc>
        <w:tc>
          <w:tcPr>
            <w:tcW w:w="1460" w:type="dxa"/>
            <w:vAlign w:val="bottom"/>
            <w:shd w:val="clear" w:color="auto" w:fill="D9D9D9"/>
          </w:tcPr>
          <w:p>
            <w:pPr>
              <w:spacing w:after="0"/>
              <w:rPr>
                <w:sz w:val="14"/>
                <w:szCs w:val="14"/>
                <w:color w:val="auto"/>
              </w:rPr>
            </w:pPr>
          </w:p>
        </w:tc>
        <w:tc>
          <w:tcPr>
            <w:tcW w:w="1620" w:type="dxa"/>
            <w:vAlign w:val="bottom"/>
            <w:shd w:val="clear" w:color="auto" w:fill="D9D9D9"/>
          </w:tcPr>
          <w:p>
            <w:pPr>
              <w:spacing w:after="0"/>
              <w:rPr>
                <w:sz w:val="14"/>
                <w:szCs w:val="14"/>
                <w:color w:val="auto"/>
              </w:rPr>
            </w:pPr>
          </w:p>
        </w:tc>
        <w:tc>
          <w:tcPr>
            <w:tcW w:w="2800" w:type="dxa"/>
            <w:vAlign w:val="bottom"/>
            <w:shd w:val="clear" w:color="auto" w:fill="D9D9D9"/>
          </w:tcPr>
          <w:p>
            <w:pPr>
              <w:jc w:val="center"/>
              <w:ind w:right="35"/>
              <w:spacing w:after="0"/>
              <w:rPr>
                <w:sz w:val="20"/>
                <w:szCs w:val="20"/>
                <w:color w:val="auto"/>
              </w:rPr>
            </w:pPr>
            <w:r>
              <w:rPr>
                <w:rFonts w:ascii="Arial" w:cs="Arial" w:eastAsia="Arial" w:hAnsi="Arial"/>
                <w:sz w:val="13"/>
                <w:szCs w:val="13"/>
                <w:color w:val="auto"/>
              </w:rPr>
              <w:t>3.9%</w:t>
            </w:r>
          </w:p>
        </w:tc>
      </w:tr>
      <w:tr>
        <w:trPr>
          <w:trHeight w:val="143"/>
        </w:trPr>
        <w:tc>
          <w:tcPr>
            <w:tcW w:w="3380" w:type="dxa"/>
            <w:vAlign w:val="bottom"/>
            <w:shd w:val="clear" w:color="auto" w:fill="D9D9D9"/>
          </w:tcPr>
          <w:p>
            <w:pPr>
              <w:spacing w:after="0" w:line="143" w:lineRule="exact"/>
              <w:rPr>
                <w:sz w:val="20"/>
                <w:szCs w:val="20"/>
                <w:color w:val="auto"/>
              </w:rPr>
            </w:pPr>
            <w:r>
              <w:rPr>
                <w:rFonts w:ascii="Arial" w:cs="Arial" w:eastAsia="Arial" w:hAnsi="Arial"/>
                <w:sz w:val="13"/>
                <w:szCs w:val="13"/>
                <w:color w:val="auto"/>
              </w:rPr>
              <w:t>30% corporate revenue growth</w:t>
            </w:r>
          </w:p>
        </w:tc>
        <w:tc>
          <w:tcPr>
            <w:tcW w:w="2160" w:type="dxa"/>
            <w:vAlign w:val="bottom"/>
            <w:shd w:val="clear" w:color="auto" w:fill="D9D9D9"/>
          </w:tcPr>
          <w:p>
            <w:pPr>
              <w:jc w:val="center"/>
              <w:ind w:left="715"/>
              <w:spacing w:after="0" w:line="143" w:lineRule="exact"/>
              <w:rPr>
                <w:sz w:val="20"/>
                <w:szCs w:val="20"/>
                <w:color w:val="auto"/>
              </w:rPr>
            </w:pPr>
            <w:r>
              <w:rPr>
                <w:rFonts w:ascii="Arial" w:cs="Arial" w:eastAsia="Arial" w:hAnsi="Arial"/>
                <w:sz w:val="13"/>
                <w:szCs w:val="13"/>
                <w:color w:val="auto"/>
              </w:rPr>
              <w:t>2.6%</w:t>
            </w:r>
          </w:p>
        </w:tc>
        <w:tc>
          <w:tcPr>
            <w:tcW w:w="1460" w:type="dxa"/>
            <w:vAlign w:val="bottom"/>
            <w:shd w:val="clear" w:color="auto" w:fill="D9D9D9"/>
          </w:tcPr>
          <w:p>
            <w:pPr>
              <w:jc w:val="center"/>
              <w:spacing w:after="0" w:line="143" w:lineRule="exact"/>
              <w:rPr>
                <w:sz w:val="20"/>
                <w:szCs w:val="20"/>
                <w:color w:val="auto"/>
              </w:rPr>
            </w:pPr>
            <w:r>
              <w:rPr>
                <w:rFonts w:ascii="Arial" w:cs="Arial" w:eastAsia="Arial" w:hAnsi="Arial"/>
                <w:sz w:val="13"/>
                <w:szCs w:val="13"/>
                <w:color w:val="auto"/>
                <w:w w:val="98"/>
              </w:rPr>
              <w:t>4.6% - 5.6%</w:t>
            </w:r>
          </w:p>
        </w:tc>
        <w:tc>
          <w:tcPr>
            <w:tcW w:w="1620" w:type="dxa"/>
            <w:vAlign w:val="bottom"/>
            <w:shd w:val="clear" w:color="auto" w:fill="D9D9D9"/>
          </w:tcPr>
          <w:p>
            <w:pPr>
              <w:jc w:val="center"/>
              <w:ind w:right="135"/>
              <w:spacing w:after="0" w:line="143" w:lineRule="exact"/>
              <w:rPr>
                <w:sz w:val="20"/>
                <w:szCs w:val="20"/>
                <w:color w:val="auto"/>
              </w:rPr>
            </w:pPr>
            <w:r>
              <w:rPr>
                <w:rFonts w:ascii="Arial" w:cs="Arial" w:eastAsia="Arial" w:hAnsi="Arial"/>
                <w:sz w:val="13"/>
                <w:szCs w:val="13"/>
                <w:color w:val="auto"/>
              </w:rPr>
              <w:t>7.6%</w:t>
            </w:r>
          </w:p>
        </w:tc>
        <w:tc>
          <w:tcPr>
            <w:tcW w:w="2800" w:type="dxa"/>
            <w:vAlign w:val="bottom"/>
            <w:shd w:val="clear" w:color="auto" w:fill="D9D9D9"/>
          </w:tcPr>
          <w:p>
            <w:pPr>
              <w:jc w:val="center"/>
              <w:ind w:right="35"/>
              <w:spacing w:after="0" w:line="143" w:lineRule="exact"/>
              <w:rPr>
                <w:sz w:val="20"/>
                <w:szCs w:val="20"/>
                <w:color w:val="auto"/>
              </w:rPr>
            </w:pPr>
            <w:r>
              <w:rPr>
                <w:rFonts w:ascii="Arial" w:cs="Arial" w:eastAsia="Arial" w:hAnsi="Arial"/>
                <w:sz w:val="13"/>
                <w:szCs w:val="13"/>
                <w:color w:val="auto"/>
              </w:rPr>
              <w:t>(between threshold and target)</w:t>
            </w:r>
          </w:p>
        </w:tc>
      </w:tr>
      <w:tr>
        <w:trPr>
          <w:trHeight w:val="164"/>
        </w:trPr>
        <w:tc>
          <w:tcPr>
            <w:tcW w:w="3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0" w:type="dxa"/>
            <w:vAlign w:val="bottom"/>
          </w:tcPr>
          <w:p>
            <w:pPr>
              <w:jc w:val="center"/>
              <w:ind w:right="15"/>
              <w:spacing w:after="0"/>
              <w:rPr>
                <w:sz w:val="20"/>
                <w:szCs w:val="20"/>
                <w:color w:val="auto"/>
              </w:rPr>
            </w:pPr>
            <w:r>
              <w:rPr>
                <w:rFonts w:ascii="Arial" w:cs="Arial" w:eastAsia="Arial" w:hAnsi="Arial"/>
                <w:sz w:val="13"/>
                <w:szCs w:val="13"/>
                <w:color w:val="auto"/>
              </w:rPr>
              <w:t>2.4442</w:t>
            </w:r>
          </w:p>
        </w:tc>
      </w:tr>
      <w:tr>
        <w:trPr>
          <w:trHeight w:val="143"/>
        </w:trPr>
        <w:tc>
          <w:tcPr>
            <w:tcW w:w="3380" w:type="dxa"/>
            <w:vAlign w:val="bottom"/>
          </w:tcPr>
          <w:p>
            <w:pPr>
              <w:spacing w:after="0" w:line="143" w:lineRule="exact"/>
              <w:rPr>
                <w:sz w:val="20"/>
                <w:szCs w:val="20"/>
                <w:color w:val="auto"/>
              </w:rPr>
            </w:pPr>
            <w:r>
              <w:rPr>
                <w:rFonts w:ascii="Arial" w:cs="Arial" w:eastAsia="Arial" w:hAnsi="Arial"/>
                <w:sz w:val="13"/>
                <w:szCs w:val="13"/>
                <w:color w:val="auto"/>
              </w:rPr>
              <w:t>20% corporate average net assets turns</w:t>
            </w:r>
          </w:p>
        </w:tc>
        <w:tc>
          <w:tcPr>
            <w:tcW w:w="2160" w:type="dxa"/>
            <w:vAlign w:val="bottom"/>
          </w:tcPr>
          <w:p>
            <w:pPr>
              <w:jc w:val="center"/>
              <w:ind w:left="695"/>
              <w:spacing w:after="0" w:line="143" w:lineRule="exact"/>
              <w:rPr>
                <w:sz w:val="20"/>
                <w:szCs w:val="20"/>
                <w:color w:val="auto"/>
              </w:rPr>
            </w:pPr>
            <w:r>
              <w:rPr>
                <w:rFonts w:ascii="Arial" w:cs="Arial" w:eastAsia="Arial" w:hAnsi="Arial"/>
                <w:sz w:val="13"/>
                <w:szCs w:val="13"/>
                <w:color w:val="auto"/>
              </w:rPr>
              <w:t>1.99903</w:t>
            </w:r>
          </w:p>
        </w:tc>
        <w:tc>
          <w:tcPr>
            <w:tcW w:w="1460" w:type="dxa"/>
            <w:vAlign w:val="bottom"/>
          </w:tcPr>
          <w:p>
            <w:pPr>
              <w:jc w:val="center"/>
              <w:spacing w:after="0" w:line="143" w:lineRule="exact"/>
              <w:rPr>
                <w:sz w:val="20"/>
                <w:szCs w:val="20"/>
                <w:color w:val="auto"/>
              </w:rPr>
            </w:pPr>
            <w:r>
              <w:rPr>
                <w:rFonts w:ascii="Arial" w:cs="Arial" w:eastAsia="Arial" w:hAnsi="Arial"/>
                <w:sz w:val="13"/>
                <w:szCs w:val="13"/>
                <w:color w:val="auto"/>
                <w:w w:val="95"/>
              </w:rPr>
              <w:t>2.3518</w:t>
            </w:r>
          </w:p>
        </w:tc>
        <w:tc>
          <w:tcPr>
            <w:tcW w:w="1620" w:type="dxa"/>
            <w:vAlign w:val="bottom"/>
          </w:tcPr>
          <w:p>
            <w:pPr>
              <w:jc w:val="center"/>
              <w:ind w:right="135"/>
              <w:spacing w:after="0" w:line="143" w:lineRule="exact"/>
              <w:rPr>
                <w:sz w:val="20"/>
                <w:szCs w:val="20"/>
                <w:color w:val="auto"/>
              </w:rPr>
            </w:pPr>
            <w:r>
              <w:rPr>
                <w:rFonts w:ascii="Arial" w:cs="Arial" w:eastAsia="Arial" w:hAnsi="Arial"/>
                <w:sz w:val="13"/>
                <w:szCs w:val="13"/>
                <w:color w:val="auto"/>
                <w:w w:val="97"/>
              </w:rPr>
              <w:t>2.70457</w:t>
            </w:r>
          </w:p>
        </w:tc>
        <w:tc>
          <w:tcPr>
            <w:tcW w:w="2800" w:type="dxa"/>
            <w:vAlign w:val="bottom"/>
          </w:tcPr>
          <w:p>
            <w:pPr>
              <w:jc w:val="center"/>
              <w:ind w:right="15"/>
              <w:spacing w:after="0" w:line="143" w:lineRule="exact"/>
              <w:rPr>
                <w:sz w:val="20"/>
                <w:szCs w:val="20"/>
                <w:color w:val="auto"/>
              </w:rPr>
            </w:pPr>
            <w:r>
              <w:rPr>
                <w:rFonts w:ascii="Arial" w:cs="Arial" w:eastAsia="Arial" w:hAnsi="Arial"/>
                <w:sz w:val="13"/>
                <w:szCs w:val="13"/>
                <w:color w:val="auto"/>
              </w:rPr>
              <w:t>(between target and maximum)</w:t>
            </w:r>
          </w:p>
        </w:tc>
      </w:tr>
      <w:tr>
        <w:trPr>
          <w:trHeight w:val="208"/>
        </w:trPr>
        <w:tc>
          <w:tcPr>
            <w:tcW w:w="338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Corporate performance payout</w:t>
            </w:r>
          </w:p>
        </w:tc>
        <w:tc>
          <w:tcPr>
            <w:tcW w:w="216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620" w:type="dxa"/>
            <w:vAlign w:val="bottom"/>
            <w:shd w:val="clear" w:color="auto" w:fill="D9D9D9"/>
          </w:tcPr>
          <w:p>
            <w:pPr>
              <w:spacing w:after="0"/>
              <w:rPr>
                <w:sz w:val="18"/>
                <w:szCs w:val="18"/>
                <w:color w:val="auto"/>
              </w:rPr>
            </w:pPr>
          </w:p>
        </w:tc>
        <w:tc>
          <w:tcPr>
            <w:tcW w:w="2800" w:type="dxa"/>
            <w:vAlign w:val="bottom"/>
            <w:shd w:val="clear" w:color="auto" w:fill="D9D9D9"/>
          </w:tcPr>
          <w:p>
            <w:pPr>
              <w:jc w:val="center"/>
              <w:ind w:right="15"/>
              <w:spacing w:after="0"/>
              <w:rPr>
                <w:sz w:val="20"/>
                <w:szCs w:val="20"/>
                <w:color w:val="auto"/>
              </w:rPr>
            </w:pPr>
            <w:r>
              <w:rPr>
                <w:rFonts w:ascii="Arial" w:cs="Arial" w:eastAsia="Arial" w:hAnsi="Arial"/>
                <w:sz w:val="13"/>
                <w:szCs w:val="13"/>
                <w:b w:val="1"/>
                <w:bCs w:val="1"/>
                <w:color w:val="auto"/>
              </w:rPr>
              <w:t>95.46% of target</w:t>
            </w:r>
          </w:p>
        </w:tc>
      </w:tr>
    </w:tbl>
    <w:p>
      <w:pPr>
        <w:spacing w:after="0" w:line="81" w:lineRule="exact"/>
        <w:rPr>
          <w:sz w:val="20"/>
          <w:szCs w:val="20"/>
          <w:color w:val="auto"/>
        </w:rPr>
      </w:pPr>
    </w:p>
    <w:p>
      <w:pPr>
        <w:ind w:right="20" w:firstLine="408"/>
        <w:spacing w:after="0" w:line="248" w:lineRule="auto"/>
        <w:rPr>
          <w:sz w:val="20"/>
          <w:szCs w:val="20"/>
          <w:color w:val="auto"/>
        </w:rPr>
      </w:pPr>
      <w:r>
        <w:rPr>
          <w:rFonts w:ascii="Arial" w:cs="Arial" w:eastAsia="Arial" w:hAnsi="Arial"/>
          <w:sz w:val="16"/>
          <w:szCs w:val="16"/>
          <w:i w:val="1"/>
          <w:iCs w:val="1"/>
          <w:color w:val="auto"/>
        </w:rPr>
        <w:t>Corporate Performance Discussion and Analysis</w:t>
      </w:r>
      <w:r>
        <w:rPr>
          <w:rFonts w:ascii="Arial" w:cs="Arial" w:eastAsia="Arial" w:hAnsi="Arial"/>
          <w:sz w:val="16"/>
          <w:szCs w:val="16"/>
          <w:color w:val="auto"/>
        </w:rPr>
        <w:t>. When applying the weightings of the performance measures to actual results, the resulting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payout for fiscal 2018 was 95.46% of target. All of our named executive officers except for Mr. Hamilton had 100% of their annual cash incentive awards tied to corporate performance for all of fiscal 2018 and therefore, their annual cash incentive award payouts were at 95.46% of target. Applying their individual target awards as a percent of base salary, this translated to payouts of approximately 105% for Mr. Olson, 72% for Ms. Peterson, and 62% and 57% of fiscal year base salaries for Messrs. Brown and Dordell, respectively.</w:t>
      </w:r>
    </w:p>
    <w:p>
      <w:pPr>
        <w:spacing w:after="0" w:line="66" w:lineRule="exact"/>
        <w:rPr>
          <w:sz w:val="20"/>
          <w:szCs w:val="20"/>
          <w:color w:val="auto"/>
        </w:rPr>
      </w:pPr>
    </w:p>
    <w:p>
      <w:pPr>
        <w:jc w:val="both"/>
        <w:ind w:right="220" w:firstLine="408"/>
        <w:spacing w:after="0" w:line="257" w:lineRule="auto"/>
        <w:rPr>
          <w:sz w:val="20"/>
          <w:szCs w:val="20"/>
          <w:color w:val="auto"/>
        </w:rPr>
      </w:pPr>
      <w:r>
        <w:rPr>
          <w:rFonts w:ascii="Arial" w:cs="Arial" w:eastAsia="Arial" w:hAnsi="Arial"/>
          <w:sz w:val="16"/>
          <w:szCs w:val="16"/>
          <w:i w:val="1"/>
          <w:iCs w:val="1"/>
          <w:color w:val="auto"/>
        </w:rPr>
        <w:t xml:space="preserve">Division Performance Measures and Goals. </w:t>
      </w:r>
      <w:r>
        <w:rPr>
          <w:rFonts w:ascii="Arial" w:cs="Arial" w:eastAsia="Arial" w:hAnsi="Arial"/>
          <w:sz w:val="16"/>
          <w:szCs w:val="16"/>
          <w:color w:val="auto"/>
        </w:rPr>
        <w:t>In addition to corporate performance, our executives with division responsibility had 50% of their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cash incentive award based on actual division performance against division performance goals established for the individual divisions over which they have responsibility.</w:t>
      </w:r>
    </w:p>
    <w:p>
      <w:pPr>
        <w:spacing w:after="0" w:line="62" w:lineRule="exact"/>
        <w:rPr>
          <w:sz w:val="20"/>
          <w:szCs w:val="20"/>
          <w:color w:val="auto"/>
        </w:rPr>
      </w:pPr>
    </w:p>
    <w:p>
      <w:pPr>
        <w:ind w:right="40" w:firstLine="408"/>
        <w:spacing w:after="0" w:line="230" w:lineRule="auto"/>
        <w:rPr>
          <w:sz w:val="20"/>
          <w:szCs w:val="20"/>
          <w:color w:val="auto"/>
        </w:rPr>
      </w:pPr>
      <w:r>
        <w:rPr>
          <w:rFonts w:ascii="Arial" w:cs="Arial" w:eastAsia="Arial" w:hAnsi="Arial"/>
          <w:sz w:val="16"/>
          <w:szCs w:val="16"/>
          <w:color w:val="auto"/>
        </w:rPr>
        <w:t>The division performance measures for fiscal 2018 included division CPC, division revenue growth and division working capital as a percent of sales. Threshold, target and maximum goals were established for each of these performance measures for each division at the beginning of the fiscal year. The specific performances for each of the revenue growth, CPC and working capital as a percent of sales for each division are maintained as proprietary and confidential. The Committee believes that disclosure of these specific performance goals would represent competitive harm to us as division goals and results are not publicly disclosed and are competitively sensitive.</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Reflected below are the payout percentages associated with various levels of performance.</w:t>
      </w:r>
    </w:p>
    <w:p>
      <w:pPr>
        <w:spacing w:after="0" w:line="111"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2820" w:type="dxa"/>
            <w:vAlign w:val="bottom"/>
            <w:shd w:val="clear" w:color="auto" w:fill="C00000"/>
          </w:tcPr>
          <w:p>
            <w:pPr>
              <w:ind w:left="20"/>
              <w:spacing w:after="0"/>
              <w:rPr>
                <w:sz w:val="20"/>
                <w:szCs w:val="20"/>
                <w:color w:val="auto"/>
              </w:rPr>
            </w:pPr>
            <w:r>
              <w:rPr>
                <w:rFonts w:ascii="Arial" w:cs="Arial" w:eastAsia="Arial" w:hAnsi="Arial"/>
                <w:sz w:val="13"/>
                <w:szCs w:val="13"/>
                <w:b w:val="1"/>
                <w:bCs w:val="1"/>
                <w:color w:val="FFFFFF"/>
              </w:rPr>
              <w:t>Level of Performance</w:t>
            </w:r>
          </w:p>
        </w:tc>
        <w:tc>
          <w:tcPr>
            <w:tcW w:w="5740" w:type="dxa"/>
            <w:vAlign w:val="bottom"/>
            <w:shd w:val="clear" w:color="auto" w:fill="C00000"/>
          </w:tcPr>
          <w:p>
            <w:pPr>
              <w:ind w:left="1440"/>
              <w:spacing w:after="0"/>
              <w:rPr>
                <w:sz w:val="20"/>
                <w:szCs w:val="20"/>
                <w:color w:val="auto"/>
              </w:rPr>
            </w:pPr>
            <w:r>
              <w:rPr>
                <w:rFonts w:ascii="Arial" w:cs="Arial" w:eastAsia="Arial" w:hAnsi="Arial"/>
                <w:sz w:val="13"/>
                <w:szCs w:val="13"/>
                <w:b w:val="1"/>
                <w:bCs w:val="1"/>
                <w:color w:val="FFFFFF"/>
              </w:rPr>
              <w:t>Payout %</w:t>
            </w:r>
          </w:p>
        </w:tc>
      </w:tr>
      <w:tr>
        <w:trPr>
          <w:trHeight w:val="184"/>
        </w:trPr>
        <w:tc>
          <w:tcPr>
            <w:tcW w:w="2820" w:type="dxa"/>
            <w:vAlign w:val="bottom"/>
          </w:tcPr>
          <w:p>
            <w:pPr>
              <w:ind w:left="40"/>
              <w:spacing w:after="0"/>
              <w:rPr>
                <w:sz w:val="20"/>
                <w:szCs w:val="20"/>
                <w:color w:val="auto"/>
              </w:rPr>
            </w:pPr>
            <w:r>
              <w:rPr>
                <w:rFonts w:ascii="Arial" w:cs="Arial" w:eastAsia="Arial" w:hAnsi="Arial"/>
                <w:sz w:val="16"/>
                <w:szCs w:val="16"/>
                <w:color w:val="auto"/>
              </w:rPr>
              <w:t>Threshold</w:t>
            </w:r>
          </w:p>
        </w:tc>
        <w:tc>
          <w:tcPr>
            <w:tcW w:w="5740" w:type="dxa"/>
            <w:vAlign w:val="bottom"/>
          </w:tcPr>
          <w:p>
            <w:pPr>
              <w:ind w:left="1440"/>
              <w:spacing w:after="0"/>
              <w:rPr>
                <w:sz w:val="20"/>
                <w:szCs w:val="20"/>
                <w:color w:val="auto"/>
              </w:rPr>
            </w:pPr>
            <w:r>
              <w:rPr>
                <w:rFonts w:ascii="Arial" w:cs="Arial" w:eastAsia="Arial" w:hAnsi="Arial"/>
                <w:sz w:val="16"/>
                <w:szCs w:val="16"/>
                <w:color w:val="auto"/>
              </w:rPr>
              <w:t>40% of target</w:t>
            </w:r>
          </w:p>
        </w:tc>
      </w:tr>
      <w:tr>
        <w:trPr>
          <w:trHeight w:val="184"/>
        </w:trPr>
        <w:tc>
          <w:tcPr>
            <w:tcW w:w="2820" w:type="dxa"/>
            <w:vAlign w:val="bottom"/>
            <w:shd w:val="clear" w:color="auto" w:fill="D9D9D9"/>
          </w:tcPr>
          <w:p>
            <w:pPr>
              <w:ind w:left="40"/>
              <w:spacing w:after="0"/>
              <w:rPr>
                <w:sz w:val="20"/>
                <w:szCs w:val="20"/>
                <w:color w:val="auto"/>
              </w:rPr>
            </w:pPr>
            <w:r>
              <w:rPr>
                <w:rFonts w:ascii="Arial" w:cs="Arial" w:eastAsia="Arial" w:hAnsi="Arial"/>
                <w:sz w:val="16"/>
                <w:szCs w:val="16"/>
                <w:color w:val="auto"/>
              </w:rPr>
              <w:t>Target</w:t>
            </w:r>
          </w:p>
        </w:tc>
        <w:tc>
          <w:tcPr>
            <w:tcW w:w="5740" w:type="dxa"/>
            <w:vAlign w:val="bottom"/>
            <w:shd w:val="clear" w:color="auto" w:fill="D9D9D9"/>
          </w:tcPr>
          <w:p>
            <w:pPr>
              <w:ind w:left="1440"/>
              <w:spacing w:after="0"/>
              <w:rPr>
                <w:sz w:val="20"/>
                <w:szCs w:val="20"/>
                <w:color w:val="auto"/>
              </w:rPr>
            </w:pPr>
            <w:r>
              <w:rPr>
                <w:rFonts w:ascii="Arial" w:cs="Arial" w:eastAsia="Arial" w:hAnsi="Arial"/>
                <w:sz w:val="16"/>
                <w:szCs w:val="16"/>
                <w:color w:val="auto"/>
              </w:rPr>
              <w:t>100%</w:t>
            </w:r>
          </w:p>
        </w:tc>
      </w:tr>
      <w:tr>
        <w:trPr>
          <w:trHeight w:val="196"/>
        </w:trPr>
        <w:tc>
          <w:tcPr>
            <w:tcW w:w="2820" w:type="dxa"/>
            <w:vAlign w:val="bottom"/>
          </w:tcPr>
          <w:p>
            <w:pPr>
              <w:ind w:left="40"/>
              <w:spacing w:after="0"/>
              <w:rPr>
                <w:sz w:val="20"/>
                <w:szCs w:val="20"/>
                <w:color w:val="auto"/>
              </w:rPr>
            </w:pPr>
            <w:r>
              <w:rPr>
                <w:rFonts w:ascii="Arial" w:cs="Arial" w:eastAsia="Arial" w:hAnsi="Arial"/>
                <w:sz w:val="16"/>
                <w:szCs w:val="16"/>
                <w:color w:val="auto"/>
              </w:rPr>
              <w:t>Maximum</w:t>
            </w:r>
          </w:p>
        </w:tc>
        <w:tc>
          <w:tcPr>
            <w:tcW w:w="5740" w:type="dxa"/>
            <w:vAlign w:val="bottom"/>
          </w:tcPr>
          <w:p>
            <w:pPr>
              <w:ind w:left="1440"/>
              <w:spacing w:after="0"/>
              <w:rPr>
                <w:sz w:val="20"/>
                <w:szCs w:val="20"/>
                <w:color w:val="auto"/>
              </w:rPr>
            </w:pPr>
            <w:r>
              <w:rPr>
                <w:rFonts w:ascii="Arial" w:cs="Arial" w:eastAsia="Arial" w:hAnsi="Arial"/>
                <w:sz w:val="16"/>
                <w:szCs w:val="16"/>
                <w:color w:val="auto"/>
              </w:rPr>
              <w:t>200% of target</w:t>
            </w:r>
          </w:p>
        </w:tc>
      </w:tr>
    </w:tbl>
    <w:p>
      <w:pPr>
        <w:spacing w:after="0" w:line="73" w:lineRule="exact"/>
        <w:rPr>
          <w:sz w:val="20"/>
          <w:szCs w:val="20"/>
          <w:color w:val="auto"/>
        </w:rPr>
      </w:pPr>
    </w:p>
    <w:p>
      <w:pPr>
        <w:ind w:firstLine="408"/>
        <w:spacing w:after="0" w:line="227" w:lineRule="auto"/>
        <w:rPr>
          <w:sz w:val="20"/>
          <w:szCs w:val="20"/>
          <w:color w:val="auto"/>
        </w:rPr>
      </w:pPr>
      <w:r>
        <w:rPr>
          <w:rFonts w:ascii="Arial" w:cs="Arial" w:eastAsia="Arial" w:hAnsi="Arial"/>
          <w:sz w:val="16"/>
          <w:szCs w:val="16"/>
          <w:color w:val="auto"/>
        </w:rPr>
        <w:t>For each performance measure, the target goal reflects the annual financial plan goal set for each respective division. Based on historical performance, the Committee believes the attainment of the target performance level, while uncertain, could be reasonably anticipated. Threshold goals represent the minimum level of performance necessary for there to be a payout for that performance measure and the Committee believes the threshold goals are likely to be achieved. The threshold goal for CPC represented 80% of the plan set for each respective division. Threshold goals for revenue growth and working capital as a percent of sales represented the minimum level of performance that the Committee determined would be appropriate in order to receive a payout. Maximum goals represented the level of performance at which payouts are 200% of the target award. Even if actual results exceed the maximum goals, the payouts are capped at 200% of the target award. The maximum goal for CPC represents 120% of the plan set for each respective division. Maximum goals for revenue growth and working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85" w:lineRule="exact"/>
        <w:rPr>
          <w:sz w:val="20"/>
          <w:szCs w:val="20"/>
          <w:color w:val="auto"/>
        </w:rPr>
      </w:pPr>
    </w:p>
    <w:p>
      <w:pPr>
        <w:ind w:right="540"/>
        <w:spacing w:after="0" w:line="239" w:lineRule="auto"/>
        <w:rPr>
          <w:sz w:val="20"/>
          <w:szCs w:val="20"/>
          <w:color w:val="auto"/>
        </w:rPr>
      </w:pPr>
      <w:r>
        <w:rPr>
          <w:rFonts w:ascii="Arial" w:cs="Arial" w:eastAsia="Arial" w:hAnsi="Arial"/>
          <w:sz w:val="16"/>
          <w:szCs w:val="16"/>
          <w:color w:val="auto"/>
        </w:rPr>
        <w:t>capital as a percent of sales represent levels of performance at which the Committee determines a payout of 200% of target would be appropriate. The Committee believes that the maximum goals established for each division performance measure are more aggressive goals.</w:t>
      </w:r>
    </w:p>
    <w:p>
      <w:pPr>
        <w:spacing w:after="0" w:line="71" w:lineRule="exact"/>
        <w:rPr>
          <w:sz w:val="20"/>
          <w:szCs w:val="20"/>
          <w:color w:val="auto"/>
        </w:rPr>
      </w:pPr>
    </w:p>
    <w:p>
      <w:pPr>
        <w:ind w:right="60" w:firstLine="408"/>
        <w:spacing w:after="0" w:line="251" w:lineRule="auto"/>
        <w:rPr>
          <w:sz w:val="20"/>
          <w:szCs w:val="20"/>
          <w:color w:val="auto"/>
        </w:rPr>
      </w:pPr>
      <w:r>
        <w:rPr>
          <w:rFonts w:ascii="Arial" w:cs="Arial" w:eastAsia="Arial" w:hAnsi="Arial"/>
          <w:sz w:val="16"/>
          <w:szCs w:val="16"/>
          <w:i w:val="1"/>
          <w:iCs w:val="1"/>
          <w:color w:val="auto"/>
        </w:rPr>
        <w:t>Discussion and Analysis of Division Performance Applicable to Mr. Hamilton</w:t>
      </w:r>
      <w:r>
        <w:rPr>
          <w:rFonts w:ascii="Arial" w:cs="Arial" w:eastAsia="Arial" w:hAnsi="Arial"/>
          <w:sz w:val="16"/>
          <w:szCs w:val="16"/>
          <w:color w:val="auto"/>
        </w:rPr>
        <w:t>. At the beginning of fiscal 2018, Mr. Hamilton had responsibility for two of</w:t>
      </w:r>
      <w:r>
        <w:rPr>
          <w:rFonts w:ascii="Arial" w:cs="Arial" w:eastAsia="Arial" w:hAnsi="Arial"/>
          <w:sz w:val="16"/>
          <w:szCs w:val="16"/>
          <w:i w:val="1"/>
          <w:iCs w:val="1"/>
          <w:color w:val="auto"/>
        </w:rPr>
        <w:t xml:space="preserve"> </w:t>
      </w:r>
      <w:r>
        <w:rPr>
          <w:rFonts w:ascii="Arial" w:cs="Arial" w:eastAsia="Arial" w:hAnsi="Arial"/>
          <w:sz w:val="16"/>
          <w:szCs w:val="16"/>
          <w:color w:val="auto"/>
        </w:rPr>
        <w:t>our divisions. In fiscal 2018, the annual cash incentive award for Mr. Hamilton was based 50% on corporate performance and 50% on division performance of those divisions for which he had management responsibility in fiscal 2018. Division performance for Mr. Hamilton was weighted to generally reflect the difference between the size and profitability of these divisions, as well as the time that Mr. Hamilton devoted to these divisions.</w:t>
      </w:r>
    </w:p>
    <w:p>
      <w:pPr>
        <w:spacing w:after="0" w:line="80" w:lineRule="exact"/>
        <w:rPr>
          <w:sz w:val="20"/>
          <w:szCs w:val="20"/>
          <w:color w:val="auto"/>
        </w:rPr>
      </w:pPr>
    </w:p>
    <w:p>
      <w:pPr>
        <w:ind w:right="460" w:firstLine="408"/>
        <w:spacing w:after="0" w:line="255" w:lineRule="auto"/>
        <w:rPr>
          <w:sz w:val="20"/>
          <w:szCs w:val="20"/>
          <w:color w:val="auto"/>
        </w:rPr>
      </w:pPr>
      <w:r>
        <w:rPr>
          <w:rFonts w:ascii="Arial" w:cs="Arial" w:eastAsia="Arial" w:hAnsi="Arial"/>
          <w:sz w:val="16"/>
          <w:szCs w:val="16"/>
          <w:color w:val="auto"/>
        </w:rPr>
        <w:t>The table below reflects how the Commercial and International divisions, the divisions over which Mr. Hamilton had responsibility for in fiscal 2018, performed against the performance measures for fiscal 2018.</w:t>
      </w:r>
    </w:p>
    <w:p>
      <w:pPr>
        <w:spacing w:after="0" w:line="75" w:lineRule="exact"/>
        <w:rPr>
          <w:sz w:val="20"/>
          <w:szCs w:val="20"/>
          <w:color w:val="auto"/>
        </w:rPr>
      </w:pPr>
    </w:p>
    <w:tbl>
      <w:tblPr>
        <w:tblLayout w:type="fixed"/>
        <w:tblInd w:w="2720" w:type="dxa"/>
        <w:tblCellMar>
          <w:top w:w="0" w:type="dxa"/>
          <w:left w:w="0" w:type="dxa"/>
          <w:bottom w:w="0" w:type="dxa"/>
          <w:right w:w="0" w:type="dxa"/>
        </w:tblCellMar>
      </w:tblPr>
      <w:tr>
        <w:trPr>
          <w:trHeight w:val="184"/>
        </w:trPr>
        <w:tc>
          <w:tcPr>
            <w:tcW w:w="198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Performance Measure</w:t>
            </w:r>
          </w:p>
        </w:tc>
        <w:tc>
          <w:tcPr>
            <w:tcW w:w="2360" w:type="dxa"/>
            <w:vAlign w:val="bottom"/>
            <w:shd w:val="clear" w:color="auto" w:fill="C00000"/>
          </w:tcPr>
          <w:p>
            <w:pPr>
              <w:ind w:left="740"/>
              <w:spacing w:after="0"/>
              <w:rPr>
                <w:sz w:val="20"/>
                <w:szCs w:val="20"/>
                <w:color w:val="auto"/>
              </w:rPr>
            </w:pPr>
            <w:r>
              <w:rPr>
                <w:rFonts w:ascii="Arial" w:cs="Arial" w:eastAsia="Arial" w:hAnsi="Arial"/>
                <w:sz w:val="13"/>
                <w:szCs w:val="13"/>
                <w:b w:val="1"/>
                <w:bCs w:val="1"/>
                <w:color w:val="FFFFFF"/>
              </w:rPr>
              <w:t>Commercial</w:t>
            </w:r>
          </w:p>
        </w:tc>
        <w:tc>
          <w:tcPr>
            <w:tcW w:w="1640" w:type="dxa"/>
            <w:vAlign w:val="bottom"/>
            <w:shd w:val="clear" w:color="auto" w:fill="C00000"/>
          </w:tcPr>
          <w:p>
            <w:pPr>
              <w:jc w:val="center"/>
              <w:ind w:right="191"/>
              <w:spacing w:after="0"/>
              <w:rPr>
                <w:sz w:val="20"/>
                <w:szCs w:val="20"/>
                <w:color w:val="auto"/>
              </w:rPr>
            </w:pPr>
            <w:r>
              <w:rPr>
                <w:rFonts w:ascii="Arial" w:cs="Arial" w:eastAsia="Arial" w:hAnsi="Arial"/>
                <w:sz w:val="13"/>
                <w:szCs w:val="13"/>
                <w:b w:val="1"/>
                <w:bCs w:val="1"/>
                <w:color w:val="FFFFFF"/>
                <w:w w:val="99"/>
              </w:rPr>
              <w:t>International</w:t>
            </w:r>
          </w:p>
        </w:tc>
      </w:tr>
      <w:tr>
        <w:trPr>
          <w:trHeight w:val="200"/>
        </w:trPr>
        <w:tc>
          <w:tcPr>
            <w:tcW w:w="1980" w:type="dxa"/>
            <w:vAlign w:val="bottom"/>
          </w:tcPr>
          <w:p>
            <w:pPr>
              <w:spacing w:after="0"/>
              <w:rPr>
                <w:sz w:val="20"/>
                <w:szCs w:val="20"/>
                <w:color w:val="auto"/>
              </w:rPr>
            </w:pPr>
            <w:r>
              <w:rPr>
                <w:rFonts w:ascii="Arial" w:cs="Arial" w:eastAsia="Arial" w:hAnsi="Arial"/>
                <w:sz w:val="15"/>
                <w:szCs w:val="15"/>
                <w:color w:val="auto"/>
              </w:rPr>
              <w:t>Division CPC</w:t>
            </w:r>
          </w:p>
        </w:tc>
        <w:tc>
          <w:tcPr>
            <w:tcW w:w="4000" w:type="dxa"/>
            <w:vAlign w:val="bottom"/>
            <w:gridSpan w:val="2"/>
          </w:tcPr>
          <w:p>
            <w:pPr>
              <w:ind w:left="140"/>
              <w:spacing w:after="0"/>
              <w:rPr>
                <w:sz w:val="20"/>
                <w:szCs w:val="20"/>
                <w:color w:val="auto"/>
              </w:rPr>
            </w:pPr>
            <w:r>
              <w:rPr>
                <w:rFonts w:ascii="Arial" w:cs="Arial" w:eastAsia="Arial" w:hAnsi="Arial"/>
                <w:sz w:val="15"/>
                <w:szCs w:val="15"/>
                <w:color w:val="auto"/>
                <w:w w:val="97"/>
              </w:rPr>
              <w:t>Between target and maximumBetween threshold and target</w:t>
            </w:r>
          </w:p>
        </w:tc>
      </w:tr>
      <w:tr>
        <w:trPr>
          <w:trHeight w:val="217"/>
        </w:trPr>
        <w:tc>
          <w:tcPr>
            <w:tcW w:w="1980" w:type="dxa"/>
            <w:vAlign w:val="bottom"/>
            <w:shd w:val="clear" w:color="auto" w:fill="D9D9D9"/>
          </w:tcPr>
          <w:p>
            <w:pPr>
              <w:spacing w:after="0"/>
              <w:rPr>
                <w:sz w:val="20"/>
                <w:szCs w:val="20"/>
                <w:color w:val="auto"/>
              </w:rPr>
            </w:pPr>
            <w:r>
              <w:rPr>
                <w:rFonts w:ascii="Arial" w:cs="Arial" w:eastAsia="Arial" w:hAnsi="Arial"/>
                <w:sz w:val="15"/>
                <w:szCs w:val="15"/>
                <w:color w:val="auto"/>
              </w:rPr>
              <w:t>Division revenue growth</w:t>
            </w:r>
          </w:p>
        </w:tc>
        <w:tc>
          <w:tcPr>
            <w:tcW w:w="2360" w:type="dxa"/>
            <w:vAlign w:val="bottom"/>
            <w:shd w:val="clear" w:color="auto" w:fill="D9D9D9"/>
          </w:tcPr>
          <w:p>
            <w:pPr>
              <w:ind w:left="140"/>
              <w:spacing w:after="0"/>
              <w:rPr>
                <w:sz w:val="20"/>
                <w:szCs w:val="20"/>
                <w:color w:val="auto"/>
              </w:rPr>
            </w:pPr>
            <w:r>
              <w:rPr>
                <w:rFonts w:ascii="Arial" w:cs="Arial" w:eastAsia="Arial" w:hAnsi="Arial"/>
                <w:sz w:val="15"/>
                <w:szCs w:val="15"/>
                <w:color w:val="auto"/>
              </w:rPr>
              <w:t>Between target and maximum</w:t>
            </w:r>
          </w:p>
        </w:tc>
        <w:tc>
          <w:tcPr>
            <w:tcW w:w="1640" w:type="dxa"/>
            <w:vAlign w:val="bottom"/>
            <w:shd w:val="clear" w:color="auto" w:fill="D9D9D9"/>
          </w:tcPr>
          <w:p>
            <w:pPr>
              <w:jc w:val="center"/>
              <w:ind w:right="191"/>
              <w:spacing w:after="0"/>
              <w:rPr>
                <w:sz w:val="20"/>
                <w:szCs w:val="20"/>
                <w:color w:val="auto"/>
              </w:rPr>
            </w:pPr>
            <w:r>
              <w:rPr>
                <w:rFonts w:ascii="Arial" w:cs="Arial" w:eastAsia="Arial" w:hAnsi="Arial"/>
                <w:sz w:val="15"/>
                <w:szCs w:val="15"/>
                <w:color w:val="auto"/>
                <w:w w:val="95"/>
              </w:rPr>
              <w:t>At target</w:t>
            </w:r>
          </w:p>
        </w:tc>
      </w:tr>
      <w:tr>
        <w:trPr>
          <w:trHeight w:val="186"/>
        </w:trPr>
        <w:tc>
          <w:tcPr>
            <w:tcW w:w="1980" w:type="dxa"/>
            <w:vAlign w:val="bottom"/>
          </w:tcPr>
          <w:p>
            <w:pPr>
              <w:spacing w:after="0"/>
              <w:rPr>
                <w:sz w:val="20"/>
                <w:szCs w:val="20"/>
                <w:color w:val="auto"/>
              </w:rPr>
            </w:pPr>
            <w:r>
              <w:rPr>
                <w:rFonts w:ascii="Arial" w:cs="Arial" w:eastAsia="Arial" w:hAnsi="Arial"/>
                <w:sz w:val="15"/>
                <w:szCs w:val="15"/>
                <w:color w:val="auto"/>
              </w:rPr>
              <w:t>Division working capital as a</w:t>
            </w:r>
          </w:p>
        </w:tc>
        <w:tc>
          <w:tcPr>
            <w:tcW w:w="4000" w:type="dxa"/>
            <w:vAlign w:val="bottom"/>
            <w:gridSpan w:val="2"/>
          </w:tcPr>
          <w:p>
            <w:pPr>
              <w:ind w:left="140"/>
              <w:spacing w:after="0"/>
              <w:rPr>
                <w:sz w:val="20"/>
                <w:szCs w:val="20"/>
                <w:color w:val="auto"/>
              </w:rPr>
            </w:pPr>
            <w:r>
              <w:rPr>
                <w:rFonts w:ascii="Arial" w:cs="Arial" w:eastAsia="Arial" w:hAnsi="Arial"/>
                <w:sz w:val="15"/>
                <w:szCs w:val="15"/>
                <w:color w:val="auto"/>
                <w:w w:val="97"/>
              </w:rPr>
              <w:t>Between target and maximumBetween threshold and target</w:t>
            </w:r>
          </w:p>
        </w:tc>
      </w:tr>
      <w:tr>
        <w:trPr>
          <w:trHeight w:val="177"/>
        </w:trPr>
        <w:tc>
          <w:tcPr>
            <w:tcW w:w="1980" w:type="dxa"/>
            <w:vAlign w:val="bottom"/>
          </w:tcPr>
          <w:p>
            <w:pPr>
              <w:ind w:left="200"/>
              <w:spacing w:after="0"/>
              <w:rPr>
                <w:sz w:val="20"/>
                <w:szCs w:val="20"/>
                <w:color w:val="auto"/>
              </w:rPr>
            </w:pPr>
            <w:r>
              <w:rPr>
                <w:rFonts w:ascii="Arial" w:cs="Arial" w:eastAsia="Arial" w:hAnsi="Arial"/>
                <w:sz w:val="15"/>
                <w:szCs w:val="15"/>
                <w:color w:val="auto"/>
              </w:rPr>
              <w:t>percent of sales</w:t>
            </w:r>
          </w:p>
        </w:tc>
        <w:tc>
          <w:tcPr>
            <w:tcW w:w="2360" w:type="dxa"/>
            <w:vAlign w:val="bottom"/>
          </w:tcPr>
          <w:p>
            <w:pPr>
              <w:spacing w:after="0"/>
              <w:rPr>
                <w:sz w:val="15"/>
                <w:szCs w:val="15"/>
                <w:color w:val="auto"/>
              </w:rPr>
            </w:pPr>
          </w:p>
        </w:tc>
        <w:tc>
          <w:tcPr>
            <w:tcW w:w="1640" w:type="dxa"/>
            <w:vAlign w:val="bottom"/>
          </w:tcPr>
          <w:p>
            <w:pPr>
              <w:spacing w:after="0"/>
              <w:rPr>
                <w:sz w:val="15"/>
                <w:szCs w:val="15"/>
                <w:color w:val="auto"/>
              </w:rPr>
            </w:pPr>
          </w:p>
        </w:tc>
      </w:tr>
    </w:tbl>
    <w:p>
      <w:pPr>
        <w:spacing w:after="0" w:line="115" w:lineRule="exact"/>
        <w:rPr>
          <w:sz w:val="20"/>
          <w:szCs w:val="20"/>
          <w:color w:val="auto"/>
        </w:rPr>
      </w:pPr>
    </w:p>
    <w:p>
      <w:pPr>
        <w:ind w:right="240" w:firstLine="408"/>
        <w:spacing w:after="0" w:line="255" w:lineRule="auto"/>
        <w:rPr>
          <w:sz w:val="20"/>
          <w:szCs w:val="20"/>
          <w:color w:val="auto"/>
        </w:rPr>
      </w:pPr>
      <w:r>
        <w:rPr>
          <w:rFonts w:ascii="Arial" w:cs="Arial" w:eastAsia="Arial" w:hAnsi="Arial"/>
          <w:sz w:val="16"/>
          <w:szCs w:val="16"/>
          <w:color w:val="auto"/>
        </w:rPr>
        <w:t>When applying the weightings assigned to each division to the division payout percentages and factoring in the corporate payout, the resulting overall payout percent for Mr. Hamilton was 97.5% for fiscal 2018, or 54% of fiscal year base salary.</w:t>
      </w:r>
    </w:p>
    <w:p>
      <w:pPr>
        <w:spacing w:after="0" w:line="75" w:lineRule="exact"/>
        <w:rPr>
          <w:sz w:val="20"/>
          <w:szCs w:val="20"/>
          <w:color w:val="auto"/>
        </w:rPr>
      </w:pPr>
    </w:p>
    <w:p>
      <w:pPr>
        <w:jc w:val="both"/>
        <w:ind w:right="520" w:firstLine="408"/>
        <w:spacing w:after="0" w:line="247" w:lineRule="auto"/>
        <w:rPr>
          <w:sz w:val="20"/>
          <w:szCs w:val="20"/>
          <w:color w:val="auto"/>
        </w:rPr>
      </w:pPr>
      <w:r>
        <w:rPr>
          <w:rFonts w:ascii="Arial" w:cs="Arial" w:eastAsia="Arial" w:hAnsi="Arial"/>
          <w:sz w:val="16"/>
          <w:szCs w:val="16"/>
          <w:color w:val="auto"/>
        </w:rPr>
        <w:t>In late fiscal 2018, Mr. Hamilton also gained responsibility for our irrigation businesses. Given the breadth of his responsibilities, and to encourage overall enterprise leadership and focus, the Committee determined that Mr. Hamilton’s fiscal 2019 annual cash incentive award will be based 100% on corporate results.</w:t>
      </w:r>
    </w:p>
    <w:p>
      <w:pPr>
        <w:spacing w:after="0" w:line="65" w:lineRule="exact"/>
        <w:rPr>
          <w:sz w:val="20"/>
          <w:szCs w:val="20"/>
          <w:color w:val="auto"/>
        </w:rPr>
      </w:pPr>
    </w:p>
    <w:p>
      <w:pPr>
        <w:ind w:right="40" w:firstLine="408"/>
        <w:spacing w:after="0" w:line="276" w:lineRule="auto"/>
        <w:rPr>
          <w:sz w:val="20"/>
          <w:szCs w:val="20"/>
          <w:color w:val="auto"/>
        </w:rPr>
      </w:pPr>
      <w:r>
        <w:rPr>
          <w:rFonts w:ascii="Arial" w:cs="Arial" w:eastAsia="Arial" w:hAnsi="Arial"/>
          <w:sz w:val="16"/>
          <w:szCs w:val="16"/>
          <w:i w:val="1"/>
          <w:iCs w:val="1"/>
          <w:color w:val="auto"/>
        </w:rPr>
        <w:t xml:space="preserve">Actual Cash Compensation Discussion and Analysis. </w:t>
      </w:r>
      <w:r>
        <w:rPr>
          <w:rFonts w:ascii="Arial" w:cs="Arial" w:eastAsia="Arial" w:hAnsi="Arial"/>
          <w:sz w:val="16"/>
          <w:szCs w:val="16"/>
          <w:color w:val="auto"/>
        </w:rPr>
        <w:t>Fiscal 2018 actual total cash compensation (which represents the sum of fiscal 2018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and fiscal 2018 actual total annual cash incentive award payout) and its position relative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is reflected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shd w:val="clear" w:color="auto" w:fill="BE0000"/>
          </w:tcPr>
          <w:p>
            <w:pPr>
              <w:spacing w:after="0"/>
              <w:rPr>
                <w:sz w:val="13"/>
                <w:szCs w:val="13"/>
                <w:color w:val="auto"/>
              </w:rPr>
            </w:pPr>
          </w:p>
        </w:tc>
        <w:tc>
          <w:tcPr>
            <w:tcW w:w="1280" w:type="dxa"/>
            <w:vAlign w:val="bottom"/>
            <w:shd w:val="clear" w:color="auto" w:fill="BE0000"/>
          </w:tcPr>
          <w:p>
            <w:pPr>
              <w:spacing w:after="0"/>
              <w:rPr>
                <w:sz w:val="13"/>
                <w:szCs w:val="13"/>
                <w:color w:val="auto"/>
              </w:rPr>
            </w:pPr>
          </w:p>
        </w:tc>
        <w:tc>
          <w:tcPr>
            <w:tcW w:w="1140" w:type="dxa"/>
            <w:vAlign w:val="bottom"/>
            <w:shd w:val="clear" w:color="auto" w:fill="BE0000"/>
          </w:tcPr>
          <w:p>
            <w:pPr>
              <w:jc w:val="center"/>
              <w:ind w:right="210"/>
              <w:spacing w:after="0"/>
              <w:rPr>
                <w:sz w:val="20"/>
                <w:szCs w:val="20"/>
                <w:color w:val="auto"/>
              </w:rPr>
            </w:pPr>
            <w:r>
              <w:rPr>
                <w:rFonts w:ascii="Arial" w:cs="Arial" w:eastAsia="Arial" w:hAnsi="Arial"/>
                <w:sz w:val="13"/>
                <w:szCs w:val="13"/>
                <w:b w:val="1"/>
                <w:bCs w:val="1"/>
                <w:color w:val="FFFFFF"/>
              </w:rPr>
              <w:t>Fiscal 2018</w:t>
            </w:r>
          </w:p>
        </w:tc>
        <w:tc>
          <w:tcPr>
            <w:tcW w:w="340" w:type="dxa"/>
            <w:vAlign w:val="bottom"/>
            <w:shd w:val="clear" w:color="auto" w:fill="BE0000"/>
          </w:tcPr>
          <w:p>
            <w:pPr>
              <w:spacing w:after="0"/>
              <w:rPr>
                <w:sz w:val="13"/>
                <w:szCs w:val="13"/>
                <w:color w:val="auto"/>
              </w:rPr>
            </w:pPr>
          </w:p>
        </w:tc>
        <w:tc>
          <w:tcPr>
            <w:tcW w:w="2100" w:type="dxa"/>
            <w:vAlign w:val="bottom"/>
            <w:shd w:val="clear" w:color="auto" w:fill="BE0000"/>
          </w:tcPr>
          <w:p>
            <w:pPr>
              <w:jc w:val="center"/>
              <w:ind w:right="290"/>
              <w:spacing w:after="0"/>
              <w:rPr>
                <w:sz w:val="20"/>
                <w:szCs w:val="20"/>
                <w:color w:val="auto"/>
              </w:rPr>
            </w:pPr>
            <w:r>
              <w:rPr>
                <w:rFonts w:ascii="Arial" w:cs="Arial" w:eastAsia="Arial" w:hAnsi="Arial"/>
                <w:sz w:val="13"/>
                <w:szCs w:val="13"/>
                <w:b w:val="1"/>
                <w:bCs w:val="1"/>
                <w:color w:val="FFFFFF"/>
              </w:rPr>
              <w:t>Fiscal 2018 Actual</w:t>
            </w:r>
          </w:p>
        </w:tc>
        <w:tc>
          <w:tcPr>
            <w:tcW w:w="300" w:type="dxa"/>
            <w:vAlign w:val="bottom"/>
            <w:shd w:val="clear" w:color="auto" w:fill="BE0000"/>
          </w:tcPr>
          <w:p>
            <w:pPr>
              <w:spacing w:after="0"/>
              <w:rPr>
                <w:sz w:val="13"/>
                <w:szCs w:val="13"/>
                <w:color w:val="auto"/>
              </w:rPr>
            </w:pPr>
          </w:p>
        </w:tc>
        <w:tc>
          <w:tcPr>
            <w:tcW w:w="1840" w:type="dxa"/>
            <w:vAlign w:val="bottom"/>
            <w:shd w:val="clear" w:color="auto" w:fill="BE0000"/>
          </w:tcPr>
          <w:p>
            <w:pPr>
              <w:jc w:val="center"/>
              <w:ind w:right="350"/>
              <w:spacing w:after="0"/>
              <w:rPr>
                <w:sz w:val="20"/>
                <w:szCs w:val="20"/>
                <w:color w:val="auto"/>
              </w:rPr>
            </w:pPr>
            <w:r>
              <w:rPr>
                <w:rFonts w:ascii="Arial" w:cs="Arial" w:eastAsia="Arial" w:hAnsi="Arial"/>
                <w:sz w:val="13"/>
                <w:szCs w:val="13"/>
                <w:b w:val="1"/>
                <w:bCs w:val="1"/>
                <w:color w:val="FFFFFF"/>
              </w:rPr>
              <w:t>Fiscal 2018</w:t>
            </w:r>
          </w:p>
        </w:tc>
        <w:tc>
          <w:tcPr>
            <w:tcW w:w="2440" w:type="dxa"/>
            <w:vAlign w:val="bottom"/>
            <w:shd w:val="clear" w:color="auto" w:fill="BE0000"/>
          </w:tcPr>
          <w:p>
            <w:pPr>
              <w:jc w:val="center"/>
              <w:ind w:right="31"/>
              <w:spacing w:after="0"/>
              <w:rPr>
                <w:sz w:val="20"/>
                <w:szCs w:val="20"/>
                <w:color w:val="auto"/>
              </w:rPr>
            </w:pPr>
            <w:r>
              <w:rPr>
                <w:rFonts w:ascii="Arial" w:cs="Arial" w:eastAsia="Arial" w:hAnsi="Arial"/>
                <w:sz w:val="13"/>
                <w:szCs w:val="13"/>
                <w:b w:val="1"/>
                <w:bCs w:val="1"/>
                <w:color w:val="FFFFFF"/>
                <w:w w:val="99"/>
              </w:rPr>
              <w:t>Fiscal 2018 Actual Total Cash</w:t>
            </w:r>
          </w:p>
        </w:tc>
      </w:tr>
      <w:tr>
        <w:trPr>
          <w:trHeight w:val="142"/>
        </w:trPr>
        <w:tc>
          <w:tcPr>
            <w:tcW w:w="1980" w:type="dxa"/>
            <w:vAlign w:val="bottom"/>
            <w:shd w:val="clear" w:color="auto" w:fill="BE0000"/>
          </w:tcPr>
          <w:p>
            <w:pPr>
              <w:spacing w:after="0"/>
              <w:rPr>
                <w:sz w:val="12"/>
                <w:szCs w:val="12"/>
                <w:color w:val="auto"/>
              </w:rPr>
            </w:pPr>
          </w:p>
        </w:tc>
        <w:tc>
          <w:tcPr>
            <w:tcW w:w="1280" w:type="dxa"/>
            <w:vAlign w:val="bottom"/>
            <w:shd w:val="clear" w:color="auto" w:fill="BE0000"/>
          </w:tcPr>
          <w:p>
            <w:pPr>
              <w:spacing w:after="0"/>
              <w:rPr>
                <w:sz w:val="12"/>
                <w:szCs w:val="12"/>
                <w:color w:val="auto"/>
              </w:rPr>
            </w:pPr>
          </w:p>
        </w:tc>
        <w:tc>
          <w:tcPr>
            <w:tcW w:w="1140" w:type="dxa"/>
            <w:vAlign w:val="bottom"/>
            <w:shd w:val="clear" w:color="auto" w:fill="BE0000"/>
          </w:tcPr>
          <w:p>
            <w:pPr>
              <w:jc w:val="center"/>
              <w:ind w:right="170"/>
              <w:spacing w:after="0" w:line="143" w:lineRule="exact"/>
              <w:rPr>
                <w:sz w:val="20"/>
                <w:szCs w:val="20"/>
                <w:color w:val="auto"/>
              </w:rPr>
            </w:pPr>
            <w:r>
              <w:rPr>
                <w:rFonts w:ascii="Arial" w:cs="Arial" w:eastAsia="Arial" w:hAnsi="Arial"/>
                <w:sz w:val="13"/>
                <w:szCs w:val="13"/>
                <w:b w:val="1"/>
                <w:bCs w:val="1"/>
                <w:color w:val="FFFFFF"/>
                <w:w w:val="96"/>
              </w:rPr>
              <w:t>Base</w:t>
            </w:r>
          </w:p>
        </w:tc>
        <w:tc>
          <w:tcPr>
            <w:tcW w:w="340" w:type="dxa"/>
            <w:vAlign w:val="bottom"/>
            <w:shd w:val="clear" w:color="auto" w:fill="BE0000"/>
          </w:tcPr>
          <w:p>
            <w:pPr>
              <w:spacing w:after="0"/>
              <w:rPr>
                <w:sz w:val="12"/>
                <w:szCs w:val="12"/>
                <w:color w:val="auto"/>
              </w:rPr>
            </w:pPr>
          </w:p>
        </w:tc>
        <w:tc>
          <w:tcPr>
            <w:tcW w:w="2100" w:type="dxa"/>
            <w:vAlign w:val="bottom"/>
            <w:shd w:val="clear" w:color="auto" w:fill="BE0000"/>
          </w:tcPr>
          <w:p>
            <w:pPr>
              <w:jc w:val="center"/>
              <w:ind w:right="290"/>
              <w:spacing w:after="0" w:line="143" w:lineRule="exact"/>
              <w:rPr>
                <w:sz w:val="20"/>
                <w:szCs w:val="20"/>
                <w:color w:val="auto"/>
              </w:rPr>
            </w:pPr>
            <w:r>
              <w:rPr>
                <w:rFonts w:ascii="Arial" w:cs="Arial" w:eastAsia="Arial" w:hAnsi="Arial"/>
                <w:sz w:val="13"/>
                <w:szCs w:val="13"/>
                <w:b w:val="1"/>
                <w:bCs w:val="1"/>
                <w:color w:val="FFFFFF"/>
                <w:w w:val="99"/>
              </w:rPr>
              <w:t>Total Annual Cash</w:t>
            </w:r>
          </w:p>
        </w:tc>
        <w:tc>
          <w:tcPr>
            <w:tcW w:w="300" w:type="dxa"/>
            <w:vAlign w:val="bottom"/>
            <w:shd w:val="clear" w:color="auto" w:fill="BE0000"/>
          </w:tcPr>
          <w:p>
            <w:pPr>
              <w:spacing w:after="0"/>
              <w:rPr>
                <w:sz w:val="12"/>
                <w:szCs w:val="12"/>
                <w:color w:val="auto"/>
              </w:rPr>
            </w:pPr>
          </w:p>
        </w:tc>
        <w:tc>
          <w:tcPr>
            <w:tcW w:w="1840" w:type="dxa"/>
            <w:vAlign w:val="bottom"/>
            <w:shd w:val="clear" w:color="auto" w:fill="BE0000"/>
          </w:tcPr>
          <w:p>
            <w:pPr>
              <w:jc w:val="center"/>
              <w:ind w:right="350"/>
              <w:spacing w:after="0" w:line="143" w:lineRule="exact"/>
              <w:rPr>
                <w:sz w:val="20"/>
                <w:szCs w:val="20"/>
                <w:color w:val="auto"/>
              </w:rPr>
            </w:pPr>
            <w:r>
              <w:rPr>
                <w:rFonts w:ascii="Arial" w:cs="Arial" w:eastAsia="Arial" w:hAnsi="Arial"/>
                <w:sz w:val="13"/>
                <w:szCs w:val="13"/>
                <w:b w:val="1"/>
                <w:bCs w:val="1"/>
                <w:color w:val="FFFFFF"/>
                <w:w w:val="99"/>
              </w:rPr>
              <w:t>Actual Total</w:t>
            </w:r>
          </w:p>
        </w:tc>
        <w:tc>
          <w:tcPr>
            <w:tcW w:w="2440" w:type="dxa"/>
            <w:vAlign w:val="bottom"/>
            <w:shd w:val="clear" w:color="auto" w:fill="BE0000"/>
          </w:tcPr>
          <w:p>
            <w:pPr>
              <w:jc w:val="center"/>
              <w:ind w:right="51"/>
              <w:spacing w:after="0" w:line="143" w:lineRule="exact"/>
              <w:rPr>
                <w:sz w:val="20"/>
                <w:szCs w:val="20"/>
                <w:color w:val="auto"/>
              </w:rPr>
            </w:pPr>
            <w:r>
              <w:rPr>
                <w:rFonts w:ascii="Arial" w:cs="Arial" w:eastAsia="Arial" w:hAnsi="Arial"/>
                <w:sz w:val="13"/>
                <w:szCs w:val="13"/>
                <w:b w:val="1"/>
                <w:bCs w:val="1"/>
                <w:color w:val="FFFFFF"/>
              </w:rPr>
              <w:t>Compensation Compared to</w:t>
            </w:r>
          </w:p>
        </w:tc>
      </w:tr>
      <w:tr>
        <w:trPr>
          <w:trHeight w:val="163"/>
        </w:trPr>
        <w:tc>
          <w:tcPr>
            <w:tcW w:w="198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Name</w:t>
            </w:r>
          </w:p>
        </w:tc>
        <w:tc>
          <w:tcPr>
            <w:tcW w:w="1280" w:type="dxa"/>
            <w:vAlign w:val="bottom"/>
            <w:shd w:val="clear" w:color="auto" w:fill="BE0000"/>
          </w:tcPr>
          <w:p>
            <w:pPr>
              <w:spacing w:after="0"/>
              <w:rPr>
                <w:sz w:val="14"/>
                <w:szCs w:val="14"/>
                <w:color w:val="auto"/>
              </w:rPr>
            </w:pPr>
          </w:p>
        </w:tc>
        <w:tc>
          <w:tcPr>
            <w:tcW w:w="1140" w:type="dxa"/>
            <w:vAlign w:val="bottom"/>
            <w:shd w:val="clear" w:color="auto" w:fill="BE0000"/>
          </w:tcPr>
          <w:p>
            <w:pPr>
              <w:jc w:val="center"/>
              <w:ind w:right="210"/>
              <w:spacing w:after="0"/>
              <w:rPr>
                <w:sz w:val="20"/>
                <w:szCs w:val="20"/>
                <w:color w:val="auto"/>
              </w:rPr>
            </w:pPr>
            <w:r>
              <w:rPr>
                <w:rFonts w:ascii="Arial" w:cs="Arial" w:eastAsia="Arial" w:hAnsi="Arial"/>
                <w:sz w:val="13"/>
                <w:szCs w:val="13"/>
                <w:b w:val="1"/>
                <w:bCs w:val="1"/>
                <w:color w:val="FFFFFF"/>
                <w:w w:val="97"/>
              </w:rPr>
              <w:t>Salary</w:t>
            </w:r>
          </w:p>
        </w:tc>
        <w:tc>
          <w:tcPr>
            <w:tcW w:w="340" w:type="dxa"/>
            <w:vAlign w:val="bottom"/>
            <w:shd w:val="clear" w:color="auto" w:fill="BE0000"/>
          </w:tcPr>
          <w:p>
            <w:pPr>
              <w:spacing w:after="0"/>
              <w:rPr>
                <w:sz w:val="14"/>
                <w:szCs w:val="14"/>
                <w:color w:val="auto"/>
              </w:rPr>
            </w:pPr>
          </w:p>
        </w:tc>
        <w:tc>
          <w:tcPr>
            <w:tcW w:w="2100" w:type="dxa"/>
            <w:vAlign w:val="bottom"/>
            <w:shd w:val="clear" w:color="auto" w:fill="BE0000"/>
          </w:tcPr>
          <w:p>
            <w:pPr>
              <w:jc w:val="center"/>
              <w:ind w:right="290"/>
              <w:spacing w:after="0"/>
              <w:rPr>
                <w:sz w:val="20"/>
                <w:szCs w:val="20"/>
                <w:color w:val="auto"/>
              </w:rPr>
            </w:pPr>
            <w:r>
              <w:rPr>
                <w:rFonts w:ascii="Arial" w:cs="Arial" w:eastAsia="Arial" w:hAnsi="Arial"/>
                <w:sz w:val="13"/>
                <w:szCs w:val="13"/>
                <w:b w:val="1"/>
                <w:bCs w:val="1"/>
                <w:color w:val="FFFFFF"/>
                <w:w w:val="99"/>
              </w:rPr>
              <w:t>Incentive Award Payout</w:t>
            </w:r>
          </w:p>
        </w:tc>
        <w:tc>
          <w:tcPr>
            <w:tcW w:w="300" w:type="dxa"/>
            <w:vAlign w:val="bottom"/>
            <w:shd w:val="clear" w:color="auto" w:fill="BE0000"/>
          </w:tcPr>
          <w:p>
            <w:pPr>
              <w:spacing w:after="0"/>
              <w:rPr>
                <w:sz w:val="14"/>
                <w:szCs w:val="14"/>
                <w:color w:val="auto"/>
              </w:rPr>
            </w:pPr>
          </w:p>
        </w:tc>
        <w:tc>
          <w:tcPr>
            <w:tcW w:w="1840" w:type="dxa"/>
            <w:vAlign w:val="bottom"/>
            <w:shd w:val="clear" w:color="auto" w:fill="BE0000"/>
          </w:tcPr>
          <w:p>
            <w:pPr>
              <w:jc w:val="center"/>
              <w:ind w:right="350"/>
              <w:spacing w:after="0"/>
              <w:rPr>
                <w:sz w:val="20"/>
                <w:szCs w:val="20"/>
                <w:color w:val="auto"/>
              </w:rPr>
            </w:pPr>
            <w:r>
              <w:rPr>
                <w:rFonts w:ascii="Arial" w:cs="Arial" w:eastAsia="Arial" w:hAnsi="Arial"/>
                <w:sz w:val="13"/>
                <w:szCs w:val="13"/>
                <w:b w:val="1"/>
                <w:bCs w:val="1"/>
                <w:color w:val="FFFFFF"/>
              </w:rPr>
              <w:t>Cash Compensation</w:t>
            </w:r>
          </w:p>
        </w:tc>
        <w:tc>
          <w:tcPr>
            <w:tcW w:w="2440" w:type="dxa"/>
            <w:vAlign w:val="bottom"/>
            <w:shd w:val="clear" w:color="auto" w:fill="BE0000"/>
          </w:tcPr>
          <w:p>
            <w:pPr>
              <w:jc w:val="center"/>
              <w:ind w:right="51"/>
              <w:spacing w:after="0" w:line="164" w:lineRule="exact"/>
              <w:rPr>
                <w:sz w:val="20"/>
                <w:szCs w:val="20"/>
                <w:color w:val="auto"/>
              </w:rPr>
            </w:pPr>
            <w:r>
              <w:rPr>
                <w:rFonts w:ascii="Arial" w:cs="Arial" w:eastAsia="Arial" w:hAnsi="Arial"/>
                <w:sz w:val="11"/>
                <w:szCs w:val="11"/>
                <w:b w:val="1"/>
                <w:bCs w:val="1"/>
                <w:color w:val="FFFFFF"/>
              </w:rPr>
              <w:t>Market 50</w:t>
            </w:r>
            <w:r>
              <w:rPr>
                <w:rFonts w:ascii="Arial" w:cs="Arial" w:eastAsia="Arial" w:hAnsi="Arial"/>
                <w:sz w:val="18"/>
                <w:szCs w:val="18"/>
                <w:b w:val="1"/>
                <w:bCs w:val="1"/>
                <w:color w:val="FFFFFF"/>
                <w:vertAlign w:val="superscript"/>
              </w:rPr>
              <w:t>th</w:t>
            </w:r>
            <w:r>
              <w:rPr>
                <w:rFonts w:ascii="Arial" w:cs="Arial" w:eastAsia="Arial" w:hAnsi="Arial"/>
                <w:sz w:val="11"/>
                <w:szCs w:val="11"/>
                <w:b w:val="1"/>
                <w:bCs w:val="1"/>
                <w:color w:val="FFFFFF"/>
              </w:rPr>
              <w:t xml:space="preserve"> Percentile</w:t>
            </w:r>
          </w:p>
        </w:tc>
      </w:tr>
      <w:tr>
        <w:trPr>
          <w:trHeight w:val="184"/>
        </w:trPr>
        <w:tc>
          <w:tcPr>
            <w:tcW w:w="1980" w:type="dxa"/>
            <w:vAlign w:val="bottom"/>
          </w:tcPr>
          <w:p>
            <w:pPr>
              <w:spacing w:after="0"/>
              <w:rPr>
                <w:sz w:val="20"/>
                <w:szCs w:val="20"/>
                <w:color w:val="auto"/>
              </w:rPr>
            </w:pPr>
            <w:r>
              <w:rPr>
                <w:rFonts w:ascii="Arial" w:cs="Arial" w:eastAsia="Arial" w:hAnsi="Arial"/>
                <w:sz w:val="15"/>
                <w:szCs w:val="15"/>
                <w:color w:val="auto"/>
              </w:rPr>
              <w:t>Mr. Olson</w:t>
            </w: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875,000</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100" w:type="dxa"/>
            <w:vAlign w:val="bottom"/>
          </w:tcPr>
          <w:p>
            <w:pPr>
              <w:jc w:val="right"/>
              <w:ind w:right="50"/>
              <w:spacing w:after="0"/>
              <w:rPr>
                <w:sz w:val="20"/>
                <w:szCs w:val="20"/>
                <w:color w:val="auto"/>
              </w:rPr>
            </w:pPr>
            <w:r>
              <w:rPr>
                <w:rFonts w:ascii="Arial" w:cs="Arial" w:eastAsia="Arial" w:hAnsi="Arial"/>
                <w:sz w:val="15"/>
                <w:szCs w:val="15"/>
                <w:color w:val="auto"/>
              </w:rPr>
              <w:t>918,803</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40" w:type="dxa"/>
            <w:vAlign w:val="bottom"/>
          </w:tcPr>
          <w:p>
            <w:pPr>
              <w:jc w:val="right"/>
              <w:ind w:right="190"/>
              <w:spacing w:after="0"/>
              <w:rPr>
                <w:sz w:val="20"/>
                <w:szCs w:val="20"/>
                <w:color w:val="auto"/>
              </w:rPr>
            </w:pPr>
            <w:r>
              <w:rPr>
                <w:rFonts w:ascii="Arial" w:cs="Arial" w:eastAsia="Arial" w:hAnsi="Arial"/>
                <w:sz w:val="15"/>
                <w:szCs w:val="15"/>
                <w:color w:val="auto"/>
              </w:rPr>
              <w:t>1,793,803</w:t>
            </w:r>
          </w:p>
        </w:tc>
        <w:tc>
          <w:tcPr>
            <w:tcW w:w="2440" w:type="dxa"/>
            <w:vAlign w:val="bottom"/>
          </w:tcPr>
          <w:p>
            <w:pPr>
              <w:jc w:val="right"/>
              <w:spacing w:after="0"/>
              <w:rPr>
                <w:sz w:val="20"/>
                <w:szCs w:val="20"/>
                <w:color w:val="auto"/>
              </w:rPr>
            </w:pPr>
            <w:r>
              <w:rPr>
                <w:rFonts w:ascii="Arial" w:cs="Arial" w:eastAsia="Arial" w:hAnsi="Arial"/>
                <w:sz w:val="15"/>
                <w:szCs w:val="15"/>
                <w:color w:val="auto"/>
              </w:rPr>
              <w:t>12% below</w:t>
            </w:r>
          </w:p>
        </w:tc>
      </w:tr>
      <w:tr>
        <w:trPr>
          <w:trHeight w:val="184"/>
        </w:trPr>
        <w:tc>
          <w:tcPr>
            <w:tcW w:w="198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128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9D9D9"/>
          </w:tcPr>
          <w:p>
            <w:pPr>
              <w:jc w:val="right"/>
              <w:ind w:right="30"/>
              <w:spacing w:after="0"/>
              <w:rPr>
                <w:sz w:val="20"/>
                <w:szCs w:val="20"/>
                <w:color w:val="auto"/>
              </w:rPr>
            </w:pPr>
            <w:r>
              <w:rPr>
                <w:rFonts w:ascii="Arial" w:cs="Arial" w:eastAsia="Arial" w:hAnsi="Arial"/>
                <w:sz w:val="15"/>
                <w:szCs w:val="15"/>
                <w:color w:val="auto"/>
              </w:rPr>
              <w:t>520,000</w:t>
            </w:r>
          </w:p>
        </w:tc>
        <w:tc>
          <w:tcPr>
            <w:tcW w:w="340" w:type="dxa"/>
            <w:vAlign w:val="bottom"/>
            <w:shd w:val="clear" w:color="auto" w:fill="D9D9D9"/>
          </w:tcPr>
          <w:p>
            <w:pPr>
              <w:jc w:val="right"/>
              <w:ind w:right="86"/>
              <w:spacing w:after="0"/>
              <w:rPr>
                <w:sz w:val="20"/>
                <w:szCs w:val="20"/>
                <w:color w:val="auto"/>
              </w:rPr>
            </w:pPr>
            <w:r>
              <w:rPr>
                <w:rFonts w:ascii="Arial" w:cs="Arial" w:eastAsia="Arial" w:hAnsi="Arial"/>
                <w:sz w:val="15"/>
                <w:szCs w:val="15"/>
                <w:color w:val="auto"/>
              </w:rPr>
              <w:t>$</w:t>
            </w:r>
          </w:p>
        </w:tc>
        <w:tc>
          <w:tcPr>
            <w:tcW w:w="2100" w:type="dxa"/>
            <w:vAlign w:val="bottom"/>
            <w:shd w:val="clear" w:color="auto" w:fill="D9D9D9"/>
          </w:tcPr>
          <w:p>
            <w:pPr>
              <w:jc w:val="right"/>
              <w:ind w:right="50"/>
              <w:spacing w:after="0"/>
              <w:rPr>
                <w:sz w:val="20"/>
                <w:szCs w:val="20"/>
                <w:color w:val="auto"/>
              </w:rPr>
            </w:pPr>
            <w:r>
              <w:rPr>
                <w:rFonts w:ascii="Arial" w:cs="Arial" w:eastAsia="Arial" w:hAnsi="Arial"/>
                <w:sz w:val="15"/>
                <w:szCs w:val="15"/>
                <w:color w:val="auto"/>
              </w:rPr>
              <w:t>372,294</w:t>
            </w:r>
          </w:p>
        </w:tc>
        <w:tc>
          <w:tcPr>
            <w:tcW w:w="30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840" w:type="dxa"/>
            <w:vAlign w:val="bottom"/>
            <w:shd w:val="clear" w:color="auto" w:fill="D9D9D9"/>
          </w:tcPr>
          <w:p>
            <w:pPr>
              <w:jc w:val="right"/>
              <w:ind w:right="190"/>
              <w:spacing w:after="0"/>
              <w:rPr>
                <w:sz w:val="20"/>
                <w:szCs w:val="20"/>
                <w:color w:val="auto"/>
              </w:rPr>
            </w:pPr>
            <w:r>
              <w:rPr>
                <w:rFonts w:ascii="Arial" w:cs="Arial" w:eastAsia="Arial" w:hAnsi="Arial"/>
                <w:sz w:val="15"/>
                <w:szCs w:val="15"/>
                <w:color w:val="auto"/>
              </w:rPr>
              <w:t>892,294</w:t>
            </w:r>
          </w:p>
        </w:tc>
        <w:tc>
          <w:tcPr>
            <w:tcW w:w="24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At market</w:t>
            </w:r>
          </w:p>
        </w:tc>
      </w:tr>
      <w:tr>
        <w:trPr>
          <w:trHeight w:val="184"/>
        </w:trPr>
        <w:tc>
          <w:tcPr>
            <w:tcW w:w="1980" w:type="dxa"/>
            <w:vAlign w:val="bottom"/>
          </w:tcPr>
          <w:p>
            <w:pPr>
              <w:spacing w:after="0"/>
              <w:rPr>
                <w:sz w:val="20"/>
                <w:szCs w:val="20"/>
                <w:color w:val="auto"/>
              </w:rPr>
            </w:pPr>
            <w:r>
              <w:rPr>
                <w:rFonts w:ascii="Arial" w:cs="Arial" w:eastAsia="Arial" w:hAnsi="Arial"/>
                <w:sz w:val="15"/>
                <w:szCs w:val="15"/>
                <w:color w:val="auto"/>
              </w:rPr>
              <w:t>Mr. Brown</w:t>
            </w: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445,000</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100" w:type="dxa"/>
            <w:vAlign w:val="bottom"/>
          </w:tcPr>
          <w:p>
            <w:pPr>
              <w:jc w:val="right"/>
              <w:ind w:right="50"/>
              <w:spacing w:after="0"/>
              <w:rPr>
                <w:sz w:val="20"/>
                <w:szCs w:val="20"/>
                <w:color w:val="auto"/>
              </w:rPr>
            </w:pPr>
            <w:r>
              <w:rPr>
                <w:rFonts w:ascii="Arial" w:cs="Arial" w:eastAsia="Arial" w:hAnsi="Arial"/>
                <w:sz w:val="15"/>
                <w:szCs w:val="15"/>
                <w:color w:val="auto"/>
              </w:rPr>
              <w:t>276,118</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40" w:type="dxa"/>
            <w:vAlign w:val="bottom"/>
          </w:tcPr>
          <w:p>
            <w:pPr>
              <w:jc w:val="right"/>
              <w:ind w:right="190"/>
              <w:spacing w:after="0"/>
              <w:rPr>
                <w:sz w:val="20"/>
                <w:szCs w:val="20"/>
                <w:color w:val="auto"/>
              </w:rPr>
            </w:pPr>
            <w:r>
              <w:rPr>
                <w:rFonts w:ascii="Arial" w:cs="Arial" w:eastAsia="Arial" w:hAnsi="Arial"/>
                <w:sz w:val="15"/>
                <w:szCs w:val="15"/>
                <w:color w:val="auto"/>
              </w:rPr>
              <w:t>721,118</w:t>
            </w:r>
          </w:p>
        </w:tc>
        <w:tc>
          <w:tcPr>
            <w:tcW w:w="2440" w:type="dxa"/>
            <w:vAlign w:val="bottom"/>
          </w:tcPr>
          <w:p>
            <w:pPr>
              <w:jc w:val="right"/>
              <w:spacing w:after="0"/>
              <w:rPr>
                <w:sz w:val="20"/>
                <w:szCs w:val="20"/>
                <w:color w:val="auto"/>
              </w:rPr>
            </w:pPr>
            <w:r>
              <w:rPr>
                <w:rFonts w:ascii="Arial" w:cs="Arial" w:eastAsia="Arial" w:hAnsi="Arial"/>
                <w:sz w:val="15"/>
                <w:szCs w:val="15"/>
                <w:color w:val="auto"/>
              </w:rPr>
              <w:t>11% below</w:t>
            </w:r>
          </w:p>
        </w:tc>
      </w:tr>
      <w:tr>
        <w:trPr>
          <w:trHeight w:val="184"/>
        </w:trPr>
        <w:tc>
          <w:tcPr>
            <w:tcW w:w="1980" w:type="dxa"/>
            <w:vAlign w:val="bottom"/>
            <w:shd w:val="clear" w:color="auto" w:fill="D9D9D9"/>
          </w:tcPr>
          <w:p>
            <w:pPr>
              <w:spacing w:after="0"/>
              <w:rPr>
                <w:sz w:val="20"/>
                <w:szCs w:val="20"/>
                <w:color w:val="auto"/>
              </w:rPr>
            </w:pPr>
            <w:r>
              <w:rPr>
                <w:rFonts w:ascii="Arial" w:cs="Arial" w:eastAsia="Arial" w:hAnsi="Arial"/>
                <w:sz w:val="15"/>
                <w:szCs w:val="15"/>
                <w:color w:val="auto"/>
              </w:rPr>
              <w:t>Mr. Dordell</w:t>
            </w:r>
          </w:p>
        </w:tc>
        <w:tc>
          <w:tcPr>
            <w:tcW w:w="128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9D9D9"/>
          </w:tcPr>
          <w:p>
            <w:pPr>
              <w:jc w:val="right"/>
              <w:ind w:right="30"/>
              <w:spacing w:after="0"/>
              <w:rPr>
                <w:sz w:val="20"/>
                <w:szCs w:val="20"/>
                <w:color w:val="auto"/>
              </w:rPr>
            </w:pPr>
            <w:r>
              <w:rPr>
                <w:rFonts w:ascii="Arial" w:cs="Arial" w:eastAsia="Arial" w:hAnsi="Arial"/>
                <w:sz w:val="15"/>
                <w:szCs w:val="15"/>
                <w:color w:val="auto"/>
              </w:rPr>
              <w:t>438,000</w:t>
            </w:r>
          </w:p>
        </w:tc>
        <w:tc>
          <w:tcPr>
            <w:tcW w:w="340" w:type="dxa"/>
            <w:vAlign w:val="bottom"/>
            <w:shd w:val="clear" w:color="auto" w:fill="D9D9D9"/>
          </w:tcPr>
          <w:p>
            <w:pPr>
              <w:jc w:val="right"/>
              <w:ind w:right="86"/>
              <w:spacing w:after="0"/>
              <w:rPr>
                <w:sz w:val="20"/>
                <w:szCs w:val="20"/>
                <w:color w:val="auto"/>
              </w:rPr>
            </w:pPr>
            <w:r>
              <w:rPr>
                <w:rFonts w:ascii="Arial" w:cs="Arial" w:eastAsia="Arial" w:hAnsi="Arial"/>
                <w:sz w:val="15"/>
                <w:szCs w:val="15"/>
                <w:color w:val="auto"/>
              </w:rPr>
              <w:t>$</w:t>
            </w:r>
          </w:p>
        </w:tc>
        <w:tc>
          <w:tcPr>
            <w:tcW w:w="2100" w:type="dxa"/>
            <w:vAlign w:val="bottom"/>
            <w:shd w:val="clear" w:color="auto" w:fill="D9D9D9"/>
          </w:tcPr>
          <w:p>
            <w:pPr>
              <w:jc w:val="right"/>
              <w:ind w:right="50"/>
              <w:spacing w:after="0"/>
              <w:rPr>
                <w:sz w:val="20"/>
                <w:szCs w:val="20"/>
                <w:color w:val="auto"/>
              </w:rPr>
            </w:pPr>
            <w:r>
              <w:rPr>
                <w:rFonts w:ascii="Arial" w:cs="Arial" w:eastAsia="Arial" w:hAnsi="Arial"/>
                <w:sz w:val="15"/>
                <w:szCs w:val="15"/>
                <w:color w:val="auto"/>
              </w:rPr>
              <w:t>250,869</w:t>
            </w:r>
          </w:p>
        </w:tc>
        <w:tc>
          <w:tcPr>
            <w:tcW w:w="30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840" w:type="dxa"/>
            <w:vAlign w:val="bottom"/>
            <w:shd w:val="clear" w:color="auto" w:fill="D9D9D9"/>
          </w:tcPr>
          <w:p>
            <w:pPr>
              <w:jc w:val="right"/>
              <w:ind w:right="190"/>
              <w:spacing w:after="0"/>
              <w:rPr>
                <w:sz w:val="20"/>
                <w:szCs w:val="20"/>
                <w:color w:val="auto"/>
              </w:rPr>
            </w:pPr>
            <w:r>
              <w:rPr>
                <w:rFonts w:ascii="Arial" w:cs="Arial" w:eastAsia="Arial" w:hAnsi="Arial"/>
                <w:sz w:val="15"/>
                <w:szCs w:val="15"/>
                <w:color w:val="auto"/>
              </w:rPr>
              <w:t>688,869</w:t>
            </w:r>
          </w:p>
        </w:tc>
        <w:tc>
          <w:tcPr>
            <w:tcW w:w="24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 below</w:t>
            </w:r>
          </w:p>
        </w:tc>
      </w:tr>
      <w:tr>
        <w:trPr>
          <w:trHeight w:val="191"/>
        </w:trPr>
        <w:tc>
          <w:tcPr>
            <w:tcW w:w="1980" w:type="dxa"/>
            <w:vAlign w:val="bottom"/>
          </w:tcPr>
          <w:p>
            <w:pPr>
              <w:spacing w:after="0"/>
              <w:rPr>
                <w:sz w:val="20"/>
                <w:szCs w:val="20"/>
                <w:color w:val="auto"/>
              </w:rPr>
            </w:pPr>
            <w:r>
              <w:rPr>
                <w:rFonts w:ascii="Arial" w:cs="Arial" w:eastAsia="Arial" w:hAnsi="Arial"/>
                <w:sz w:val="15"/>
                <w:szCs w:val="15"/>
                <w:color w:val="auto"/>
              </w:rPr>
              <w:t>Mr. Hamilton</w:t>
            </w: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350,000</w:t>
            </w:r>
          </w:p>
        </w:tc>
        <w:tc>
          <w:tcPr>
            <w:tcW w:w="3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100" w:type="dxa"/>
            <w:vAlign w:val="bottom"/>
          </w:tcPr>
          <w:p>
            <w:pPr>
              <w:jc w:val="right"/>
              <w:ind w:right="50"/>
              <w:spacing w:after="0"/>
              <w:rPr>
                <w:sz w:val="20"/>
                <w:szCs w:val="20"/>
                <w:color w:val="auto"/>
              </w:rPr>
            </w:pPr>
            <w:r>
              <w:rPr>
                <w:rFonts w:ascii="Arial" w:cs="Arial" w:eastAsia="Arial" w:hAnsi="Arial"/>
                <w:sz w:val="15"/>
                <w:szCs w:val="15"/>
                <w:color w:val="auto"/>
              </w:rPr>
              <w:t>187,721</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40" w:type="dxa"/>
            <w:vAlign w:val="bottom"/>
          </w:tcPr>
          <w:p>
            <w:pPr>
              <w:jc w:val="right"/>
              <w:ind w:right="190"/>
              <w:spacing w:after="0"/>
              <w:rPr>
                <w:sz w:val="20"/>
                <w:szCs w:val="20"/>
                <w:color w:val="auto"/>
              </w:rPr>
            </w:pPr>
            <w:r>
              <w:rPr>
                <w:rFonts w:ascii="Arial" w:cs="Arial" w:eastAsia="Arial" w:hAnsi="Arial"/>
                <w:sz w:val="15"/>
                <w:szCs w:val="15"/>
                <w:color w:val="auto"/>
              </w:rPr>
              <w:t>537,721</w:t>
            </w:r>
          </w:p>
        </w:tc>
        <w:tc>
          <w:tcPr>
            <w:tcW w:w="2440" w:type="dxa"/>
            <w:vAlign w:val="bottom"/>
          </w:tcPr>
          <w:p>
            <w:pPr>
              <w:jc w:val="right"/>
              <w:spacing w:after="0"/>
              <w:rPr>
                <w:sz w:val="20"/>
                <w:szCs w:val="20"/>
                <w:color w:val="auto"/>
              </w:rPr>
            </w:pPr>
            <w:r>
              <w:rPr>
                <w:rFonts w:ascii="Arial" w:cs="Arial" w:eastAsia="Arial" w:hAnsi="Arial"/>
                <w:sz w:val="15"/>
                <w:szCs w:val="15"/>
                <w:color w:val="auto"/>
              </w:rPr>
              <w:t>27% below</w:t>
            </w:r>
          </w:p>
        </w:tc>
      </w:tr>
    </w:tbl>
    <w:p>
      <w:pPr>
        <w:spacing w:after="0" w:line="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p>
    <w:p>
      <w:pPr>
        <w:spacing w:after="0" w:line="102" w:lineRule="exact"/>
        <w:rPr>
          <w:sz w:val="20"/>
          <w:szCs w:val="20"/>
          <w:color w:val="auto"/>
        </w:rPr>
      </w:pPr>
    </w:p>
    <w:p>
      <w:pPr>
        <w:ind w:firstLine="408"/>
        <w:spacing w:after="0" w:line="24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believe that our use of long-term incentives tied to our common stock, along with our stock ownership guidelines, help align the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executive officers with the interest of our shareholders. Therefore, we provide the opportunity for our executive officers to earn market competitive long-term incentives in the form of both stock options and performance share awards that are granted annually. With respect to annual grants of long-term incentive awards, in addition to considering market data, we also consider for each executive officer the scope and complexity of the position, experience, tenure, internal pay comparisons, function, division, and individual performance and historical targeted grant levels.</w:t>
      </w:r>
    </w:p>
    <w:p>
      <w:pPr>
        <w:spacing w:after="0" w:line="82" w:lineRule="exact"/>
        <w:rPr>
          <w:sz w:val="20"/>
          <w:szCs w:val="20"/>
          <w:color w:val="auto"/>
        </w:rPr>
      </w:pPr>
    </w:p>
    <w:p>
      <w:pPr>
        <w:ind w:right="20" w:firstLine="408"/>
        <w:spacing w:after="0" w:line="242" w:lineRule="auto"/>
        <w:rPr>
          <w:sz w:val="20"/>
          <w:szCs w:val="20"/>
          <w:color w:val="auto"/>
        </w:rPr>
      </w:pPr>
      <w:r>
        <w:rPr>
          <w:rFonts w:ascii="Arial" w:cs="Arial" w:eastAsia="Arial" w:hAnsi="Arial"/>
          <w:sz w:val="16"/>
          <w:szCs w:val="16"/>
          <w:color w:val="auto"/>
        </w:rPr>
        <w:t>Generally, one-half of the long-term incentive value is delivered in the form of stock options and one-half is delivered in the form of performance share awards. We believe this mix of equity strikes the appropriate balance between rewarding increases in the market value of our common stock and achievement of company specific performance measures. Actual value realized from our long-term incentive awards may vary from the market 50</w:t>
      </w:r>
      <w:r>
        <w:rPr>
          <w:rFonts w:ascii="Arial" w:cs="Arial" w:eastAsia="Arial" w:hAnsi="Arial"/>
          <w:sz w:val="13"/>
          <w:szCs w:val="13"/>
          <w:color w:val="auto"/>
        </w:rPr>
        <w:t>th</w:t>
      </w:r>
      <w:r>
        <w:rPr>
          <w:rFonts w:ascii="Arial" w:cs="Arial" w:eastAsia="Arial" w:hAnsi="Arial"/>
          <w:sz w:val="16"/>
          <w:szCs w:val="16"/>
          <w:color w:val="auto"/>
        </w:rPr>
        <w:t xml:space="preserve"> percentile based on the price of our common stock for stock options and performance against our three-year cumulative financial business plan in the year of the grant for performance share awards. In addition to stock options and performance share awards, we occasionally use awards of restricted stock units in connection with the hiring of new executive officers, mid-year promotions of existing executive officers, leadership transition or retention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81" w:lineRule="exact"/>
        <w:rPr>
          <w:sz w:val="20"/>
          <w:szCs w:val="20"/>
          <w:color w:val="auto"/>
        </w:rPr>
      </w:pPr>
    </w:p>
    <w:p>
      <w:pPr>
        <w:ind w:right="60" w:firstLine="408"/>
        <w:spacing w:after="0" w:line="245"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Each year at its regular meeting held in November or December, the Compensation &amp; Human Resources Committee approves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grant of stock options to our executive officers. If we deliver strong shareholder returns, our stock price presumably will increase, thereby increasing the value of the stock options and executives’ resulting total compensation. If shareholder value is not delivered and our stock price does not increase, the options will have no value. Annual stock options are generally granted on the date of the Committee’s meeting or, if such meeting is held before the issuance of our press release announcing our financial results for the recently completed fiscal year, on the second business day following the issuance of the press release, with the day of such press release being the first day, and have a per share exercise price equal to the closing price of our common stock, as reported on the NYSE, on the date of grant.</w:t>
      </w:r>
    </w:p>
    <w:p>
      <w:pPr>
        <w:spacing w:after="0" w:line="86" w:lineRule="exact"/>
        <w:rPr>
          <w:sz w:val="20"/>
          <w:szCs w:val="20"/>
          <w:color w:val="auto"/>
        </w:rPr>
      </w:pPr>
    </w:p>
    <w:p>
      <w:pPr>
        <w:ind w:right="60" w:firstLine="408"/>
        <w:spacing w:after="0" w:line="244" w:lineRule="auto"/>
        <w:rPr>
          <w:sz w:val="20"/>
          <w:szCs w:val="20"/>
          <w:color w:val="auto"/>
        </w:rPr>
      </w:pPr>
      <w:r>
        <w:rPr>
          <w:rFonts w:ascii="Arial" w:cs="Arial" w:eastAsia="Arial" w:hAnsi="Arial"/>
          <w:sz w:val="16"/>
          <w:szCs w:val="16"/>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85" w:lineRule="exact"/>
        <w:rPr>
          <w:sz w:val="20"/>
          <w:szCs w:val="20"/>
          <w:color w:val="auto"/>
        </w:rPr>
      </w:pPr>
    </w:p>
    <w:p>
      <w:pPr>
        <w:ind w:right="20" w:firstLine="408"/>
        <w:spacing w:after="0" w:line="243" w:lineRule="auto"/>
        <w:rPr>
          <w:sz w:val="20"/>
          <w:szCs w:val="20"/>
          <w:color w:val="auto"/>
        </w:rPr>
      </w:pPr>
      <w:r>
        <w:rPr>
          <w:rFonts w:ascii="Arial" w:cs="Arial" w:eastAsia="Arial" w:hAnsi="Arial"/>
          <w:sz w:val="16"/>
          <w:szCs w:val="16"/>
          <w:color w:val="auto"/>
        </w:rPr>
        <w:t>Stock options granted to our executive officers on an annual basis vest in three equal installments on each of the first, second and third year anniversaries of the date of grant and are exercisable for a period of ten years following the date of grant.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long-term performance. The Compensation &amp; Human Resources Committee periodically reviews option vesting schedules and terms.</w:t>
      </w:r>
    </w:p>
    <w:p>
      <w:pPr>
        <w:spacing w:after="0" w:line="70" w:lineRule="exact"/>
        <w:rPr>
          <w:sz w:val="20"/>
          <w:szCs w:val="20"/>
          <w:color w:val="auto"/>
        </w:rPr>
      </w:pPr>
    </w:p>
    <w:p>
      <w:pPr>
        <w:ind w:right="300" w:firstLine="408"/>
        <w:spacing w:after="0" w:line="251" w:lineRule="auto"/>
        <w:rPr>
          <w:sz w:val="20"/>
          <w:szCs w:val="20"/>
          <w:color w:val="auto"/>
        </w:rPr>
      </w:pPr>
      <w:r>
        <w:rPr>
          <w:rFonts w:ascii="Arial" w:cs="Arial" w:eastAsia="Arial" w:hAnsi="Arial"/>
          <w:sz w:val="16"/>
          <w:szCs w:val="16"/>
          <w:i w:val="1"/>
          <w:iCs w:val="1"/>
          <w:color w:val="auto"/>
        </w:rPr>
        <w:t xml:space="preserve">Performance Share Awards. </w:t>
      </w:r>
      <w:r>
        <w:rPr>
          <w:rFonts w:ascii="Arial" w:cs="Arial" w:eastAsia="Arial" w:hAnsi="Arial"/>
          <w:sz w:val="16"/>
          <w:szCs w:val="16"/>
          <w:color w:val="auto"/>
        </w:rPr>
        <w:t>Each year at its regular meeting held in November or December, the Compensation &amp; Human Resources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approves the annual grant of performance share awards to our executive officers. Performance share awards are paid out in shares of our common stock following completion of a three-year performance period if certain performance goals are achieved. Performance goals are derived from performance measures included in our Amended and Restated 2010 Plan.</w:t>
      </w:r>
    </w:p>
    <w:p>
      <w:pPr>
        <w:spacing w:after="0" w:line="80" w:lineRule="exact"/>
        <w:rPr>
          <w:sz w:val="20"/>
          <w:szCs w:val="20"/>
          <w:color w:val="auto"/>
        </w:rPr>
      </w:pPr>
    </w:p>
    <w:p>
      <w:pPr>
        <w:ind w:right="80" w:firstLine="408"/>
        <w:spacing w:after="0" w:line="244" w:lineRule="auto"/>
        <w:rPr>
          <w:sz w:val="20"/>
          <w:szCs w:val="20"/>
          <w:color w:val="auto"/>
        </w:rPr>
      </w:pPr>
      <w:r>
        <w:rPr>
          <w:rFonts w:ascii="Arial" w:cs="Arial" w:eastAsia="Arial" w:hAnsi="Arial"/>
          <w:sz w:val="16"/>
          <w:szCs w:val="16"/>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85"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Factors we consider when establishing the performance goals for the three-year period include our prior fiscal year financial business results and long-term strategic plan outlook, our competitive situation and anticipated state of our business, and any anticipated business opportunities.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certifies, performance against the performance goals, including the applicability of any performance adjustment events, and a corresponding payout, which is expressed as a percent of target. Shares of our common stock are paid out to the executive officers in December and are contingent on the issuance of our press release announcing our financial results for the recently completed fiscal year. Actual payouts for performance share awards can range from 0% (if the threshold levels of performance are not met) to 200% of the target award (if maximum levels of performance are met).</w:t>
      </w:r>
    </w:p>
    <w:p>
      <w:pPr>
        <w:spacing w:after="0" w:line="72" w:lineRule="exact"/>
        <w:rPr>
          <w:sz w:val="20"/>
          <w:szCs w:val="20"/>
          <w:color w:val="auto"/>
        </w:rPr>
      </w:pPr>
    </w:p>
    <w:p>
      <w:pPr>
        <w:ind w:firstLine="408"/>
        <w:spacing w:after="0" w:line="25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Occasionally, the Committee will approve awards of restricted stock units for use in certain situations, including hiring of</w:t>
      </w:r>
      <w:r>
        <w:rPr>
          <w:rFonts w:ascii="Arial" w:cs="Arial" w:eastAsia="Arial" w:hAnsi="Arial"/>
          <w:sz w:val="16"/>
          <w:szCs w:val="16"/>
          <w:i w:val="1"/>
          <w:iCs w:val="1"/>
          <w:color w:val="auto"/>
        </w:rPr>
        <w:t xml:space="preserve"> </w:t>
      </w:r>
      <w:r>
        <w:rPr>
          <w:rFonts w:ascii="Arial" w:cs="Arial" w:eastAsia="Arial" w:hAnsi="Arial"/>
          <w:sz w:val="16"/>
          <w:szCs w:val="16"/>
          <w:color w:val="auto"/>
        </w:rPr>
        <w:t>new executive officers, mid-year promotions of existing executive officers, leadership transition or retention purposes. Vesting may be either performance-based or time-based. Performance-based awards are derived from one or more of the performance measures included in our Amended and Restated 2010 Plan. Under our Amended and Restated 2010 Plan, restricted stock units with time-based vesting can vest no more rapidly than ratably over three years.</w:t>
      </w:r>
    </w:p>
    <w:p>
      <w:pPr>
        <w:spacing w:after="0" w:line="64" w:lineRule="exact"/>
        <w:rPr>
          <w:sz w:val="20"/>
          <w:szCs w:val="20"/>
          <w:color w:val="auto"/>
        </w:rPr>
      </w:pPr>
    </w:p>
    <w:p>
      <w:pPr>
        <w:ind w:right="80" w:firstLine="408"/>
        <w:spacing w:after="0" w:line="257" w:lineRule="auto"/>
        <w:rPr>
          <w:sz w:val="20"/>
          <w:szCs w:val="20"/>
          <w:color w:val="auto"/>
        </w:rPr>
      </w:pPr>
      <w:r>
        <w:rPr>
          <w:rFonts w:ascii="Arial" w:cs="Arial" w:eastAsia="Arial" w:hAnsi="Arial"/>
          <w:sz w:val="16"/>
          <w:szCs w:val="16"/>
          <w:i w:val="1"/>
          <w:iCs w:val="1"/>
          <w:color w:val="auto"/>
        </w:rPr>
        <w:t>Fiscal 2018 Grants</w:t>
      </w:r>
      <w:r>
        <w:rPr>
          <w:rFonts w:ascii="Arial" w:cs="Arial" w:eastAsia="Arial" w:hAnsi="Arial"/>
          <w:sz w:val="16"/>
          <w:szCs w:val="16"/>
          <w:color w:val="auto"/>
        </w:rPr>
        <w:t>. The number of stock options granted to our named executive officers for fiscal 2018 can be found in the “Grants of Plan-Based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for Fiscal 2018” table beginning on page 46. The per share exercise price of the options is $65.93, which is equal to the closing price of our common stock, as reported 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NYSE, on the date of grant, which for fiscal 2018 was December 8, 2017. The grant date fair value of those awards can be found in the “Summary Compensation Table” beginning on page 44 in the “Option Awards” column and in the “Grants of Plan-Based Awards for Fiscal 2018” table beginning on page 46 in the “Grant Date Fair Value of Stock and Option Awards” column.</w:t>
      </w:r>
    </w:p>
    <w:p>
      <w:pPr>
        <w:spacing w:after="0" w:line="81" w:lineRule="exact"/>
        <w:rPr>
          <w:sz w:val="20"/>
          <w:szCs w:val="20"/>
          <w:color w:val="auto"/>
        </w:rPr>
      </w:pPr>
    </w:p>
    <w:p>
      <w:pPr>
        <w:jc w:val="both"/>
        <w:ind w:right="160" w:firstLine="408"/>
        <w:spacing w:after="0" w:line="263" w:lineRule="auto"/>
        <w:rPr>
          <w:sz w:val="20"/>
          <w:szCs w:val="20"/>
          <w:color w:val="auto"/>
        </w:rPr>
      </w:pPr>
      <w:r>
        <w:rPr>
          <w:rFonts w:ascii="Arial" w:cs="Arial" w:eastAsia="Arial" w:hAnsi="Arial"/>
          <w:sz w:val="15"/>
          <w:szCs w:val="15"/>
          <w:color w:val="auto"/>
        </w:rPr>
        <w:t>On December 5, 2017, the Committee granted performance share awards for the fiscal 2018 through fiscal 2020 performance period. The number of performance shares at threshold, target and maximum levels of performance for the fiscal 2018 through fiscal 2020 performance period can be found in the “Grants of Plan-Based Awards for Fiscal 2018” table beginning on page 46 in the “Estimated Future Payouts Under Equity Incentive Plan Awards” columns. The grant date fair value of those awards at target can be found in the “Summary Compensation Table” beginning on page 44 in the “Stock Awards” column“ and in the Grants of Plan-Based Awards for Fiscal 2018” table beginning on page 46 in the “Grant Date Fair Value of Stock and Option Awards” column.</w:t>
      </w:r>
    </w:p>
    <w:p>
      <w:pPr>
        <w:spacing w:after="0" w:line="56" w:lineRule="exact"/>
        <w:rPr>
          <w:sz w:val="20"/>
          <w:szCs w:val="20"/>
          <w:color w:val="auto"/>
        </w:rPr>
      </w:pPr>
    </w:p>
    <w:p>
      <w:pPr>
        <w:ind w:right="120" w:firstLine="408"/>
        <w:spacing w:after="0" w:line="251" w:lineRule="auto"/>
        <w:rPr>
          <w:sz w:val="20"/>
          <w:szCs w:val="20"/>
          <w:color w:val="auto"/>
        </w:rPr>
      </w:pPr>
      <w:r>
        <w:rPr>
          <w:rFonts w:ascii="Arial" w:cs="Arial" w:eastAsia="Arial" w:hAnsi="Arial"/>
          <w:sz w:val="16"/>
          <w:szCs w:val="16"/>
          <w:i w:val="1"/>
          <w:iCs w:val="1"/>
          <w:color w:val="auto"/>
        </w:rPr>
        <w:t xml:space="preserve">Performance Measures for the Performance Period Beginning in Fiscal 2018. </w:t>
      </w:r>
      <w:r>
        <w:rPr>
          <w:rFonts w:ascii="Arial" w:cs="Arial" w:eastAsia="Arial" w:hAnsi="Arial"/>
          <w:sz w:val="16"/>
          <w:szCs w:val="16"/>
          <w:color w:val="auto"/>
        </w:rPr>
        <w:t>Consistent with the changes made on weightings for the annual cash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due to our Company’s continued focus on profitability, as well as our historically strong results on the corporate asset efficiency performance measures, as measured by corporate average net assets turns, the Committee increased the weighting of the cumulative corporate net income plus after-tax interest performance measure by 10% and decreased the weighting of the cumulative corporate average net assets turns performance measure by 10%.</w:t>
      </w:r>
    </w:p>
    <w:p>
      <w:pPr>
        <w:spacing w:after="0" w:line="80" w:lineRule="exact"/>
        <w:rPr>
          <w:sz w:val="20"/>
          <w:szCs w:val="20"/>
          <w:color w:val="auto"/>
        </w:rPr>
      </w:pPr>
    </w:p>
    <w:p>
      <w:pPr>
        <w:ind w:firstLine="408"/>
        <w:spacing w:after="0" w:line="255" w:lineRule="auto"/>
        <w:rPr>
          <w:sz w:val="20"/>
          <w:szCs w:val="20"/>
          <w:color w:val="auto"/>
        </w:rPr>
      </w:pPr>
      <w:r>
        <w:rPr>
          <w:rFonts w:ascii="Arial" w:cs="Arial" w:eastAsia="Arial" w:hAnsi="Arial"/>
          <w:sz w:val="16"/>
          <w:szCs w:val="16"/>
          <w:color w:val="auto"/>
        </w:rPr>
        <w:t>As a result, for the fiscal 2018 to fiscal 2020 performance share awards, the following corporate performance measures and weightings were established for all of our executive officers:</w:t>
      </w:r>
    </w:p>
    <w:p>
      <w:pPr>
        <w:spacing w:after="0" w:line="75" w:lineRule="exact"/>
        <w:rPr>
          <w:sz w:val="20"/>
          <w:szCs w:val="20"/>
          <w:color w:val="auto"/>
        </w:rPr>
      </w:pPr>
    </w:p>
    <w:p>
      <w:pPr>
        <w:ind w:left="800" w:hanging="398"/>
        <w:spacing w:after="0"/>
        <w:tabs>
          <w:tab w:leader="none" w:pos="800" w:val="left"/>
        </w:tabs>
        <w:numPr>
          <w:ilvl w:val="0"/>
          <w:numId w:val="62"/>
        </w:numPr>
        <w:rPr>
          <w:rFonts w:ascii="Arial" w:cs="Arial" w:eastAsia="Arial" w:hAnsi="Arial"/>
          <w:sz w:val="15"/>
          <w:szCs w:val="15"/>
          <w:color w:val="auto"/>
        </w:rPr>
      </w:pPr>
      <w:r>
        <w:rPr>
          <w:rFonts w:ascii="Arial" w:cs="Arial" w:eastAsia="Arial" w:hAnsi="Arial"/>
          <w:sz w:val="16"/>
          <w:szCs w:val="16"/>
          <w:color w:val="auto"/>
        </w:rPr>
        <w:t>50% cumulative corporate net income plus after-tax interest;</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62"/>
        </w:numPr>
        <w:rPr>
          <w:rFonts w:ascii="Arial" w:cs="Arial" w:eastAsia="Arial" w:hAnsi="Arial"/>
          <w:sz w:val="15"/>
          <w:szCs w:val="15"/>
          <w:color w:val="auto"/>
        </w:rPr>
      </w:pPr>
      <w:r>
        <w:rPr>
          <w:rFonts w:ascii="Arial" w:cs="Arial" w:eastAsia="Arial" w:hAnsi="Arial"/>
          <w:sz w:val="16"/>
          <w:szCs w:val="16"/>
          <w:color w:val="auto"/>
        </w:rPr>
        <w:t>30% cumulative corporate revenue;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62"/>
        </w:numPr>
        <w:rPr>
          <w:rFonts w:ascii="Arial" w:cs="Arial" w:eastAsia="Arial" w:hAnsi="Arial"/>
          <w:sz w:val="15"/>
          <w:szCs w:val="15"/>
          <w:color w:val="auto"/>
        </w:rPr>
      </w:pPr>
      <w:r>
        <w:rPr>
          <w:rFonts w:ascii="Arial" w:cs="Arial" w:eastAsia="Arial" w:hAnsi="Arial"/>
          <w:sz w:val="16"/>
          <w:szCs w:val="16"/>
          <w:color w:val="auto"/>
        </w:rPr>
        <w:t>20% cumulative corporate average net assets turns.</w:t>
      </w:r>
    </w:p>
    <w:p>
      <w:pPr>
        <w:spacing w:after="0" w:line="98" w:lineRule="exact"/>
        <w:rPr>
          <w:sz w:val="20"/>
          <w:szCs w:val="20"/>
          <w:color w:val="auto"/>
        </w:rPr>
      </w:pPr>
    </w:p>
    <w:p>
      <w:pPr>
        <w:ind w:right="20" w:firstLine="408"/>
        <w:spacing w:after="0" w:line="241" w:lineRule="auto"/>
        <w:rPr>
          <w:sz w:val="20"/>
          <w:szCs w:val="20"/>
          <w:color w:val="auto"/>
        </w:rPr>
      </w:pPr>
      <w:r>
        <w:rPr>
          <w:rFonts w:ascii="Arial" w:cs="Arial" w:eastAsia="Arial" w:hAnsi="Arial"/>
          <w:sz w:val="16"/>
          <w:szCs w:val="16"/>
          <w:color w:val="auto"/>
        </w:rPr>
        <w:t>At its meeting in December 2017, threshold, target and maximum goals were established for the fiscal 2018 to fiscal 2020 performance share awards. The specific performance goals for the three-year award period are maintained by us as proprietary and confidential. The Committee believes that disclosure of these specific performance goals would represent competitive harm to us as such cumulative corporate goals and results are not publicly disclosed and are competitively sensitive. For each performance measure, the target goal reflects the cumulative three-year financial plan set at the corporate level. Based on historical performance, the Committee believes the attainment of target performance levels, while uncertain, could be reasonably anticipated. Threshold goals represent the minimum level of performance necessary for there to be a payout for that performance measure and the Committee believes the threshold goals are likely to be achieved. Maximum goals represent the performances at which payouts are 200% of the target award. Even if actual results exceed the maximum goals, the payouts are capped at 200% of the target award. Maximum goals represent levels of performance at which the Committee determined a payout of 200% of target would be appropriate. The Committee believes that the maximum goals established are more aggressive goals.</w:t>
      </w:r>
    </w:p>
    <w:p>
      <w:pPr>
        <w:spacing w:after="0" w:line="89" w:lineRule="exact"/>
        <w:rPr>
          <w:sz w:val="20"/>
          <w:szCs w:val="20"/>
          <w:color w:val="auto"/>
        </w:rPr>
      </w:pPr>
    </w:p>
    <w:p>
      <w:pPr>
        <w:ind w:right="120" w:firstLine="408"/>
        <w:spacing w:after="0" w:line="244" w:lineRule="auto"/>
        <w:rPr>
          <w:sz w:val="20"/>
          <w:szCs w:val="20"/>
          <w:color w:val="auto"/>
        </w:rPr>
      </w:pPr>
      <w:r>
        <w:rPr>
          <w:rFonts w:ascii="Arial" w:cs="Arial" w:eastAsia="Arial" w:hAnsi="Arial"/>
          <w:sz w:val="16"/>
          <w:szCs w:val="16"/>
          <w:color w:val="auto"/>
        </w:rPr>
        <w:t>In addition to approving performance measures, goals and weightings, the Committee also established, in accordance with our Amended and Restated 2010 Plan, specific corporate adjustment events for determining payouts under the fiscal 2018 to fiscal 2020 performance share awards. The impact of acquisitions on the evaluation of performance will be determined based on the size of the acquisition as determined by projected annual revenue for the first twelve months after the closing of an acquisition as follows:</w:t>
      </w:r>
    </w:p>
    <w:p>
      <w:pPr>
        <w:spacing w:after="0" w:line="85" w:lineRule="exact"/>
        <w:rPr>
          <w:sz w:val="20"/>
          <w:szCs w:val="20"/>
          <w:color w:val="auto"/>
        </w:rPr>
      </w:pPr>
    </w:p>
    <w:p>
      <w:pPr>
        <w:ind w:left="800" w:right="160" w:hanging="398"/>
        <w:spacing w:after="0" w:line="255" w:lineRule="auto"/>
        <w:tabs>
          <w:tab w:leader="none" w:pos="800" w:val="left"/>
        </w:tabs>
        <w:numPr>
          <w:ilvl w:val="0"/>
          <w:numId w:val="63"/>
        </w:numPr>
        <w:rPr>
          <w:rFonts w:ascii="Arial" w:cs="Arial" w:eastAsia="Arial" w:hAnsi="Arial"/>
          <w:sz w:val="15"/>
          <w:szCs w:val="15"/>
          <w:color w:val="auto"/>
        </w:rPr>
      </w:pPr>
      <w:r>
        <w:rPr>
          <w:rFonts w:ascii="Arial" w:cs="Arial" w:eastAsia="Arial" w:hAnsi="Arial"/>
          <w:sz w:val="16"/>
          <w:szCs w:val="16"/>
          <w:color w:val="auto"/>
        </w:rPr>
        <w:t>The entire impact of any acquisition greater than $50 million will be excluded from the payout calculation for the entire performance period unless the acquisition was included in the annual financial plan and cumulative goals;</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63"/>
        </w:numPr>
        <w:rPr>
          <w:rFonts w:ascii="Arial" w:cs="Arial" w:eastAsia="Arial" w:hAnsi="Arial"/>
          <w:sz w:val="15"/>
          <w:szCs w:val="15"/>
          <w:color w:val="auto"/>
        </w:rPr>
      </w:pPr>
      <w:r>
        <w:rPr>
          <w:rFonts w:ascii="Arial" w:cs="Arial" w:eastAsia="Arial" w:hAnsi="Arial"/>
          <w:sz w:val="16"/>
          <w:szCs w:val="16"/>
          <w:color w:val="auto"/>
        </w:rPr>
        <w:t>All impacts for acquisitions less than $10 million will be included in the payout calculation for the entire performance period;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63"/>
        </w:numPr>
        <w:rPr>
          <w:rFonts w:ascii="Arial" w:cs="Arial" w:eastAsia="Arial" w:hAnsi="Arial"/>
          <w:sz w:val="15"/>
          <w:szCs w:val="15"/>
          <w:color w:val="auto"/>
        </w:rPr>
      </w:pPr>
      <w:r>
        <w:rPr>
          <w:rFonts w:ascii="Arial" w:cs="Arial" w:eastAsia="Arial" w:hAnsi="Arial"/>
          <w:sz w:val="16"/>
          <w:szCs w:val="16"/>
          <w:color w:val="auto"/>
        </w:rPr>
        <w:t>For acquisitions between $10 million and $50 million:</w:t>
      </w:r>
    </w:p>
    <w:p>
      <w:pPr>
        <w:spacing w:after="0" w:line="97" w:lineRule="exact"/>
        <w:rPr>
          <w:rFonts w:ascii="Arial" w:cs="Arial" w:eastAsia="Arial" w:hAnsi="Arial"/>
          <w:sz w:val="15"/>
          <w:szCs w:val="15"/>
          <w:color w:val="auto"/>
        </w:rPr>
      </w:pPr>
    </w:p>
    <w:p>
      <w:pPr>
        <w:ind w:left="1220" w:hanging="413"/>
        <w:spacing w:after="0"/>
        <w:tabs>
          <w:tab w:leader="none" w:pos="12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impact will be excluded from the payout calculation if the transaction closes during the third year of the three-year term; and</w:t>
      </w:r>
    </w:p>
    <w:p>
      <w:pPr>
        <w:spacing w:after="0" w:line="97" w:lineRule="exact"/>
        <w:rPr>
          <w:rFonts w:ascii="Arial" w:cs="Arial" w:eastAsia="Arial" w:hAnsi="Arial"/>
          <w:sz w:val="16"/>
          <w:szCs w:val="16"/>
          <w:color w:val="auto"/>
        </w:rPr>
      </w:pPr>
    </w:p>
    <w:p>
      <w:pPr>
        <w:ind w:left="1220" w:right="300" w:hanging="413"/>
        <w:spacing w:after="0" w:line="255" w:lineRule="auto"/>
        <w:tabs>
          <w:tab w:leader="none" w:pos="12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the transaction closes in the first or second year of the performance period, the impact will be included in the payout calculation with the exception of any transaction costs incurred.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Any externally driven changes in accounting principles and standards will be excluded from the evaluation of performance if the cumulative net impact on the payout of all such accounting adjustments affects the award payout by more than 2%, unless such accounting change was included in the annual plan and cumulative goals.</w:t>
      </w:r>
    </w:p>
    <w:p>
      <w:pPr>
        <w:spacing w:after="0" w:line="81" w:lineRule="exact"/>
        <w:rPr>
          <w:sz w:val="20"/>
          <w:szCs w:val="20"/>
          <w:color w:val="auto"/>
        </w:rPr>
      </w:pPr>
    </w:p>
    <w:p>
      <w:pPr>
        <w:ind w:right="780" w:firstLine="408"/>
        <w:spacing w:after="0" w:line="255" w:lineRule="auto"/>
        <w:rPr>
          <w:sz w:val="20"/>
          <w:szCs w:val="20"/>
          <w:color w:val="auto"/>
        </w:rPr>
      </w:pPr>
      <w:r>
        <w:rPr>
          <w:rFonts w:ascii="Arial" w:cs="Arial" w:eastAsia="Arial" w:hAnsi="Arial"/>
          <w:sz w:val="16"/>
          <w:szCs w:val="16"/>
          <w:color w:val="auto"/>
        </w:rPr>
        <w:t>Similar to actions taken with respect to the fiscal 2018 annual cash incentive awards, the Committee approved revised performance goals and adjustment events for the fiscal 2018 to fiscal 2020 performance share awards to primarily account for the expected financial impact of the Tax Act.</w:t>
      </w:r>
    </w:p>
    <w:p>
      <w:pPr>
        <w:spacing w:after="0" w:line="59" w:lineRule="exact"/>
        <w:rPr>
          <w:sz w:val="20"/>
          <w:szCs w:val="20"/>
          <w:color w:val="auto"/>
        </w:rPr>
      </w:pPr>
    </w:p>
    <w:p>
      <w:pPr>
        <w:ind w:right="20" w:firstLine="408"/>
        <w:spacing w:after="0" w:line="247" w:lineRule="auto"/>
        <w:rPr>
          <w:sz w:val="20"/>
          <w:szCs w:val="20"/>
          <w:color w:val="auto"/>
        </w:rPr>
      </w:pPr>
      <w:r>
        <w:rPr>
          <w:rFonts w:ascii="Arial" w:cs="Arial" w:eastAsia="Arial" w:hAnsi="Arial"/>
          <w:sz w:val="16"/>
          <w:szCs w:val="16"/>
          <w:i w:val="1"/>
          <w:iCs w:val="1"/>
          <w:color w:val="auto"/>
        </w:rPr>
        <w:t xml:space="preserve">Performance Measures for the Performance Period Ending in Fiscal 2018. </w:t>
      </w:r>
      <w:r>
        <w:rPr>
          <w:rFonts w:ascii="Arial" w:cs="Arial" w:eastAsia="Arial" w:hAnsi="Arial"/>
          <w:sz w:val="16"/>
          <w:szCs w:val="16"/>
          <w:color w:val="auto"/>
        </w:rPr>
        <w:t>The performance share awards that were granted in fiscal 2016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2016 to fiscal 2018 performance period were approved for payout upon the Committee’s certification of performance against the goals and impact of any adjustment events at its meeting on December 4, 2018. The performance share awards were paid out after our fiscal 2018 financial results were released on December 6, 2018. A summary of the performance shares paid out to our named executive officers for the fiscal 2016 to fiscal 2018 performance period, and the value realized on vesting for those awards, can be found in the “Option Exercises and Stock Vested for Fiscal 2018” table beginning on page 49 in the “Number of Shares Acquired on Vesting” and “Value Realized on Vesting” columns, respectively.</w:t>
      </w:r>
    </w:p>
    <w:p>
      <w:pPr>
        <w:spacing w:after="0" w:line="81" w:lineRule="exact"/>
        <w:rPr>
          <w:sz w:val="20"/>
          <w:szCs w:val="20"/>
          <w:color w:val="auto"/>
        </w:rPr>
      </w:pPr>
    </w:p>
    <w:p>
      <w:pPr>
        <w:ind w:right="40" w:firstLine="408"/>
        <w:spacing w:after="0" w:line="255" w:lineRule="auto"/>
        <w:rPr>
          <w:sz w:val="20"/>
          <w:szCs w:val="20"/>
          <w:color w:val="auto"/>
        </w:rPr>
      </w:pPr>
      <w:r>
        <w:rPr>
          <w:rFonts w:ascii="Arial" w:cs="Arial" w:eastAsia="Arial" w:hAnsi="Arial"/>
          <w:sz w:val="16"/>
          <w:szCs w:val="16"/>
          <w:color w:val="auto"/>
        </w:rPr>
        <w:t>The table below outlines the corporate performance measures and weightings, as well as threshold, target and maximum goals that were established by the Committee at the beginning of fiscal 2016, along with actual levels of performance, for the fiscal 2016 to fiscal 2018 performance share awards.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Fiscal 2016 to Fiscal 2018</w:t>
            </w:r>
          </w:p>
        </w:tc>
        <w:tc>
          <w:tcPr>
            <w:tcW w:w="620" w:type="dxa"/>
            <w:vAlign w:val="bottom"/>
            <w:shd w:val="clear" w:color="auto" w:fill="BE0000"/>
          </w:tcPr>
          <w:p>
            <w:pPr>
              <w:spacing w:after="0"/>
              <w:rPr>
                <w:sz w:val="13"/>
                <w:szCs w:val="13"/>
                <w:color w:val="auto"/>
              </w:rPr>
            </w:pPr>
          </w:p>
        </w:tc>
        <w:tc>
          <w:tcPr>
            <w:tcW w:w="1160" w:type="dxa"/>
            <w:vAlign w:val="bottom"/>
            <w:shd w:val="clear" w:color="auto" w:fill="BE0000"/>
          </w:tcPr>
          <w:p>
            <w:pPr>
              <w:jc w:val="right"/>
              <w:ind w:right="315"/>
              <w:spacing w:after="0"/>
              <w:rPr>
                <w:sz w:val="20"/>
                <w:szCs w:val="20"/>
                <w:color w:val="auto"/>
              </w:rPr>
            </w:pPr>
            <w:r>
              <w:rPr>
                <w:rFonts w:ascii="Arial" w:cs="Arial" w:eastAsia="Arial" w:hAnsi="Arial"/>
                <w:sz w:val="13"/>
                <w:szCs w:val="13"/>
                <w:b w:val="1"/>
                <w:bCs w:val="1"/>
                <w:color w:val="FFFFFF"/>
              </w:rPr>
              <w:t>Threshold</w:t>
            </w:r>
          </w:p>
        </w:tc>
        <w:tc>
          <w:tcPr>
            <w:tcW w:w="240" w:type="dxa"/>
            <w:vAlign w:val="bottom"/>
            <w:shd w:val="clear" w:color="auto" w:fill="BE0000"/>
          </w:tcPr>
          <w:p>
            <w:pPr>
              <w:spacing w:after="0"/>
              <w:rPr>
                <w:sz w:val="13"/>
                <w:szCs w:val="13"/>
                <w:color w:val="auto"/>
              </w:rPr>
            </w:pPr>
          </w:p>
        </w:tc>
        <w:tc>
          <w:tcPr>
            <w:tcW w:w="1180" w:type="dxa"/>
            <w:vAlign w:val="bottom"/>
            <w:shd w:val="clear" w:color="auto" w:fill="BE0000"/>
          </w:tcPr>
          <w:p>
            <w:pPr>
              <w:jc w:val="right"/>
              <w:ind w:right="455"/>
              <w:spacing w:after="0"/>
              <w:rPr>
                <w:sz w:val="20"/>
                <w:szCs w:val="20"/>
                <w:color w:val="auto"/>
              </w:rPr>
            </w:pPr>
            <w:r>
              <w:rPr>
                <w:rFonts w:ascii="Arial" w:cs="Arial" w:eastAsia="Arial" w:hAnsi="Arial"/>
                <w:sz w:val="13"/>
                <w:szCs w:val="13"/>
                <w:b w:val="1"/>
                <w:bCs w:val="1"/>
                <w:color w:val="FFFFFF"/>
              </w:rPr>
              <w:t>Target</w:t>
            </w:r>
          </w:p>
        </w:tc>
        <w:tc>
          <w:tcPr>
            <w:tcW w:w="220" w:type="dxa"/>
            <w:vAlign w:val="bottom"/>
            <w:shd w:val="clear" w:color="auto" w:fill="BE0000"/>
          </w:tcPr>
          <w:p>
            <w:pPr>
              <w:spacing w:after="0"/>
              <w:rPr>
                <w:sz w:val="13"/>
                <w:szCs w:val="13"/>
                <w:color w:val="auto"/>
              </w:rPr>
            </w:pPr>
          </w:p>
        </w:tc>
        <w:tc>
          <w:tcPr>
            <w:tcW w:w="1360" w:type="dxa"/>
            <w:vAlign w:val="bottom"/>
            <w:shd w:val="clear" w:color="auto" w:fill="BE0000"/>
          </w:tcPr>
          <w:p>
            <w:pPr>
              <w:jc w:val="right"/>
              <w:ind w:right="515"/>
              <w:spacing w:after="0"/>
              <w:rPr>
                <w:sz w:val="20"/>
                <w:szCs w:val="20"/>
                <w:color w:val="auto"/>
              </w:rPr>
            </w:pPr>
            <w:r>
              <w:rPr>
                <w:rFonts w:ascii="Arial" w:cs="Arial" w:eastAsia="Arial" w:hAnsi="Arial"/>
                <w:sz w:val="13"/>
                <w:szCs w:val="13"/>
                <w:b w:val="1"/>
                <w:bCs w:val="1"/>
                <w:color w:val="FFFFFF"/>
              </w:rPr>
              <w:t>Maximum</w:t>
            </w:r>
          </w:p>
        </w:tc>
        <w:tc>
          <w:tcPr>
            <w:tcW w:w="2480" w:type="dxa"/>
            <w:vAlign w:val="bottom"/>
            <w:shd w:val="clear" w:color="auto" w:fill="BE0000"/>
          </w:tcPr>
          <w:p>
            <w:pPr>
              <w:spacing w:after="0"/>
              <w:rPr>
                <w:sz w:val="13"/>
                <w:szCs w:val="13"/>
                <w:color w:val="auto"/>
              </w:rPr>
            </w:pPr>
          </w:p>
        </w:tc>
      </w:tr>
      <w:tr>
        <w:trPr>
          <w:trHeight w:val="159"/>
        </w:trPr>
        <w:tc>
          <w:tcPr>
            <w:tcW w:w="416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Performance Measures</w:t>
            </w:r>
          </w:p>
        </w:tc>
        <w:tc>
          <w:tcPr>
            <w:tcW w:w="620" w:type="dxa"/>
            <w:vAlign w:val="bottom"/>
            <w:shd w:val="clear" w:color="auto" w:fill="BE0000"/>
          </w:tcPr>
          <w:p>
            <w:pPr>
              <w:spacing w:after="0"/>
              <w:rPr>
                <w:sz w:val="13"/>
                <w:szCs w:val="13"/>
                <w:color w:val="auto"/>
              </w:rPr>
            </w:pPr>
          </w:p>
        </w:tc>
        <w:tc>
          <w:tcPr>
            <w:tcW w:w="1160" w:type="dxa"/>
            <w:vAlign w:val="bottom"/>
            <w:shd w:val="clear" w:color="auto" w:fill="BE0000"/>
          </w:tcPr>
          <w:p>
            <w:pPr>
              <w:jc w:val="right"/>
              <w:ind w:right="235"/>
              <w:spacing w:after="0"/>
              <w:rPr>
                <w:sz w:val="20"/>
                <w:szCs w:val="20"/>
                <w:color w:val="auto"/>
              </w:rPr>
            </w:pPr>
            <w:r>
              <w:rPr>
                <w:rFonts w:ascii="Arial" w:cs="Arial" w:eastAsia="Arial" w:hAnsi="Arial"/>
                <w:sz w:val="13"/>
                <w:szCs w:val="13"/>
                <w:b w:val="1"/>
                <w:bCs w:val="1"/>
                <w:color w:val="FFFFFF"/>
              </w:rPr>
              <w:t>(40% payout)</w:t>
            </w:r>
          </w:p>
        </w:tc>
        <w:tc>
          <w:tcPr>
            <w:tcW w:w="240" w:type="dxa"/>
            <w:vAlign w:val="bottom"/>
            <w:shd w:val="clear" w:color="auto" w:fill="BE0000"/>
          </w:tcPr>
          <w:p>
            <w:pPr>
              <w:spacing w:after="0"/>
              <w:rPr>
                <w:sz w:val="13"/>
                <w:szCs w:val="13"/>
                <w:color w:val="auto"/>
              </w:rPr>
            </w:pPr>
          </w:p>
        </w:tc>
        <w:tc>
          <w:tcPr>
            <w:tcW w:w="1180" w:type="dxa"/>
            <w:vAlign w:val="bottom"/>
            <w:shd w:val="clear" w:color="auto" w:fill="BE0000"/>
          </w:tcPr>
          <w:p>
            <w:pPr>
              <w:jc w:val="right"/>
              <w:ind w:right="195"/>
              <w:spacing w:after="0"/>
              <w:rPr>
                <w:sz w:val="20"/>
                <w:szCs w:val="20"/>
                <w:color w:val="auto"/>
              </w:rPr>
            </w:pPr>
            <w:r>
              <w:rPr>
                <w:rFonts w:ascii="Arial" w:cs="Arial" w:eastAsia="Arial" w:hAnsi="Arial"/>
                <w:sz w:val="13"/>
                <w:szCs w:val="13"/>
                <w:b w:val="1"/>
                <w:bCs w:val="1"/>
                <w:color w:val="FFFFFF"/>
              </w:rPr>
              <w:t>(100% payout)</w:t>
            </w:r>
          </w:p>
        </w:tc>
        <w:tc>
          <w:tcPr>
            <w:tcW w:w="220" w:type="dxa"/>
            <w:vAlign w:val="bottom"/>
            <w:shd w:val="clear" w:color="auto" w:fill="BE0000"/>
          </w:tcPr>
          <w:p>
            <w:pPr>
              <w:spacing w:after="0"/>
              <w:rPr>
                <w:sz w:val="13"/>
                <w:szCs w:val="13"/>
                <w:color w:val="auto"/>
              </w:rPr>
            </w:pPr>
          </w:p>
        </w:tc>
        <w:tc>
          <w:tcPr>
            <w:tcW w:w="1360" w:type="dxa"/>
            <w:vAlign w:val="bottom"/>
            <w:shd w:val="clear" w:color="auto" w:fill="BE0000"/>
          </w:tcPr>
          <w:p>
            <w:pPr>
              <w:jc w:val="right"/>
              <w:ind w:right="375"/>
              <w:spacing w:after="0"/>
              <w:rPr>
                <w:sz w:val="20"/>
                <w:szCs w:val="20"/>
                <w:color w:val="auto"/>
              </w:rPr>
            </w:pPr>
            <w:r>
              <w:rPr>
                <w:rFonts w:ascii="Arial" w:cs="Arial" w:eastAsia="Arial" w:hAnsi="Arial"/>
                <w:sz w:val="13"/>
                <w:szCs w:val="13"/>
                <w:b w:val="1"/>
                <w:bCs w:val="1"/>
                <w:color w:val="FFFFFF"/>
              </w:rPr>
              <w:t>(200% payout)</w:t>
            </w:r>
          </w:p>
        </w:tc>
        <w:tc>
          <w:tcPr>
            <w:tcW w:w="2480" w:type="dxa"/>
            <w:vAlign w:val="bottom"/>
            <w:shd w:val="clear" w:color="auto" w:fill="BE0000"/>
          </w:tcPr>
          <w:p>
            <w:pPr>
              <w:jc w:val="center"/>
              <w:spacing w:after="0"/>
              <w:rPr>
                <w:sz w:val="20"/>
                <w:szCs w:val="20"/>
                <w:color w:val="auto"/>
              </w:rPr>
            </w:pPr>
            <w:r>
              <w:rPr>
                <w:rFonts w:ascii="Arial" w:cs="Arial" w:eastAsia="Arial" w:hAnsi="Arial"/>
                <w:sz w:val="13"/>
                <w:szCs w:val="13"/>
                <w:b w:val="1"/>
                <w:bCs w:val="1"/>
                <w:color w:val="FFFFFF"/>
              </w:rPr>
              <w:t>Actual</w:t>
            </w:r>
          </w:p>
        </w:tc>
      </w:tr>
      <w:tr>
        <w:trPr>
          <w:trHeight w:val="164"/>
        </w:trPr>
        <w:tc>
          <w:tcPr>
            <w:tcW w:w="4160" w:type="dxa"/>
            <w:vAlign w:val="bottom"/>
          </w:tcPr>
          <w:p>
            <w:pPr>
              <w:spacing w:after="0"/>
              <w:rPr>
                <w:sz w:val="20"/>
                <w:szCs w:val="20"/>
                <w:color w:val="auto"/>
              </w:rPr>
            </w:pPr>
            <w:r>
              <w:rPr>
                <w:rFonts w:ascii="Arial" w:cs="Arial" w:eastAsia="Arial" w:hAnsi="Arial"/>
                <w:sz w:val="13"/>
                <w:szCs w:val="13"/>
                <w:color w:val="auto"/>
              </w:rPr>
              <w:t>40% cumulative corporate net income plus</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99"/>
              </w:rPr>
              <w:t>$777,190</w:t>
            </w:r>
          </w:p>
        </w:tc>
      </w:tr>
      <w:tr>
        <w:trPr>
          <w:trHeight w:val="143"/>
        </w:trPr>
        <w:tc>
          <w:tcPr>
            <w:tcW w:w="4160" w:type="dxa"/>
            <w:vAlign w:val="bottom"/>
          </w:tcPr>
          <w:p>
            <w:pPr>
              <w:ind w:left="100"/>
              <w:spacing w:after="0" w:line="143" w:lineRule="exact"/>
              <w:rPr>
                <w:sz w:val="20"/>
                <w:szCs w:val="20"/>
                <w:color w:val="auto"/>
              </w:rPr>
            </w:pPr>
            <w:r>
              <w:rPr>
                <w:rFonts w:ascii="Arial" w:cs="Arial" w:eastAsia="Arial" w:hAnsi="Arial"/>
                <w:sz w:val="13"/>
                <w:szCs w:val="13"/>
                <w:color w:val="auto"/>
              </w:rPr>
              <w:t>after-tax interest (in thousands)</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55"/>
              <w:spacing w:after="0" w:line="143" w:lineRule="exact"/>
              <w:rPr>
                <w:sz w:val="20"/>
                <w:szCs w:val="20"/>
                <w:color w:val="auto"/>
              </w:rPr>
            </w:pPr>
            <w:r>
              <w:rPr>
                <w:rFonts w:ascii="Arial" w:cs="Arial" w:eastAsia="Arial" w:hAnsi="Arial"/>
                <w:sz w:val="13"/>
                <w:szCs w:val="13"/>
                <w:color w:val="auto"/>
              </w:rPr>
              <w:t>589,557</w:t>
            </w: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75"/>
              <w:spacing w:after="0" w:line="143" w:lineRule="exact"/>
              <w:rPr>
                <w:sz w:val="20"/>
                <w:szCs w:val="20"/>
                <w:color w:val="auto"/>
              </w:rPr>
            </w:pPr>
            <w:r>
              <w:rPr>
                <w:rFonts w:ascii="Arial" w:cs="Arial" w:eastAsia="Arial" w:hAnsi="Arial"/>
                <w:sz w:val="13"/>
                <w:szCs w:val="13"/>
                <w:color w:val="auto"/>
              </w:rPr>
              <w:t>736,946</w:t>
            </w:r>
          </w:p>
        </w:tc>
        <w:tc>
          <w:tcPr>
            <w:tcW w:w="2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235"/>
              <w:spacing w:after="0" w:line="143" w:lineRule="exact"/>
              <w:rPr>
                <w:sz w:val="20"/>
                <w:szCs w:val="20"/>
                <w:color w:val="auto"/>
              </w:rPr>
            </w:pPr>
            <w:r>
              <w:rPr>
                <w:rFonts w:ascii="Arial" w:cs="Arial" w:eastAsia="Arial" w:hAnsi="Arial"/>
                <w:sz w:val="13"/>
                <w:szCs w:val="13"/>
                <w:color w:val="auto"/>
              </w:rPr>
              <w:t>835,203</w:t>
            </w:r>
          </w:p>
        </w:tc>
        <w:tc>
          <w:tcPr>
            <w:tcW w:w="2480" w:type="dxa"/>
            <w:vAlign w:val="bottom"/>
          </w:tcPr>
          <w:p>
            <w:pPr>
              <w:jc w:val="center"/>
              <w:spacing w:after="0" w:line="143" w:lineRule="exact"/>
              <w:rPr>
                <w:sz w:val="20"/>
                <w:szCs w:val="20"/>
                <w:color w:val="auto"/>
              </w:rPr>
            </w:pPr>
            <w:r>
              <w:rPr>
                <w:rFonts w:ascii="Arial" w:cs="Arial" w:eastAsia="Arial" w:hAnsi="Arial"/>
                <w:sz w:val="13"/>
                <w:szCs w:val="13"/>
                <w:color w:val="auto"/>
              </w:rPr>
              <w:t>(between target and maximum)</w:t>
            </w:r>
          </w:p>
        </w:tc>
      </w:tr>
      <w:tr>
        <w:trPr>
          <w:trHeight w:val="164"/>
        </w:trPr>
        <w:tc>
          <w:tcPr>
            <w:tcW w:w="4160" w:type="dxa"/>
            <w:vAlign w:val="bottom"/>
            <w:shd w:val="clear" w:color="auto" w:fill="D9D9D9"/>
          </w:tcPr>
          <w:p>
            <w:pPr>
              <w:spacing w:after="0"/>
              <w:rPr>
                <w:sz w:val="20"/>
                <w:szCs w:val="20"/>
                <w:color w:val="auto"/>
              </w:rPr>
            </w:pPr>
            <w:r>
              <w:rPr>
                <w:rFonts w:ascii="Arial" w:cs="Arial" w:eastAsia="Arial" w:hAnsi="Arial"/>
                <w:sz w:val="13"/>
                <w:szCs w:val="13"/>
                <w:color w:val="auto"/>
              </w:rPr>
              <w:t>30% cumulative corporate revenue</w:t>
            </w:r>
          </w:p>
        </w:tc>
        <w:tc>
          <w:tcPr>
            <w:tcW w:w="620" w:type="dxa"/>
            <w:vAlign w:val="bottom"/>
            <w:shd w:val="clear" w:color="auto" w:fill="D9D9D9"/>
          </w:tcPr>
          <w:p>
            <w:pPr>
              <w:spacing w:after="0"/>
              <w:rPr>
                <w:sz w:val="14"/>
                <w:szCs w:val="14"/>
                <w:color w:val="auto"/>
              </w:rPr>
            </w:pPr>
          </w:p>
        </w:tc>
        <w:tc>
          <w:tcPr>
            <w:tcW w:w="116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18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360" w:type="dxa"/>
            <w:vAlign w:val="bottom"/>
            <w:shd w:val="clear" w:color="auto" w:fill="D9D9D9"/>
          </w:tcPr>
          <w:p>
            <w:pPr>
              <w:spacing w:after="0"/>
              <w:rPr>
                <w:sz w:val="14"/>
                <w:szCs w:val="14"/>
                <w:color w:val="auto"/>
              </w:rPr>
            </w:pPr>
          </w:p>
        </w:tc>
        <w:tc>
          <w:tcPr>
            <w:tcW w:w="24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$7,499,509</w:t>
            </w:r>
          </w:p>
        </w:tc>
      </w:tr>
      <w:tr>
        <w:trPr>
          <w:trHeight w:val="143"/>
        </w:trPr>
        <w:tc>
          <w:tcPr>
            <w:tcW w:w="4160" w:type="dxa"/>
            <w:vAlign w:val="bottom"/>
            <w:shd w:val="clear" w:color="auto" w:fill="D9D9D9"/>
          </w:tcPr>
          <w:p>
            <w:pPr>
              <w:ind w:left="100"/>
              <w:spacing w:after="0" w:line="143" w:lineRule="exact"/>
              <w:rPr>
                <w:sz w:val="20"/>
                <w:szCs w:val="20"/>
                <w:color w:val="auto"/>
              </w:rPr>
            </w:pPr>
            <w:r>
              <w:rPr>
                <w:rFonts w:ascii="Arial" w:cs="Arial" w:eastAsia="Arial" w:hAnsi="Arial"/>
                <w:sz w:val="13"/>
                <w:szCs w:val="13"/>
                <w:color w:val="auto"/>
              </w:rPr>
              <w:t>(in thousands)</w:t>
            </w:r>
          </w:p>
        </w:tc>
        <w:tc>
          <w:tcPr>
            <w:tcW w:w="6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9D9D9"/>
          </w:tcPr>
          <w:p>
            <w:pPr>
              <w:jc w:val="right"/>
              <w:ind w:right="55"/>
              <w:spacing w:after="0" w:line="143" w:lineRule="exact"/>
              <w:rPr>
                <w:sz w:val="20"/>
                <w:szCs w:val="20"/>
                <w:color w:val="auto"/>
              </w:rPr>
            </w:pPr>
            <w:r>
              <w:rPr>
                <w:rFonts w:ascii="Arial" w:cs="Arial" w:eastAsia="Arial" w:hAnsi="Arial"/>
                <w:sz w:val="13"/>
                <w:szCs w:val="13"/>
                <w:color w:val="auto"/>
              </w:rPr>
              <w:t>7,413,228</w:t>
            </w:r>
          </w:p>
        </w:tc>
        <w:tc>
          <w:tcPr>
            <w:tcW w:w="2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9D9D9"/>
          </w:tcPr>
          <w:p>
            <w:pPr>
              <w:jc w:val="right"/>
              <w:ind w:right="75"/>
              <w:spacing w:after="0" w:line="143" w:lineRule="exact"/>
              <w:rPr>
                <w:sz w:val="20"/>
                <w:szCs w:val="20"/>
                <w:color w:val="auto"/>
              </w:rPr>
            </w:pPr>
            <w:r>
              <w:rPr>
                <w:rFonts w:ascii="Arial" w:cs="Arial" w:eastAsia="Arial" w:hAnsi="Arial"/>
                <w:sz w:val="13"/>
                <w:szCs w:val="13"/>
                <w:color w:val="auto"/>
              </w:rPr>
              <w:t>7,837,197</w:t>
            </w:r>
          </w:p>
        </w:tc>
        <w:tc>
          <w:tcPr>
            <w:tcW w:w="2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360" w:type="dxa"/>
            <w:vAlign w:val="bottom"/>
            <w:shd w:val="clear" w:color="auto" w:fill="D9D9D9"/>
          </w:tcPr>
          <w:p>
            <w:pPr>
              <w:jc w:val="right"/>
              <w:ind w:right="235"/>
              <w:spacing w:after="0" w:line="143" w:lineRule="exact"/>
              <w:rPr>
                <w:sz w:val="20"/>
                <w:szCs w:val="20"/>
                <w:color w:val="auto"/>
              </w:rPr>
            </w:pPr>
            <w:r>
              <w:rPr>
                <w:rFonts w:ascii="Arial" w:cs="Arial" w:eastAsia="Arial" w:hAnsi="Arial"/>
                <w:sz w:val="13"/>
                <w:szCs w:val="13"/>
                <w:color w:val="auto"/>
              </w:rPr>
              <w:t>8,328,472</w:t>
            </w:r>
          </w:p>
        </w:tc>
        <w:tc>
          <w:tcPr>
            <w:tcW w:w="2480" w:type="dxa"/>
            <w:vAlign w:val="bottom"/>
            <w:shd w:val="clear" w:color="auto" w:fill="D9D9D9"/>
          </w:tcPr>
          <w:p>
            <w:pPr>
              <w:jc w:val="center"/>
              <w:spacing w:after="0" w:line="143" w:lineRule="exact"/>
              <w:rPr>
                <w:sz w:val="20"/>
                <w:szCs w:val="20"/>
                <w:color w:val="auto"/>
              </w:rPr>
            </w:pPr>
            <w:r>
              <w:rPr>
                <w:rFonts w:ascii="Arial" w:cs="Arial" w:eastAsia="Arial" w:hAnsi="Arial"/>
                <w:sz w:val="13"/>
                <w:szCs w:val="13"/>
                <w:color w:val="auto"/>
              </w:rPr>
              <w:t>(between threshold and target)</w:t>
            </w:r>
          </w:p>
        </w:tc>
      </w:tr>
      <w:tr>
        <w:trPr>
          <w:trHeight w:val="164"/>
        </w:trPr>
        <w:tc>
          <w:tcPr>
            <w:tcW w:w="4160" w:type="dxa"/>
            <w:vAlign w:val="bottom"/>
          </w:tcPr>
          <w:p>
            <w:pPr>
              <w:spacing w:after="0"/>
              <w:rPr>
                <w:sz w:val="20"/>
                <w:szCs w:val="20"/>
                <w:color w:val="auto"/>
              </w:rPr>
            </w:pPr>
            <w:r>
              <w:rPr>
                <w:rFonts w:ascii="Arial" w:cs="Arial" w:eastAsia="Arial" w:hAnsi="Arial"/>
                <w:sz w:val="13"/>
                <w:szCs w:val="13"/>
                <w:color w:val="auto"/>
              </w:rPr>
              <w:t>30% cumulative corporate average</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rPr>
              <w:t>7.14910</w:t>
            </w:r>
          </w:p>
        </w:tc>
      </w:tr>
      <w:tr>
        <w:trPr>
          <w:trHeight w:val="143"/>
        </w:trPr>
        <w:tc>
          <w:tcPr>
            <w:tcW w:w="4160" w:type="dxa"/>
            <w:vAlign w:val="bottom"/>
          </w:tcPr>
          <w:p>
            <w:pPr>
              <w:ind w:left="100"/>
              <w:spacing w:after="0" w:line="143" w:lineRule="exact"/>
              <w:rPr>
                <w:sz w:val="20"/>
                <w:szCs w:val="20"/>
                <w:color w:val="auto"/>
              </w:rPr>
            </w:pPr>
            <w:r>
              <w:rPr>
                <w:rFonts w:ascii="Arial" w:cs="Arial" w:eastAsia="Arial" w:hAnsi="Arial"/>
                <w:sz w:val="13"/>
                <w:szCs w:val="13"/>
                <w:color w:val="auto"/>
              </w:rPr>
              <w:t>net assets turns</w:t>
            </w:r>
          </w:p>
        </w:tc>
        <w:tc>
          <w:tcPr>
            <w:tcW w:w="620" w:type="dxa"/>
            <w:vAlign w:val="bottom"/>
          </w:tcPr>
          <w:p>
            <w:pPr>
              <w:spacing w:after="0"/>
              <w:rPr>
                <w:sz w:val="12"/>
                <w:szCs w:val="12"/>
                <w:color w:val="auto"/>
              </w:rPr>
            </w:pPr>
          </w:p>
        </w:tc>
        <w:tc>
          <w:tcPr>
            <w:tcW w:w="1160" w:type="dxa"/>
            <w:vAlign w:val="bottom"/>
          </w:tcPr>
          <w:p>
            <w:pPr>
              <w:jc w:val="right"/>
              <w:ind w:right="55"/>
              <w:spacing w:after="0" w:line="143" w:lineRule="exact"/>
              <w:rPr>
                <w:sz w:val="20"/>
                <w:szCs w:val="20"/>
                <w:color w:val="auto"/>
              </w:rPr>
            </w:pPr>
            <w:r>
              <w:rPr>
                <w:rFonts w:ascii="Arial" w:cs="Arial" w:eastAsia="Arial" w:hAnsi="Arial"/>
                <w:sz w:val="13"/>
                <w:szCs w:val="13"/>
                <w:color w:val="auto"/>
              </w:rPr>
              <w:t>5.62696</w:t>
            </w:r>
          </w:p>
        </w:tc>
        <w:tc>
          <w:tcPr>
            <w:tcW w:w="240" w:type="dxa"/>
            <w:vAlign w:val="bottom"/>
          </w:tcPr>
          <w:p>
            <w:pPr>
              <w:spacing w:after="0"/>
              <w:rPr>
                <w:sz w:val="12"/>
                <w:szCs w:val="12"/>
                <w:color w:val="auto"/>
              </w:rPr>
            </w:pPr>
          </w:p>
        </w:tc>
        <w:tc>
          <w:tcPr>
            <w:tcW w:w="1180" w:type="dxa"/>
            <w:vAlign w:val="bottom"/>
          </w:tcPr>
          <w:p>
            <w:pPr>
              <w:jc w:val="right"/>
              <w:ind w:right="75"/>
              <w:spacing w:after="0" w:line="143" w:lineRule="exact"/>
              <w:rPr>
                <w:sz w:val="20"/>
                <w:szCs w:val="20"/>
                <w:color w:val="auto"/>
              </w:rPr>
            </w:pPr>
            <w:r>
              <w:rPr>
                <w:rFonts w:ascii="Arial" w:cs="Arial" w:eastAsia="Arial" w:hAnsi="Arial"/>
                <w:sz w:val="13"/>
                <w:szCs w:val="13"/>
                <w:color w:val="auto"/>
              </w:rPr>
              <w:t>6.61995</w:t>
            </w:r>
          </w:p>
        </w:tc>
        <w:tc>
          <w:tcPr>
            <w:tcW w:w="220" w:type="dxa"/>
            <w:vAlign w:val="bottom"/>
          </w:tcPr>
          <w:p>
            <w:pPr>
              <w:spacing w:after="0"/>
              <w:rPr>
                <w:sz w:val="12"/>
                <w:szCs w:val="12"/>
                <w:color w:val="auto"/>
              </w:rPr>
            </w:pPr>
          </w:p>
        </w:tc>
        <w:tc>
          <w:tcPr>
            <w:tcW w:w="1360" w:type="dxa"/>
            <w:vAlign w:val="bottom"/>
          </w:tcPr>
          <w:p>
            <w:pPr>
              <w:jc w:val="right"/>
              <w:ind w:right="235"/>
              <w:spacing w:after="0" w:line="143" w:lineRule="exact"/>
              <w:rPr>
                <w:sz w:val="20"/>
                <w:szCs w:val="20"/>
                <w:color w:val="auto"/>
              </w:rPr>
            </w:pPr>
            <w:r>
              <w:rPr>
                <w:rFonts w:ascii="Arial" w:cs="Arial" w:eastAsia="Arial" w:hAnsi="Arial"/>
                <w:sz w:val="13"/>
                <w:szCs w:val="13"/>
                <w:color w:val="auto"/>
              </w:rPr>
              <w:t>7.61294</w:t>
            </w:r>
          </w:p>
        </w:tc>
        <w:tc>
          <w:tcPr>
            <w:tcW w:w="2480" w:type="dxa"/>
            <w:vAlign w:val="bottom"/>
          </w:tcPr>
          <w:p>
            <w:pPr>
              <w:jc w:val="center"/>
              <w:spacing w:after="0" w:line="143" w:lineRule="exact"/>
              <w:rPr>
                <w:sz w:val="20"/>
                <w:szCs w:val="20"/>
                <w:color w:val="auto"/>
              </w:rPr>
            </w:pPr>
            <w:r>
              <w:rPr>
                <w:rFonts w:ascii="Arial" w:cs="Arial" w:eastAsia="Arial" w:hAnsi="Arial"/>
                <w:sz w:val="13"/>
                <w:szCs w:val="13"/>
                <w:color w:val="auto"/>
              </w:rPr>
              <w:t>(between target and maximum)</w:t>
            </w:r>
          </w:p>
        </w:tc>
      </w:tr>
      <w:tr>
        <w:trPr>
          <w:trHeight w:val="196"/>
        </w:trPr>
        <w:tc>
          <w:tcPr>
            <w:tcW w:w="416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Fiscal 2016 to fiscal 2018 performance share award payout</w:t>
            </w:r>
          </w:p>
        </w:tc>
        <w:tc>
          <w:tcPr>
            <w:tcW w:w="6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2480" w:type="dxa"/>
            <w:vAlign w:val="bottom"/>
            <w:shd w:val="clear" w:color="auto" w:fill="D9D9D9"/>
          </w:tcPr>
          <w:p>
            <w:pPr>
              <w:jc w:val="center"/>
              <w:spacing w:after="0"/>
              <w:rPr>
                <w:sz w:val="20"/>
                <w:szCs w:val="20"/>
                <w:color w:val="auto"/>
              </w:rPr>
            </w:pPr>
            <w:r>
              <w:rPr>
                <w:rFonts w:ascii="Arial" w:cs="Arial" w:eastAsia="Arial" w:hAnsi="Arial"/>
                <w:sz w:val="13"/>
                <w:szCs w:val="13"/>
                <w:b w:val="1"/>
                <w:bCs w:val="1"/>
                <w:color w:val="auto"/>
              </w:rPr>
              <w:t>118.03% of target</w:t>
            </w:r>
          </w:p>
        </w:tc>
      </w:tr>
    </w:tbl>
    <w:p>
      <w:pPr>
        <w:spacing w:after="0" w:line="93" w:lineRule="exact"/>
        <w:rPr>
          <w:sz w:val="20"/>
          <w:szCs w:val="20"/>
          <w:color w:val="auto"/>
        </w:rPr>
      </w:pPr>
    </w:p>
    <w:p>
      <w:pPr>
        <w:ind w:right="320" w:firstLine="408"/>
        <w:spacing w:after="0" w:line="257" w:lineRule="auto"/>
        <w:rPr>
          <w:sz w:val="20"/>
          <w:szCs w:val="20"/>
          <w:color w:val="auto"/>
        </w:rPr>
      </w:pPr>
      <w:r>
        <w:rPr>
          <w:rFonts w:ascii="Arial" w:cs="Arial" w:eastAsia="Arial" w:hAnsi="Arial"/>
          <w:sz w:val="16"/>
          <w:szCs w:val="16"/>
          <w:i w:val="1"/>
          <w:iCs w:val="1"/>
          <w:color w:val="auto"/>
        </w:rPr>
        <w:t xml:space="preserve">Corporate Performance Discussion and Analysis. </w:t>
      </w:r>
      <w:r>
        <w:rPr>
          <w:rFonts w:ascii="Arial" w:cs="Arial" w:eastAsia="Arial" w:hAnsi="Arial"/>
          <w:sz w:val="16"/>
          <w:szCs w:val="16"/>
          <w:color w:val="auto"/>
        </w:rPr>
        <w:t>When applying the actual performance against the weightings of the performance measures,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2016 to fiscal 2018 payout was 118.03% of target. As a result, all of our named executive officers received a performance share payout that was 118.03% of target.</w:t>
      </w:r>
    </w:p>
    <w:p>
      <w:pPr>
        <w:spacing w:after="0" w:line="58" w:lineRule="exact"/>
        <w:rPr>
          <w:sz w:val="20"/>
          <w:szCs w:val="20"/>
          <w:color w:val="auto"/>
        </w:rPr>
      </w:pPr>
    </w:p>
    <w:p>
      <w:pPr>
        <w:ind w:right="60" w:firstLine="408"/>
        <w:spacing w:after="0" w:line="244" w:lineRule="auto"/>
        <w:rPr>
          <w:sz w:val="20"/>
          <w:szCs w:val="20"/>
          <w:color w:val="auto"/>
        </w:rPr>
      </w:pPr>
      <w:r>
        <w:rPr>
          <w:rFonts w:ascii="Arial" w:cs="Arial" w:eastAsia="Arial" w:hAnsi="Arial"/>
          <w:sz w:val="16"/>
          <w:szCs w:val="16"/>
          <w:i w:val="1"/>
          <w:iCs w:val="1"/>
          <w:color w:val="auto"/>
        </w:rPr>
        <w:t xml:space="preserve">Target Total Direct Compensation. </w:t>
      </w:r>
      <w:r>
        <w:rPr>
          <w:rFonts w:ascii="Arial" w:cs="Arial" w:eastAsia="Arial" w:hAnsi="Arial"/>
          <w:sz w:val="16"/>
          <w:szCs w:val="16"/>
          <w:color w:val="auto"/>
        </w:rPr>
        <w:t>As described previously, when analyzing compensation, we look at base salary, target total cash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target total direct compensation in comparison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when establishing new base salary levels, target annual cash incentive awards and long-term incentive awards. Actual value realized from long-term incentives is dependent on the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2018 target total direct compensation (sum of actual base salary, target annual cash incentive and target value of equity awards), for each named executive officer is compared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shd w:val="clear" w:color="auto" w:fill="BE0000"/>
          </w:tcPr>
          <w:p>
            <w:pPr>
              <w:spacing w:after="0"/>
              <w:rPr>
                <w:sz w:val="12"/>
                <w:szCs w:val="12"/>
                <w:color w:val="auto"/>
              </w:rPr>
            </w:pPr>
          </w:p>
        </w:tc>
        <w:tc>
          <w:tcPr>
            <w:tcW w:w="2740" w:type="dxa"/>
            <w:vAlign w:val="bottom"/>
            <w:shd w:val="clear" w:color="auto" w:fill="BE0000"/>
          </w:tcPr>
          <w:p>
            <w:pPr>
              <w:spacing w:after="0"/>
              <w:rPr>
                <w:sz w:val="12"/>
                <w:szCs w:val="12"/>
                <w:color w:val="auto"/>
              </w:rPr>
            </w:pPr>
          </w:p>
        </w:tc>
        <w:tc>
          <w:tcPr>
            <w:tcW w:w="2560" w:type="dxa"/>
            <w:vAlign w:val="bottom"/>
            <w:shd w:val="clear" w:color="auto" w:fill="BE0000"/>
          </w:tcPr>
          <w:p>
            <w:pPr>
              <w:jc w:val="right"/>
              <w:ind w:right="949"/>
              <w:spacing w:after="0"/>
              <w:rPr>
                <w:sz w:val="20"/>
                <w:szCs w:val="20"/>
                <w:color w:val="auto"/>
              </w:rPr>
            </w:pPr>
            <w:r>
              <w:rPr>
                <w:rFonts w:ascii="Arial" w:cs="Arial" w:eastAsia="Arial" w:hAnsi="Arial"/>
                <w:sz w:val="13"/>
                <w:szCs w:val="13"/>
                <w:b w:val="1"/>
                <w:bCs w:val="1"/>
                <w:color w:val="FFFFFF"/>
              </w:rPr>
              <w:t>Fiscal 2018 Target Total</w:t>
            </w:r>
          </w:p>
        </w:tc>
        <w:tc>
          <w:tcPr>
            <w:tcW w:w="2660" w:type="dxa"/>
            <w:vAlign w:val="bottom"/>
            <w:shd w:val="clear" w:color="auto" w:fill="BE0000"/>
          </w:tcPr>
          <w:p>
            <w:pPr>
              <w:jc w:val="right"/>
              <w:ind w:right="850"/>
              <w:spacing w:after="0"/>
              <w:rPr>
                <w:sz w:val="20"/>
                <w:szCs w:val="20"/>
                <w:color w:val="auto"/>
              </w:rPr>
            </w:pPr>
            <w:r>
              <w:rPr>
                <w:rFonts w:ascii="Arial" w:cs="Arial" w:eastAsia="Arial" w:hAnsi="Arial"/>
                <w:sz w:val="13"/>
                <w:szCs w:val="13"/>
                <w:b w:val="1"/>
                <w:bCs w:val="1"/>
                <w:color w:val="FFFFFF"/>
              </w:rPr>
              <w:t>Comparison to</w:t>
            </w:r>
          </w:p>
        </w:tc>
      </w:tr>
      <w:tr>
        <w:trPr>
          <w:trHeight w:val="163"/>
        </w:trPr>
        <w:tc>
          <w:tcPr>
            <w:tcW w:w="346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Name</w:t>
            </w:r>
          </w:p>
        </w:tc>
        <w:tc>
          <w:tcPr>
            <w:tcW w:w="2740" w:type="dxa"/>
            <w:vAlign w:val="bottom"/>
            <w:shd w:val="clear" w:color="auto" w:fill="BE0000"/>
          </w:tcPr>
          <w:p>
            <w:pPr>
              <w:spacing w:after="0"/>
              <w:rPr>
                <w:sz w:val="14"/>
                <w:szCs w:val="14"/>
                <w:color w:val="auto"/>
              </w:rPr>
            </w:pPr>
          </w:p>
        </w:tc>
        <w:tc>
          <w:tcPr>
            <w:tcW w:w="2560" w:type="dxa"/>
            <w:vAlign w:val="bottom"/>
            <w:shd w:val="clear" w:color="auto" w:fill="BE0000"/>
          </w:tcPr>
          <w:p>
            <w:pPr>
              <w:jc w:val="right"/>
              <w:ind w:right="1029"/>
              <w:spacing w:after="0"/>
              <w:rPr>
                <w:sz w:val="20"/>
                <w:szCs w:val="20"/>
                <w:color w:val="auto"/>
              </w:rPr>
            </w:pPr>
            <w:r>
              <w:rPr>
                <w:rFonts w:ascii="Arial" w:cs="Arial" w:eastAsia="Arial" w:hAnsi="Arial"/>
                <w:sz w:val="13"/>
                <w:szCs w:val="13"/>
                <w:b w:val="1"/>
                <w:bCs w:val="1"/>
                <w:color w:val="FFFFFF"/>
              </w:rPr>
              <w:t>Direct Compensation</w:t>
            </w:r>
          </w:p>
        </w:tc>
        <w:tc>
          <w:tcPr>
            <w:tcW w:w="2660" w:type="dxa"/>
            <w:vAlign w:val="bottom"/>
            <w:shd w:val="clear" w:color="auto" w:fill="BE0000"/>
          </w:tcPr>
          <w:p>
            <w:pPr>
              <w:jc w:val="right"/>
              <w:ind w:right="630"/>
              <w:spacing w:after="0" w:line="163" w:lineRule="exact"/>
              <w:rPr>
                <w:sz w:val="20"/>
                <w:szCs w:val="20"/>
                <w:color w:val="auto"/>
              </w:rPr>
            </w:pPr>
            <w:r>
              <w:rPr>
                <w:rFonts w:ascii="Arial" w:cs="Arial" w:eastAsia="Arial" w:hAnsi="Arial"/>
                <w:sz w:val="11"/>
                <w:szCs w:val="11"/>
                <w:b w:val="1"/>
                <w:bCs w:val="1"/>
                <w:color w:val="FFFFFF"/>
              </w:rPr>
              <w:t>Market 50</w:t>
            </w:r>
            <w:r>
              <w:rPr>
                <w:rFonts w:ascii="Arial" w:cs="Arial" w:eastAsia="Arial" w:hAnsi="Arial"/>
                <w:sz w:val="18"/>
                <w:szCs w:val="18"/>
                <w:b w:val="1"/>
                <w:bCs w:val="1"/>
                <w:color w:val="FFFFFF"/>
                <w:vertAlign w:val="superscript"/>
              </w:rPr>
              <w:t>th</w:t>
            </w:r>
            <w:r>
              <w:rPr>
                <w:rFonts w:ascii="Arial" w:cs="Arial" w:eastAsia="Arial" w:hAnsi="Arial"/>
                <w:sz w:val="11"/>
                <w:szCs w:val="11"/>
                <w:b w:val="1"/>
                <w:bCs w:val="1"/>
                <w:color w:val="FFFFFF"/>
              </w:rPr>
              <w:t xml:space="preserve"> Percentile</w:t>
            </w:r>
          </w:p>
        </w:tc>
      </w:tr>
      <w:tr>
        <w:trPr>
          <w:trHeight w:val="184"/>
        </w:trPr>
        <w:tc>
          <w:tcPr>
            <w:tcW w:w="3460" w:type="dxa"/>
            <w:vAlign w:val="bottom"/>
          </w:tcPr>
          <w:p>
            <w:pPr>
              <w:spacing w:after="0"/>
              <w:rPr>
                <w:sz w:val="20"/>
                <w:szCs w:val="20"/>
                <w:color w:val="auto"/>
              </w:rPr>
            </w:pPr>
            <w:r>
              <w:rPr>
                <w:rFonts w:ascii="Arial" w:cs="Arial" w:eastAsia="Arial" w:hAnsi="Arial"/>
                <w:sz w:val="15"/>
                <w:szCs w:val="15"/>
                <w:color w:val="auto"/>
              </w:rPr>
              <w:t>Mr. Olson</w:t>
            </w:r>
          </w:p>
        </w:tc>
        <w:tc>
          <w:tcPr>
            <w:tcW w:w="27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560" w:type="dxa"/>
            <w:vAlign w:val="bottom"/>
          </w:tcPr>
          <w:p>
            <w:pPr>
              <w:jc w:val="right"/>
              <w:ind w:right="509"/>
              <w:spacing w:after="0"/>
              <w:rPr>
                <w:sz w:val="20"/>
                <w:szCs w:val="20"/>
                <w:color w:val="auto"/>
              </w:rPr>
            </w:pPr>
            <w:r>
              <w:rPr>
                <w:rFonts w:ascii="Arial" w:cs="Arial" w:eastAsia="Arial" w:hAnsi="Arial"/>
                <w:sz w:val="15"/>
                <w:szCs w:val="15"/>
                <w:color w:val="auto"/>
              </w:rPr>
              <w:t>4,937,500</w:t>
            </w:r>
          </w:p>
        </w:tc>
        <w:tc>
          <w:tcPr>
            <w:tcW w:w="2660" w:type="dxa"/>
            <w:vAlign w:val="bottom"/>
          </w:tcPr>
          <w:p>
            <w:pPr>
              <w:jc w:val="right"/>
              <w:spacing w:after="0"/>
              <w:rPr>
                <w:sz w:val="20"/>
                <w:szCs w:val="20"/>
                <w:color w:val="auto"/>
              </w:rPr>
            </w:pPr>
            <w:r>
              <w:rPr>
                <w:rFonts w:ascii="Arial" w:cs="Arial" w:eastAsia="Arial" w:hAnsi="Arial"/>
                <w:sz w:val="15"/>
                <w:szCs w:val="15"/>
                <w:color w:val="auto"/>
              </w:rPr>
              <w:t>9% below</w:t>
            </w:r>
          </w:p>
        </w:tc>
      </w:tr>
      <w:tr>
        <w:trPr>
          <w:trHeight w:val="184"/>
        </w:trPr>
        <w:tc>
          <w:tcPr>
            <w:tcW w:w="346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274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2560" w:type="dxa"/>
            <w:vAlign w:val="bottom"/>
            <w:shd w:val="clear" w:color="auto" w:fill="D9D9D9"/>
          </w:tcPr>
          <w:p>
            <w:pPr>
              <w:jc w:val="right"/>
              <w:ind w:right="509"/>
              <w:spacing w:after="0"/>
              <w:rPr>
                <w:sz w:val="20"/>
                <w:szCs w:val="20"/>
                <w:color w:val="auto"/>
              </w:rPr>
            </w:pPr>
            <w:r>
              <w:rPr>
                <w:rFonts w:ascii="Arial" w:cs="Arial" w:eastAsia="Arial" w:hAnsi="Arial"/>
                <w:sz w:val="15"/>
                <w:szCs w:val="15"/>
                <w:color w:val="auto"/>
              </w:rPr>
              <w:t>1,770,000</w:t>
            </w:r>
          </w:p>
        </w:tc>
        <w:tc>
          <w:tcPr>
            <w:tcW w:w="2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 below</w:t>
            </w:r>
          </w:p>
        </w:tc>
      </w:tr>
      <w:tr>
        <w:trPr>
          <w:trHeight w:val="184"/>
        </w:trPr>
        <w:tc>
          <w:tcPr>
            <w:tcW w:w="3460" w:type="dxa"/>
            <w:vAlign w:val="bottom"/>
          </w:tcPr>
          <w:p>
            <w:pPr>
              <w:spacing w:after="0"/>
              <w:rPr>
                <w:sz w:val="20"/>
                <w:szCs w:val="20"/>
                <w:color w:val="auto"/>
              </w:rPr>
            </w:pPr>
            <w:r>
              <w:rPr>
                <w:rFonts w:ascii="Arial" w:cs="Arial" w:eastAsia="Arial" w:hAnsi="Arial"/>
                <w:sz w:val="15"/>
                <w:szCs w:val="15"/>
                <w:color w:val="auto"/>
              </w:rPr>
              <w:t>Mr. Brown</w:t>
            </w:r>
          </w:p>
        </w:tc>
        <w:tc>
          <w:tcPr>
            <w:tcW w:w="27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560" w:type="dxa"/>
            <w:vAlign w:val="bottom"/>
          </w:tcPr>
          <w:p>
            <w:pPr>
              <w:jc w:val="right"/>
              <w:ind w:right="509"/>
              <w:spacing w:after="0"/>
              <w:rPr>
                <w:sz w:val="20"/>
                <w:szCs w:val="20"/>
                <w:color w:val="auto"/>
              </w:rPr>
            </w:pPr>
            <w:r>
              <w:rPr>
                <w:rFonts w:ascii="Arial" w:cs="Arial" w:eastAsia="Arial" w:hAnsi="Arial"/>
                <w:sz w:val="15"/>
                <w:szCs w:val="15"/>
                <w:color w:val="auto"/>
              </w:rPr>
              <w:t>1,334,250</w:t>
            </w:r>
          </w:p>
        </w:tc>
        <w:tc>
          <w:tcPr>
            <w:tcW w:w="2660" w:type="dxa"/>
            <w:vAlign w:val="bottom"/>
          </w:tcPr>
          <w:p>
            <w:pPr>
              <w:jc w:val="right"/>
              <w:spacing w:after="0"/>
              <w:rPr>
                <w:sz w:val="20"/>
                <w:szCs w:val="20"/>
                <w:color w:val="auto"/>
              </w:rPr>
            </w:pPr>
            <w:r>
              <w:rPr>
                <w:rFonts w:ascii="Arial" w:cs="Arial" w:eastAsia="Arial" w:hAnsi="Arial"/>
                <w:sz w:val="15"/>
                <w:szCs w:val="15"/>
                <w:color w:val="auto"/>
              </w:rPr>
              <w:t>11% below</w:t>
            </w:r>
          </w:p>
        </w:tc>
      </w:tr>
      <w:tr>
        <w:trPr>
          <w:trHeight w:val="184"/>
        </w:trPr>
        <w:tc>
          <w:tcPr>
            <w:tcW w:w="3460" w:type="dxa"/>
            <w:vAlign w:val="bottom"/>
            <w:shd w:val="clear" w:color="auto" w:fill="D9D9D9"/>
          </w:tcPr>
          <w:p>
            <w:pPr>
              <w:spacing w:after="0"/>
              <w:rPr>
                <w:sz w:val="20"/>
                <w:szCs w:val="20"/>
                <w:color w:val="auto"/>
              </w:rPr>
            </w:pPr>
            <w:r>
              <w:rPr>
                <w:rFonts w:ascii="Arial" w:cs="Arial" w:eastAsia="Arial" w:hAnsi="Arial"/>
                <w:sz w:val="15"/>
                <w:szCs w:val="15"/>
                <w:color w:val="auto"/>
              </w:rPr>
              <w:t>Mr. Dordell</w:t>
            </w:r>
          </w:p>
        </w:tc>
        <w:tc>
          <w:tcPr>
            <w:tcW w:w="274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2560" w:type="dxa"/>
            <w:vAlign w:val="bottom"/>
            <w:shd w:val="clear" w:color="auto" w:fill="D9D9D9"/>
          </w:tcPr>
          <w:p>
            <w:pPr>
              <w:jc w:val="right"/>
              <w:ind w:right="509"/>
              <w:spacing w:after="0"/>
              <w:rPr>
                <w:sz w:val="20"/>
                <w:szCs w:val="20"/>
                <w:color w:val="auto"/>
              </w:rPr>
            </w:pPr>
            <w:r>
              <w:rPr>
                <w:rFonts w:ascii="Arial" w:cs="Arial" w:eastAsia="Arial" w:hAnsi="Arial"/>
                <w:sz w:val="15"/>
                <w:szCs w:val="15"/>
                <w:color w:val="auto"/>
              </w:rPr>
              <w:t>1,275,800</w:t>
            </w:r>
          </w:p>
        </w:tc>
        <w:tc>
          <w:tcPr>
            <w:tcW w:w="2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 below</w:t>
            </w:r>
          </w:p>
        </w:tc>
      </w:tr>
      <w:tr>
        <w:trPr>
          <w:trHeight w:val="191"/>
        </w:trPr>
        <w:tc>
          <w:tcPr>
            <w:tcW w:w="3460" w:type="dxa"/>
            <w:vAlign w:val="bottom"/>
          </w:tcPr>
          <w:p>
            <w:pPr>
              <w:spacing w:after="0"/>
              <w:rPr>
                <w:sz w:val="20"/>
                <w:szCs w:val="20"/>
                <w:color w:val="auto"/>
              </w:rPr>
            </w:pPr>
            <w:r>
              <w:rPr>
                <w:rFonts w:ascii="Arial" w:cs="Arial" w:eastAsia="Arial" w:hAnsi="Arial"/>
                <w:sz w:val="15"/>
                <w:szCs w:val="15"/>
                <w:color w:val="auto"/>
              </w:rPr>
              <w:t>Mr. Hamilton</w:t>
            </w:r>
          </w:p>
        </w:tc>
        <w:tc>
          <w:tcPr>
            <w:tcW w:w="27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560" w:type="dxa"/>
            <w:vAlign w:val="bottom"/>
          </w:tcPr>
          <w:p>
            <w:pPr>
              <w:jc w:val="right"/>
              <w:ind w:right="509"/>
              <w:spacing w:after="0"/>
              <w:rPr>
                <w:sz w:val="20"/>
                <w:szCs w:val="20"/>
                <w:color w:val="auto"/>
              </w:rPr>
            </w:pPr>
            <w:r>
              <w:rPr>
                <w:rFonts w:ascii="Arial" w:cs="Arial" w:eastAsia="Arial" w:hAnsi="Arial"/>
                <w:sz w:val="15"/>
                <w:szCs w:val="15"/>
                <w:color w:val="auto"/>
              </w:rPr>
              <w:t>972,500</w:t>
            </w:r>
          </w:p>
        </w:tc>
        <w:tc>
          <w:tcPr>
            <w:tcW w:w="2660" w:type="dxa"/>
            <w:vAlign w:val="bottom"/>
          </w:tcPr>
          <w:p>
            <w:pPr>
              <w:jc w:val="right"/>
              <w:spacing w:after="0"/>
              <w:rPr>
                <w:sz w:val="20"/>
                <w:szCs w:val="20"/>
                <w:color w:val="auto"/>
              </w:rPr>
            </w:pPr>
            <w:r>
              <w:rPr>
                <w:rFonts w:ascii="Arial" w:cs="Arial" w:eastAsia="Arial" w:hAnsi="Arial"/>
                <w:sz w:val="15"/>
                <w:szCs w:val="15"/>
                <w:color w:val="auto"/>
              </w:rPr>
              <w:t>25% below</w:t>
            </w:r>
          </w:p>
        </w:tc>
      </w:tr>
    </w:tbl>
    <w:p>
      <w:pPr>
        <w:spacing w:after="0" w:line="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Health, Welfare and Retirement Benefits and All Other Compensation</w:t>
      </w:r>
      <w:r>
        <w:rPr>
          <w:rFonts w:ascii="Arial" w:cs="Arial" w:eastAsia="Arial" w:hAnsi="Arial"/>
          <w:sz w:val="16"/>
          <w:szCs w:val="16"/>
          <w:b w:val="1"/>
          <w:bCs w:val="1"/>
          <w:color w:val="auto"/>
        </w:rPr>
        <w:t>.</w:t>
      </w:r>
    </w:p>
    <w:p>
      <w:pPr>
        <w:spacing w:after="0" w:line="102" w:lineRule="exact"/>
        <w:rPr>
          <w:sz w:val="20"/>
          <w:szCs w:val="20"/>
          <w:color w:val="auto"/>
        </w:rPr>
      </w:pPr>
    </w:p>
    <w:p>
      <w:pPr>
        <w:ind w:right="120" w:firstLine="408"/>
        <w:spacing w:after="0" w:line="257" w:lineRule="auto"/>
        <w:rPr>
          <w:sz w:val="20"/>
          <w:szCs w:val="20"/>
          <w:color w:val="auto"/>
        </w:rPr>
      </w:pPr>
      <w:r>
        <w:rPr>
          <w:rFonts w:ascii="Arial" w:cs="Arial" w:eastAsia="Arial" w:hAnsi="Arial"/>
          <w:sz w:val="16"/>
          <w:szCs w:val="16"/>
          <w:i w:val="1"/>
          <w:iCs w:val="1"/>
          <w:color w:val="auto"/>
        </w:rPr>
        <w:t xml:space="preserve">Health and Welfare Benefits. </w:t>
      </w:r>
      <w:r>
        <w:rPr>
          <w:rFonts w:ascii="Arial" w:cs="Arial" w:eastAsia="Arial" w:hAnsi="Arial"/>
          <w:sz w:val="16"/>
          <w:szCs w:val="16"/>
          <w:color w:val="auto"/>
        </w:rPr>
        <w:t>We believe that providing competitive health and welfare benefits at a reasonable cost is an important part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compensation package and promotes employee health. Our executive officers participate in the same health and welfare benefits as our full-time office salaried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3" w:name="page54"/>
    <w:bookmarkEnd w:id="5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2" w:right="300"/>
        <w:spacing w:after="0" w:line="255" w:lineRule="auto"/>
        <w:rPr>
          <w:sz w:val="20"/>
          <w:szCs w:val="20"/>
          <w:color w:val="auto"/>
        </w:rPr>
      </w:pPr>
      <w:r>
        <w:rPr>
          <w:rFonts w:ascii="Arial" w:cs="Arial" w:eastAsia="Arial" w:hAnsi="Arial"/>
          <w:sz w:val="16"/>
          <w:szCs w:val="16"/>
          <w:color w:val="auto"/>
        </w:rPr>
        <w:t>employees. These health and welfare benefits for fiscal 2018 included medical and dental insurance; life, accidental death and dismemberment insurance; and disability insurance. These benefits, including plan design and cost, are analyzed annually.</w:t>
      </w:r>
    </w:p>
    <w:p>
      <w:pPr>
        <w:spacing w:after="0" w:line="59" w:lineRule="exact"/>
        <w:rPr>
          <w:sz w:val="20"/>
          <w:szCs w:val="20"/>
          <w:color w:val="auto"/>
        </w:rPr>
      </w:pPr>
    </w:p>
    <w:p>
      <w:pPr>
        <w:ind w:left="2" w:right="220" w:firstLine="408"/>
        <w:spacing w:after="0" w:line="245" w:lineRule="auto"/>
        <w:rPr>
          <w:sz w:val="20"/>
          <w:szCs w:val="20"/>
          <w:color w:val="auto"/>
        </w:rPr>
      </w:pPr>
      <w:r>
        <w:rPr>
          <w:rFonts w:ascii="Arial" w:cs="Arial" w:eastAsia="Arial" w:hAnsi="Arial"/>
          <w:sz w:val="16"/>
          <w:szCs w:val="16"/>
          <w:i w:val="1"/>
          <w:iCs w:val="1"/>
          <w:color w:val="auto"/>
        </w:rPr>
        <w:t xml:space="preserve">Retirement Benefits. </w:t>
      </w:r>
      <w:r>
        <w:rPr>
          <w:rFonts w:ascii="Arial" w:cs="Arial" w:eastAsia="Arial" w:hAnsi="Arial"/>
          <w:sz w:val="16"/>
          <w:szCs w:val="16"/>
          <w:color w:val="auto"/>
        </w:rPr>
        <w:t>We believe that it is important to allow our employees, including our executive officers, the opportunity to save for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IS&amp;ESOP, which is our defined contribution plan. The majority of our U.S.-based employees participate in the IS&amp;ESOP and certain other employees that are members of a collectively bargained agreement or employees of certain of our subsidiaries participate in different retirement plans. For 2018, the IS&amp;ESOP included a 401(k) plan with a company match and two other annual discretionary company contributions, which included an investment savings contribution and an ESOP contribution. In early fiscal 2019, the Company announced a change to our IS&amp;ESOP, including an increase to the company matching contribution and elimination of the ESOP contribution for the 2019 plan year. Company contributions for fiscal 2018 to our IS&amp;ESOP on behalf of our named executive officers can be found under “All Other Compensation for Fiscal 2018” beginning on page 45.</w:t>
      </w:r>
    </w:p>
    <w:p>
      <w:pPr>
        <w:spacing w:after="0" w:line="66" w:lineRule="exact"/>
        <w:rPr>
          <w:sz w:val="20"/>
          <w:szCs w:val="20"/>
          <w:color w:val="auto"/>
        </w:rPr>
      </w:pPr>
    </w:p>
    <w:p>
      <w:pPr>
        <w:ind w:left="2" w:right="320" w:firstLine="408"/>
        <w:spacing w:after="0" w:line="253" w:lineRule="auto"/>
        <w:rPr>
          <w:sz w:val="20"/>
          <w:szCs w:val="20"/>
          <w:color w:val="auto"/>
        </w:rPr>
      </w:pPr>
      <w:r>
        <w:rPr>
          <w:rFonts w:ascii="Arial" w:cs="Arial" w:eastAsia="Arial" w:hAnsi="Arial"/>
          <w:sz w:val="16"/>
          <w:szCs w:val="16"/>
          <w:i w:val="1"/>
          <w:iCs w:val="1"/>
          <w:color w:val="auto"/>
        </w:rPr>
        <w:t>Nonqualified Deferred Compensation Plans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To help ensure our executive officers’ ability to provide financial security and save for retirement, we</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three nonqualified deferred compensation plans, which include: The Toro Company Deferred Compensation Plan, or Deferred Plan, The Toro Company Deferred Compensation Plan for Officers, or the Deferred Plan for Officers and The Toro Company Supplemental Benefit Plan, or Supplemental Benefit Plan. These plans, which are unsecured and unfunded, are described under “Nonqualified Deferred Compensation for Fiscal 2018” on page 50.</w:t>
      </w:r>
    </w:p>
    <w:p>
      <w:pPr>
        <w:spacing w:after="0" w:line="61" w:lineRule="exact"/>
        <w:rPr>
          <w:sz w:val="20"/>
          <w:szCs w:val="20"/>
          <w:color w:val="auto"/>
        </w:rPr>
      </w:pPr>
    </w:p>
    <w:p>
      <w:pPr>
        <w:ind w:left="402"/>
        <w:spacing w:after="0"/>
        <w:tabs>
          <w:tab w:leader="none" w:pos="1422" w:val="left"/>
        </w:tabs>
        <w:rPr>
          <w:sz w:val="20"/>
          <w:szCs w:val="20"/>
          <w:color w:val="auto"/>
        </w:rPr>
      </w:pPr>
      <w:r>
        <w:rPr>
          <w:rFonts w:ascii="Arial" w:cs="Arial" w:eastAsia="Arial" w:hAnsi="Arial"/>
          <w:sz w:val="16"/>
          <w:szCs w:val="16"/>
          <w:i w:val="1"/>
          <w:iCs w:val="1"/>
          <w:color w:val="auto"/>
        </w:rPr>
        <w:t>Perquisites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perquisites provided during fiscal 2018 to our executive officers are described in “All Other Compensation for Fiscal 2018” on page</w:t>
      </w:r>
    </w:p>
    <w:p>
      <w:pPr>
        <w:spacing w:after="0" w:line="16" w:lineRule="exact"/>
        <w:rPr>
          <w:sz w:val="20"/>
          <w:szCs w:val="20"/>
          <w:color w:val="auto"/>
        </w:rPr>
      </w:pPr>
    </w:p>
    <w:p>
      <w:pPr>
        <w:ind w:left="2" w:right="540" w:hanging="2"/>
        <w:spacing w:after="0" w:line="247" w:lineRule="auto"/>
        <w:tabs>
          <w:tab w:leader="none" w:pos="274"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believe these perquisites are an important part of our overall compensation package and help us attract, retain and reward top executive talent. Specifically, we believe that these perquisites assist in promoting the financial security and health of our executive officers and encourage the use and promotion of our products.</w:t>
      </w:r>
    </w:p>
    <w:p>
      <w:pPr>
        <w:spacing w:after="0" w:line="61" w:lineRule="exact"/>
        <w:rPr>
          <w:sz w:val="20"/>
          <w:szCs w:val="20"/>
          <w:color w:val="auto"/>
        </w:rPr>
      </w:pPr>
    </w:p>
    <w:p>
      <w:pPr>
        <w:ind w:left="2" w:right="220" w:firstLine="408"/>
        <w:spacing w:after="0" w:line="260" w:lineRule="auto"/>
        <w:rPr>
          <w:sz w:val="20"/>
          <w:szCs w:val="20"/>
          <w:color w:val="auto"/>
        </w:rPr>
      </w:pPr>
      <w:r>
        <w:rPr>
          <w:rFonts w:ascii="Arial" w:cs="Arial" w:eastAsia="Arial" w:hAnsi="Arial"/>
          <w:sz w:val="16"/>
          <w:szCs w:val="16"/>
          <w:i w:val="1"/>
          <w:iCs w:val="1"/>
          <w:color w:val="auto"/>
        </w:rPr>
        <w:t>Charitable Giving</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support charitable organizations for our employees through our matching gift program. The program for our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that a gift or gifts by an executive officer and his/her spouse to one or more tax exempt 501(c)(3) charitable organizations located in the United States will be matched by us in an aggregate amount of up to $3,000 per year.</w:t>
      </w:r>
    </w:p>
    <w:p>
      <w:pPr>
        <w:spacing w:after="0" w:line="51" w:lineRule="exact"/>
        <w:rPr>
          <w:sz w:val="20"/>
          <w:szCs w:val="20"/>
          <w:color w:val="auto"/>
        </w:rPr>
      </w:pPr>
    </w:p>
    <w:p>
      <w:pPr>
        <w:ind w:left="2" w:right="140" w:firstLine="408"/>
        <w:spacing w:after="0" w:line="250" w:lineRule="auto"/>
        <w:rPr>
          <w:sz w:val="20"/>
          <w:szCs w:val="20"/>
          <w:color w:val="auto"/>
        </w:rPr>
      </w:pPr>
      <w:r>
        <w:rPr>
          <w:rFonts w:ascii="Arial" w:cs="Arial" w:eastAsia="Arial" w:hAnsi="Arial"/>
          <w:sz w:val="16"/>
          <w:szCs w:val="16"/>
          <w:b w:val="1"/>
          <w:bCs w:val="1"/>
          <w:color w:val="auto"/>
        </w:rPr>
        <w:t xml:space="preserve">Employment, Severance and Change in Control Arrangements. </w:t>
      </w:r>
      <w:r>
        <w:rPr>
          <w:rFonts w:ascii="Arial" w:cs="Arial" w:eastAsia="Arial" w:hAnsi="Arial"/>
          <w:sz w:val="16"/>
          <w:szCs w:val="16"/>
          <w:color w:val="auto"/>
        </w:rPr>
        <w:t>Our executive officers do not have any employment or severance agreements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other than as provided for in our CIC policy and other than certain change in control provisions in our equity plans. Accordingly, our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55. Each executive officer is a party to our standard confidentiality, invention and non-compete agreement.</w:t>
      </w:r>
    </w:p>
    <w:p>
      <w:pPr>
        <w:spacing w:after="0" w:line="79" w:lineRule="exact"/>
        <w:rPr>
          <w:sz w:val="20"/>
          <w:szCs w:val="20"/>
          <w:color w:val="auto"/>
        </w:rPr>
      </w:pPr>
    </w:p>
    <w:p>
      <w:pPr>
        <w:ind w:left="2" w:firstLine="408"/>
        <w:spacing w:after="0" w:line="243" w:lineRule="auto"/>
        <w:rPr>
          <w:sz w:val="20"/>
          <w:szCs w:val="20"/>
          <w:color w:val="auto"/>
        </w:rPr>
      </w:pPr>
      <w:r>
        <w:rPr>
          <w:rFonts w:ascii="Arial" w:cs="Arial" w:eastAsia="Arial" w:hAnsi="Arial"/>
          <w:sz w:val="16"/>
          <w:szCs w:val="16"/>
          <w:color w:val="auto"/>
        </w:rPr>
        <w:t>We believe our CIC policy and other change in control arrangements are important because they provide retention incentives and additional monetary motivation to complete a transaction that the Board believes is in the best interests of our Company and shareholders. We believe it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86" w:lineRule="exact"/>
        <w:rPr>
          <w:sz w:val="20"/>
          <w:szCs w:val="20"/>
          <w:color w:val="auto"/>
        </w:rPr>
      </w:pPr>
    </w:p>
    <w:p>
      <w:pPr>
        <w:ind w:left="2" w:right="120" w:firstLine="408"/>
        <w:spacing w:after="0" w:line="243" w:lineRule="auto"/>
        <w:rPr>
          <w:sz w:val="20"/>
          <w:szCs w:val="20"/>
          <w:color w:val="auto"/>
        </w:rPr>
      </w:pPr>
      <w:r>
        <w:rPr>
          <w:rFonts w:ascii="Arial" w:cs="Arial" w:eastAsia="Arial" w:hAnsi="Arial"/>
          <w:sz w:val="16"/>
          <w:szCs w:val="16"/>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w:t>
      </w:r>
    </w:p>
    <w:p>
      <w:pPr>
        <w:spacing w:after="0" w:line="86" w:lineRule="exact"/>
        <w:rPr>
          <w:sz w:val="20"/>
          <w:szCs w:val="20"/>
          <w:color w:val="auto"/>
        </w:rPr>
      </w:pPr>
    </w:p>
    <w:p>
      <w:pPr>
        <w:ind w:left="2" w:right="120" w:firstLine="408"/>
        <w:spacing w:after="0" w:line="244" w:lineRule="auto"/>
        <w:rPr>
          <w:sz w:val="20"/>
          <w:szCs w:val="20"/>
          <w:color w:val="auto"/>
        </w:rPr>
      </w:pPr>
      <w:r>
        <w:rPr>
          <w:rFonts w:ascii="Arial" w:cs="Arial" w:eastAsia="Arial" w:hAnsi="Arial"/>
          <w:sz w:val="16"/>
          <w:szCs w:val="16"/>
          <w:color w:val="auto"/>
        </w:rPr>
        <w:t>In addition to our CIC policy, we also have change in control provisions in our Amended and Restated 2010 Plan and prior equity plans and individual award agreements that apply to our executives, as well as other employees, that provide for immediate vesting acceleration upon a change in control. More information regarding these provisions is also provided under “Potential Payments Upon Termination or Change in Control—Change in Control” beginning on page 55. Because the immediate vesting of stock options, restricted stock units and certain</w:t>
      </w:r>
    </w:p>
    <w:p>
      <w:pPr>
        <w:spacing w:after="0" w:line="18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other awards is triggered by the change in control itself, and is not dependent upon a termination of employment within a certain protection period, these acceleration provisions are known as a “single trigger” change in control arrangements. We believe these “single trigger” change in control arrangements for equity awards granted provide important retention 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Compensation &amp; Human Resources Committee reviews our change of control arrangements periodically to ensure that they remain appropriate.</w:t>
      </w:r>
    </w:p>
    <w:p>
      <w:pPr>
        <w:spacing w:after="0" w:line="78" w:lineRule="exact"/>
        <w:rPr>
          <w:sz w:val="20"/>
          <w:szCs w:val="20"/>
          <w:color w:val="auto"/>
        </w:rPr>
      </w:pPr>
    </w:p>
    <w:p>
      <w:pPr>
        <w:ind w:right="60" w:firstLine="408"/>
        <w:spacing w:after="0" w:line="260" w:lineRule="auto"/>
        <w:rPr>
          <w:sz w:val="20"/>
          <w:szCs w:val="20"/>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We maintain stock ownership guidelines that enable us to meet our compensation objective of aligning the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 with those of our shareholders. Our stock ownership guidelines are described in more detail in “Stock Ownership Guidelines” on page 62. As of October 31, 2018, each of our executive officers required to meet the stock ownership guidelines had met such guideline.</w:t>
      </w:r>
    </w:p>
    <w:p>
      <w:pPr>
        <w:spacing w:after="0" w:line="51" w:lineRule="exact"/>
        <w:rPr>
          <w:sz w:val="20"/>
          <w:szCs w:val="20"/>
          <w:color w:val="auto"/>
        </w:rPr>
      </w:pPr>
    </w:p>
    <w:p>
      <w:pPr>
        <w:ind w:right="200" w:firstLine="408"/>
        <w:spacing w:after="0" w:line="253" w:lineRule="auto"/>
        <w:rPr>
          <w:sz w:val="20"/>
          <w:szCs w:val="20"/>
          <w:color w:val="auto"/>
        </w:rPr>
      </w:pPr>
      <w:r>
        <w:rPr>
          <w:rFonts w:ascii="Arial" w:cs="Arial" w:eastAsia="Arial" w:hAnsi="Arial"/>
          <w:sz w:val="16"/>
          <w:szCs w:val="16"/>
          <w:b w:val="1"/>
          <w:bCs w:val="1"/>
          <w:color w:val="auto"/>
        </w:rPr>
        <w:t xml:space="preserve">Hedging and Pledging. </w:t>
      </w:r>
      <w:r>
        <w:rPr>
          <w:rFonts w:ascii="Arial" w:cs="Arial" w:eastAsia="Arial" w:hAnsi="Arial"/>
          <w:sz w:val="16"/>
          <w:szCs w:val="16"/>
          <w:color w:val="auto"/>
        </w:rPr>
        <w:t>Our insider trading policy prohibits officers and directors from purchasing Toro securities on margin, borrowing against any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in which Toro securities are held, or pledging Toro securities as collateral for a loan. In addition, our insider trading policy prohibits employees (including executive officers) and directors from purchasing any financial instruments (including, without limitation, prepaid variable forward contracts, equity swaps, collars and exchange funds) that are designed to hedge or offset any decrease in the market value of Toro securities.</w:t>
      </w:r>
    </w:p>
    <w:p>
      <w:pPr>
        <w:spacing w:after="0" w:line="57" w:lineRule="exact"/>
        <w:rPr>
          <w:sz w:val="20"/>
          <w:szCs w:val="20"/>
          <w:color w:val="auto"/>
        </w:rPr>
      </w:pPr>
    </w:p>
    <w:p>
      <w:pPr>
        <w:ind w:firstLine="408"/>
        <w:spacing w:after="0" w:line="243"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Prior to the enactment of the Tax Act, in designing our executive compensation program, we considered the</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deductibility of executive compensation under Code Section 162(m). At the time the Compensation &amp; Human Resources Committee made compensation decisions for our executive officers for fiscal 2018, Code Section 162(m) provided that we may not deduct each year more than $1 million paid to certain executive officers, other than “performance-based” compensation meeting certain requirements. The Tax Act, among other things, repealed the exemption from Code Section 162(m)’s deduction limit for “performance-based” compensation for taxable years beginning after December 31, 2017. Our compensation plans were designed with the intention of satisfying the requirements for “performance-based” compensation as defined in Code Section 162(m) prior to the effective date of the Tax Act so that such awards would be exempt from the Code Section 162(m) deduction limitation. While we designed these plans to operate in this manner, the Committee may administer the plans in a manner that does not satisfy such requirements in order to achieve a result that the Committee determines to be appropriate, including by revising performance goals and/or adjustment events as needed to ensure our pay practices continue to align with performance. While the Committee desires to structure performance-based compensation in a manner intended to be exempt from the Code Section 162(m) deduction limit, no assurance can be given that compensation intended to satisfy the requirements for exemption from Code Section 162(m) in fact will.</w:t>
      </w:r>
    </w:p>
    <w:p>
      <w:pPr>
        <w:spacing w:after="0" w:line="274" w:lineRule="exact"/>
        <w:rPr>
          <w:sz w:val="20"/>
          <w:szCs w:val="20"/>
          <w:color w:val="auto"/>
        </w:rPr>
      </w:pPr>
    </w:p>
    <w:p>
      <w:pPr>
        <w:jc w:val="both"/>
        <w:ind w:right="100" w:firstLine="408"/>
        <w:spacing w:after="0" w:line="247" w:lineRule="auto"/>
        <w:rPr>
          <w:sz w:val="20"/>
          <w:szCs w:val="20"/>
          <w:color w:val="auto"/>
        </w:rPr>
      </w:pPr>
      <w:r>
        <w:rPr>
          <w:rFonts w:ascii="Arial" w:cs="Arial" w:eastAsia="Arial" w:hAnsi="Arial"/>
          <w:sz w:val="16"/>
          <w:szCs w:val="16"/>
          <w:color w:val="auto"/>
        </w:rPr>
        <w:t>Despite the changes to Section 162(m) as a result of the Tax Act, consistent with our executive compensation philosophy of linking pay to performance and aligning executive interests with those of our shareholders, we currently expect that we will continue to structure our executive compensation program so that a significant portion of total executive compensation is linked to the performance of our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Assessment of Risk Related to Compensation Programs</w:t>
      </w:r>
    </w:p>
    <w:p>
      <w:pPr>
        <w:spacing w:after="0" w:line="118"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We determined that our compensation policies, practices and programs and related compensation governance structure work together to minimize exposure to excessive risk while appropriately pursuing growth, profitability and asset efficiency strategies that emphasize shareholder value creation. In reaching such determination, we noted that (i) base salaries for all employees are targeted within a competitive range of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5" w:name="page56"/>
    <w:bookmarkEnd w:id="55"/>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Summary Compensation Table</w:t>
      </w:r>
    </w:p>
    <w:p>
      <w:pPr>
        <w:spacing w:after="0" w:line="112" w:lineRule="exact"/>
        <w:rPr>
          <w:sz w:val="20"/>
          <w:szCs w:val="20"/>
          <w:color w:val="auto"/>
        </w:rPr>
      </w:pPr>
    </w:p>
    <w:p>
      <w:pPr>
        <w:ind w:left="2" w:right="60" w:firstLine="408"/>
        <w:spacing w:after="0" w:line="242" w:lineRule="auto"/>
        <w:rPr>
          <w:sz w:val="20"/>
          <w:szCs w:val="20"/>
          <w:color w:val="auto"/>
        </w:rPr>
      </w:pPr>
      <w:r>
        <w:rPr>
          <w:rFonts w:ascii="Arial" w:cs="Arial" w:eastAsia="Arial" w:hAnsi="Arial"/>
          <w:sz w:val="16"/>
          <w:szCs w:val="16"/>
          <w:color w:val="auto"/>
        </w:rPr>
        <w:t>The following table summarizes compensation for each of the last three fiscal years awarded to, earned by or paid to individuals who served as our principal executive officer and principal financial officer and each of the other three most highly compensated executive officers during fiscal 2018. We collectively refer to these executive officers as our “named executive officers” for fiscal 2018. The “Compensation Discussion and Analysis” beginning on page 29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2018” beginning on page 50. Earnings on nonqualified deferred compensation are not on a basis that is considered to be above-market or preferential.</w:t>
      </w:r>
    </w:p>
    <w:p>
      <w:pPr>
        <w:spacing w:after="0" w:line="85"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120" w:type="dxa"/>
            <w:vAlign w:val="bottom"/>
            <w:shd w:val="clear" w:color="auto" w:fill="C00000"/>
          </w:tcPr>
          <w:p>
            <w:pPr>
              <w:spacing w:after="0"/>
              <w:rPr>
                <w:sz w:val="13"/>
                <w:szCs w:val="13"/>
                <w:color w:val="auto"/>
              </w:rPr>
            </w:pPr>
          </w:p>
        </w:tc>
        <w:tc>
          <w:tcPr>
            <w:tcW w:w="60" w:type="dxa"/>
            <w:vAlign w:val="bottom"/>
            <w:shd w:val="clear" w:color="auto" w:fill="C00000"/>
          </w:tcPr>
          <w:p>
            <w:pPr>
              <w:spacing w:after="0"/>
              <w:rPr>
                <w:sz w:val="13"/>
                <w:szCs w:val="13"/>
                <w:color w:val="auto"/>
              </w:rPr>
            </w:pPr>
          </w:p>
        </w:tc>
        <w:tc>
          <w:tcPr>
            <w:tcW w:w="620" w:type="dxa"/>
            <w:vAlign w:val="bottom"/>
            <w:shd w:val="clear" w:color="auto" w:fill="C00000"/>
          </w:tcPr>
          <w:p>
            <w:pPr>
              <w:spacing w:after="0"/>
              <w:rPr>
                <w:sz w:val="13"/>
                <w:szCs w:val="13"/>
                <w:color w:val="auto"/>
              </w:rPr>
            </w:pPr>
          </w:p>
        </w:tc>
        <w:tc>
          <w:tcPr>
            <w:tcW w:w="180" w:type="dxa"/>
            <w:vAlign w:val="bottom"/>
            <w:shd w:val="clear" w:color="auto" w:fill="C00000"/>
          </w:tcPr>
          <w:p>
            <w:pPr>
              <w:spacing w:after="0"/>
              <w:rPr>
                <w:sz w:val="13"/>
                <w:szCs w:val="13"/>
                <w:color w:val="auto"/>
              </w:rPr>
            </w:pPr>
          </w:p>
        </w:tc>
        <w:tc>
          <w:tcPr>
            <w:tcW w:w="700" w:type="dxa"/>
            <w:vAlign w:val="bottom"/>
            <w:shd w:val="clear" w:color="auto" w:fill="C00000"/>
          </w:tcPr>
          <w:p>
            <w:pPr>
              <w:spacing w:after="0"/>
              <w:rPr>
                <w:sz w:val="13"/>
                <w:szCs w:val="13"/>
                <w:color w:val="auto"/>
              </w:rPr>
            </w:pPr>
          </w:p>
        </w:tc>
        <w:tc>
          <w:tcPr>
            <w:tcW w:w="740" w:type="dxa"/>
            <w:vAlign w:val="bottom"/>
            <w:shd w:val="clear" w:color="auto" w:fill="C00000"/>
          </w:tcPr>
          <w:p>
            <w:pPr>
              <w:spacing w:after="0"/>
              <w:rPr>
                <w:sz w:val="13"/>
                <w:szCs w:val="13"/>
                <w:color w:val="auto"/>
              </w:rPr>
            </w:pPr>
          </w:p>
        </w:tc>
        <w:tc>
          <w:tcPr>
            <w:tcW w:w="200" w:type="dxa"/>
            <w:vAlign w:val="bottom"/>
            <w:shd w:val="clear" w:color="auto" w:fill="C00000"/>
          </w:tcPr>
          <w:p>
            <w:pPr>
              <w:spacing w:after="0"/>
              <w:rPr>
                <w:sz w:val="13"/>
                <w:szCs w:val="13"/>
                <w:color w:val="auto"/>
              </w:rPr>
            </w:pPr>
          </w:p>
        </w:tc>
        <w:tc>
          <w:tcPr>
            <w:tcW w:w="820" w:type="dxa"/>
            <w:vAlign w:val="bottom"/>
            <w:shd w:val="clear" w:color="auto" w:fill="C00000"/>
          </w:tcPr>
          <w:p>
            <w:pPr>
              <w:spacing w:after="0"/>
              <w:rPr>
                <w:sz w:val="13"/>
                <w:szCs w:val="13"/>
                <w:color w:val="auto"/>
              </w:rPr>
            </w:pPr>
          </w:p>
        </w:tc>
        <w:tc>
          <w:tcPr>
            <w:tcW w:w="180" w:type="dxa"/>
            <w:vAlign w:val="bottom"/>
            <w:shd w:val="clear" w:color="auto" w:fill="C00000"/>
          </w:tcPr>
          <w:p>
            <w:pPr>
              <w:spacing w:after="0"/>
              <w:rPr>
                <w:sz w:val="13"/>
                <w:szCs w:val="13"/>
                <w:color w:val="auto"/>
              </w:rPr>
            </w:pPr>
          </w:p>
        </w:tc>
        <w:tc>
          <w:tcPr>
            <w:tcW w:w="900" w:type="dxa"/>
            <w:vAlign w:val="bottom"/>
            <w:shd w:val="clear" w:color="auto" w:fill="C00000"/>
          </w:tcPr>
          <w:p>
            <w:pPr>
              <w:spacing w:after="0"/>
              <w:rPr>
                <w:sz w:val="13"/>
                <w:szCs w:val="13"/>
                <w:color w:val="auto"/>
              </w:rPr>
            </w:pPr>
          </w:p>
        </w:tc>
        <w:tc>
          <w:tcPr>
            <w:tcW w:w="1480" w:type="dxa"/>
            <w:vAlign w:val="bottom"/>
            <w:gridSpan w:val="2"/>
            <w:shd w:val="clear" w:color="auto" w:fill="C00000"/>
          </w:tcPr>
          <w:p>
            <w:pPr>
              <w:jc w:val="center"/>
              <w:ind w:right="78"/>
              <w:spacing w:after="0"/>
              <w:rPr>
                <w:sz w:val="20"/>
                <w:szCs w:val="20"/>
                <w:color w:val="auto"/>
              </w:rPr>
            </w:pPr>
            <w:r>
              <w:rPr>
                <w:rFonts w:ascii="Arial" w:cs="Arial" w:eastAsia="Arial" w:hAnsi="Arial"/>
                <w:sz w:val="13"/>
                <w:szCs w:val="13"/>
                <w:b w:val="1"/>
                <w:bCs w:val="1"/>
                <w:color w:val="FFFFFF"/>
              </w:rPr>
              <w:t>Non-Equity</w:t>
            </w:r>
          </w:p>
        </w:tc>
        <w:tc>
          <w:tcPr>
            <w:tcW w:w="520" w:type="dxa"/>
            <w:vAlign w:val="bottom"/>
            <w:shd w:val="clear" w:color="auto" w:fill="C00000"/>
          </w:tcPr>
          <w:p>
            <w:pPr>
              <w:spacing w:after="0"/>
              <w:rPr>
                <w:sz w:val="13"/>
                <w:szCs w:val="13"/>
                <w:color w:val="auto"/>
              </w:rPr>
            </w:pPr>
          </w:p>
        </w:tc>
        <w:tc>
          <w:tcPr>
            <w:tcW w:w="900" w:type="dxa"/>
            <w:vAlign w:val="bottom"/>
            <w:shd w:val="clear" w:color="auto" w:fill="C00000"/>
          </w:tcPr>
          <w:p>
            <w:pPr>
              <w:spacing w:after="0"/>
              <w:rPr>
                <w:sz w:val="13"/>
                <w:szCs w:val="13"/>
                <w:color w:val="auto"/>
              </w:rPr>
            </w:pPr>
          </w:p>
        </w:tc>
        <w:tc>
          <w:tcPr>
            <w:tcW w:w="260" w:type="dxa"/>
            <w:vAlign w:val="bottom"/>
            <w:shd w:val="clear" w:color="auto" w:fill="C00000"/>
          </w:tcPr>
          <w:p>
            <w:pPr>
              <w:spacing w:after="0"/>
              <w:rPr>
                <w:sz w:val="13"/>
                <w:szCs w:val="13"/>
                <w:color w:val="auto"/>
              </w:rPr>
            </w:pPr>
          </w:p>
        </w:tc>
        <w:tc>
          <w:tcPr>
            <w:tcW w:w="740" w:type="dxa"/>
            <w:vAlign w:val="bottom"/>
            <w:shd w:val="clear" w:color="auto" w:fill="C00000"/>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00000"/>
          </w:tcPr>
          <w:p>
            <w:pPr>
              <w:spacing w:after="0"/>
              <w:rPr>
                <w:sz w:val="12"/>
                <w:szCs w:val="12"/>
                <w:color w:val="auto"/>
              </w:rPr>
            </w:pPr>
          </w:p>
        </w:tc>
        <w:tc>
          <w:tcPr>
            <w:tcW w:w="60" w:type="dxa"/>
            <w:vAlign w:val="bottom"/>
            <w:shd w:val="clear" w:color="auto" w:fill="C00000"/>
          </w:tcPr>
          <w:p>
            <w:pPr>
              <w:spacing w:after="0"/>
              <w:rPr>
                <w:sz w:val="12"/>
                <w:szCs w:val="12"/>
                <w:color w:val="auto"/>
              </w:rPr>
            </w:pPr>
          </w:p>
        </w:tc>
        <w:tc>
          <w:tcPr>
            <w:tcW w:w="62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40" w:type="dxa"/>
            <w:vAlign w:val="bottom"/>
            <w:shd w:val="clear" w:color="auto" w:fill="C00000"/>
          </w:tcPr>
          <w:p>
            <w:pPr>
              <w:spacing w:after="0"/>
              <w:rPr>
                <w:sz w:val="12"/>
                <w:szCs w:val="12"/>
                <w:color w:val="auto"/>
              </w:rPr>
            </w:pPr>
          </w:p>
        </w:tc>
        <w:tc>
          <w:tcPr>
            <w:tcW w:w="200" w:type="dxa"/>
            <w:vAlign w:val="bottom"/>
            <w:shd w:val="clear" w:color="auto" w:fill="C00000"/>
          </w:tcPr>
          <w:p>
            <w:pPr>
              <w:spacing w:after="0"/>
              <w:rPr>
                <w:sz w:val="12"/>
                <w:szCs w:val="12"/>
                <w:color w:val="auto"/>
              </w:rPr>
            </w:pPr>
          </w:p>
        </w:tc>
        <w:tc>
          <w:tcPr>
            <w:tcW w:w="820" w:type="dxa"/>
            <w:vAlign w:val="bottom"/>
            <w:shd w:val="clear" w:color="auto" w:fill="C00000"/>
          </w:tcPr>
          <w:p>
            <w:pPr>
              <w:jc w:val="center"/>
              <w:ind w:right="79"/>
              <w:spacing w:after="0" w:line="143" w:lineRule="exact"/>
              <w:rPr>
                <w:sz w:val="20"/>
                <w:szCs w:val="20"/>
                <w:color w:val="auto"/>
              </w:rPr>
            </w:pPr>
            <w:r>
              <w:rPr>
                <w:rFonts w:ascii="Arial" w:cs="Arial" w:eastAsia="Arial" w:hAnsi="Arial"/>
                <w:sz w:val="13"/>
                <w:szCs w:val="13"/>
                <w:b w:val="1"/>
                <w:bCs w:val="1"/>
                <w:color w:val="FFFFFF"/>
              </w:rPr>
              <w:t>Stock</w:t>
            </w:r>
          </w:p>
        </w:tc>
        <w:tc>
          <w:tcPr>
            <w:tcW w:w="180" w:type="dxa"/>
            <w:vAlign w:val="bottom"/>
            <w:shd w:val="clear" w:color="auto" w:fill="C00000"/>
          </w:tcPr>
          <w:p>
            <w:pPr>
              <w:spacing w:after="0"/>
              <w:rPr>
                <w:sz w:val="12"/>
                <w:szCs w:val="12"/>
                <w:color w:val="auto"/>
              </w:rPr>
            </w:pPr>
          </w:p>
        </w:tc>
        <w:tc>
          <w:tcPr>
            <w:tcW w:w="900" w:type="dxa"/>
            <w:vAlign w:val="bottom"/>
            <w:shd w:val="clear" w:color="auto" w:fill="C00000"/>
          </w:tcPr>
          <w:p>
            <w:pPr>
              <w:jc w:val="center"/>
              <w:ind w:right="179"/>
              <w:spacing w:after="0" w:line="143" w:lineRule="exact"/>
              <w:rPr>
                <w:sz w:val="20"/>
                <w:szCs w:val="20"/>
                <w:color w:val="auto"/>
              </w:rPr>
            </w:pPr>
            <w:r>
              <w:rPr>
                <w:rFonts w:ascii="Arial" w:cs="Arial" w:eastAsia="Arial" w:hAnsi="Arial"/>
                <w:sz w:val="13"/>
                <w:szCs w:val="13"/>
                <w:b w:val="1"/>
                <w:bCs w:val="1"/>
                <w:color w:val="FFFFFF"/>
              </w:rPr>
              <w:t>Option</w:t>
            </w:r>
          </w:p>
        </w:tc>
        <w:tc>
          <w:tcPr>
            <w:tcW w:w="1480" w:type="dxa"/>
            <w:vAlign w:val="bottom"/>
            <w:gridSpan w:val="2"/>
            <w:shd w:val="clear" w:color="auto" w:fill="C00000"/>
          </w:tcPr>
          <w:p>
            <w:pPr>
              <w:jc w:val="center"/>
              <w:ind w:right="78"/>
              <w:spacing w:after="0" w:line="143" w:lineRule="exact"/>
              <w:rPr>
                <w:sz w:val="20"/>
                <w:szCs w:val="20"/>
                <w:color w:val="auto"/>
              </w:rPr>
            </w:pPr>
            <w:r>
              <w:rPr>
                <w:rFonts w:ascii="Arial" w:cs="Arial" w:eastAsia="Arial" w:hAnsi="Arial"/>
                <w:sz w:val="13"/>
                <w:szCs w:val="13"/>
                <w:b w:val="1"/>
                <w:bCs w:val="1"/>
                <w:color w:val="FFFFFF"/>
                <w:w w:val="98"/>
              </w:rPr>
              <w:t>Incentive Plan</w:t>
            </w:r>
          </w:p>
        </w:tc>
        <w:tc>
          <w:tcPr>
            <w:tcW w:w="1420" w:type="dxa"/>
            <w:vAlign w:val="bottom"/>
            <w:gridSpan w:val="2"/>
            <w:shd w:val="clear" w:color="auto" w:fill="C00000"/>
          </w:tcPr>
          <w:p>
            <w:pPr>
              <w:jc w:val="center"/>
              <w:spacing w:after="0" w:line="143" w:lineRule="exact"/>
              <w:rPr>
                <w:sz w:val="20"/>
                <w:szCs w:val="20"/>
                <w:color w:val="auto"/>
              </w:rPr>
            </w:pPr>
            <w:r>
              <w:rPr>
                <w:rFonts w:ascii="Arial" w:cs="Arial" w:eastAsia="Arial" w:hAnsi="Arial"/>
                <w:sz w:val="13"/>
                <w:szCs w:val="13"/>
                <w:b w:val="1"/>
                <w:bCs w:val="1"/>
                <w:color w:val="FFFFFF"/>
                <w:w w:val="98"/>
              </w:rPr>
              <w:t>All Other</w:t>
            </w:r>
          </w:p>
        </w:tc>
        <w:tc>
          <w:tcPr>
            <w:tcW w:w="260" w:type="dxa"/>
            <w:vAlign w:val="bottom"/>
            <w:shd w:val="clear" w:color="auto" w:fill="C00000"/>
          </w:tcPr>
          <w:p>
            <w:pPr>
              <w:spacing w:after="0"/>
              <w:rPr>
                <w:sz w:val="12"/>
                <w:szCs w:val="12"/>
                <w:color w:val="auto"/>
              </w:rPr>
            </w:pPr>
          </w:p>
        </w:tc>
        <w:tc>
          <w:tcPr>
            <w:tcW w:w="74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 and</w:t>
            </w:r>
          </w:p>
        </w:tc>
        <w:tc>
          <w:tcPr>
            <w:tcW w:w="60" w:type="dxa"/>
            <w:vAlign w:val="bottom"/>
            <w:shd w:val="clear" w:color="auto" w:fill="C00000"/>
          </w:tcPr>
          <w:p>
            <w:pPr>
              <w:spacing w:after="0"/>
              <w:rPr>
                <w:sz w:val="13"/>
                <w:szCs w:val="13"/>
                <w:color w:val="auto"/>
              </w:rPr>
            </w:pPr>
          </w:p>
        </w:tc>
        <w:tc>
          <w:tcPr>
            <w:tcW w:w="6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180" w:type="dxa"/>
            <w:vAlign w:val="bottom"/>
            <w:shd w:val="clear" w:color="auto" w:fill="C00000"/>
          </w:tcPr>
          <w:p>
            <w:pPr>
              <w:spacing w:after="0"/>
              <w:rPr>
                <w:sz w:val="13"/>
                <w:szCs w:val="13"/>
                <w:color w:val="auto"/>
              </w:rPr>
            </w:pPr>
          </w:p>
        </w:tc>
        <w:tc>
          <w:tcPr>
            <w:tcW w:w="700" w:type="dxa"/>
            <w:vAlign w:val="bottom"/>
            <w:shd w:val="clear" w:color="auto" w:fill="C00000"/>
          </w:tcPr>
          <w:p>
            <w:pPr>
              <w:ind w:left="40"/>
              <w:spacing w:after="0"/>
              <w:rPr>
                <w:sz w:val="20"/>
                <w:szCs w:val="20"/>
                <w:color w:val="auto"/>
              </w:rPr>
            </w:pPr>
            <w:r>
              <w:rPr>
                <w:rFonts w:ascii="Arial" w:cs="Arial" w:eastAsia="Arial" w:hAnsi="Arial"/>
                <w:sz w:val="13"/>
                <w:szCs w:val="13"/>
                <w:b w:val="1"/>
                <w:bCs w:val="1"/>
                <w:color w:val="FFFFFF"/>
              </w:rPr>
              <w:t>Salary</w:t>
            </w:r>
          </w:p>
        </w:tc>
        <w:tc>
          <w:tcPr>
            <w:tcW w:w="740" w:type="dxa"/>
            <w:vAlign w:val="bottom"/>
            <w:shd w:val="clear" w:color="auto" w:fill="C00000"/>
          </w:tcPr>
          <w:p>
            <w:pPr>
              <w:ind w:left="100"/>
              <w:spacing w:after="0" w:line="152" w:lineRule="exact"/>
              <w:rPr>
                <w:sz w:val="20"/>
                <w:szCs w:val="20"/>
                <w:color w:val="auto"/>
              </w:rPr>
            </w:pPr>
            <w:r>
              <w:rPr>
                <w:rFonts w:ascii="Arial" w:cs="Arial" w:eastAsia="Arial" w:hAnsi="Arial"/>
                <w:sz w:val="11"/>
                <w:szCs w:val="11"/>
                <w:b w:val="1"/>
                <w:bCs w:val="1"/>
                <w:color w:val="FFFFFF"/>
              </w:rPr>
              <w:t>Bonus</w:t>
            </w:r>
            <w:r>
              <w:rPr>
                <w:rFonts w:ascii="Arial" w:cs="Arial" w:eastAsia="Arial" w:hAnsi="Arial"/>
                <w:sz w:val="17"/>
                <w:szCs w:val="17"/>
                <w:b w:val="1"/>
                <w:bCs w:val="1"/>
                <w:color w:val="FFFFFF"/>
                <w:vertAlign w:val="superscript"/>
              </w:rPr>
              <w:t>(1)</w:t>
            </w:r>
          </w:p>
        </w:tc>
        <w:tc>
          <w:tcPr>
            <w:tcW w:w="200" w:type="dxa"/>
            <w:vAlign w:val="bottom"/>
            <w:shd w:val="clear" w:color="auto" w:fill="C00000"/>
          </w:tcPr>
          <w:p>
            <w:pPr>
              <w:spacing w:after="0"/>
              <w:rPr>
                <w:sz w:val="13"/>
                <w:szCs w:val="13"/>
                <w:color w:val="auto"/>
              </w:rPr>
            </w:pPr>
          </w:p>
        </w:tc>
        <w:tc>
          <w:tcPr>
            <w:tcW w:w="820" w:type="dxa"/>
            <w:vAlign w:val="bottom"/>
            <w:shd w:val="clear" w:color="auto" w:fill="C00000"/>
          </w:tcPr>
          <w:p>
            <w:pPr>
              <w:jc w:val="center"/>
              <w:ind w:right="79"/>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(2)</w:t>
            </w:r>
          </w:p>
        </w:tc>
        <w:tc>
          <w:tcPr>
            <w:tcW w:w="180" w:type="dxa"/>
            <w:vAlign w:val="bottom"/>
            <w:shd w:val="clear" w:color="auto" w:fill="C00000"/>
          </w:tcPr>
          <w:p>
            <w:pPr>
              <w:spacing w:after="0"/>
              <w:rPr>
                <w:sz w:val="13"/>
                <w:szCs w:val="13"/>
                <w:color w:val="auto"/>
              </w:rPr>
            </w:pPr>
          </w:p>
        </w:tc>
        <w:tc>
          <w:tcPr>
            <w:tcW w:w="900" w:type="dxa"/>
            <w:vAlign w:val="bottom"/>
            <w:shd w:val="clear" w:color="auto" w:fill="C00000"/>
          </w:tcPr>
          <w:p>
            <w:pPr>
              <w:jc w:val="center"/>
              <w:ind w:right="199"/>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(3)</w:t>
            </w:r>
          </w:p>
        </w:tc>
        <w:tc>
          <w:tcPr>
            <w:tcW w:w="1480" w:type="dxa"/>
            <w:vAlign w:val="bottom"/>
            <w:gridSpan w:val="2"/>
            <w:shd w:val="clear" w:color="auto" w:fill="C00000"/>
          </w:tcPr>
          <w:p>
            <w:pPr>
              <w:jc w:val="center"/>
              <w:ind w:right="78"/>
              <w:spacing w:after="0" w:line="152"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7"/>
                <w:szCs w:val="17"/>
                <w:b w:val="1"/>
                <w:bCs w:val="1"/>
                <w:color w:val="FFFFFF"/>
                <w:vertAlign w:val="superscript"/>
              </w:rPr>
              <w:t>(4)</w:t>
            </w:r>
          </w:p>
        </w:tc>
        <w:tc>
          <w:tcPr>
            <w:tcW w:w="1420" w:type="dxa"/>
            <w:vAlign w:val="bottom"/>
            <w:gridSpan w:val="2"/>
            <w:shd w:val="clear" w:color="auto" w:fill="C00000"/>
          </w:tcPr>
          <w:p>
            <w:pPr>
              <w:jc w:val="center"/>
              <w:spacing w:after="0" w:line="152"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7"/>
                <w:szCs w:val="17"/>
                <w:b w:val="1"/>
                <w:bCs w:val="1"/>
                <w:color w:val="FFFFFF"/>
                <w:vertAlign w:val="superscript"/>
              </w:rPr>
              <w:t>(5)</w:t>
            </w:r>
          </w:p>
        </w:tc>
        <w:tc>
          <w:tcPr>
            <w:tcW w:w="260" w:type="dxa"/>
            <w:vAlign w:val="bottom"/>
            <w:shd w:val="clear" w:color="auto" w:fill="C00000"/>
          </w:tcPr>
          <w:p>
            <w:pPr>
              <w:spacing w:after="0"/>
              <w:rPr>
                <w:sz w:val="13"/>
                <w:szCs w:val="13"/>
                <w:color w:val="auto"/>
              </w:rPr>
            </w:pPr>
          </w:p>
        </w:tc>
        <w:tc>
          <w:tcPr>
            <w:tcW w:w="740" w:type="dxa"/>
            <w:vAlign w:val="bottom"/>
            <w:shd w:val="clear" w:color="auto" w:fill="C00000"/>
          </w:tcPr>
          <w:p>
            <w:pPr>
              <w:jc w:val="right"/>
              <w:ind w:right="258"/>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59"/>
        </w:trPr>
        <w:tc>
          <w:tcPr>
            <w:tcW w:w="31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Principal Position</w:t>
            </w:r>
          </w:p>
        </w:tc>
        <w:tc>
          <w:tcPr>
            <w:tcW w:w="60" w:type="dxa"/>
            <w:vAlign w:val="bottom"/>
            <w:shd w:val="clear" w:color="auto" w:fill="C00000"/>
          </w:tcPr>
          <w:p>
            <w:pPr>
              <w:spacing w:after="0"/>
              <w:rPr>
                <w:sz w:val="13"/>
                <w:szCs w:val="13"/>
                <w:color w:val="auto"/>
              </w:rPr>
            </w:pPr>
          </w:p>
        </w:tc>
        <w:tc>
          <w:tcPr>
            <w:tcW w:w="6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9"/>
              </w:rPr>
              <w:t>Year</w:t>
            </w:r>
          </w:p>
        </w:tc>
        <w:tc>
          <w:tcPr>
            <w:tcW w:w="180" w:type="dxa"/>
            <w:vAlign w:val="bottom"/>
            <w:shd w:val="clear" w:color="auto" w:fill="C00000"/>
          </w:tcPr>
          <w:p>
            <w:pPr>
              <w:spacing w:after="0"/>
              <w:rPr>
                <w:sz w:val="13"/>
                <w:szCs w:val="13"/>
                <w:color w:val="auto"/>
              </w:rPr>
            </w:pPr>
          </w:p>
        </w:tc>
        <w:tc>
          <w:tcPr>
            <w:tcW w:w="700" w:type="dxa"/>
            <w:vAlign w:val="bottom"/>
            <w:shd w:val="clear" w:color="auto" w:fill="C00000"/>
          </w:tcPr>
          <w:p>
            <w:pPr>
              <w:ind w:left="160"/>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C00000"/>
          </w:tcPr>
          <w:p>
            <w:pPr>
              <w:spacing w:after="0"/>
              <w:rPr>
                <w:sz w:val="13"/>
                <w:szCs w:val="13"/>
                <w:color w:val="auto"/>
              </w:rPr>
            </w:pPr>
          </w:p>
        </w:tc>
        <w:tc>
          <w:tcPr>
            <w:tcW w:w="820" w:type="dxa"/>
            <w:vAlign w:val="bottom"/>
            <w:shd w:val="clear" w:color="auto" w:fill="C00000"/>
          </w:tcPr>
          <w:p>
            <w:pPr>
              <w:jc w:val="center"/>
              <w:ind w:right="79"/>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C00000"/>
          </w:tcPr>
          <w:p>
            <w:pPr>
              <w:spacing w:after="0"/>
              <w:rPr>
                <w:sz w:val="13"/>
                <w:szCs w:val="13"/>
                <w:color w:val="auto"/>
              </w:rPr>
            </w:pPr>
          </w:p>
        </w:tc>
        <w:tc>
          <w:tcPr>
            <w:tcW w:w="900" w:type="dxa"/>
            <w:vAlign w:val="bottom"/>
            <w:shd w:val="clear" w:color="auto" w:fill="C00000"/>
          </w:tcPr>
          <w:p>
            <w:pPr>
              <w:jc w:val="center"/>
              <w:ind w:right="199"/>
              <w:spacing w:after="0"/>
              <w:rPr>
                <w:sz w:val="20"/>
                <w:szCs w:val="20"/>
                <w:color w:val="auto"/>
              </w:rPr>
            </w:pPr>
            <w:r>
              <w:rPr>
                <w:rFonts w:ascii="Arial" w:cs="Arial" w:eastAsia="Arial" w:hAnsi="Arial"/>
                <w:sz w:val="13"/>
                <w:szCs w:val="13"/>
                <w:b w:val="1"/>
                <w:bCs w:val="1"/>
                <w:color w:val="FFFFFF"/>
              </w:rPr>
              <w:t>($)</w:t>
            </w:r>
          </w:p>
        </w:tc>
        <w:tc>
          <w:tcPr>
            <w:tcW w:w="500" w:type="dxa"/>
            <w:vAlign w:val="bottom"/>
            <w:shd w:val="clear" w:color="auto" w:fill="C00000"/>
          </w:tcPr>
          <w:p>
            <w:pPr>
              <w:spacing w:after="0"/>
              <w:rPr>
                <w:sz w:val="13"/>
                <w:szCs w:val="13"/>
                <w:color w:val="auto"/>
              </w:rPr>
            </w:pPr>
          </w:p>
        </w:tc>
        <w:tc>
          <w:tcPr>
            <w:tcW w:w="980" w:type="dxa"/>
            <w:vAlign w:val="bottom"/>
            <w:shd w:val="clear" w:color="auto" w:fill="C00000"/>
          </w:tcPr>
          <w:p>
            <w:pPr>
              <w:jc w:val="center"/>
              <w:ind w:right="598"/>
              <w:spacing w:after="0"/>
              <w:rPr>
                <w:sz w:val="20"/>
                <w:szCs w:val="20"/>
                <w:color w:val="auto"/>
              </w:rPr>
            </w:pPr>
            <w:r>
              <w:rPr>
                <w:rFonts w:ascii="Arial" w:cs="Arial" w:eastAsia="Arial" w:hAnsi="Arial"/>
                <w:sz w:val="13"/>
                <w:szCs w:val="13"/>
                <w:b w:val="1"/>
                <w:bCs w:val="1"/>
                <w:color w:val="FFFFFF"/>
              </w:rPr>
              <w:t>($)</w:t>
            </w:r>
          </w:p>
        </w:tc>
        <w:tc>
          <w:tcPr>
            <w:tcW w:w="520" w:type="dxa"/>
            <w:vAlign w:val="bottom"/>
            <w:shd w:val="clear" w:color="auto" w:fill="C00000"/>
          </w:tcPr>
          <w:p>
            <w:pPr>
              <w:spacing w:after="0"/>
              <w:rPr>
                <w:sz w:val="13"/>
                <w:szCs w:val="13"/>
                <w:color w:val="auto"/>
              </w:rPr>
            </w:pPr>
          </w:p>
        </w:tc>
        <w:tc>
          <w:tcPr>
            <w:tcW w:w="900" w:type="dxa"/>
            <w:vAlign w:val="bottom"/>
            <w:shd w:val="clear" w:color="auto" w:fill="C00000"/>
          </w:tcPr>
          <w:p>
            <w:pPr>
              <w:jc w:val="center"/>
              <w:ind w:right="498"/>
              <w:spacing w:after="0"/>
              <w:rPr>
                <w:sz w:val="20"/>
                <w:szCs w:val="20"/>
                <w:color w:val="auto"/>
              </w:rPr>
            </w:pPr>
            <w:r>
              <w:rPr>
                <w:rFonts w:ascii="Arial" w:cs="Arial" w:eastAsia="Arial" w:hAnsi="Arial"/>
                <w:sz w:val="13"/>
                <w:szCs w:val="13"/>
                <w:b w:val="1"/>
                <w:bCs w:val="1"/>
                <w:color w:val="FFFFFF"/>
                <w:w w:val="87"/>
              </w:rPr>
              <w:t>($)</w:t>
            </w:r>
          </w:p>
        </w:tc>
        <w:tc>
          <w:tcPr>
            <w:tcW w:w="260" w:type="dxa"/>
            <w:vAlign w:val="bottom"/>
            <w:shd w:val="clear" w:color="auto" w:fill="C00000"/>
          </w:tcPr>
          <w:p>
            <w:pPr>
              <w:spacing w:after="0"/>
              <w:rPr>
                <w:sz w:val="13"/>
                <w:szCs w:val="13"/>
                <w:color w:val="auto"/>
              </w:rPr>
            </w:pPr>
          </w:p>
        </w:tc>
        <w:tc>
          <w:tcPr>
            <w:tcW w:w="740" w:type="dxa"/>
            <w:vAlign w:val="bottom"/>
            <w:shd w:val="clear" w:color="auto" w:fill="C00000"/>
          </w:tcPr>
          <w:p>
            <w:pPr>
              <w:jc w:val="right"/>
              <w:ind w:right="338"/>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20"/>
                <w:szCs w:val="20"/>
                <w:color w:val="auto"/>
              </w:rPr>
            </w:pPr>
            <w:r>
              <w:rPr>
                <w:rFonts w:ascii="Arial" w:cs="Arial" w:eastAsia="Arial" w:hAnsi="Arial"/>
                <w:sz w:val="12"/>
                <w:szCs w:val="12"/>
                <w:color w:val="auto"/>
              </w:rPr>
              <w:t>Richard M. Olson,</w:t>
            </w: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2018</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875,000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1,576,140</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79"/>
              <w:spacing w:after="0"/>
              <w:rPr>
                <w:sz w:val="20"/>
                <w:szCs w:val="20"/>
                <w:color w:val="auto"/>
              </w:rPr>
            </w:pPr>
            <w:r>
              <w:rPr>
                <w:rFonts w:ascii="Arial" w:cs="Arial" w:eastAsia="Arial" w:hAnsi="Arial"/>
                <w:sz w:val="12"/>
                <w:szCs w:val="12"/>
                <w:color w:val="auto"/>
              </w:rPr>
              <w:t>1,531,904</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98"/>
              <w:spacing w:after="0"/>
              <w:rPr>
                <w:sz w:val="20"/>
                <w:szCs w:val="20"/>
                <w:color w:val="auto"/>
              </w:rPr>
            </w:pPr>
            <w:r>
              <w:rPr>
                <w:rFonts w:ascii="Arial" w:cs="Arial" w:eastAsia="Arial" w:hAnsi="Arial"/>
                <w:sz w:val="12"/>
                <w:szCs w:val="12"/>
                <w:color w:val="auto"/>
              </w:rPr>
              <w:t>918,803</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171,279</w:t>
            </w:r>
          </w:p>
        </w:tc>
        <w:tc>
          <w:tcPr>
            <w:tcW w:w="2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5,073,126</w:t>
            </w:r>
          </w:p>
        </w:tc>
        <w:tc>
          <w:tcPr>
            <w:tcW w:w="0" w:type="dxa"/>
            <w:vAlign w:val="bottom"/>
          </w:tcPr>
          <w:p>
            <w:pPr>
              <w:spacing w:after="0"/>
              <w:rPr>
                <w:sz w:val="1"/>
                <w:szCs w:val="1"/>
                <w:color w:val="auto"/>
              </w:rPr>
            </w:pPr>
          </w:p>
        </w:tc>
      </w:tr>
      <w:tr>
        <w:trPr>
          <w:trHeight w:val="49"/>
        </w:trPr>
        <w:tc>
          <w:tcPr>
            <w:tcW w:w="3120" w:type="dxa"/>
            <w:vAlign w:val="bottom"/>
            <w:vMerge w:val="restart"/>
          </w:tcPr>
          <w:p>
            <w:pPr>
              <w:ind w:left="160"/>
              <w:spacing w:after="0" w:line="135" w:lineRule="exact"/>
              <w:rPr>
                <w:sz w:val="20"/>
                <w:szCs w:val="20"/>
                <w:color w:val="auto"/>
              </w:rPr>
            </w:pPr>
            <w:r>
              <w:rPr>
                <w:rFonts w:ascii="Arial" w:cs="Arial" w:eastAsia="Arial" w:hAnsi="Arial"/>
                <w:sz w:val="12"/>
                <w:szCs w:val="12"/>
                <w:color w:val="auto"/>
              </w:rPr>
              <w:t>Chairman of the Board,</w:t>
            </w:r>
          </w:p>
        </w:tc>
        <w:tc>
          <w:tcPr>
            <w:tcW w:w="6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3120" w:type="dxa"/>
            <w:vAlign w:val="bottom"/>
            <w:vMerge w:val="continue"/>
          </w:tcPr>
          <w:p>
            <w:pPr>
              <w:spacing w:after="0"/>
              <w:rPr>
                <w:sz w:val="7"/>
                <w:szCs w:val="7"/>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2017</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775,000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1,553,820</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79"/>
              <w:spacing w:after="0"/>
              <w:rPr>
                <w:sz w:val="20"/>
                <w:szCs w:val="20"/>
                <w:color w:val="auto"/>
              </w:rPr>
            </w:pPr>
            <w:r>
              <w:rPr>
                <w:rFonts w:ascii="Arial" w:cs="Arial" w:eastAsia="Arial" w:hAnsi="Arial"/>
                <w:sz w:val="12"/>
                <w:szCs w:val="12"/>
                <w:color w:val="auto"/>
              </w:rPr>
              <w:t>1,586,826</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98"/>
              <w:spacing w:after="0"/>
              <w:rPr>
                <w:sz w:val="20"/>
                <w:szCs w:val="20"/>
                <w:color w:val="auto"/>
              </w:rPr>
            </w:pPr>
            <w:r>
              <w:rPr>
                <w:rFonts w:ascii="Arial" w:cs="Arial" w:eastAsia="Arial" w:hAnsi="Arial"/>
                <w:sz w:val="12"/>
                <w:szCs w:val="12"/>
                <w:color w:val="auto"/>
              </w:rPr>
              <w:t>991,535</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159,528</w:t>
            </w:r>
          </w:p>
        </w:tc>
        <w:tc>
          <w:tcPr>
            <w:tcW w:w="2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5,066,709</w:t>
            </w:r>
          </w:p>
        </w:tc>
        <w:tc>
          <w:tcPr>
            <w:tcW w:w="0" w:type="dxa"/>
            <w:vAlign w:val="bottom"/>
          </w:tcPr>
          <w:p>
            <w:pPr>
              <w:spacing w:after="0"/>
              <w:rPr>
                <w:sz w:val="1"/>
                <w:szCs w:val="1"/>
                <w:color w:val="auto"/>
              </w:rPr>
            </w:pPr>
          </w:p>
        </w:tc>
      </w:tr>
      <w:tr>
        <w:trPr>
          <w:trHeight w:val="98"/>
        </w:trPr>
        <w:tc>
          <w:tcPr>
            <w:tcW w:w="3120" w:type="dxa"/>
            <w:vAlign w:val="bottom"/>
            <w:vMerge w:val="restart"/>
          </w:tcPr>
          <w:p>
            <w:pPr>
              <w:ind w:left="160"/>
              <w:spacing w:after="0"/>
              <w:rPr>
                <w:sz w:val="20"/>
                <w:szCs w:val="20"/>
                <w:color w:val="auto"/>
              </w:rPr>
            </w:pPr>
            <w:r>
              <w:rPr>
                <w:rFonts w:ascii="Arial" w:cs="Arial" w:eastAsia="Arial" w:hAnsi="Arial"/>
                <w:sz w:val="12"/>
                <w:szCs w:val="12"/>
                <w:color w:val="auto"/>
              </w:rPr>
              <w:t>President and CEO</w:t>
            </w:r>
          </w:p>
        </w:tc>
        <w:tc>
          <w:tcPr>
            <w:tcW w:w="68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3120" w:type="dxa"/>
            <w:vAlign w:val="bottom"/>
            <w:vMerge w:val="continue"/>
          </w:tcPr>
          <w:p>
            <w:pPr>
              <w:spacing w:after="0"/>
              <w:rPr>
                <w:sz w:val="4"/>
                <w:szCs w:val="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2016</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500,000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489,951</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79"/>
              <w:spacing w:after="0"/>
              <w:rPr>
                <w:sz w:val="20"/>
                <w:szCs w:val="20"/>
                <w:color w:val="auto"/>
              </w:rPr>
            </w:pPr>
            <w:r>
              <w:rPr>
                <w:rFonts w:ascii="Arial" w:cs="Arial" w:eastAsia="Arial" w:hAnsi="Arial"/>
                <w:sz w:val="12"/>
                <w:szCs w:val="12"/>
                <w:color w:val="auto"/>
              </w:rPr>
              <w:t>412,032</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98"/>
              <w:spacing w:after="0"/>
              <w:rPr>
                <w:sz w:val="20"/>
                <w:szCs w:val="20"/>
                <w:color w:val="auto"/>
              </w:rPr>
            </w:pPr>
            <w:r>
              <w:rPr>
                <w:rFonts w:ascii="Arial" w:cs="Arial" w:eastAsia="Arial" w:hAnsi="Arial"/>
                <w:sz w:val="12"/>
                <w:szCs w:val="12"/>
                <w:color w:val="auto"/>
              </w:rPr>
              <w:t>330,840</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97,589</w:t>
            </w:r>
          </w:p>
        </w:tc>
        <w:tc>
          <w:tcPr>
            <w:tcW w:w="2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1,830,412</w:t>
            </w:r>
          </w:p>
        </w:tc>
        <w:tc>
          <w:tcPr>
            <w:tcW w:w="0" w:type="dxa"/>
            <w:vAlign w:val="bottom"/>
          </w:tcPr>
          <w:p>
            <w:pPr>
              <w:spacing w:after="0"/>
              <w:rPr>
                <w:sz w:val="1"/>
                <w:szCs w:val="1"/>
                <w:color w:val="auto"/>
              </w:rPr>
            </w:pPr>
          </w:p>
        </w:tc>
      </w:tr>
      <w:tr>
        <w:trPr>
          <w:trHeight w:val="123"/>
        </w:trPr>
        <w:tc>
          <w:tcPr>
            <w:tcW w:w="3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120" w:type="dxa"/>
            <w:vAlign w:val="bottom"/>
            <w:shd w:val="clear" w:color="auto" w:fill="D9D9D9"/>
          </w:tcPr>
          <w:p>
            <w:pPr>
              <w:spacing w:after="0"/>
              <w:rPr>
                <w:sz w:val="20"/>
                <w:szCs w:val="20"/>
                <w:color w:val="auto"/>
              </w:rPr>
            </w:pPr>
            <w:r>
              <w:rPr>
                <w:rFonts w:ascii="Arial" w:cs="Arial" w:eastAsia="Arial" w:hAnsi="Arial"/>
                <w:sz w:val="12"/>
                <w:szCs w:val="12"/>
                <w:color w:val="auto"/>
              </w:rPr>
              <w:t>Renee J. Peterson,</w:t>
            </w:r>
          </w:p>
        </w:tc>
        <w:tc>
          <w:tcPr>
            <w:tcW w:w="60" w:type="dxa"/>
            <w:vAlign w:val="bottom"/>
            <w:shd w:val="clear" w:color="auto" w:fill="D9D9D9"/>
          </w:tcPr>
          <w:p>
            <w:pPr>
              <w:spacing w:after="0"/>
              <w:rPr>
                <w:sz w:val="12"/>
                <w:szCs w:val="12"/>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2018</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D9D9D9"/>
          </w:tcPr>
          <w:p>
            <w:pPr>
              <w:ind w:left="140"/>
              <w:spacing w:after="0"/>
              <w:rPr>
                <w:sz w:val="20"/>
                <w:szCs w:val="20"/>
                <w:color w:val="auto"/>
              </w:rPr>
            </w:pPr>
            <w:r>
              <w:rPr>
                <w:rFonts w:ascii="Arial" w:cs="Arial" w:eastAsia="Arial" w:hAnsi="Arial"/>
                <w:sz w:val="12"/>
                <w:szCs w:val="12"/>
                <w:color w:val="auto"/>
              </w:rPr>
              <w:t>520,000</w:t>
            </w:r>
          </w:p>
        </w:tc>
        <w:tc>
          <w:tcPr>
            <w:tcW w:w="74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438,180</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79"/>
              <w:spacing w:after="0"/>
              <w:rPr>
                <w:sz w:val="20"/>
                <w:szCs w:val="20"/>
                <w:color w:val="auto"/>
              </w:rPr>
            </w:pPr>
            <w:r>
              <w:rPr>
                <w:rFonts w:ascii="Arial" w:cs="Arial" w:eastAsia="Arial" w:hAnsi="Arial"/>
                <w:sz w:val="12"/>
                <w:szCs w:val="12"/>
                <w:color w:val="auto"/>
              </w:rPr>
              <w:t>424,864</w:t>
            </w: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9D9D9"/>
          </w:tcPr>
          <w:p>
            <w:pPr>
              <w:jc w:val="right"/>
              <w:ind w:right="98"/>
              <w:spacing w:after="0"/>
              <w:rPr>
                <w:sz w:val="20"/>
                <w:szCs w:val="20"/>
                <w:color w:val="auto"/>
              </w:rPr>
            </w:pPr>
            <w:r>
              <w:rPr>
                <w:rFonts w:ascii="Arial" w:cs="Arial" w:eastAsia="Arial" w:hAnsi="Arial"/>
                <w:sz w:val="12"/>
                <w:szCs w:val="12"/>
                <w:color w:val="auto"/>
              </w:rPr>
              <w:t>372,294</w:t>
            </w:r>
          </w:p>
        </w:tc>
        <w:tc>
          <w:tcPr>
            <w:tcW w:w="52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38"/>
              <w:spacing w:after="0"/>
              <w:rPr>
                <w:sz w:val="20"/>
                <w:szCs w:val="20"/>
                <w:color w:val="auto"/>
              </w:rPr>
            </w:pPr>
            <w:r>
              <w:rPr>
                <w:rFonts w:ascii="Arial" w:cs="Arial" w:eastAsia="Arial" w:hAnsi="Arial"/>
                <w:sz w:val="12"/>
                <w:szCs w:val="12"/>
                <w:color w:val="auto"/>
              </w:rPr>
              <w:t>113,540</w:t>
            </w:r>
          </w:p>
        </w:tc>
        <w:tc>
          <w:tcPr>
            <w:tcW w:w="26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1,868,878</w:t>
            </w:r>
          </w:p>
        </w:tc>
        <w:tc>
          <w:tcPr>
            <w:tcW w:w="0" w:type="dxa"/>
            <w:vAlign w:val="bottom"/>
          </w:tcPr>
          <w:p>
            <w:pPr>
              <w:spacing w:after="0"/>
              <w:rPr>
                <w:sz w:val="1"/>
                <w:szCs w:val="1"/>
                <w:color w:val="auto"/>
              </w:rPr>
            </w:pPr>
          </w:p>
        </w:tc>
      </w:tr>
      <w:tr>
        <w:trPr>
          <w:trHeight w:val="37"/>
        </w:trPr>
        <w:tc>
          <w:tcPr>
            <w:tcW w:w="3120" w:type="dxa"/>
            <w:vAlign w:val="bottom"/>
            <w:vMerge w:val="restart"/>
            <w:shd w:val="clear" w:color="auto" w:fill="D9D9D9"/>
          </w:tcPr>
          <w:p>
            <w:pPr>
              <w:ind w:left="160"/>
              <w:spacing w:after="0" w:line="135" w:lineRule="exact"/>
              <w:rPr>
                <w:sz w:val="20"/>
                <w:szCs w:val="20"/>
                <w:color w:val="auto"/>
              </w:rPr>
            </w:pPr>
            <w:r>
              <w:rPr>
                <w:rFonts w:ascii="Arial" w:cs="Arial" w:eastAsia="Arial" w:hAnsi="Arial"/>
                <w:sz w:val="12"/>
                <w:szCs w:val="12"/>
                <w:color w:val="auto"/>
              </w:rPr>
              <w:t>VP, Treasurer and</w:t>
            </w:r>
          </w:p>
        </w:tc>
        <w:tc>
          <w:tcPr>
            <w:tcW w:w="60" w:type="dxa"/>
            <w:vAlign w:val="bottom"/>
            <w:shd w:val="clear" w:color="auto" w:fill="D9D9D9"/>
          </w:tcPr>
          <w:p>
            <w:pPr>
              <w:spacing w:after="0"/>
              <w:rPr>
                <w:sz w:val="3"/>
                <w:szCs w:val="3"/>
                <w:color w:val="auto"/>
              </w:rPr>
            </w:pPr>
          </w:p>
        </w:tc>
        <w:tc>
          <w:tcPr>
            <w:tcW w:w="620" w:type="dxa"/>
            <w:vAlign w:val="bottom"/>
            <w:vMerge w:val="continue"/>
            <w:shd w:val="clear" w:color="auto" w:fill="D9D9D9"/>
          </w:tcPr>
          <w:p>
            <w:pPr>
              <w:spacing w:after="0"/>
              <w:rPr>
                <w:sz w:val="3"/>
                <w:szCs w:val="3"/>
                <w:color w:val="auto"/>
              </w:rPr>
            </w:pPr>
          </w:p>
        </w:tc>
        <w:tc>
          <w:tcPr>
            <w:tcW w:w="180" w:type="dxa"/>
            <w:vAlign w:val="bottom"/>
            <w:vMerge w:val="continue"/>
            <w:shd w:val="clear" w:color="auto" w:fill="D9D9D9"/>
          </w:tcPr>
          <w:p>
            <w:pPr>
              <w:spacing w:after="0"/>
              <w:rPr>
                <w:sz w:val="3"/>
                <w:szCs w:val="3"/>
                <w:color w:val="auto"/>
              </w:rPr>
            </w:pPr>
          </w:p>
        </w:tc>
        <w:tc>
          <w:tcPr>
            <w:tcW w:w="700" w:type="dxa"/>
            <w:vAlign w:val="bottom"/>
            <w:vMerge w:val="continue"/>
            <w:shd w:val="clear" w:color="auto" w:fill="D9D9D9"/>
          </w:tcPr>
          <w:p>
            <w:pPr>
              <w:spacing w:after="0"/>
              <w:rPr>
                <w:sz w:val="3"/>
                <w:szCs w:val="3"/>
                <w:color w:val="auto"/>
              </w:rPr>
            </w:pPr>
          </w:p>
        </w:tc>
        <w:tc>
          <w:tcPr>
            <w:tcW w:w="740" w:type="dxa"/>
            <w:vAlign w:val="bottom"/>
            <w:vMerge w:val="continue"/>
            <w:shd w:val="clear" w:color="auto" w:fill="D9D9D9"/>
          </w:tcPr>
          <w:p>
            <w:pPr>
              <w:spacing w:after="0"/>
              <w:rPr>
                <w:sz w:val="3"/>
                <w:szCs w:val="3"/>
                <w:color w:val="auto"/>
              </w:rPr>
            </w:pPr>
          </w:p>
        </w:tc>
        <w:tc>
          <w:tcPr>
            <w:tcW w:w="200" w:type="dxa"/>
            <w:vAlign w:val="bottom"/>
            <w:vMerge w:val="continue"/>
            <w:shd w:val="clear" w:color="auto" w:fill="D9D9D9"/>
          </w:tcPr>
          <w:p>
            <w:pPr>
              <w:spacing w:after="0"/>
              <w:rPr>
                <w:sz w:val="3"/>
                <w:szCs w:val="3"/>
                <w:color w:val="auto"/>
              </w:rPr>
            </w:pPr>
          </w:p>
        </w:tc>
        <w:tc>
          <w:tcPr>
            <w:tcW w:w="820" w:type="dxa"/>
            <w:vAlign w:val="bottom"/>
            <w:vMerge w:val="continue"/>
            <w:shd w:val="clear" w:color="auto" w:fill="D9D9D9"/>
          </w:tcPr>
          <w:p>
            <w:pPr>
              <w:spacing w:after="0"/>
              <w:rPr>
                <w:sz w:val="3"/>
                <w:szCs w:val="3"/>
                <w:color w:val="auto"/>
              </w:rPr>
            </w:pPr>
          </w:p>
        </w:tc>
        <w:tc>
          <w:tcPr>
            <w:tcW w:w="180" w:type="dxa"/>
            <w:vAlign w:val="bottom"/>
            <w:vMerge w:val="continue"/>
            <w:shd w:val="clear" w:color="auto" w:fill="D9D9D9"/>
          </w:tcPr>
          <w:p>
            <w:pPr>
              <w:spacing w:after="0"/>
              <w:rPr>
                <w:sz w:val="3"/>
                <w:szCs w:val="3"/>
                <w:color w:val="auto"/>
              </w:rPr>
            </w:pPr>
          </w:p>
        </w:tc>
        <w:tc>
          <w:tcPr>
            <w:tcW w:w="900" w:type="dxa"/>
            <w:vAlign w:val="bottom"/>
            <w:vMerge w:val="continue"/>
            <w:shd w:val="clear" w:color="auto" w:fill="D9D9D9"/>
          </w:tcPr>
          <w:p>
            <w:pPr>
              <w:spacing w:after="0"/>
              <w:rPr>
                <w:sz w:val="3"/>
                <w:szCs w:val="3"/>
                <w:color w:val="auto"/>
              </w:rPr>
            </w:pPr>
          </w:p>
        </w:tc>
        <w:tc>
          <w:tcPr>
            <w:tcW w:w="500" w:type="dxa"/>
            <w:vAlign w:val="bottom"/>
            <w:vMerge w:val="continue"/>
            <w:shd w:val="clear" w:color="auto" w:fill="D9D9D9"/>
          </w:tcPr>
          <w:p>
            <w:pPr>
              <w:spacing w:after="0"/>
              <w:rPr>
                <w:sz w:val="3"/>
                <w:szCs w:val="3"/>
                <w:color w:val="auto"/>
              </w:rPr>
            </w:pPr>
          </w:p>
        </w:tc>
        <w:tc>
          <w:tcPr>
            <w:tcW w:w="980" w:type="dxa"/>
            <w:vAlign w:val="bottom"/>
            <w:vMerge w:val="continue"/>
            <w:shd w:val="clear" w:color="auto" w:fill="D9D9D9"/>
          </w:tcPr>
          <w:p>
            <w:pPr>
              <w:spacing w:after="0"/>
              <w:rPr>
                <w:sz w:val="3"/>
                <w:szCs w:val="3"/>
                <w:color w:val="auto"/>
              </w:rPr>
            </w:pPr>
          </w:p>
        </w:tc>
        <w:tc>
          <w:tcPr>
            <w:tcW w:w="520" w:type="dxa"/>
            <w:vAlign w:val="bottom"/>
            <w:vMerge w:val="continue"/>
            <w:shd w:val="clear" w:color="auto" w:fill="D9D9D9"/>
          </w:tcPr>
          <w:p>
            <w:pPr>
              <w:spacing w:after="0"/>
              <w:rPr>
                <w:sz w:val="3"/>
                <w:szCs w:val="3"/>
                <w:color w:val="auto"/>
              </w:rPr>
            </w:pPr>
          </w:p>
        </w:tc>
        <w:tc>
          <w:tcPr>
            <w:tcW w:w="900" w:type="dxa"/>
            <w:vAlign w:val="bottom"/>
            <w:vMerge w:val="continue"/>
            <w:shd w:val="clear" w:color="auto" w:fill="D9D9D9"/>
          </w:tcPr>
          <w:p>
            <w:pPr>
              <w:spacing w:after="0"/>
              <w:rPr>
                <w:sz w:val="3"/>
                <w:szCs w:val="3"/>
                <w:color w:val="auto"/>
              </w:rPr>
            </w:pPr>
          </w:p>
        </w:tc>
        <w:tc>
          <w:tcPr>
            <w:tcW w:w="260" w:type="dxa"/>
            <w:vAlign w:val="bottom"/>
            <w:vMerge w:val="continue"/>
            <w:shd w:val="clear" w:color="auto" w:fill="D9D9D9"/>
          </w:tcPr>
          <w:p>
            <w:pPr>
              <w:spacing w:after="0"/>
              <w:rPr>
                <w:sz w:val="3"/>
                <w:szCs w:val="3"/>
                <w:color w:val="auto"/>
              </w:rPr>
            </w:pPr>
          </w:p>
        </w:tc>
        <w:tc>
          <w:tcPr>
            <w:tcW w:w="740" w:type="dxa"/>
            <w:vAlign w:val="bottom"/>
            <w:vMerge w:val="continue"/>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3120" w:type="dxa"/>
            <w:vAlign w:val="bottom"/>
            <w:vMerge w:val="continue"/>
            <w:shd w:val="clear" w:color="auto" w:fill="D9D9D9"/>
          </w:tcPr>
          <w:p>
            <w:pPr>
              <w:spacing w:after="0"/>
              <w:rPr>
                <w:sz w:val="8"/>
                <w:szCs w:val="8"/>
                <w:color w:val="auto"/>
              </w:rPr>
            </w:pPr>
          </w:p>
        </w:tc>
        <w:tc>
          <w:tcPr>
            <w:tcW w:w="60" w:type="dxa"/>
            <w:vAlign w:val="bottom"/>
            <w:shd w:val="clear" w:color="auto" w:fill="D9D9D9"/>
          </w:tcPr>
          <w:p>
            <w:pPr>
              <w:spacing w:after="0"/>
              <w:rPr>
                <w:sz w:val="8"/>
                <w:szCs w:val="8"/>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2017</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D9D9D9"/>
          </w:tcPr>
          <w:p>
            <w:pPr>
              <w:ind w:left="140"/>
              <w:spacing w:after="0"/>
              <w:rPr>
                <w:sz w:val="20"/>
                <w:szCs w:val="20"/>
                <w:color w:val="auto"/>
              </w:rPr>
            </w:pPr>
            <w:r>
              <w:rPr>
                <w:rFonts w:ascii="Arial" w:cs="Arial" w:eastAsia="Arial" w:hAnsi="Arial"/>
                <w:sz w:val="12"/>
                <w:szCs w:val="12"/>
                <w:color w:val="auto"/>
              </w:rPr>
              <w:t>505,000</w:t>
            </w:r>
          </w:p>
        </w:tc>
        <w:tc>
          <w:tcPr>
            <w:tcW w:w="74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474,324</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79"/>
              <w:spacing w:after="0"/>
              <w:rPr>
                <w:sz w:val="20"/>
                <w:szCs w:val="20"/>
                <w:color w:val="auto"/>
              </w:rPr>
            </w:pPr>
            <w:r>
              <w:rPr>
                <w:rFonts w:ascii="Arial" w:cs="Arial" w:eastAsia="Arial" w:hAnsi="Arial"/>
                <w:sz w:val="12"/>
                <w:szCs w:val="12"/>
                <w:color w:val="auto"/>
              </w:rPr>
              <w:t>482,427</w:t>
            </w: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9D9D9"/>
          </w:tcPr>
          <w:p>
            <w:pPr>
              <w:jc w:val="right"/>
              <w:ind w:right="98"/>
              <w:spacing w:after="0"/>
              <w:rPr>
                <w:sz w:val="20"/>
                <w:szCs w:val="20"/>
                <w:color w:val="auto"/>
              </w:rPr>
            </w:pPr>
            <w:r>
              <w:rPr>
                <w:rFonts w:ascii="Arial" w:cs="Arial" w:eastAsia="Arial" w:hAnsi="Arial"/>
                <w:sz w:val="12"/>
                <w:szCs w:val="12"/>
                <w:color w:val="auto"/>
              </w:rPr>
              <w:t>484,573</w:t>
            </w:r>
          </w:p>
        </w:tc>
        <w:tc>
          <w:tcPr>
            <w:tcW w:w="52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38"/>
              <w:spacing w:after="0"/>
              <w:rPr>
                <w:sz w:val="20"/>
                <w:szCs w:val="20"/>
                <w:color w:val="auto"/>
              </w:rPr>
            </w:pPr>
            <w:r>
              <w:rPr>
                <w:rFonts w:ascii="Arial" w:cs="Arial" w:eastAsia="Arial" w:hAnsi="Arial"/>
                <w:sz w:val="12"/>
                <w:szCs w:val="12"/>
                <w:color w:val="auto"/>
              </w:rPr>
              <w:t>125,644</w:t>
            </w:r>
          </w:p>
        </w:tc>
        <w:tc>
          <w:tcPr>
            <w:tcW w:w="26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2,071,968</w:t>
            </w:r>
          </w:p>
        </w:tc>
        <w:tc>
          <w:tcPr>
            <w:tcW w:w="0" w:type="dxa"/>
            <w:vAlign w:val="bottom"/>
          </w:tcPr>
          <w:p>
            <w:pPr>
              <w:spacing w:after="0"/>
              <w:rPr>
                <w:sz w:val="1"/>
                <w:szCs w:val="1"/>
                <w:color w:val="auto"/>
              </w:rPr>
            </w:pPr>
          </w:p>
        </w:tc>
      </w:tr>
      <w:tr>
        <w:trPr>
          <w:trHeight w:val="86"/>
        </w:trPr>
        <w:tc>
          <w:tcPr>
            <w:tcW w:w="3120" w:type="dxa"/>
            <w:vAlign w:val="bottom"/>
            <w:vMerge w:val="restart"/>
            <w:shd w:val="clear" w:color="auto" w:fill="D9D9D9"/>
          </w:tcPr>
          <w:p>
            <w:pPr>
              <w:ind w:left="160"/>
              <w:spacing w:after="0"/>
              <w:rPr>
                <w:sz w:val="20"/>
                <w:szCs w:val="20"/>
                <w:color w:val="auto"/>
              </w:rPr>
            </w:pPr>
            <w:r>
              <w:rPr>
                <w:rFonts w:ascii="Arial" w:cs="Arial" w:eastAsia="Arial" w:hAnsi="Arial"/>
                <w:sz w:val="12"/>
                <w:szCs w:val="12"/>
                <w:color w:val="auto"/>
              </w:rPr>
              <w:t>CFO</w:t>
            </w:r>
          </w:p>
        </w:tc>
        <w:tc>
          <w:tcPr>
            <w:tcW w:w="60" w:type="dxa"/>
            <w:vAlign w:val="bottom"/>
            <w:shd w:val="clear" w:color="auto" w:fill="D9D9D9"/>
          </w:tcPr>
          <w:p>
            <w:pPr>
              <w:spacing w:after="0"/>
              <w:rPr>
                <w:sz w:val="7"/>
                <w:szCs w:val="7"/>
                <w:color w:val="auto"/>
              </w:rPr>
            </w:pPr>
          </w:p>
        </w:tc>
        <w:tc>
          <w:tcPr>
            <w:tcW w:w="620" w:type="dxa"/>
            <w:vAlign w:val="bottom"/>
            <w:vMerge w:val="continue"/>
            <w:shd w:val="clear" w:color="auto" w:fill="D9D9D9"/>
          </w:tcPr>
          <w:p>
            <w:pPr>
              <w:spacing w:after="0"/>
              <w:rPr>
                <w:sz w:val="7"/>
                <w:szCs w:val="7"/>
                <w:color w:val="auto"/>
              </w:rPr>
            </w:pPr>
          </w:p>
        </w:tc>
        <w:tc>
          <w:tcPr>
            <w:tcW w:w="180" w:type="dxa"/>
            <w:vAlign w:val="bottom"/>
            <w:vMerge w:val="continue"/>
            <w:shd w:val="clear" w:color="auto" w:fill="D9D9D9"/>
          </w:tcPr>
          <w:p>
            <w:pPr>
              <w:spacing w:after="0"/>
              <w:rPr>
                <w:sz w:val="7"/>
                <w:szCs w:val="7"/>
                <w:color w:val="auto"/>
              </w:rPr>
            </w:pPr>
          </w:p>
        </w:tc>
        <w:tc>
          <w:tcPr>
            <w:tcW w:w="700" w:type="dxa"/>
            <w:vAlign w:val="bottom"/>
            <w:vMerge w:val="continue"/>
            <w:shd w:val="clear" w:color="auto" w:fill="D9D9D9"/>
          </w:tcPr>
          <w:p>
            <w:pPr>
              <w:spacing w:after="0"/>
              <w:rPr>
                <w:sz w:val="7"/>
                <w:szCs w:val="7"/>
                <w:color w:val="auto"/>
              </w:rPr>
            </w:pPr>
          </w:p>
        </w:tc>
        <w:tc>
          <w:tcPr>
            <w:tcW w:w="740" w:type="dxa"/>
            <w:vAlign w:val="bottom"/>
            <w:vMerge w:val="continue"/>
            <w:shd w:val="clear" w:color="auto" w:fill="D9D9D9"/>
          </w:tcPr>
          <w:p>
            <w:pPr>
              <w:spacing w:after="0"/>
              <w:rPr>
                <w:sz w:val="7"/>
                <w:szCs w:val="7"/>
                <w:color w:val="auto"/>
              </w:rPr>
            </w:pPr>
          </w:p>
        </w:tc>
        <w:tc>
          <w:tcPr>
            <w:tcW w:w="200" w:type="dxa"/>
            <w:vAlign w:val="bottom"/>
            <w:vMerge w:val="continue"/>
            <w:shd w:val="clear" w:color="auto" w:fill="D9D9D9"/>
          </w:tcPr>
          <w:p>
            <w:pPr>
              <w:spacing w:after="0"/>
              <w:rPr>
                <w:sz w:val="7"/>
                <w:szCs w:val="7"/>
                <w:color w:val="auto"/>
              </w:rPr>
            </w:pPr>
          </w:p>
        </w:tc>
        <w:tc>
          <w:tcPr>
            <w:tcW w:w="820" w:type="dxa"/>
            <w:vAlign w:val="bottom"/>
            <w:vMerge w:val="continue"/>
            <w:shd w:val="clear" w:color="auto" w:fill="D9D9D9"/>
          </w:tcPr>
          <w:p>
            <w:pPr>
              <w:spacing w:after="0"/>
              <w:rPr>
                <w:sz w:val="7"/>
                <w:szCs w:val="7"/>
                <w:color w:val="auto"/>
              </w:rPr>
            </w:pPr>
          </w:p>
        </w:tc>
        <w:tc>
          <w:tcPr>
            <w:tcW w:w="180" w:type="dxa"/>
            <w:vAlign w:val="bottom"/>
            <w:vMerge w:val="continue"/>
            <w:shd w:val="clear" w:color="auto" w:fill="D9D9D9"/>
          </w:tcPr>
          <w:p>
            <w:pPr>
              <w:spacing w:after="0"/>
              <w:rPr>
                <w:sz w:val="7"/>
                <w:szCs w:val="7"/>
                <w:color w:val="auto"/>
              </w:rPr>
            </w:pPr>
          </w:p>
        </w:tc>
        <w:tc>
          <w:tcPr>
            <w:tcW w:w="900" w:type="dxa"/>
            <w:vAlign w:val="bottom"/>
            <w:vMerge w:val="continue"/>
            <w:shd w:val="clear" w:color="auto" w:fill="D9D9D9"/>
          </w:tcPr>
          <w:p>
            <w:pPr>
              <w:spacing w:after="0"/>
              <w:rPr>
                <w:sz w:val="7"/>
                <w:szCs w:val="7"/>
                <w:color w:val="auto"/>
              </w:rPr>
            </w:pPr>
          </w:p>
        </w:tc>
        <w:tc>
          <w:tcPr>
            <w:tcW w:w="500" w:type="dxa"/>
            <w:vAlign w:val="bottom"/>
            <w:vMerge w:val="continue"/>
            <w:shd w:val="clear" w:color="auto" w:fill="D9D9D9"/>
          </w:tcPr>
          <w:p>
            <w:pPr>
              <w:spacing w:after="0"/>
              <w:rPr>
                <w:sz w:val="7"/>
                <w:szCs w:val="7"/>
                <w:color w:val="auto"/>
              </w:rPr>
            </w:pPr>
          </w:p>
        </w:tc>
        <w:tc>
          <w:tcPr>
            <w:tcW w:w="980" w:type="dxa"/>
            <w:vAlign w:val="bottom"/>
            <w:vMerge w:val="continue"/>
            <w:shd w:val="clear" w:color="auto" w:fill="D9D9D9"/>
          </w:tcPr>
          <w:p>
            <w:pPr>
              <w:spacing w:after="0"/>
              <w:rPr>
                <w:sz w:val="7"/>
                <w:szCs w:val="7"/>
                <w:color w:val="auto"/>
              </w:rPr>
            </w:pPr>
          </w:p>
        </w:tc>
        <w:tc>
          <w:tcPr>
            <w:tcW w:w="520" w:type="dxa"/>
            <w:vAlign w:val="bottom"/>
            <w:vMerge w:val="continue"/>
            <w:shd w:val="clear" w:color="auto" w:fill="D9D9D9"/>
          </w:tcPr>
          <w:p>
            <w:pPr>
              <w:spacing w:after="0"/>
              <w:rPr>
                <w:sz w:val="7"/>
                <w:szCs w:val="7"/>
                <w:color w:val="auto"/>
              </w:rPr>
            </w:pPr>
          </w:p>
        </w:tc>
        <w:tc>
          <w:tcPr>
            <w:tcW w:w="900" w:type="dxa"/>
            <w:vAlign w:val="bottom"/>
            <w:vMerge w:val="continue"/>
            <w:shd w:val="clear" w:color="auto" w:fill="D9D9D9"/>
          </w:tcPr>
          <w:p>
            <w:pPr>
              <w:spacing w:after="0"/>
              <w:rPr>
                <w:sz w:val="7"/>
                <w:szCs w:val="7"/>
                <w:color w:val="auto"/>
              </w:rPr>
            </w:pPr>
          </w:p>
        </w:tc>
        <w:tc>
          <w:tcPr>
            <w:tcW w:w="260" w:type="dxa"/>
            <w:vAlign w:val="bottom"/>
            <w:vMerge w:val="continue"/>
            <w:shd w:val="clear" w:color="auto" w:fill="D9D9D9"/>
          </w:tcPr>
          <w:p>
            <w:pPr>
              <w:spacing w:after="0"/>
              <w:rPr>
                <w:sz w:val="7"/>
                <w:szCs w:val="7"/>
                <w:color w:val="auto"/>
              </w:rPr>
            </w:pPr>
          </w:p>
        </w:tc>
        <w:tc>
          <w:tcPr>
            <w:tcW w:w="74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120" w:type="dxa"/>
            <w:vAlign w:val="bottom"/>
            <w:vMerge w:val="continue"/>
            <w:shd w:val="clear" w:color="auto" w:fill="D9D9D9"/>
          </w:tcPr>
          <w:p>
            <w:pPr>
              <w:spacing w:after="0"/>
              <w:rPr>
                <w:sz w:val="5"/>
                <w:szCs w:val="5"/>
                <w:color w:val="auto"/>
              </w:rPr>
            </w:pPr>
          </w:p>
        </w:tc>
        <w:tc>
          <w:tcPr>
            <w:tcW w:w="60" w:type="dxa"/>
            <w:vAlign w:val="bottom"/>
            <w:shd w:val="clear" w:color="auto" w:fill="D9D9D9"/>
          </w:tcPr>
          <w:p>
            <w:pPr>
              <w:spacing w:after="0"/>
              <w:rPr>
                <w:sz w:val="5"/>
                <w:szCs w:val="5"/>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2016</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D9D9D9"/>
          </w:tcPr>
          <w:p>
            <w:pPr>
              <w:ind w:left="140"/>
              <w:spacing w:after="0"/>
              <w:rPr>
                <w:sz w:val="20"/>
                <w:szCs w:val="20"/>
                <w:color w:val="auto"/>
              </w:rPr>
            </w:pPr>
            <w:r>
              <w:rPr>
                <w:rFonts w:ascii="Arial" w:cs="Arial" w:eastAsia="Arial" w:hAnsi="Arial"/>
                <w:sz w:val="12"/>
                <w:szCs w:val="12"/>
                <w:color w:val="auto"/>
              </w:rPr>
              <w:t>485,000</w:t>
            </w:r>
          </w:p>
        </w:tc>
        <w:tc>
          <w:tcPr>
            <w:tcW w:w="74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435,512</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79"/>
              <w:spacing w:after="0"/>
              <w:rPr>
                <w:sz w:val="20"/>
                <w:szCs w:val="20"/>
                <w:color w:val="auto"/>
              </w:rPr>
            </w:pPr>
            <w:r>
              <w:rPr>
                <w:rFonts w:ascii="Arial" w:cs="Arial" w:eastAsia="Arial" w:hAnsi="Arial"/>
                <w:sz w:val="12"/>
                <w:szCs w:val="12"/>
                <w:color w:val="auto"/>
              </w:rPr>
              <w:t>365,632</w:t>
            </w: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9D9D9"/>
          </w:tcPr>
          <w:p>
            <w:pPr>
              <w:jc w:val="right"/>
              <w:ind w:right="98"/>
              <w:spacing w:after="0"/>
              <w:rPr>
                <w:sz w:val="20"/>
                <w:szCs w:val="20"/>
                <w:color w:val="auto"/>
              </w:rPr>
            </w:pPr>
            <w:r>
              <w:rPr>
                <w:rFonts w:ascii="Arial" w:cs="Arial" w:eastAsia="Arial" w:hAnsi="Arial"/>
                <w:sz w:val="12"/>
                <w:szCs w:val="12"/>
                <w:color w:val="auto"/>
              </w:rPr>
              <w:t>300,858</w:t>
            </w:r>
          </w:p>
        </w:tc>
        <w:tc>
          <w:tcPr>
            <w:tcW w:w="52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38"/>
              <w:spacing w:after="0"/>
              <w:rPr>
                <w:sz w:val="20"/>
                <w:szCs w:val="20"/>
                <w:color w:val="auto"/>
              </w:rPr>
            </w:pPr>
            <w:r>
              <w:rPr>
                <w:rFonts w:ascii="Arial" w:cs="Arial" w:eastAsia="Arial" w:hAnsi="Arial"/>
                <w:sz w:val="12"/>
                <w:szCs w:val="12"/>
                <w:color w:val="auto"/>
              </w:rPr>
              <w:t>97,709</w:t>
            </w:r>
          </w:p>
        </w:tc>
        <w:tc>
          <w:tcPr>
            <w:tcW w:w="26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1,684,711</w:t>
            </w:r>
          </w:p>
        </w:tc>
        <w:tc>
          <w:tcPr>
            <w:tcW w:w="0" w:type="dxa"/>
            <w:vAlign w:val="bottom"/>
          </w:tcPr>
          <w:p>
            <w:pPr>
              <w:spacing w:after="0"/>
              <w:rPr>
                <w:sz w:val="1"/>
                <w:szCs w:val="1"/>
                <w:color w:val="auto"/>
              </w:rPr>
            </w:pPr>
          </w:p>
        </w:tc>
      </w:tr>
      <w:tr>
        <w:trPr>
          <w:trHeight w:val="123"/>
        </w:trPr>
        <w:tc>
          <w:tcPr>
            <w:tcW w:w="31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vMerge w:val="continue"/>
            <w:shd w:val="clear" w:color="auto" w:fill="D9D9D9"/>
          </w:tcPr>
          <w:p>
            <w:pPr>
              <w:spacing w:after="0"/>
              <w:rPr>
                <w:sz w:val="10"/>
                <w:szCs w:val="10"/>
                <w:color w:val="auto"/>
              </w:rPr>
            </w:pPr>
          </w:p>
        </w:tc>
        <w:tc>
          <w:tcPr>
            <w:tcW w:w="180" w:type="dxa"/>
            <w:vAlign w:val="bottom"/>
            <w:vMerge w:val="continue"/>
            <w:shd w:val="clear" w:color="auto" w:fill="D9D9D9"/>
          </w:tcPr>
          <w:p>
            <w:pPr>
              <w:spacing w:after="0"/>
              <w:rPr>
                <w:sz w:val="10"/>
                <w:szCs w:val="10"/>
                <w:color w:val="auto"/>
              </w:rPr>
            </w:pPr>
          </w:p>
        </w:tc>
        <w:tc>
          <w:tcPr>
            <w:tcW w:w="70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9D9D9"/>
          </w:tcPr>
          <w:p>
            <w:pPr>
              <w:spacing w:after="0"/>
              <w:rPr>
                <w:sz w:val="10"/>
                <w:szCs w:val="10"/>
                <w:color w:val="auto"/>
              </w:rPr>
            </w:pPr>
          </w:p>
        </w:tc>
        <w:tc>
          <w:tcPr>
            <w:tcW w:w="200" w:type="dxa"/>
            <w:vAlign w:val="bottom"/>
            <w:vMerge w:val="continue"/>
            <w:shd w:val="clear" w:color="auto" w:fill="D9D9D9"/>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180" w:type="dxa"/>
            <w:vAlign w:val="bottom"/>
            <w:vMerge w:val="continue"/>
            <w:shd w:val="clear" w:color="auto" w:fill="D9D9D9"/>
          </w:tcPr>
          <w:p>
            <w:pPr>
              <w:spacing w:after="0"/>
              <w:rPr>
                <w:sz w:val="10"/>
                <w:szCs w:val="10"/>
                <w:color w:val="auto"/>
              </w:rPr>
            </w:pPr>
          </w:p>
        </w:tc>
        <w:tc>
          <w:tcPr>
            <w:tcW w:w="900" w:type="dxa"/>
            <w:vAlign w:val="bottom"/>
            <w:vMerge w:val="continue"/>
            <w:shd w:val="clear" w:color="auto" w:fill="D9D9D9"/>
          </w:tcPr>
          <w:p>
            <w:pPr>
              <w:spacing w:after="0"/>
              <w:rPr>
                <w:sz w:val="10"/>
                <w:szCs w:val="10"/>
                <w:color w:val="auto"/>
              </w:rPr>
            </w:pPr>
          </w:p>
        </w:tc>
        <w:tc>
          <w:tcPr>
            <w:tcW w:w="500" w:type="dxa"/>
            <w:vAlign w:val="bottom"/>
            <w:vMerge w:val="continue"/>
            <w:shd w:val="clear" w:color="auto" w:fill="D9D9D9"/>
          </w:tcPr>
          <w:p>
            <w:pPr>
              <w:spacing w:after="0"/>
              <w:rPr>
                <w:sz w:val="10"/>
                <w:szCs w:val="10"/>
                <w:color w:val="auto"/>
              </w:rPr>
            </w:pPr>
          </w:p>
        </w:tc>
        <w:tc>
          <w:tcPr>
            <w:tcW w:w="980" w:type="dxa"/>
            <w:vAlign w:val="bottom"/>
            <w:vMerge w:val="continue"/>
            <w:shd w:val="clear" w:color="auto" w:fill="D9D9D9"/>
          </w:tcPr>
          <w:p>
            <w:pPr>
              <w:spacing w:after="0"/>
              <w:rPr>
                <w:sz w:val="10"/>
                <w:szCs w:val="10"/>
                <w:color w:val="auto"/>
              </w:rPr>
            </w:pPr>
          </w:p>
        </w:tc>
        <w:tc>
          <w:tcPr>
            <w:tcW w:w="520" w:type="dxa"/>
            <w:vAlign w:val="bottom"/>
            <w:vMerge w:val="continue"/>
            <w:shd w:val="clear" w:color="auto" w:fill="D9D9D9"/>
          </w:tcPr>
          <w:p>
            <w:pPr>
              <w:spacing w:after="0"/>
              <w:rPr>
                <w:sz w:val="10"/>
                <w:szCs w:val="10"/>
                <w:color w:val="auto"/>
              </w:rPr>
            </w:pPr>
          </w:p>
        </w:tc>
        <w:tc>
          <w:tcPr>
            <w:tcW w:w="900" w:type="dxa"/>
            <w:vAlign w:val="bottom"/>
            <w:vMerge w:val="continue"/>
            <w:shd w:val="clear" w:color="auto" w:fill="D9D9D9"/>
          </w:tcPr>
          <w:p>
            <w:pPr>
              <w:spacing w:after="0"/>
              <w:rPr>
                <w:sz w:val="10"/>
                <w:szCs w:val="10"/>
                <w:color w:val="auto"/>
              </w:rPr>
            </w:pPr>
          </w:p>
        </w:tc>
        <w:tc>
          <w:tcPr>
            <w:tcW w:w="26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20"/>
                <w:szCs w:val="20"/>
                <w:color w:val="auto"/>
              </w:rPr>
            </w:pPr>
            <w:r>
              <w:rPr>
                <w:rFonts w:ascii="Arial" w:cs="Arial" w:eastAsia="Arial" w:hAnsi="Arial"/>
                <w:sz w:val="12"/>
                <w:szCs w:val="12"/>
                <w:color w:val="auto"/>
              </w:rPr>
              <w:t>William E. Brown, Jr.,</w:t>
            </w:r>
            <w:r>
              <w:rPr>
                <w:rFonts w:ascii="Arial" w:cs="Arial" w:eastAsia="Arial" w:hAnsi="Arial"/>
                <w:sz w:val="10"/>
                <w:szCs w:val="10"/>
                <w:color w:val="auto"/>
              </w:rPr>
              <w:t>(6)</w:t>
            </w: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2018</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445,000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307,380</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79"/>
              <w:spacing w:after="0"/>
              <w:rPr>
                <w:sz w:val="20"/>
                <w:szCs w:val="20"/>
                <w:color w:val="auto"/>
              </w:rPr>
            </w:pPr>
            <w:r>
              <w:rPr>
                <w:rFonts w:ascii="Arial" w:cs="Arial" w:eastAsia="Arial" w:hAnsi="Arial"/>
                <w:sz w:val="12"/>
                <w:szCs w:val="12"/>
                <w:color w:val="auto"/>
              </w:rPr>
              <w:t>296,208</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98"/>
              <w:spacing w:after="0"/>
              <w:rPr>
                <w:sz w:val="20"/>
                <w:szCs w:val="20"/>
                <w:color w:val="auto"/>
              </w:rPr>
            </w:pPr>
            <w:r>
              <w:rPr>
                <w:rFonts w:ascii="Arial" w:cs="Arial" w:eastAsia="Arial" w:hAnsi="Arial"/>
                <w:sz w:val="12"/>
                <w:szCs w:val="12"/>
                <w:color w:val="auto"/>
              </w:rPr>
              <w:t>276,118</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93,908</w:t>
            </w:r>
          </w:p>
        </w:tc>
        <w:tc>
          <w:tcPr>
            <w:tcW w:w="2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1,418,614</w:t>
            </w:r>
          </w:p>
        </w:tc>
        <w:tc>
          <w:tcPr>
            <w:tcW w:w="0" w:type="dxa"/>
            <w:vAlign w:val="bottom"/>
          </w:tcPr>
          <w:p>
            <w:pPr>
              <w:spacing w:after="0"/>
              <w:rPr>
                <w:sz w:val="1"/>
                <w:szCs w:val="1"/>
                <w:color w:val="auto"/>
              </w:rPr>
            </w:pPr>
          </w:p>
        </w:tc>
      </w:tr>
      <w:tr>
        <w:trPr>
          <w:trHeight w:val="49"/>
        </w:trPr>
        <w:tc>
          <w:tcPr>
            <w:tcW w:w="3120" w:type="dxa"/>
            <w:vAlign w:val="bottom"/>
            <w:vMerge w:val="restart"/>
          </w:tcPr>
          <w:p>
            <w:pPr>
              <w:ind w:left="160"/>
              <w:spacing w:after="0" w:line="135" w:lineRule="exact"/>
              <w:rPr>
                <w:sz w:val="20"/>
                <w:szCs w:val="20"/>
                <w:color w:val="auto"/>
              </w:rPr>
            </w:pPr>
            <w:r>
              <w:rPr>
                <w:rFonts w:ascii="Arial" w:cs="Arial" w:eastAsia="Arial" w:hAnsi="Arial"/>
                <w:sz w:val="12"/>
                <w:szCs w:val="12"/>
                <w:color w:val="auto"/>
              </w:rPr>
              <w:t>Group VP, Residential</w:t>
            </w:r>
          </w:p>
        </w:tc>
        <w:tc>
          <w:tcPr>
            <w:tcW w:w="6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3120" w:type="dxa"/>
            <w:vAlign w:val="bottom"/>
            <w:vMerge w:val="continue"/>
          </w:tcPr>
          <w:p>
            <w:pPr>
              <w:spacing w:after="0"/>
              <w:rPr>
                <w:sz w:val="7"/>
                <w:szCs w:val="7"/>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2017</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432,000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332,572</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79"/>
              <w:spacing w:after="0"/>
              <w:rPr>
                <w:sz w:val="20"/>
                <w:szCs w:val="20"/>
                <w:color w:val="auto"/>
              </w:rPr>
            </w:pPr>
            <w:r>
              <w:rPr>
                <w:rFonts w:ascii="Arial" w:cs="Arial" w:eastAsia="Arial" w:hAnsi="Arial"/>
                <w:sz w:val="12"/>
                <w:szCs w:val="12"/>
                <w:color w:val="auto"/>
              </w:rPr>
              <w:t>337,566</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98"/>
              <w:spacing w:after="0"/>
              <w:rPr>
                <w:sz w:val="20"/>
                <w:szCs w:val="20"/>
                <w:color w:val="auto"/>
              </w:rPr>
            </w:pPr>
            <w:r>
              <w:rPr>
                <w:rFonts w:ascii="Arial" w:cs="Arial" w:eastAsia="Arial" w:hAnsi="Arial"/>
                <w:sz w:val="12"/>
                <w:szCs w:val="12"/>
                <w:color w:val="auto"/>
              </w:rPr>
              <w:t>359,256</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94,636</w:t>
            </w:r>
          </w:p>
        </w:tc>
        <w:tc>
          <w:tcPr>
            <w:tcW w:w="2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1,556,030</w:t>
            </w:r>
          </w:p>
        </w:tc>
        <w:tc>
          <w:tcPr>
            <w:tcW w:w="0" w:type="dxa"/>
            <w:vAlign w:val="bottom"/>
          </w:tcPr>
          <w:p>
            <w:pPr>
              <w:spacing w:after="0"/>
              <w:rPr>
                <w:sz w:val="1"/>
                <w:szCs w:val="1"/>
                <w:color w:val="auto"/>
              </w:rPr>
            </w:pPr>
          </w:p>
        </w:tc>
      </w:tr>
      <w:tr>
        <w:trPr>
          <w:trHeight w:val="98"/>
        </w:trPr>
        <w:tc>
          <w:tcPr>
            <w:tcW w:w="3120" w:type="dxa"/>
            <w:vAlign w:val="bottom"/>
            <w:vMerge w:val="restart"/>
          </w:tcPr>
          <w:p>
            <w:pPr>
              <w:ind w:left="160"/>
              <w:spacing w:after="0"/>
              <w:rPr>
                <w:sz w:val="20"/>
                <w:szCs w:val="20"/>
                <w:color w:val="auto"/>
              </w:rPr>
            </w:pPr>
            <w:r>
              <w:rPr>
                <w:rFonts w:ascii="Arial" w:cs="Arial" w:eastAsia="Arial" w:hAnsi="Arial"/>
                <w:sz w:val="12"/>
                <w:szCs w:val="12"/>
                <w:color w:val="auto"/>
              </w:rPr>
              <w:t>and Contractor Businesses</w:t>
            </w:r>
          </w:p>
        </w:tc>
        <w:tc>
          <w:tcPr>
            <w:tcW w:w="68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3120" w:type="dxa"/>
            <w:vAlign w:val="bottom"/>
            <w:vMerge w:val="continue"/>
          </w:tcPr>
          <w:p>
            <w:pPr>
              <w:spacing w:after="0"/>
              <w:rPr>
                <w:sz w:val="4"/>
                <w:szCs w:val="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2016</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410,000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272,195</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79"/>
              <w:spacing w:after="0"/>
              <w:rPr>
                <w:sz w:val="20"/>
                <w:szCs w:val="20"/>
                <w:color w:val="auto"/>
              </w:rPr>
            </w:pPr>
            <w:r>
              <w:rPr>
                <w:rFonts w:ascii="Arial" w:cs="Arial" w:eastAsia="Arial" w:hAnsi="Arial"/>
                <w:sz w:val="12"/>
                <w:szCs w:val="12"/>
                <w:color w:val="auto"/>
              </w:rPr>
              <w:t>228,288</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98"/>
              <w:spacing w:after="0"/>
              <w:rPr>
                <w:sz w:val="20"/>
                <w:szCs w:val="20"/>
                <w:color w:val="auto"/>
              </w:rPr>
            </w:pPr>
            <w:r>
              <w:rPr>
                <w:rFonts w:ascii="Arial" w:cs="Arial" w:eastAsia="Arial" w:hAnsi="Arial"/>
                <w:sz w:val="12"/>
                <w:szCs w:val="12"/>
                <w:color w:val="auto"/>
              </w:rPr>
              <w:t>236,974</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85,149</w:t>
            </w:r>
          </w:p>
        </w:tc>
        <w:tc>
          <w:tcPr>
            <w:tcW w:w="2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1,232,606</w:t>
            </w:r>
          </w:p>
        </w:tc>
        <w:tc>
          <w:tcPr>
            <w:tcW w:w="0" w:type="dxa"/>
            <w:vAlign w:val="bottom"/>
          </w:tcPr>
          <w:p>
            <w:pPr>
              <w:spacing w:after="0"/>
              <w:rPr>
                <w:sz w:val="1"/>
                <w:szCs w:val="1"/>
                <w:color w:val="auto"/>
              </w:rPr>
            </w:pPr>
          </w:p>
        </w:tc>
      </w:tr>
      <w:tr>
        <w:trPr>
          <w:trHeight w:val="123"/>
        </w:trPr>
        <w:tc>
          <w:tcPr>
            <w:tcW w:w="3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120" w:type="dxa"/>
            <w:vAlign w:val="bottom"/>
            <w:shd w:val="clear" w:color="auto" w:fill="D9D9D9"/>
          </w:tcPr>
          <w:p>
            <w:pPr>
              <w:spacing w:after="0"/>
              <w:rPr>
                <w:sz w:val="20"/>
                <w:szCs w:val="20"/>
                <w:color w:val="auto"/>
              </w:rPr>
            </w:pPr>
            <w:r>
              <w:rPr>
                <w:rFonts w:ascii="Arial" w:cs="Arial" w:eastAsia="Arial" w:hAnsi="Arial"/>
                <w:sz w:val="12"/>
                <w:szCs w:val="12"/>
                <w:color w:val="auto"/>
              </w:rPr>
              <w:t>Timothy P. Dordell,</w:t>
            </w:r>
          </w:p>
        </w:tc>
        <w:tc>
          <w:tcPr>
            <w:tcW w:w="60" w:type="dxa"/>
            <w:vAlign w:val="bottom"/>
            <w:shd w:val="clear" w:color="auto" w:fill="D9D9D9"/>
          </w:tcPr>
          <w:p>
            <w:pPr>
              <w:spacing w:after="0"/>
              <w:rPr>
                <w:sz w:val="12"/>
                <w:szCs w:val="12"/>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2018</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D9D9D9"/>
          </w:tcPr>
          <w:p>
            <w:pPr>
              <w:ind w:left="140"/>
              <w:spacing w:after="0"/>
              <w:rPr>
                <w:sz w:val="20"/>
                <w:szCs w:val="20"/>
                <w:color w:val="auto"/>
              </w:rPr>
            </w:pPr>
            <w:r>
              <w:rPr>
                <w:rFonts w:ascii="Arial" w:cs="Arial" w:eastAsia="Arial" w:hAnsi="Arial"/>
                <w:sz w:val="12"/>
                <w:szCs w:val="12"/>
                <w:color w:val="auto"/>
              </w:rPr>
              <w:t>438,000</w:t>
            </w:r>
          </w:p>
        </w:tc>
        <w:tc>
          <w:tcPr>
            <w:tcW w:w="74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294,300</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79"/>
              <w:spacing w:after="0"/>
              <w:rPr>
                <w:sz w:val="20"/>
                <w:szCs w:val="20"/>
                <w:color w:val="auto"/>
              </w:rPr>
            </w:pPr>
            <w:r>
              <w:rPr>
                <w:rFonts w:ascii="Arial" w:cs="Arial" w:eastAsia="Arial" w:hAnsi="Arial"/>
                <w:sz w:val="12"/>
                <w:szCs w:val="12"/>
                <w:color w:val="auto"/>
              </w:rPr>
              <w:t>284,240</w:t>
            </w: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9D9D9"/>
          </w:tcPr>
          <w:p>
            <w:pPr>
              <w:jc w:val="right"/>
              <w:ind w:right="98"/>
              <w:spacing w:after="0"/>
              <w:rPr>
                <w:sz w:val="20"/>
                <w:szCs w:val="20"/>
                <w:color w:val="auto"/>
              </w:rPr>
            </w:pPr>
            <w:r>
              <w:rPr>
                <w:rFonts w:ascii="Arial" w:cs="Arial" w:eastAsia="Arial" w:hAnsi="Arial"/>
                <w:sz w:val="12"/>
                <w:szCs w:val="12"/>
                <w:color w:val="auto"/>
              </w:rPr>
              <w:t>250,869</w:t>
            </w:r>
          </w:p>
        </w:tc>
        <w:tc>
          <w:tcPr>
            <w:tcW w:w="52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38"/>
              <w:spacing w:after="0"/>
              <w:rPr>
                <w:sz w:val="20"/>
                <w:szCs w:val="20"/>
                <w:color w:val="auto"/>
              </w:rPr>
            </w:pPr>
            <w:r>
              <w:rPr>
                <w:rFonts w:ascii="Arial" w:cs="Arial" w:eastAsia="Arial" w:hAnsi="Arial"/>
                <w:sz w:val="12"/>
                <w:szCs w:val="12"/>
                <w:color w:val="auto"/>
              </w:rPr>
              <w:t>101,810</w:t>
            </w:r>
          </w:p>
        </w:tc>
        <w:tc>
          <w:tcPr>
            <w:tcW w:w="26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1,369,219</w:t>
            </w:r>
          </w:p>
        </w:tc>
        <w:tc>
          <w:tcPr>
            <w:tcW w:w="0" w:type="dxa"/>
            <w:vAlign w:val="bottom"/>
          </w:tcPr>
          <w:p>
            <w:pPr>
              <w:spacing w:after="0"/>
              <w:rPr>
                <w:sz w:val="1"/>
                <w:szCs w:val="1"/>
                <w:color w:val="auto"/>
              </w:rPr>
            </w:pPr>
          </w:p>
        </w:tc>
      </w:tr>
      <w:tr>
        <w:trPr>
          <w:trHeight w:val="37"/>
        </w:trPr>
        <w:tc>
          <w:tcPr>
            <w:tcW w:w="3120" w:type="dxa"/>
            <w:vAlign w:val="bottom"/>
            <w:vMerge w:val="restart"/>
            <w:shd w:val="clear" w:color="auto" w:fill="D9D9D9"/>
          </w:tcPr>
          <w:p>
            <w:pPr>
              <w:spacing w:after="0" w:line="135" w:lineRule="exact"/>
              <w:rPr>
                <w:sz w:val="20"/>
                <w:szCs w:val="20"/>
                <w:color w:val="auto"/>
              </w:rPr>
            </w:pPr>
            <w:r>
              <w:rPr>
                <w:rFonts w:ascii="Arial" w:cs="Arial" w:eastAsia="Arial" w:hAnsi="Arial"/>
                <w:sz w:val="12"/>
                <w:szCs w:val="12"/>
                <w:color w:val="auto"/>
              </w:rPr>
              <w:t>VP, Secretary and</w:t>
            </w:r>
          </w:p>
        </w:tc>
        <w:tc>
          <w:tcPr>
            <w:tcW w:w="60" w:type="dxa"/>
            <w:vAlign w:val="bottom"/>
            <w:shd w:val="clear" w:color="auto" w:fill="D9D9D9"/>
          </w:tcPr>
          <w:p>
            <w:pPr>
              <w:spacing w:after="0"/>
              <w:rPr>
                <w:sz w:val="3"/>
                <w:szCs w:val="3"/>
                <w:color w:val="auto"/>
              </w:rPr>
            </w:pPr>
          </w:p>
        </w:tc>
        <w:tc>
          <w:tcPr>
            <w:tcW w:w="620" w:type="dxa"/>
            <w:vAlign w:val="bottom"/>
            <w:vMerge w:val="continue"/>
            <w:shd w:val="clear" w:color="auto" w:fill="D9D9D9"/>
          </w:tcPr>
          <w:p>
            <w:pPr>
              <w:spacing w:after="0"/>
              <w:rPr>
                <w:sz w:val="3"/>
                <w:szCs w:val="3"/>
                <w:color w:val="auto"/>
              </w:rPr>
            </w:pPr>
          </w:p>
        </w:tc>
        <w:tc>
          <w:tcPr>
            <w:tcW w:w="180" w:type="dxa"/>
            <w:vAlign w:val="bottom"/>
            <w:vMerge w:val="continue"/>
            <w:shd w:val="clear" w:color="auto" w:fill="D9D9D9"/>
          </w:tcPr>
          <w:p>
            <w:pPr>
              <w:spacing w:after="0"/>
              <w:rPr>
                <w:sz w:val="3"/>
                <w:szCs w:val="3"/>
                <w:color w:val="auto"/>
              </w:rPr>
            </w:pPr>
          </w:p>
        </w:tc>
        <w:tc>
          <w:tcPr>
            <w:tcW w:w="700" w:type="dxa"/>
            <w:vAlign w:val="bottom"/>
            <w:vMerge w:val="continue"/>
            <w:shd w:val="clear" w:color="auto" w:fill="D9D9D9"/>
          </w:tcPr>
          <w:p>
            <w:pPr>
              <w:spacing w:after="0"/>
              <w:rPr>
                <w:sz w:val="3"/>
                <w:szCs w:val="3"/>
                <w:color w:val="auto"/>
              </w:rPr>
            </w:pPr>
          </w:p>
        </w:tc>
        <w:tc>
          <w:tcPr>
            <w:tcW w:w="740" w:type="dxa"/>
            <w:vAlign w:val="bottom"/>
            <w:vMerge w:val="continue"/>
            <w:shd w:val="clear" w:color="auto" w:fill="D9D9D9"/>
          </w:tcPr>
          <w:p>
            <w:pPr>
              <w:spacing w:after="0"/>
              <w:rPr>
                <w:sz w:val="3"/>
                <w:szCs w:val="3"/>
                <w:color w:val="auto"/>
              </w:rPr>
            </w:pPr>
          </w:p>
        </w:tc>
        <w:tc>
          <w:tcPr>
            <w:tcW w:w="200" w:type="dxa"/>
            <w:vAlign w:val="bottom"/>
            <w:vMerge w:val="continue"/>
            <w:shd w:val="clear" w:color="auto" w:fill="D9D9D9"/>
          </w:tcPr>
          <w:p>
            <w:pPr>
              <w:spacing w:after="0"/>
              <w:rPr>
                <w:sz w:val="3"/>
                <w:szCs w:val="3"/>
                <w:color w:val="auto"/>
              </w:rPr>
            </w:pPr>
          </w:p>
        </w:tc>
        <w:tc>
          <w:tcPr>
            <w:tcW w:w="820" w:type="dxa"/>
            <w:vAlign w:val="bottom"/>
            <w:vMerge w:val="continue"/>
            <w:shd w:val="clear" w:color="auto" w:fill="D9D9D9"/>
          </w:tcPr>
          <w:p>
            <w:pPr>
              <w:spacing w:after="0"/>
              <w:rPr>
                <w:sz w:val="3"/>
                <w:szCs w:val="3"/>
                <w:color w:val="auto"/>
              </w:rPr>
            </w:pPr>
          </w:p>
        </w:tc>
        <w:tc>
          <w:tcPr>
            <w:tcW w:w="180" w:type="dxa"/>
            <w:vAlign w:val="bottom"/>
            <w:vMerge w:val="continue"/>
            <w:shd w:val="clear" w:color="auto" w:fill="D9D9D9"/>
          </w:tcPr>
          <w:p>
            <w:pPr>
              <w:spacing w:after="0"/>
              <w:rPr>
                <w:sz w:val="3"/>
                <w:szCs w:val="3"/>
                <w:color w:val="auto"/>
              </w:rPr>
            </w:pPr>
          </w:p>
        </w:tc>
        <w:tc>
          <w:tcPr>
            <w:tcW w:w="900" w:type="dxa"/>
            <w:vAlign w:val="bottom"/>
            <w:vMerge w:val="continue"/>
            <w:shd w:val="clear" w:color="auto" w:fill="D9D9D9"/>
          </w:tcPr>
          <w:p>
            <w:pPr>
              <w:spacing w:after="0"/>
              <w:rPr>
                <w:sz w:val="3"/>
                <w:szCs w:val="3"/>
                <w:color w:val="auto"/>
              </w:rPr>
            </w:pPr>
          </w:p>
        </w:tc>
        <w:tc>
          <w:tcPr>
            <w:tcW w:w="500" w:type="dxa"/>
            <w:vAlign w:val="bottom"/>
            <w:vMerge w:val="continue"/>
            <w:shd w:val="clear" w:color="auto" w:fill="D9D9D9"/>
          </w:tcPr>
          <w:p>
            <w:pPr>
              <w:spacing w:after="0"/>
              <w:rPr>
                <w:sz w:val="3"/>
                <w:szCs w:val="3"/>
                <w:color w:val="auto"/>
              </w:rPr>
            </w:pPr>
          </w:p>
        </w:tc>
        <w:tc>
          <w:tcPr>
            <w:tcW w:w="980" w:type="dxa"/>
            <w:vAlign w:val="bottom"/>
            <w:vMerge w:val="continue"/>
            <w:shd w:val="clear" w:color="auto" w:fill="D9D9D9"/>
          </w:tcPr>
          <w:p>
            <w:pPr>
              <w:spacing w:after="0"/>
              <w:rPr>
                <w:sz w:val="3"/>
                <w:szCs w:val="3"/>
                <w:color w:val="auto"/>
              </w:rPr>
            </w:pPr>
          </w:p>
        </w:tc>
        <w:tc>
          <w:tcPr>
            <w:tcW w:w="520" w:type="dxa"/>
            <w:vAlign w:val="bottom"/>
            <w:vMerge w:val="continue"/>
            <w:shd w:val="clear" w:color="auto" w:fill="D9D9D9"/>
          </w:tcPr>
          <w:p>
            <w:pPr>
              <w:spacing w:after="0"/>
              <w:rPr>
                <w:sz w:val="3"/>
                <w:szCs w:val="3"/>
                <w:color w:val="auto"/>
              </w:rPr>
            </w:pPr>
          </w:p>
        </w:tc>
        <w:tc>
          <w:tcPr>
            <w:tcW w:w="900" w:type="dxa"/>
            <w:vAlign w:val="bottom"/>
            <w:vMerge w:val="continue"/>
            <w:shd w:val="clear" w:color="auto" w:fill="D9D9D9"/>
          </w:tcPr>
          <w:p>
            <w:pPr>
              <w:spacing w:after="0"/>
              <w:rPr>
                <w:sz w:val="3"/>
                <w:szCs w:val="3"/>
                <w:color w:val="auto"/>
              </w:rPr>
            </w:pPr>
          </w:p>
        </w:tc>
        <w:tc>
          <w:tcPr>
            <w:tcW w:w="260" w:type="dxa"/>
            <w:vAlign w:val="bottom"/>
            <w:vMerge w:val="continue"/>
            <w:shd w:val="clear" w:color="auto" w:fill="D9D9D9"/>
          </w:tcPr>
          <w:p>
            <w:pPr>
              <w:spacing w:after="0"/>
              <w:rPr>
                <w:sz w:val="3"/>
                <w:szCs w:val="3"/>
                <w:color w:val="auto"/>
              </w:rPr>
            </w:pPr>
          </w:p>
        </w:tc>
        <w:tc>
          <w:tcPr>
            <w:tcW w:w="740" w:type="dxa"/>
            <w:vAlign w:val="bottom"/>
            <w:vMerge w:val="continue"/>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3120" w:type="dxa"/>
            <w:vAlign w:val="bottom"/>
            <w:vMerge w:val="continue"/>
            <w:shd w:val="clear" w:color="auto" w:fill="D9D9D9"/>
          </w:tcPr>
          <w:p>
            <w:pPr>
              <w:spacing w:after="0"/>
              <w:rPr>
                <w:sz w:val="8"/>
                <w:szCs w:val="8"/>
                <w:color w:val="auto"/>
              </w:rPr>
            </w:pPr>
          </w:p>
        </w:tc>
        <w:tc>
          <w:tcPr>
            <w:tcW w:w="60" w:type="dxa"/>
            <w:vAlign w:val="bottom"/>
            <w:shd w:val="clear" w:color="auto" w:fill="D9D9D9"/>
          </w:tcPr>
          <w:p>
            <w:pPr>
              <w:spacing w:after="0"/>
              <w:rPr>
                <w:sz w:val="8"/>
                <w:szCs w:val="8"/>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2017</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D9D9D9"/>
          </w:tcPr>
          <w:p>
            <w:pPr>
              <w:ind w:left="140"/>
              <w:spacing w:after="0"/>
              <w:rPr>
                <w:sz w:val="20"/>
                <w:szCs w:val="20"/>
                <w:color w:val="auto"/>
              </w:rPr>
            </w:pPr>
            <w:r>
              <w:rPr>
                <w:rFonts w:ascii="Arial" w:cs="Arial" w:eastAsia="Arial" w:hAnsi="Arial"/>
                <w:sz w:val="12"/>
                <w:szCs w:val="12"/>
                <w:color w:val="auto"/>
              </w:rPr>
              <w:t>425,000</w:t>
            </w:r>
          </w:p>
        </w:tc>
        <w:tc>
          <w:tcPr>
            <w:tcW w:w="74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316,216</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79"/>
              <w:spacing w:after="0"/>
              <w:rPr>
                <w:sz w:val="20"/>
                <w:szCs w:val="20"/>
                <w:color w:val="auto"/>
              </w:rPr>
            </w:pPr>
            <w:r>
              <w:rPr>
                <w:rFonts w:ascii="Arial" w:cs="Arial" w:eastAsia="Arial" w:hAnsi="Arial"/>
                <w:sz w:val="12"/>
                <w:szCs w:val="12"/>
                <w:color w:val="auto"/>
              </w:rPr>
              <w:t>322,947</w:t>
            </w: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9D9D9"/>
          </w:tcPr>
          <w:p>
            <w:pPr>
              <w:jc w:val="right"/>
              <w:ind w:right="98"/>
              <w:spacing w:after="0"/>
              <w:rPr>
                <w:sz w:val="20"/>
                <w:szCs w:val="20"/>
                <w:color w:val="auto"/>
              </w:rPr>
            </w:pPr>
            <w:r>
              <w:rPr>
                <w:rFonts w:ascii="Arial" w:cs="Arial" w:eastAsia="Arial" w:hAnsi="Arial"/>
                <w:sz w:val="12"/>
                <w:szCs w:val="12"/>
                <w:color w:val="auto"/>
              </w:rPr>
              <w:t>326,247</w:t>
            </w:r>
          </w:p>
        </w:tc>
        <w:tc>
          <w:tcPr>
            <w:tcW w:w="52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38"/>
              <w:spacing w:after="0"/>
              <w:rPr>
                <w:sz w:val="20"/>
                <w:szCs w:val="20"/>
                <w:color w:val="auto"/>
              </w:rPr>
            </w:pPr>
            <w:r>
              <w:rPr>
                <w:rFonts w:ascii="Arial" w:cs="Arial" w:eastAsia="Arial" w:hAnsi="Arial"/>
                <w:sz w:val="12"/>
                <w:szCs w:val="12"/>
                <w:color w:val="auto"/>
              </w:rPr>
              <w:t>97,503</w:t>
            </w:r>
          </w:p>
        </w:tc>
        <w:tc>
          <w:tcPr>
            <w:tcW w:w="26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1,487,913</w:t>
            </w:r>
          </w:p>
        </w:tc>
        <w:tc>
          <w:tcPr>
            <w:tcW w:w="0" w:type="dxa"/>
            <w:vAlign w:val="bottom"/>
          </w:tcPr>
          <w:p>
            <w:pPr>
              <w:spacing w:after="0"/>
              <w:rPr>
                <w:sz w:val="1"/>
                <w:szCs w:val="1"/>
                <w:color w:val="auto"/>
              </w:rPr>
            </w:pPr>
          </w:p>
        </w:tc>
      </w:tr>
      <w:tr>
        <w:trPr>
          <w:trHeight w:val="86"/>
        </w:trPr>
        <w:tc>
          <w:tcPr>
            <w:tcW w:w="3120" w:type="dxa"/>
            <w:vAlign w:val="bottom"/>
            <w:vMerge w:val="restart"/>
            <w:shd w:val="clear" w:color="auto" w:fill="D9D9D9"/>
          </w:tcPr>
          <w:p>
            <w:pPr>
              <w:ind w:left="160"/>
              <w:spacing w:after="0"/>
              <w:rPr>
                <w:sz w:val="20"/>
                <w:szCs w:val="20"/>
                <w:color w:val="auto"/>
              </w:rPr>
            </w:pPr>
            <w:r>
              <w:rPr>
                <w:rFonts w:ascii="Arial" w:cs="Arial" w:eastAsia="Arial" w:hAnsi="Arial"/>
                <w:sz w:val="12"/>
                <w:szCs w:val="12"/>
                <w:color w:val="auto"/>
              </w:rPr>
              <w:t>General Counsel</w:t>
            </w:r>
          </w:p>
        </w:tc>
        <w:tc>
          <w:tcPr>
            <w:tcW w:w="60" w:type="dxa"/>
            <w:vAlign w:val="bottom"/>
            <w:shd w:val="clear" w:color="auto" w:fill="D9D9D9"/>
          </w:tcPr>
          <w:p>
            <w:pPr>
              <w:spacing w:after="0"/>
              <w:rPr>
                <w:sz w:val="7"/>
                <w:szCs w:val="7"/>
                <w:color w:val="auto"/>
              </w:rPr>
            </w:pPr>
          </w:p>
        </w:tc>
        <w:tc>
          <w:tcPr>
            <w:tcW w:w="620" w:type="dxa"/>
            <w:vAlign w:val="bottom"/>
            <w:vMerge w:val="continue"/>
            <w:shd w:val="clear" w:color="auto" w:fill="D9D9D9"/>
          </w:tcPr>
          <w:p>
            <w:pPr>
              <w:spacing w:after="0"/>
              <w:rPr>
                <w:sz w:val="7"/>
                <w:szCs w:val="7"/>
                <w:color w:val="auto"/>
              </w:rPr>
            </w:pPr>
          </w:p>
        </w:tc>
        <w:tc>
          <w:tcPr>
            <w:tcW w:w="180" w:type="dxa"/>
            <w:vAlign w:val="bottom"/>
            <w:vMerge w:val="continue"/>
            <w:shd w:val="clear" w:color="auto" w:fill="D9D9D9"/>
          </w:tcPr>
          <w:p>
            <w:pPr>
              <w:spacing w:after="0"/>
              <w:rPr>
                <w:sz w:val="7"/>
                <w:szCs w:val="7"/>
                <w:color w:val="auto"/>
              </w:rPr>
            </w:pPr>
          </w:p>
        </w:tc>
        <w:tc>
          <w:tcPr>
            <w:tcW w:w="700" w:type="dxa"/>
            <w:vAlign w:val="bottom"/>
            <w:vMerge w:val="continue"/>
            <w:shd w:val="clear" w:color="auto" w:fill="D9D9D9"/>
          </w:tcPr>
          <w:p>
            <w:pPr>
              <w:spacing w:after="0"/>
              <w:rPr>
                <w:sz w:val="7"/>
                <w:szCs w:val="7"/>
                <w:color w:val="auto"/>
              </w:rPr>
            </w:pPr>
          </w:p>
        </w:tc>
        <w:tc>
          <w:tcPr>
            <w:tcW w:w="740" w:type="dxa"/>
            <w:vAlign w:val="bottom"/>
            <w:vMerge w:val="continue"/>
            <w:shd w:val="clear" w:color="auto" w:fill="D9D9D9"/>
          </w:tcPr>
          <w:p>
            <w:pPr>
              <w:spacing w:after="0"/>
              <w:rPr>
                <w:sz w:val="7"/>
                <w:szCs w:val="7"/>
                <w:color w:val="auto"/>
              </w:rPr>
            </w:pPr>
          </w:p>
        </w:tc>
        <w:tc>
          <w:tcPr>
            <w:tcW w:w="200" w:type="dxa"/>
            <w:vAlign w:val="bottom"/>
            <w:vMerge w:val="continue"/>
            <w:shd w:val="clear" w:color="auto" w:fill="D9D9D9"/>
          </w:tcPr>
          <w:p>
            <w:pPr>
              <w:spacing w:after="0"/>
              <w:rPr>
                <w:sz w:val="7"/>
                <w:szCs w:val="7"/>
                <w:color w:val="auto"/>
              </w:rPr>
            </w:pPr>
          </w:p>
        </w:tc>
        <w:tc>
          <w:tcPr>
            <w:tcW w:w="820" w:type="dxa"/>
            <w:vAlign w:val="bottom"/>
            <w:vMerge w:val="continue"/>
            <w:shd w:val="clear" w:color="auto" w:fill="D9D9D9"/>
          </w:tcPr>
          <w:p>
            <w:pPr>
              <w:spacing w:after="0"/>
              <w:rPr>
                <w:sz w:val="7"/>
                <w:szCs w:val="7"/>
                <w:color w:val="auto"/>
              </w:rPr>
            </w:pPr>
          </w:p>
        </w:tc>
        <w:tc>
          <w:tcPr>
            <w:tcW w:w="180" w:type="dxa"/>
            <w:vAlign w:val="bottom"/>
            <w:vMerge w:val="continue"/>
            <w:shd w:val="clear" w:color="auto" w:fill="D9D9D9"/>
          </w:tcPr>
          <w:p>
            <w:pPr>
              <w:spacing w:after="0"/>
              <w:rPr>
                <w:sz w:val="7"/>
                <w:szCs w:val="7"/>
                <w:color w:val="auto"/>
              </w:rPr>
            </w:pPr>
          </w:p>
        </w:tc>
        <w:tc>
          <w:tcPr>
            <w:tcW w:w="900" w:type="dxa"/>
            <w:vAlign w:val="bottom"/>
            <w:vMerge w:val="continue"/>
            <w:shd w:val="clear" w:color="auto" w:fill="D9D9D9"/>
          </w:tcPr>
          <w:p>
            <w:pPr>
              <w:spacing w:after="0"/>
              <w:rPr>
                <w:sz w:val="7"/>
                <w:szCs w:val="7"/>
                <w:color w:val="auto"/>
              </w:rPr>
            </w:pPr>
          </w:p>
        </w:tc>
        <w:tc>
          <w:tcPr>
            <w:tcW w:w="500" w:type="dxa"/>
            <w:vAlign w:val="bottom"/>
            <w:vMerge w:val="continue"/>
            <w:shd w:val="clear" w:color="auto" w:fill="D9D9D9"/>
          </w:tcPr>
          <w:p>
            <w:pPr>
              <w:spacing w:after="0"/>
              <w:rPr>
                <w:sz w:val="7"/>
                <w:szCs w:val="7"/>
                <w:color w:val="auto"/>
              </w:rPr>
            </w:pPr>
          </w:p>
        </w:tc>
        <w:tc>
          <w:tcPr>
            <w:tcW w:w="980" w:type="dxa"/>
            <w:vAlign w:val="bottom"/>
            <w:vMerge w:val="continue"/>
            <w:shd w:val="clear" w:color="auto" w:fill="D9D9D9"/>
          </w:tcPr>
          <w:p>
            <w:pPr>
              <w:spacing w:after="0"/>
              <w:rPr>
                <w:sz w:val="7"/>
                <w:szCs w:val="7"/>
                <w:color w:val="auto"/>
              </w:rPr>
            </w:pPr>
          </w:p>
        </w:tc>
        <w:tc>
          <w:tcPr>
            <w:tcW w:w="520" w:type="dxa"/>
            <w:vAlign w:val="bottom"/>
            <w:vMerge w:val="continue"/>
            <w:shd w:val="clear" w:color="auto" w:fill="D9D9D9"/>
          </w:tcPr>
          <w:p>
            <w:pPr>
              <w:spacing w:after="0"/>
              <w:rPr>
                <w:sz w:val="7"/>
                <w:szCs w:val="7"/>
                <w:color w:val="auto"/>
              </w:rPr>
            </w:pPr>
          </w:p>
        </w:tc>
        <w:tc>
          <w:tcPr>
            <w:tcW w:w="900" w:type="dxa"/>
            <w:vAlign w:val="bottom"/>
            <w:vMerge w:val="continue"/>
            <w:shd w:val="clear" w:color="auto" w:fill="D9D9D9"/>
          </w:tcPr>
          <w:p>
            <w:pPr>
              <w:spacing w:after="0"/>
              <w:rPr>
                <w:sz w:val="7"/>
                <w:szCs w:val="7"/>
                <w:color w:val="auto"/>
              </w:rPr>
            </w:pPr>
          </w:p>
        </w:tc>
        <w:tc>
          <w:tcPr>
            <w:tcW w:w="260" w:type="dxa"/>
            <w:vAlign w:val="bottom"/>
            <w:vMerge w:val="continue"/>
            <w:shd w:val="clear" w:color="auto" w:fill="D9D9D9"/>
          </w:tcPr>
          <w:p>
            <w:pPr>
              <w:spacing w:after="0"/>
              <w:rPr>
                <w:sz w:val="7"/>
                <w:szCs w:val="7"/>
                <w:color w:val="auto"/>
              </w:rPr>
            </w:pPr>
          </w:p>
        </w:tc>
        <w:tc>
          <w:tcPr>
            <w:tcW w:w="74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120" w:type="dxa"/>
            <w:vAlign w:val="bottom"/>
            <w:vMerge w:val="continue"/>
            <w:shd w:val="clear" w:color="auto" w:fill="D9D9D9"/>
          </w:tcPr>
          <w:p>
            <w:pPr>
              <w:spacing w:after="0"/>
              <w:rPr>
                <w:sz w:val="5"/>
                <w:szCs w:val="5"/>
                <w:color w:val="auto"/>
              </w:rPr>
            </w:pPr>
          </w:p>
        </w:tc>
        <w:tc>
          <w:tcPr>
            <w:tcW w:w="60" w:type="dxa"/>
            <w:vAlign w:val="bottom"/>
            <w:shd w:val="clear" w:color="auto" w:fill="D9D9D9"/>
          </w:tcPr>
          <w:p>
            <w:pPr>
              <w:spacing w:after="0"/>
              <w:rPr>
                <w:sz w:val="5"/>
                <w:szCs w:val="5"/>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2016</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D9D9D9"/>
          </w:tcPr>
          <w:p>
            <w:pPr>
              <w:ind w:left="140"/>
              <w:spacing w:after="0"/>
              <w:rPr>
                <w:sz w:val="20"/>
                <w:szCs w:val="20"/>
                <w:color w:val="auto"/>
              </w:rPr>
            </w:pPr>
            <w:r>
              <w:rPr>
                <w:rFonts w:ascii="Arial" w:cs="Arial" w:eastAsia="Arial" w:hAnsi="Arial"/>
                <w:sz w:val="12"/>
                <w:szCs w:val="12"/>
                <w:color w:val="auto"/>
              </w:rPr>
              <w:t>410,000</w:t>
            </w:r>
          </w:p>
        </w:tc>
        <w:tc>
          <w:tcPr>
            <w:tcW w:w="74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256,641</w:t>
            </w:r>
          </w:p>
        </w:tc>
        <w:tc>
          <w:tcPr>
            <w:tcW w:w="1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79"/>
              <w:spacing w:after="0"/>
              <w:rPr>
                <w:sz w:val="20"/>
                <w:szCs w:val="20"/>
                <w:color w:val="auto"/>
              </w:rPr>
            </w:pPr>
            <w:r>
              <w:rPr>
                <w:rFonts w:ascii="Arial" w:cs="Arial" w:eastAsia="Arial" w:hAnsi="Arial"/>
                <w:sz w:val="12"/>
                <w:szCs w:val="12"/>
                <w:color w:val="auto"/>
              </w:rPr>
              <w:t>217,152</w:t>
            </w: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D9D9D9"/>
          </w:tcPr>
          <w:p>
            <w:pPr>
              <w:jc w:val="right"/>
              <w:ind w:right="98"/>
              <w:spacing w:after="0"/>
              <w:rPr>
                <w:sz w:val="20"/>
                <w:szCs w:val="20"/>
                <w:color w:val="auto"/>
              </w:rPr>
            </w:pPr>
            <w:r>
              <w:rPr>
                <w:rFonts w:ascii="Arial" w:cs="Arial" w:eastAsia="Arial" w:hAnsi="Arial"/>
                <w:sz w:val="12"/>
                <w:szCs w:val="12"/>
                <w:color w:val="auto"/>
              </w:rPr>
              <w:t>186,511</w:t>
            </w:r>
          </w:p>
        </w:tc>
        <w:tc>
          <w:tcPr>
            <w:tcW w:w="52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9D9D9"/>
          </w:tcPr>
          <w:p>
            <w:pPr>
              <w:jc w:val="right"/>
              <w:ind w:right="38"/>
              <w:spacing w:after="0"/>
              <w:rPr>
                <w:sz w:val="20"/>
                <w:szCs w:val="20"/>
                <w:color w:val="auto"/>
              </w:rPr>
            </w:pPr>
            <w:r>
              <w:rPr>
                <w:rFonts w:ascii="Arial" w:cs="Arial" w:eastAsia="Arial" w:hAnsi="Arial"/>
                <w:sz w:val="12"/>
                <w:szCs w:val="12"/>
                <w:color w:val="auto"/>
              </w:rPr>
              <w:t>84,506</w:t>
            </w:r>
          </w:p>
        </w:tc>
        <w:tc>
          <w:tcPr>
            <w:tcW w:w="260" w:type="dxa"/>
            <w:vAlign w:val="bottom"/>
            <w:vMerge w:val="restart"/>
            <w:shd w:val="clear" w:color="auto" w:fill="D9D9D9"/>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1,154,810</w:t>
            </w:r>
          </w:p>
        </w:tc>
        <w:tc>
          <w:tcPr>
            <w:tcW w:w="0" w:type="dxa"/>
            <w:vAlign w:val="bottom"/>
          </w:tcPr>
          <w:p>
            <w:pPr>
              <w:spacing w:after="0"/>
              <w:rPr>
                <w:sz w:val="1"/>
                <w:szCs w:val="1"/>
                <w:color w:val="auto"/>
              </w:rPr>
            </w:pPr>
          </w:p>
        </w:tc>
      </w:tr>
      <w:tr>
        <w:trPr>
          <w:trHeight w:val="123"/>
        </w:trPr>
        <w:tc>
          <w:tcPr>
            <w:tcW w:w="31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20" w:type="dxa"/>
            <w:vAlign w:val="bottom"/>
            <w:vMerge w:val="continue"/>
            <w:shd w:val="clear" w:color="auto" w:fill="D9D9D9"/>
          </w:tcPr>
          <w:p>
            <w:pPr>
              <w:spacing w:after="0"/>
              <w:rPr>
                <w:sz w:val="10"/>
                <w:szCs w:val="10"/>
                <w:color w:val="auto"/>
              </w:rPr>
            </w:pPr>
          </w:p>
        </w:tc>
        <w:tc>
          <w:tcPr>
            <w:tcW w:w="180" w:type="dxa"/>
            <w:vAlign w:val="bottom"/>
            <w:vMerge w:val="continue"/>
            <w:shd w:val="clear" w:color="auto" w:fill="D9D9D9"/>
          </w:tcPr>
          <w:p>
            <w:pPr>
              <w:spacing w:after="0"/>
              <w:rPr>
                <w:sz w:val="10"/>
                <w:szCs w:val="10"/>
                <w:color w:val="auto"/>
              </w:rPr>
            </w:pPr>
          </w:p>
        </w:tc>
        <w:tc>
          <w:tcPr>
            <w:tcW w:w="70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9D9D9"/>
          </w:tcPr>
          <w:p>
            <w:pPr>
              <w:spacing w:after="0"/>
              <w:rPr>
                <w:sz w:val="10"/>
                <w:szCs w:val="10"/>
                <w:color w:val="auto"/>
              </w:rPr>
            </w:pPr>
          </w:p>
        </w:tc>
        <w:tc>
          <w:tcPr>
            <w:tcW w:w="200" w:type="dxa"/>
            <w:vAlign w:val="bottom"/>
            <w:vMerge w:val="continue"/>
            <w:shd w:val="clear" w:color="auto" w:fill="D9D9D9"/>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180" w:type="dxa"/>
            <w:vAlign w:val="bottom"/>
            <w:vMerge w:val="continue"/>
            <w:shd w:val="clear" w:color="auto" w:fill="D9D9D9"/>
          </w:tcPr>
          <w:p>
            <w:pPr>
              <w:spacing w:after="0"/>
              <w:rPr>
                <w:sz w:val="10"/>
                <w:szCs w:val="10"/>
                <w:color w:val="auto"/>
              </w:rPr>
            </w:pPr>
          </w:p>
        </w:tc>
        <w:tc>
          <w:tcPr>
            <w:tcW w:w="900" w:type="dxa"/>
            <w:vAlign w:val="bottom"/>
            <w:vMerge w:val="continue"/>
            <w:shd w:val="clear" w:color="auto" w:fill="D9D9D9"/>
          </w:tcPr>
          <w:p>
            <w:pPr>
              <w:spacing w:after="0"/>
              <w:rPr>
                <w:sz w:val="10"/>
                <w:szCs w:val="10"/>
                <w:color w:val="auto"/>
              </w:rPr>
            </w:pPr>
          </w:p>
        </w:tc>
        <w:tc>
          <w:tcPr>
            <w:tcW w:w="500" w:type="dxa"/>
            <w:vAlign w:val="bottom"/>
            <w:vMerge w:val="continue"/>
            <w:shd w:val="clear" w:color="auto" w:fill="D9D9D9"/>
          </w:tcPr>
          <w:p>
            <w:pPr>
              <w:spacing w:after="0"/>
              <w:rPr>
                <w:sz w:val="10"/>
                <w:szCs w:val="10"/>
                <w:color w:val="auto"/>
              </w:rPr>
            </w:pPr>
          </w:p>
        </w:tc>
        <w:tc>
          <w:tcPr>
            <w:tcW w:w="980" w:type="dxa"/>
            <w:vAlign w:val="bottom"/>
            <w:vMerge w:val="continue"/>
            <w:shd w:val="clear" w:color="auto" w:fill="D9D9D9"/>
          </w:tcPr>
          <w:p>
            <w:pPr>
              <w:spacing w:after="0"/>
              <w:rPr>
                <w:sz w:val="10"/>
                <w:szCs w:val="10"/>
                <w:color w:val="auto"/>
              </w:rPr>
            </w:pPr>
          </w:p>
        </w:tc>
        <w:tc>
          <w:tcPr>
            <w:tcW w:w="520" w:type="dxa"/>
            <w:vAlign w:val="bottom"/>
            <w:vMerge w:val="continue"/>
            <w:shd w:val="clear" w:color="auto" w:fill="D9D9D9"/>
          </w:tcPr>
          <w:p>
            <w:pPr>
              <w:spacing w:after="0"/>
              <w:rPr>
                <w:sz w:val="10"/>
                <w:szCs w:val="10"/>
                <w:color w:val="auto"/>
              </w:rPr>
            </w:pPr>
          </w:p>
        </w:tc>
        <w:tc>
          <w:tcPr>
            <w:tcW w:w="900" w:type="dxa"/>
            <w:vAlign w:val="bottom"/>
            <w:vMerge w:val="continue"/>
            <w:shd w:val="clear" w:color="auto" w:fill="D9D9D9"/>
          </w:tcPr>
          <w:p>
            <w:pPr>
              <w:spacing w:after="0"/>
              <w:rPr>
                <w:sz w:val="10"/>
                <w:szCs w:val="10"/>
                <w:color w:val="auto"/>
              </w:rPr>
            </w:pPr>
          </w:p>
        </w:tc>
        <w:tc>
          <w:tcPr>
            <w:tcW w:w="26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20"/>
                <w:szCs w:val="20"/>
                <w:color w:val="auto"/>
              </w:rPr>
            </w:pPr>
            <w:r>
              <w:rPr>
                <w:rFonts w:ascii="Arial" w:cs="Arial" w:eastAsia="Arial" w:hAnsi="Arial"/>
                <w:sz w:val="12"/>
                <w:szCs w:val="12"/>
                <w:color w:val="auto"/>
              </w:rPr>
              <w:t>Bradley A. Hamilton</w:t>
            </w:r>
            <w:r>
              <w:rPr>
                <w:rFonts w:ascii="Arial" w:cs="Arial" w:eastAsia="Arial" w:hAnsi="Arial"/>
                <w:sz w:val="10"/>
                <w:szCs w:val="10"/>
                <w:color w:val="auto"/>
              </w:rPr>
              <w:t>(7)</w:t>
            </w: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2018</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350,000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215,820</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79"/>
              <w:spacing w:after="0"/>
              <w:rPr>
                <w:sz w:val="20"/>
                <w:szCs w:val="20"/>
                <w:color w:val="auto"/>
              </w:rPr>
            </w:pPr>
            <w:r>
              <w:rPr>
                <w:rFonts w:ascii="Arial" w:cs="Arial" w:eastAsia="Arial" w:hAnsi="Arial"/>
                <w:sz w:val="12"/>
                <w:szCs w:val="12"/>
                <w:color w:val="auto"/>
              </w:rPr>
              <w:t>212,432</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98"/>
              <w:spacing w:after="0"/>
              <w:rPr>
                <w:sz w:val="20"/>
                <w:szCs w:val="20"/>
                <w:color w:val="auto"/>
              </w:rPr>
            </w:pPr>
            <w:r>
              <w:rPr>
                <w:rFonts w:ascii="Arial" w:cs="Arial" w:eastAsia="Arial" w:hAnsi="Arial"/>
                <w:sz w:val="12"/>
                <w:szCs w:val="12"/>
                <w:color w:val="auto"/>
              </w:rPr>
              <w:t>187,721</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76,656</w:t>
            </w:r>
          </w:p>
        </w:tc>
        <w:tc>
          <w:tcPr>
            <w:tcW w:w="260" w:type="dxa"/>
            <w:vAlign w:val="bottom"/>
            <w:vMerge w:val="restart"/>
          </w:tcPr>
          <w:p>
            <w:pPr>
              <w:jc w:val="right"/>
              <w:ind w:right="39"/>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1,042,629</w:t>
            </w:r>
          </w:p>
        </w:tc>
        <w:tc>
          <w:tcPr>
            <w:tcW w:w="0" w:type="dxa"/>
            <w:vAlign w:val="bottom"/>
          </w:tcPr>
          <w:p>
            <w:pPr>
              <w:spacing w:after="0"/>
              <w:rPr>
                <w:sz w:val="1"/>
                <w:szCs w:val="1"/>
                <w:color w:val="auto"/>
              </w:rPr>
            </w:pPr>
          </w:p>
        </w:tc>
      </w:tr>
      <w:tr>
        <w:trPr>
          <w:trHeight w:val="61"/>
        </w:trPr>
        <w:tc>
          <w:tcPr>
            <w:tcW w:w="3120" w:type="dxa"/>
            <w:vAlign w:val="bottom"/>
            <w:vMerge w:val="restart"/>
          </w:tcPr>
          <w:p>
            <w:pPr>
              <w:ind w:left="160"/>
              <w:spacing w:after="0" w:line="135" w:lineRule="exact"/>
              <w:rPr>
                <w:sz w:val="20"/>
                <w:szCs w:val="20"/>
                <w:color w:val="auto"/>
              </w:rPr>
            </w:pPr>
            <w:r>
              <w:rPr>
                <w:rFonts w:ascii="Arial" w:cs="Arial" w:eastAsia="Arial" w:hAnsi="Arial"/>
                <w:sz w:val="12"/>
                <w:szCs w:val="12"/>
                <w:color w:val="auto"/>
              </w:rPr>
              <w:t>Group VP, Commercial,</w:t>
            </w:r>
          </w:p>
        </w:tc>
        <w:tc>
          <w:tcPr>
            <w:tcW w:w="68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1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62"/>
        <w:spacing w:after="0"/>
        <w:rPr>
          <w:sz w:val="20"/>
          <w:szCs w:val="20"/>
          <w:color w:val="auto"/>
        </w:rPr>
      </w:pPr>
      <w:r>
        <w:rPr>
          <w:rFonts w:ascii="Arial" w:cs="Arial" w:eastAsia="Arial" w:hAnsi="Arial"/>
          <w:sz w:val="12"/>
          <w:szCs w:val="12"/>
          <w:color w:val="auto"/>
        </w:rPr>
        <w:t>International and Irrigation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207772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6" w:lineRule="exact"/>
        <w:rPr>
          <w:sz w:val="20"/>
          <w:szCs w:val="20"/>
          <w:color w:val="auto"/>
        </w:rPr>
      </w:pPr>
    </w:p>
    <w:p>
      <w:pPr>
        <w:ind w:left="402" w:right="60" w:hanging="402"/>
        <w:spacing w:after="0" w:line="247" w:lineRule="auto"/>
        <w:tabs>
          <w:tab w:leader="none" w:pos="402"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generally do not pay discretionary bonuses or bonuses that are subjectively determined; we did not pay any such bonuses to any of our named executive officers in any of the last three most recently completed fiscal years. Annual cash incentive award payouts based on performance against pre-established financial performance goals are reported in the “Non-Equity Incentive Plan Compensation” column.</w:t>
      </w:r>
    </w:p>
    <w:p>
      <w:pPr>
        <w:spacing w:after="0" w:line="81" w:lineRule="exact"/>
        <w:rPr>
          <w:rFonts w:ascii="Arial" w:cs="Arial" w:eastAsia="Arial" w:hAnsi="Arial"/>
          <w:sz w:val="16"/>
          <w:szCs w:val="16"/>
          <w:color w:val="auto"/>
        </w:rPr>
      </w:pPr>
    </w:p>
    <w:p>
      <w:pPr>
        <w:ind w:left="402" w:right="20" w:hanging="402"/>
        <w:spacing w:after="0" w:line="241" w:lineRule="auto"/>
        <w:tabs>
          <w:tab w:leader="none" w:pos="40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reported for fiscal 2018 for our named executive officers represent the grant date fair value, computed in accordance with FASB ASC Topic 718, of performance share awards granted for the fiscal 2018 to fiscal 2020 performance period assuming target levels of performance. Amounts reported for each named executive officer and each award for fiscal 2018 are set forth in the “Grants of Plan-Based Awards for Fiscal 2018” table beginning on page 46 in the “Grant Date Fair Value of Stock and Option Awards” column. Provided below is the fiscal 2018 grant date fair value of performance share awards for the fiscal 2018 to fiscal 2020 performance period assuming maximum levels of performance. The maximum value is calculated using the number of shares reflected in the “Maximum” column of the “Estimated Future Payouts Under Equity Incentive Plan Awards” section of the “Grants of Plan-Based Awards for Fiscal 2018” table beginning on page 46 and the closing price of our common stock, as reported by the NYSE, on December 5, 2017, the grant date, of $65.40.</w:t>
      </w:r>
    </w:p>
    <w:p>
      <w:pPr>
        <w:spacing w:after="0" w:line="40" w:lineRule="exact"/>
        <w:rPr>
          <w:sz w:val="20"/>
          <w:szCs w:val="20"/>
          <w:color w:val="auto"/>
        </w:rPr>
      </w:pPr>
    </w:p>
    <w:tbl>
      <w:tblPr>
        <w:tblLayout w:type="fixed"/>
        <w:tblInd w:w="462" w:type="dxa"/>
        <w:tblCellMar>
          <w:top w:w="0" w:type="dxa"/>
          <w:left w:w="0" w:type="dxa"/>
          <w:bottom w:w="0" w:type="dxa"/>
          <w:right w:w="0" w:type="dxa"/>
        </w:tblCellMar>
      </w:tblPr>
      <w:tr>
        <w:trPr>
          <w:trHeight w:val="149"/>
        </w:trPr>
        <w:tc>
          <w:tcPr>
            <w:tcW w:w="4440" w:type="dxa"/>
            <w:vAlign w:val="bottom"/>
            <w:shd w:val="clear" w:color="auto" w:fill="BE0000"/>
          </w:tcPr>
          <w:p>
            <w:pPr>
              <w:spacing w:after="0"/>
              <w:rPr>
                <w:sz w:val="12"/>
                <w:szCs w:val="12"/>
                <w:color w:val="auto"/>
              </w:rPr>
            </w:pPr>
          </w:p>
        </w:tc>
        <w:tc>
          <w:tcPr>
            <w:tcW w:w="5660" w:type="dxa"/>
            <w:vAlign w:val="bottom"/>
            <w:shd w:val="clear" w:color="auto" w:fill="BE0000"/>
          </w:tcPr>
          <w:p>
            <w:pPr>
              <w:jc w:val="right"/>
              <w:ind w:right="269"/>
              <w:spacing w:after="0"/>
              <w:rPr>
                <w:sz w:val="20"/>
                <w:szCs w:val="20"/>
                <w:color w:val="auto"/>
              </w:rPr>
            </w:pPr>
            <w:r>
              <w:rPr>
                <w:rFonts w:ascii="Arial" w:cs="Arial" w:eastAsia="Arial" w:hAnsi="Arial"/>
                <w:sz w:val="13"/>
                <w:szCs w:val="13"/>
                <w:b w:val="1"/>
                <w:bCs w:val="1"/>
                <w:color w:val="FFFFFF"/>
              </w:rPr>
              <w:t>Grant Date Fair Value at</w:t>
            </w:r>
          </w:p>
        </w:tc>
        <w:tc>
          <w:tcPr>
            <w:tcW w:w="860" w:type="dxa"/>
            <w:vAlign w:val="bottom"/>
            <w:shd w:val="clear" w:color="auto" w:fill="BE0000"/>
          </w:tcPr>
          <w:p>
            <w:pPr>
              <w:spacing w:after="0"/>
              <w:rPr>
                <w:sz w:val="12"/>
                <w:szCs w:val="12"/>
                <w:color w:val="auto"/>
              </w:rPr>
            </w:pPr>
          </w:p>
        </w:tc>
      </w:tr>
      <w:tr>
        <w:trPr>
          <w:trHeight w:val="159"/>
        </w:trPr>
        <w:tc>
          <w:tcPr>
            <w:tcW w:w="444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Name</w:t>
            </w:r>
          </w:p>
        </w:tc>
        <w:tc>
          <w:tcPr>
            <w:tcW w:w="5660" w:type="dxa"/>
            <w:vAlign w:val="bottom"/>
            <w:shd w:val="clear" w:color="auto" w:fill="BE0000"/>
          </w:tcPr>
          <w:p>
            <w:pPr>
              <w:jc w:val="right"/>
              <w:spacing w:after="0"/>
              <w:rPr>
                <w:sz w:val="20"/>
                <w:szCs w:val="20"/>
                <w:color w:val="auto"/>
              </w:rPr>
            </w:pPr>
            <w:r>
              <w:rPr>
                <w:rFonts w:ascii="Arial" w:cs="Arial" w:eastAsia="Arial" w:hAnsi="Arial"/>
                <w:sz w:val="13"/>
                <w:szCs w:val="13"/>
                <w:b w:val="1"/>
                <w:bCs w:val="1"/>
                <w:color w:val="FFFFFF"/>
              </w:rPr>
              <w:t>Maximum Levels of Performance</w:t>
            </w:r>
          </w:p>
        </w:tc>
        <w:tc>
          <w:tcPr>
            <w:tcW w:w="860" w:type="dxa"/>
            <w:vAlign w:val="bottom"/>
            <w:shd w:val="clear" w:color="auto" w:fill="BE0000"/>
          </w:tcPr>
          <w:p>
            <w:pPr>
              <w:spacing w:after="0"/>
              <w:rPr>
                <w:sz w:val="13"/>
                <w:szCs w:val="13"/>
                <w:color w:val="auto"/>
              </w:rPr>
            </w:pPr>
          </w:p>
        </w:tc>
      </w:tr>
      <w:tr>
        <w:trPr>
          <w:trHeight w:val="184"/>
        </w:trPr>
        <w:tc>
          <w:tcPr>
            <w:tcW w:w="4440" w:type="dxa"/>
            <w:vAlign w:val="bottom"/>
          </w:tcPr>
          <w:p>
            <w:pPr>
              <w:spacing w:after="0"/>
              <w:rPr>
                <w:sz w:val="20"/>
                <w:szCs w:val="20"/>
                <w:color w:val="auto"/>
              </w:rPr>
            </w:pPr>
            <w:r>
              <w:rPr>
                <w:rFonts w:ascii="Arial" w:cs="Arial" w:eastAsia="Arial" w:hAnsi="Arial"/>
                <w:sz w:val="15"/>
                <w:szCs w:val="15"/>
                <w:color w:val="auto"/>
              </w:rPr>
              <w:t>Mr. Olson</w:t>
            </w:r>
          </w:p>
        </w:tc>
        <w:tc>
          <w:tcPr>
            <w:tcW w:w="5660" w:type="dxa"/>
            <w:vAlign w:val="bottom"/>
          </w:tcPr>
          <w:p>
            <w:pPr>
              <w:jc w:val="right"/>
              <w:ind w:right="609"/>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6"/>
              <w:spacing w:after="0"/>
              <w:rPr>
                <w:sz w:val="20"/>
                <w:szCs w:val="20"/>
                <w:color w:val="auto"/>
              </w:rPr>
            </w:pPr>
            <w:r>
              <w:rPr>
                <w:rFonts w:ascii="Arial" w:cs="Arial" w:eastAsia="Arial" w:hAnsi="Arial"/>
                <w:sz w:val="15"/>
                <w:szCs w:val="15"/>
                <w:color w:val="auto"/>
              </w:rPr>
              <w:t>3,152,280</w:t>
            </w:r>
          </w:p>
        </w:tc>
      </w:tr>
      <w:tr>
        <w:trPr>
          <w:trHeight w:val="184"/>
        </w:trPr>
        <w:tc>
          <w:tcPr>
            <w:tcW w:w="444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5660" w:type="dxa"/>
            <w:vAlign w:val="bottom"/>
            <w:shd w:val="clear" w:color="auto" w:fill="D9D9D9"/>
          </w:tcPr>
          <w:p>
            <w:pPr>
              <w:jc w:val="right"/>
              <w:ind w:right="609"/>
              <w:spacing w:after="0"/>
              <w:rPr>
                <w:sz w:val="20"/>
                <w:szCs w:val="20"/>
                <w:color w:val="auto"/>
              </w:rPr>
            </w:pPr>
            <w:r>
              <w:rPr>
                <w:rFonts w:ascii="Arial" w:cs="Arial" w:eastAsia="Arial" w:hAnsi="Arial"/>
                <w:sz w:val="15"/>
                <w:szCs w:val="15"/>
                <w:color w:val="auto"/>
              </w:rPr>
              <w:t>$</w:t>
            </w:r>
          </w:p>
        </w:tc>
        <w:tc>
          <w:tcPr>
            <w:tcW w:w="860" w:type="dxa"/>
            <w:vAlign w:val="bottom"/>
            <w:shd w:val="clear" w:color="auto" w:fill="D9D9D9"/>
          </w:tcPr>
          <w:p>
            <w:pPr>
              <w:jc w:val="right"/>
              <w:ind w:right="66"/>
              <w:spacing w:after="0"/>
              <w:rPr>
                <w:sz w:val="20"/>
                <w:szCs w:val="20"/>
                <w:color w:val="auto"/>
              </w:rPr>
            </w:pPr>
            <w:r>
              <w:rPr>
                <w:rFonts w:ascii="Arial" w:cs="Arial" w:eastAsia="Arial" w:hAnsi="Arial"/>
                <w:sz w:val="15"/>
                <w:szCs w:val="15"/>
                <w:color w:val="auto"/>
              </w:rPr>
              <w:t>876,360</w:t>
            </w:r>
          </w:p>
        </w:tc>
      </w:tr>
      <w:tr>
        <w:trPr>
          <w:trHeight w:val="184"/>
        </w:trPr>
        <w:tc>
          <w:tcPr>
            <w:tcW w:w="4440" w:type="dxa"/>
            <w:vAlign w:val="bottom"/>
          </w:tcPr>
          <w:p>
            <w:pPr>
              <w:spacing w:after="0"/>
              <w:rPr>
                <w:sz w:val="20"/>
                <w:szCs w:val="20"/>
                <w:color w:val="auto"/>
              </w:rPr>
            </w:pPr>
            <w:r>
              <w:rPr>
                <w:rFonts w:ascii="Arial" w:cs="Arial" w:eastAsia="Arial" w:hAnsi="Arial"/>
                <w:sz w:val="15"/>
                <w:szCs w:val="15"/>
                <w:color w:val="auto"/>
              </w:rPr>
              <w:t>Mr. Brown</w:t>
            </w:r>
          </w:p>
        </w:tc>
        <w:tc>
          <w:tcPr>
            <w:tcW w:w="5660" w:type="dxa"/>
            <w:vAlign w:val="bottom"/>
          </w:tcPr>
          <w:p>
            <w:pPr>
              <w:jc w:val="right"/>
              <w:ind w:right="609"/>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6"/>
              <w:spacing w:after="0"/>
              <w:rPr>
                <w:sz w:val="20"/>
                <w:szCs w:val="20"/>
                <w:color w:val="auto"/>
              </w:rPr>
            </w:pPr>
            <w:r>
              <w:rPr>
                <w:rFonts w:ascii="Arial" w:cs="Arial" w:eastAsia="Arial" w:hAnsi="Arial"/>
                <w:sz w:val="15"/>
                <w:szCs w:val="15"/>
                <w:color w:val="auto"/>
              </w:rPr>
              <w:t>614,760</w:t>
            </w:r>
          </w:p>
        </w:tc>
      </w:tr>
      <w:tr>
        <w:trPr>
          <w:trHeight w:val="184"/>
        </w:trPr>
        <w:tc>
          <w:tcPr>
            <w:tcW w:w="4440" w:type="dxa"/>
            <w:vAlign w:val="bottom"/>
            <w:shd w:val="clear" w:color="auto" w:fill="D9D9D9"/>
          </w:tcPr>
          <w:p>
            <w:pPr>
              <w:spacing w:after="0"/>
              <w:rPr>
                <w:sz w:val="20"/>
                <w:szCs w:val="20"/>
                <w:color w:val="auto"/>
              </w:rPr>
            </w:pPr>
            <w:r>
              <w:rPr>
                <w:rFonts w:ascii="Arial" w:cs="Arial" w:eastAsia="Arial" w:hAnsi="Arial"/>
                <w:sz w:val="15"/>
                <w:szCs w:val="15"/>
                <w:color w:val="auto"/>
              </w:rPr>
              <w:t>Mr. Dordell</w:t>
            </w:r>
          </w:p>
        </w:tc>
        <w:tc>
          <w:tcPr>
            <w:tcW w:w="5660" w:type="dxa"/>
            <w:vAlign w:val="bottom"/>
            <w:shd w:val="clear" w:color="auto" w:fill="D9D9D9"/>
          </w:tcPr>
          <w:p>
            <w:pPr>
              <w:jc w:val="right"/>
              <w:ind w:right="609"/>
              <w:spacing w:after="0"/>
              <w:rPr>
                <w:sz w:val="20"/>
                <w:szCs w:val="20"/>
                <w:color w:val="auto"/>
              </w:rPr>
            </w:pPr>
            <w:r>
              <w:rPr>
                <w:rFonts w:ascii="Arial" w:cs="Arial" w:eastAsia="Arial" w:hAnsi="Arial"/>
                <w:sz w:val="15"/>
                <w:szCs w:val="15"/>
                <w:color w:val="auto"/>
              </w:rPr>
              <w:t>$</w:t>
            </w:r>
          </w:p>
        </w:tc>
        <w:tc>
          <w:tcPr>
            <w:tcW w:w="860" w:type="dxa"/>
            <w:vAlign w:val="bottom"/>
            <w:shd w:val="clear" w:color="auto" w:fill="D9D9D9"/>
          </w:tcPr>
          <w:p>
            <w:pPr>
              <w:jc w:val="right"/>
              <w:ind w:right="66"/>
              <w:spacing w:after="0"/>
              <w:rPr>
                <w:sz w:val="20"/>
                <w:szCs w:val="20"/>
                <w:color w:val="auto"/>
              </w:rPr>
            </w:pPr>
            <w:r>
              <w:rPr>
                <w:rFonts w:ascii="Arial" w:cs="Arial" w:eastAsia="Arial" w:hAnsi="Arial"/>
                <w:sz w:val="15"/>
                <w:szCs w:val="15"/>
                <w:color w:val="auto"/>
              </w:rPr>
              <w:t>588,600</w:t>
            </w:r>
          </w:p>
        </w:tc>
      </w:tr>
      <w:tr>
        <w:trPr>
          <w:trHeight w:val="191"/>
        </w:trPr>
        <w:tc>
          <w:tcPr>
            <w:tcW w:w="4440" w:type="dxa"/>
            <w:vAlign w:val="bottom"/>
          </w:tcPr>
          <w:p>
            <w:pPr>
              <w:spacing w:after="0"/>
              <w:rPr>
                <w:sz w:val="20"/>
                <w:szCs w:val="20"/>
                <w:color w:val="auto"/>
              </w:rPr>
            </w:pPr>
            <w:r>
              <w:rPr>
                <w:rFonts w:ascii="Arial" w:cs="Arial" w:eastAsia="Arial" w:hAnsi="Arial"/>
                <w:sz w:val="15"/>
                <w:szCs w:val="15"/>
                <w:color w:val="auto"/>
              </w:rPr>
              <w:t>Mr. Hamilton</w:t>
            </w:r>
          </w:p>
        </w:tc>
        <w:tc>
          <w:tcPr>
            <w:tcW w:w="5660" w:type="dxa"/>
            <w:vAlign w:val="bottom"/>
          </w:tcPr>
          <w:p>
            <w:pPr>
              <w:jc w:val="right"/>
              <w:ind w:right="609"/>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6"/>
              <w:spacing w:after="0"/>
              <w:rPr>
                <w:sz w:val="20"/>
                <w:szCs w:val="20"/>
                <w:color w:val="auto"/>
              </w:rPr>
            </w:pPr>
            <w:r>
              <w:rPr>
                <w:rFonts w:ascii="Arial" w:cs="Arial" w:eastAsia="Arial" w:hAnsi="Arial"/>
                <w:sz w:val="15"/>
                <w:szCs w:val="15"/>
                <w:color w:val="auto"/>
              </w:rPr>
              <w:t>431,640</w:t>
            </w:r>
          </w:p>
        </w:tc>
      </w:tr>
    </w:tbl>
    <w:p>
      <w:pPr>
        <w:spacing w:after="0" w:line="41" w:lineRule="exact"/>
        <w:rPr>
          <w:sz w:val="20"/>
          <w:szCs w:val="20"/>
          <w:color w:val="auto"/>
        </w:rPr>
      </w:pPr>
    </w:p>
    <w:p>
      <w:pPr>
        <w:ind w:left="402" w:right="320" w:hanging="402"/>
        <w:spacing w:after="0" w:line="255" w:lineRule="auto"/>
        <w:tabs>
          <w:tab w:leader="none" w:pos="4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22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6" w:name="page57"/>
    <w:bookmarkEnd w:id="56"/>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6" w:lineRule="exact"/>
        <w:rPr>
          <w:sz w:val="20"/>
          <w:szCs w:val="20"/>
          <w:color w:val="auto"/>
        </w:rPr>
      </w:pPr>
    </w:p>
    <w:tbl>
      <w:tblPr>
        <w:tblLayout w:type="fixed"/>
        <w:tblInd w:w="462" w:type="dxa"/>
        <w:tblCellMar>
          <w:top w:w="0" w:type="dxa"/>
          <w:left w:w="0" w:type="dxa"/>
          <w:bottom w:w="0" w:type="dxa"/>
          <w:right w:w="0" w:type="dxa"/>
        </w:tblCellMar>
      </w:tblPr>
      <w:tr>
        <w:trPr>
          <w:trHeight w:val="149"/>
        </w:trPr>
        <w:tc>
          <w:tcPr>
            <w:tcW w:w="2140" w:type="dxa"/>
            <w:vAlign w:val="bottom"/>
            <w:shd w:val="clear" w:color="auto" w:fill="C00000"/>
          </w:tcPr>
          <w:p>
            <w:pPr>
              <w:spacing w:after="0"/>
              <w:rPr>
                <w:sz w:val="13"/>
                <w:szCs w:val="13"/>
                <w:color w:val="auto"/>
              </w:rPr>
            </w:pPr>
          </w:p>
        </w:tc>
        <w:tc>
          <w:tcPr>
            <w:tcW w:w="2720" w:type="dxa"/>
            <w:vAlign w:val="bottom"/>
            <w:shd w:val="clear" w:color="auto" w:fill="C00000"/>
          </w:tcPr>
          <w:p>
            <w:pPr>
              <w:spacing w:after="0"/>
              <w:rPr>
                <w:sz w:val="13"/>
                <w:szCs w:val="13"/>
                <w:color w:val="auto"/>
              </w:rPr>
            </w:pPr>
          </w:p>
        </w:tc>
        <w:tc>
          <w:tcPr>
            <w:tcW w:w="1620" w:type="dxa"/>
            <w:vAlign w:val="bottom"/>
            <w:shd w:val="clear" w:color="auto" w:fill="C00000"/>
          </w:tcPr>
          <w:p>
            <w:pPr>
              <w:spacing w:after="0"/>
              <w:rPr>
                <w:sz w:val="13"/>
                <w:szCs w:val="13"/>
                <w:color w:val="auto"/>
              </w:rPr>
            </w:pPr>
          </w:p>
        </w:tc>
        <w:tc>
          <w:tcPr>
            <w:tcW w:w="1520" w:type="dxa"/>
            <w:vAlign w:val="bottom"/>
            <w:shd w:val="clear" w:color="auto" w:fill="C00000"/>
          </w:tcPr>
          <w:p>
            <w:pPr>
              <w:spacing w:after="0"/>
              <w:rPr>
                <w:sz w:val="13"/>
                <w:szCs w:val="13"/>
                <w:color w:val="auto"/>
              </w:rPr>
            </w:pPr>
          </w:p>
        </w:tc>
        <w:tc>
          <w:tcPr>
            <w:tcW w:w="1480" w:type="dxa"/>
            <w:vAlign w:val="bottom"/>
            <w:shd w:val="clear" w:color="auto" w:fill="C00000"/>
          </w:tcPr>
          <w:p>
            <w:pPr>
              <w:spacing w:after="0"/>
              <w:rPr>
                <w:sz w:val="13"/>
                <w:szCs w:val="13"/>
                <w:color w:val="auto"/>
              </w:rPr>
            </w:pPr>
          </w:p>
        </w:tc>
        <w:tc>
          <w:tcPr>
            <w:tcW w:w="240" w:type="dxa"/>
            <w:vAlign w:val="bottom"/>
            <w:shd w:val="clear" w:color="auto" w:fill="C00000"/>
          </w:tcPr>
          <w:p>
            <w:pPr>
              <w:spacing w:after="0"/>
              <w:rPr>
                <w:sz w:val="13"/>
                <w:szCs w:val="13"/>
                <w:color w:val="auto"/>
              </w:rPr>
            </w:pPr>
          </w:p>
        </w:tc>
        <w:tc>
          <w:tcPr>
            <w:tcW w:w="1240" w:type="dxa"/>
            <w:vAlign w:val="bottom"/>
            <w:shd w:val="clear" w:color="auto" w:fill="C00000"/>
          </w:tcPr>
          <w:p>
            <w:pPr>
              <w:jc w:val="center"/>
              <w:ind w:right="131"/>
              <w:spacing w:after="0"/>
              <w:rPr>
                <w:sz w:val="20"/>
                <w:szCs w:val="20"/>
                <w:color w:val="auto"/>
              </w:rPr>
            </w:pPr>
            <w:r>
              <w:rPr>
                <w:rFonts w:ascii="Arial" w:cs="Arial" w:eastAsia="Arial" w:hAnsi="Arial"/>
                <w:sz w:val="13"/>
                <w:szCs w:val="13"/>
                <w:b w:val="1"/>
                <w:bCs w:val="1"/>
                <w:color w:val="FFFFFF"/>
                <w:w w:val="98"/>
              </w:rPr>
              <w:t>Per Share</w:t>
            </w:r>
          </w:p>
        </w:tc>
      </w:tr>
      <w:tr>
        <w:trPr>
          <w:trHeight w:val="147"/>
        </w:trPr>
        <w:tc>
          <w:tcPr>
            <w:tcW w:w="2140" w:type="dxa"/>
            <w:vAlign w:val="bottom"/>
            <w:shd w:val="clear" w:color="auto" w:fill="C00000"/>
          </w:tcPr>
          <w:p>
            <w:pPr>
              <w:spacing w:after="0"/>
              <w:rPr>
                <w:sz w:val="12"/>
                <w:szCs w:val="12"/>
                <w:color w:val="auto"/>
              </w:rPr>
            </w:pPr>
          </w:p>
        </w:tc>
        <w:tc>
          <w:tcPr>
            <w:tcW w:w="2720" w:type="dxa"/>
            <w:vAlign w:val="bottom"/>
            <w:shd w:val="clear" w:color="auto" w:fill="C00000"/>
          </w:tcPr>
          <w:p>
            <w:pPr>
              <w:jc w:val="right"/>
              <w:ind w:right="650"/>
              <w:spacing w:after="0" w:line="148" w:lineRule="exact"/>
              <w:rPr>
                <w:sz w:val="20"/>
                <w:szCs w:val="20"/>
                <w:color w:val="auto"/>
              </w:rPr>
            </w:pPr>
            <w:r>
              <w:rPr>
                <w:rFonts w:ascii="Arial" w:cs="Arial" w:eastAsia="Arial" w:hAnsi="Arial"/>
                <w:sz w:val="13"/>
                <w:szCs w:val="13"/>
                <w:b w:val="1"/>
                <w:bCs w:val="1"/>
                <w:color w:val="FFFFFF"/>
              </w:rPr>
              <w:t>Risk Free</w:t>
            </w:r>
          </w:p>
        </w:tc>
        <w:tc>
          <w:tcPr>
            <w:tcW w:w="1620" w:type="dxa"/>
            <w:vAlign w:val="bottom"/>
            <w:shd w:val="clear" w:color="auto" w:fill="C00000"/>
          </w:tcPr>
          <w:p>
            <w:pPr>
              <w:jc w:val="center"/>
              <w:ind w:right="330"/>
              <w:spacing w:after="0" w:line="148" w:lineRule="exact"/>
              <w:rPr>
                <w:sz w:val="20"/>
                <w:szCs w:val="20"/>
                <w:color w:val="auto"/>
              </w:rPr>
            </w:pPr>
            <w:r>
              <w:rPr>
                <w:rFonts w:ascii="Arial" w:cs="Arial" w:eastAsia="Arial" w:hAnsi="Arial"/>
                <w:sz w:val="13"/>
                <w:szCs w:val="13"/>
                <w:b w:val="1"/>
                <w:bCs w:val="1"/>
                <w:color w:val="FFFFFF"/>
              </w:rPr>
              <w:t>Expected</w:t>
            </w:r>
          </w:p>
        </w:tc>
        <w:tc>
          <w:tcPr>
            <w:tcW w:w="1520" w:type="dxa"/>
            <w:vAlign w:val="bottom"/>
            <w:shd w:val="clear" w:color="auto" w:fill="C00000"/>
          </w:tcPr>
          <w:p>
            <w:pPr>
              <w:jc w:val="right"/>
              <w:ind w:right="570"/>
              <w:spacing w:after="0" w:line="148" w:lineRule="exact"/>
              <w:rPr>
                <w:sz w:val="20"/>
                <w:szCs w:val="20"/>
                <w:color w:val="auto"/>
              </w:rPr>
            </w:pPr>
            <w:r>
              <w:rPr>
                <w:rFonts w:ascii="Arial" w:cs="Arial" w:eastAsia="Arial" w:hAnsi="Arial"/>
                <w:sz w:val="13"/>
                <w:szCs w:val="13"/>
                <w:b w:val="1"/>
                <w:bCs w:val="1"/>
                <w:color w:val="FFFFFF"/>
              </w:rPr>
              <w:t>Expected</w:t>
            </w:r>
          </w:p>
        </w:tc>
        <w:tc>
          <w:tcPr>
            <w:tcW w:w="1480" w:type="dxa"/>
            <w:vAlign w:val="bottom"/>
            <w:shd w:val="clear" w:color="auto" w:fill="C00000"/>
          </w:tcPr>
          <w:p>
            <w:pPr>
              <w:jc w:val="right"/>
              <w:ind w:right="410"/>
              <w:spacing w:after="0" w:line="148" w:lineRule="exact"/>
              <w:rPr>
                <w:sz w:val="20"/>
                <w:szCs w:val="20"/>
                <w:color w:val="auto"/>
              </w:rPr>
            </w:pPr>
            <w:r>
              <w:rPr>
                <w:rFonts w:ascii="Arial" w:cs="Arial" w:eastAsia="Arial" w:hAnsi="Arial"/>
                <w:sz w:val="13"/>
                <w:szCs w:val="13"/>
                <w:b w:val="1"/>
                <w:bCs w:val="1"/>
                <w:color w:val="FFFFFF"/>
              </w:rPr>
              <w:t>Expected</w:t>
            </w:r>
          </w:p>
        </w:tc>
        <w:tc>
          <w:tcPr>
            <w:tcW w:w="240" w:type="dxa"/>
            <w:vAlign w:val="bottom"/>
            <w:shd w:val="clear" w:color="auto" w:fill="C00000"/>
          </w:tcPr>
          <w:p>
            <w:pPr>
              <w:spacing w:after="0"/>
              <w:rPr>
                <w:sz w:val="12"/>
                <w:szCs w:val="12"/>
                <w:color w:val="auto"/>
              </w:rPr>
            </w:pPr>
          </w:p>
        </w:tc>
        <w:tc>
          <w:tcPr>
            <w:tcW w:w="1240" w:type="dxa"/>
            <w:vAlign w:val="bottom"/>
            <w:shd w:val="clear" w:color="auto" w:fill="C00000"/>
          </w:tcPr>
          <w:p>
            <w:pPr>
              <w:jc w:val="center"/>
              <w:ind w:right="151"/>
              <w:spacing w:after="0" w:line="148" w:lineRule="exact"/>
              <w:rPr>
                <w:sz w:val="20"/>
                <w:szCs w:val="20"/>
                <w:color w:val="auto"/>
              </w:rPr>
            </w:pPr>
            <w:r>
              <w:rPr>
                <w:rFonts w:ascii="Arial" w:cs="Arial" w:eastAsia="Arial" w:hAnsi="Arial"/>
                <w:sz w:val="13"/>
                <w:szCs w:val="13"/>
                <w:b w:val="1"/>
                <w:bCs w:val="1"/>
                <w:color w:val="FFFFFF"/>
              </w:rPr>
              <w:t>Black-Scholes</w:t>
            </w:r>
          </w:p>
        </w:tc>
      </w:tr>
      <w:tr>
        <w:trPr>
          <w:trHeight w:val="159"/>
        </w:trPr>
        <w:tc>
          <w:tcPr>
            <w:tcW w:w="214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Grant Date</w:t>
            </w:r>
          </w:p>
        </w:tc>
        <w:tc>
          <w:tcPr>
            <w:tcW w:w="2720" w:type="dxa"/>
            <w:vAlign w:val="bottom"/>
            <w:shd w:val="clear" w:color="auto" w:fill="C00000"/>
          </w:tcPr>
          <w:p>
            <w:pPr>
              <w:jc w:val="right"/>
              <w:ind w:right="790"/>
              <w:spacing w:after="0"/>
              <w:rPr>
                <w:sz w:val="20"/>
                <w:szCs w:val="20"/>
                <w:color w:val="auto"/>
              </w:rPr>
            </w:pPr>
            <w:r>
              <w:rPr>
                <w:rFonts w:ascii="Arial" w:cs="Arial" w:eastAsia="Arial" w:hAnsi="Arial"/>
                <w:sz w:val="13"/>
                <w:szCs w:val="13"/>
                <w:b w:val="1"/>
                <w:bCs w:val="1"/>
                <w:color w:val="FFFFFF"/>
              </w:rPr>
              <w:t>Rate</w:t>
            </w:r>
          </w:p>
        </w:tc>
        <w:tc>
          <w:tcPr>
            <w:tcW w:w="1620" w:type="dxa"/>
            <w:vAlign w:val="bottom"/>
            <w:shd w:val="clear" w:color="auto" w:fill="C00000"/>
          </w:tcPr>
          <w:p>
            <w:pPr>
              <w:jc w:val="center"/>
              <w:ind w:right="350"/>
              <w:spacing w:after="0"/>
              <w:rPr>
                <w:sz w:val="20"/>
                <w:szCs w:val="20"/>
                <w:color w:val="auto"/>
              </w:rPr>
            </w:pPr>
            <w:r>
              <w:rPr>
                <w:rFonts w:ascii="Arial" w:cs="Arial" w:eastAsia="Arial" w:hAnsi="Arial"/>
                <w:sz w:val="13"/>
                <w:szCs w:val="13"/>
                <w:b w:val="1"/>
                <w:bCs w:val="1"/>
                <w:color w:val="FFFFFF"/>
              </w:rPr>
              <w:t>Life</w:t>
            </w:r>
          </w:p>
        </w:tc>
        <w:tc>
          <w:tcPr>
            <w:tcW w:w="1520" w:type="dxa"/>
            <w:vAlign w:val="bottom"/>
            <w:shd w:val="clear" w:color="auto" w:fill="C00000"/>
          </w:tcPr>
          <w:p>
            <w:pPr>
              <w:jc w:val="right"/>
              <w:ind w:right="590"/>
              <w:spacing w:after="0"/>
              <w:rPr>
                <w:sz w:val="20"/>
                <w:szCs w:val="20"/>
                <w:color w:val="auto"/>
              </w:rPr>
            </w:pPr>
            <w:r>
              <w:rPr>
                <w:rFonts w:ascii="Arial" w:cs="Arial" w:eastAsia="Arial" w:hAnsi="Arial"/>
                <w:sz w:val="13"/>
                <w:szCs w:val="13"/>
                <w:b w:val="1"/>
                <w:bCs w:val="1"/>
                <w:color w:val="FFFFFF"/>
              </w:rPr>
              <w:t>Volatility</w:t>
            </w:r>
          </w:p>
        </w:tc>
        <w:tc>
          <w:tcPr>
            <w:tcW w:w="1480" w:type="dxa"/>
            <w:vAlign w:val="bottom"/>
            <w:shd w:val="clear" w:color="auto" w:fill="C00000"/>
          </w:tcPr>
          <w:p>
            <w:pPr>
              <w:jc w:val="right"/>
              <w:ind w:right="250"/>
              <w:spacing w:after="0"/>
              <w:rPr>
                <w:sz w:val="20"/>
                <w:szCs w:val="20"/>
                <w:color w:val="auto"/>
              </w:rPr>
            </w:pPr>
            <w:r>
              <w:rPr>
                <w:rFonts w:ascii="Arial" w:cs="Arial" w:eastAsia="Arial" w:hAnsi="Arial"/>
                <w:sz w:val="13"/>
                <w:szCs w:val="13"/>
                <w:b w:val="1"/>
                <w:bCs w:val="1"/>
                <w:color w:val="FFFFFF"/>
              </w:rPr>
              <w:t>Dividend Yield</w:t>
            </w:r>
          </w:p>
        </w:tc>
        <w:tc>
          <w:tcPr>
            <w:tcW w:w="240" w:type="dxa"/>
            <w:vAlign w:val="bottom"/>
            <w:shd w:val="clear" w:color="auto" w:fill="C00000"/>
          </w:tcPr>
          <w:p>
            <w:pPr>
              <w:spacing w:after="0"/>
              <w:rPr>
                <w:sz w:val="13"/>
                <w:szCs w:val="13"/>
                <w:color w:val="auto"/>
              </w:rPr>
            </w:pPr>
          </w:p>
        </w:tc>
        <w:tc>
          <w:tcPr>
            <w:tcW w:w="1240" w:type="dxa"/>
            <w:vAlign w:val="bottom"/>
            <w:shd w:val="clear" w:color="auto" w:fill="C00000"/>
          </w:tcPr>
          <w:p>
            <w:pPr>
              <w:jc w:val="center"/>
              <w:ind w:right="151"/>
              <w:spacing w:after="0"/>
              <w:rPr>
                <w:sz w:val="20"/>
                <w:szCs w:val="20"/>
                <w:color w:val="auto"/>
              </w:rPr>
            </w:pPr>
            <w:r>
              <w:rPr>
                <w:rFonts w:ascii="Arial" w:cs="Arial" w:eastAsia="Arial" w:hAnsi="Arial"/>
                <w:sz w:val="13"/>
                <w:szCs w:val="13"/>
                <w:b w:val="1"/>
                <w:bCs w:val="1"/>
                <w:color w:val="FFFFFF"/>
                <w:w w:val="97"/>
              </w:rPr>
              <w:t>Value</w:t>
            </w:r>
          </w:p>
        </w:tc>
      </w:tr>
      <w:tr>
        <w:trPr>
          <w:trHeight w:val="184"/>
        </w:trPr>
        <w:tc>
          <w:tcPr>
            <w:tcW w:w="2140" w:type="dxa"/>
            <w:vAlign w:val="bottom"/>
          </w:tcPr>
          <w:p>
            <w:pPr>
              <w:spacing w:after="0"/>
              <w:rPr>
                <w:sz w:val="20"/>
                <w:szCs w:val="20"/>
                <w:color w:val="auto"/>
              </w:rPr>
            </w:pPr>
            <w:r>
              <w:rPr>
                <w:rFonts w:ascii="Arial" w:cs="Arial" w:eastAsia="Arial" w:hAnsi="Arial"/>
                <w:sz w:val="15"/>
                <w:szCs w:val="15"/>
                <w:color w:val="auto"/>
              </w:rPr>
              <w:t>12/08/2017</w:t>
            </w:r>
          </w:p>
        </w:tc>
        <w:tc>
          <w:tcPr>
            <w:tcW w:w="2720" w:type="dxa"/>
            <w:vAlign w:val="bottom"/>
          </w:tcPr>
          <w:p>
            <w:pPr>
              <w:jc w:val="right"/>
              <w:ind w:right="250"/>
              <w:spacing w:after="0"/>
              <w:rPr>
                <w:sz w:val="20"/>
                <w:szCs w:val="20"/>
                <w:color w:val="auto"/>
              </w:rPr>
            </w:pPr>
            <w:r>
              <w:rPr>
                <w:rFonts w:ascii="Arial" w:cs="Arial" w:eastAsia="Arial" w:hAnsi="Arial"/>
                <w:sz w:val="15"/>
                <w:szCs w:val="15"/>
                <w:color w:val="auto"/>
              </w:rPr>
              <w:t>2.24%</w:t>
            </w:r>
          </w:p>
        </w:tc>
        <w:tc>
          <w:tcPr>
            <w:tcW w:w="1620" w:type="dxa"/>
            <w:vAlign w:val="bottom"/>
          </w:tcPr>
          <w:p>
            <w:pPr>
              <w:ind w:left="700"/>
              <w:spacing w:after="0"/>
              <w:rPr>
                <w:sz w:val="20"/>
                <w:szCs w:val="20"/>
                <w:color w:val="auto"/>
              </w:rPr>
            </w:pPr>
            <w:r>
              <w:rPr>
                <w:rFonts w:ascii="Arial" w:cs="Arial" w:eastAsia="Arial" w:hAnsi="Arial"/>
                <w:sz w:val="15"/>
                <w:szCs w:val="15"/>
                <w:color w:val="auto"/>
              </w:rPr>
              <w:t>6.3 years</w:t>
            </w:r>
          </w:p>
        </w:tc>
        <w:tc>
          <w:tcPr>
            <w:tcW w:w="1520" w:type="dxa"/>
            <w:vAlign w:val="bottom"/>
          </w:tcPr>
          <w:p>
            <w:pPr>
              <w:jc w:val="right"/>
              <w:ind w:right="170"/>
              <w:spacing w:after="0"/>
              <w:rPr>
                <w:sz w:val="20"/>
                <w:szCs w:val="20"/>
                <w:color w:val="auto"/>
              </w:rPr>
            </w:pPr>
            <w:r>
              <w:rPr>
                <w:rFonts w:ascii="Arial" w:cs="Arial" w:eastAsia="Arial" w:hAnsi="Arial"/>
                <w:sz w:val="15"/>
                <w:szCs w:val="15"/>
                <w:color w:val="auto"/>
              </w:rPr>
              <w:t>21.07%</w:t>
            </w:r>
          </w:p>
        </w:tc>
        <w:tc>
          <w:tcPr>
            <w:tcW w:w="1480" w:type="dxa"/>
            <w:vAlign w:val="bottom"/>
          </w:tcPr>
          <w:p>
            <w:pPr>
              <w:jc w:val="right"/>
              <w:ind w:right="30"/>
              <w:spacing w:after="0"/>
              <w:rPr>
                <w:sz w:val="20"/>
                <w:szCs w:val="20"/>
                <w:color w:val="auto"/>
              </w:rPr>
            </w:pPr>
            <w:r>
              <w:rPr>
                <w:rFonts w:ascii="Arial" w:cs="Arial" w:eastAsia="Arial" w:hAnsi="Arial"/>
                <w:sz w:val="15"/>
                <w:szCs w:val="15"/>
                <w:color w:val="auto"/>
              </w:rPr>
              <w:t>0.96%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1"/>
              <w:spacing w:after="0"/>
              <w:rPr>
                <w:sz w:val="20"/>
                <w:szCs w:val="20"/>
                <w:color w:val="auto"/>
              </w:rPr>
            </w:pPr>
            <w:r>
              <w:rPr>
                <w:rFonts w:ascii="Arial" w:cs="Arial" w:eastAsia="Arial" w:hAnsi="Arial"/>
                <w:sz w:val="15"/>
                <w:szCs w:val="15"/>
                <w:color w:val="auto"/>
              </w:rPr>
              <w:t>14.96</w:t>
            </w:r>
          </w:p>
        </w:tc>
      </w:tr>
      <w:tr>
        <w:trPr>
          <w:trHeight w:val="184"/>
        </w:trPr>
        <w:tc>
          <w:tcPr>
            <w:tcW w:w="2140" w:type="dxa"/>
            <w:vAlign w:val="bottom"/>
            <w:shd w:val="clear" w:color="auto" w:fill="D9D9D9"/>
          </w:tcPr>
          <w:p>
            <w:pPr>
              <w:spacing w:after="0"/>
              <w:rPr>
                <w:sz w:val="20"/>
                <w:szCs w:val="20"/>
                <w:color w:val="auto"/>
              </w:rPr>
            </w:pPr>
            <w:r>
              <w:rPr>
                <w:rFonts w:ascii="Arial" w:cs="Arial" w:eastAsia="Arial" w:hAnsi="Arial"/>
                <w:sz w:val="15"/>
                <w:szCs w:val="15"/>
                <w:color w:val="auto"/>
              </w:rPr>
              <w:t>12/09/2016</w:t>
            </w:r>
          </w:p>
        </w:tc>
        <w:tc>
          <w:tcPr>
            <w:tcW w:w="2720" w:type="dxa"/>
            <w:vAlign w:val="bottom"/>
            <w:shd w:val="clear" w:color="auto" w:fill="D9D9D9"/>
          </w:tcPr>
          <w:p>
            <w:pPr>
              <w:jc w:val="right"/>
              <w:ind w:right="250"/>
              <w:spacing w:after="0"/>
              <w:rPr>
                <w:sz w:val="20"/>
                <w:szCs w:val="20"/>
                <w:color w:val="auto"/>
              </w:rPr>
            </w:pPr>
            <w:r>
              <w:rPr>
                <w:rFonts w:ascii="Arial" w:cs="Arial" w:eastAsia="Arial" w:hAnsi="Arial"/>
                <w:sz w:val="15"/>
                <w:szCs w:val="15"/>
                <w:color w:val="auto"/>
              </w:rPr>
              <w:t>2.13%</w:t>
            </w:r>
          </w:p>
        </w:tc>
        <w:tc>
          <w:tcPr>
            <w:tcW w:w="1620" w:type="dxa"/>
            <w:vAlign w:val="bottom"/>
            <w:shd w:val="clear" w:color="auto" w:fill="D9D9D9"/>
          </w:tcPr>
          <w:p>
            <w:pPr>
              <w:ind w:left="700"/>
              <w:spacing w:after="0"/>
              <w:rPr>
                <w:sz w:val="20"/>
                <w:szCs w:val="20"/>
                <w:color w:val="auto"/>
              </w:rPr>
            </w:pPr>
            <w:r>
              <w:rPr>
                <w:rFonts w:ascii="Arial" w:cs="Arial" w:eastAsia="Arial" w:hAnsi="Arial"/>
                <w:sz w:val="15"/>
                <w:szCs w:val="15"/>
                <w:color w:val="auto"/>
              </w:rPr>
              <w:t>6.3 years</w:t>
            </w:r>
          </w:p>
        </w:tc>
        <w:tc>
          <w:tcPr>
            <w:tcW w:w="1520" w:type="dxa"/>
            <w:vAlign w:val="bottom"/>
            <w:shd w:val="clear" w:color="auto" w:fill="D9D9D9"/>
          </w:tcPr>
          <w:p>
            <w:pPr>
              <w:jc w:val="right"/>
              <w:ind w:right="170"/>
              <w:spacing w:after="0"/>
              <w:rPr>
                <w:sz w:val="20"/>
                <w:szCs w:val="20"/>
                <w:color w:val="auto"/>
              </w:rPr>
            </w:pPr>
            <w:r>
              <w:rPr>
                <w:rFonts w:ascii="Arial" w:cs="Arial" w:eastAsia="Arial" w:hAnsi="Arial"/>
                <w:sz w:val="15"/>
                <w:szCs w:val="15"/>
                <w:color w:val="auto"/>
              </w:rPr>
              <w:t>22.37%</w:t>
            </w:r>
          </w:p>
        </w:tc>
        <w:tc>
          <w:tcPr>
            <w:tcW w:w="1480" w:type="dxa"/>
            <w:vAlign w:val="bottom"/>
            <w:shd w:val="clear" w:color="auto" w:fill="D9D9D9"/>
          </w:tcPr>
          <w:p>
            <w:pPr>
              <w:jc w:val="right"/>
              <w:ind w:right="30"/>
              <w:spacing w:after="0"/>
              <w:rPr>
                <w:sz w:val="20"/>
                <w:szCs w:val="20"/>
                <w:color w:val="auto"/>
              </w:rPr>
            </w:pPr>
            <w:r>
              <w:rPr>
                <w:rFonts w:ascii="Arial" w:cs="Arial" w:eastAsia="Arial" w:hAnsi="Arial"/>
                <w:sz w:val="15"/>
                <w:szCs w:val="15"/>
                <w:color w:val="auto"/>
              </w:rPr>
              <w:t>0.97%</w:t>
            </w:r>
          </w:p>
        </w:tc>
        <w:tc>
          <w:tcPr>
            <w:tcW w:w="2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D9D9D9"/>
          </w:tcPr>
          <w:p>
            <w:pPr>
              <w:jc w:val="right"/>
              <w:ind w:right="11"/>
              <w:spacing w:after="0"/>
              <w:rPr>
                <w:sz w:val="20"/>
                <w:szCs w:val="20"/>
                <w:color w:val="auto"/>
              </w:rPr>
            </w:pPr>
            <w:r>
              <w:rPr>
                <w:rFonts w:ascii="Arial" w:cs="Arial" w:eastAsia="Arial" w:hAnsi="Arial"/>
                <w:sz w:val="15"/>
                <w:szCs w:val="15"/>
                <w:color w:val="auto"/>
              </w:rPr>
              <w:t>13.29</w:t>
            </w:r>
          </w:p>
        </w:tc>
      </w:tr>
      <w:tr>
        <w:trPr>
          <w:trHeight w:val="191"/>
        </w:trPr>
        <w:tc>
          <w:tcPr>
            <w:tcW w:w="2140" w:type="dxa"/>
            <w:vAlign w:val="bottom"/>
          </w:tcPr>
          <w:p>
            <w:pPr>
              <w:spacing w:after="0"/>
              <w:rPr>
                <w:sz w:val="20"/>
                <w:szCs w:val="20"/>
                <w:color w:val="auto"/>
              </w:rPr>
            </w:pPr>
            <w:r>
              <w:rPr>
                <w:rFonts w:ascii="Arial" w:cs="Arial" w:eastAsia="Arial" w:hAnsi="Arial"/>
                <w:sz w:val="15"/>
                <w:szCs w:val="15"/>
                <w:color w:val="auto"/>
              </w:rPr>
              <w:t>12/04/2015</w:t>
            </w:r>
          </w:p>
        </w:tc>
        <w:tc>
          <w:tcPr>
            <w:tcW w:w="2720" w:type="dxa"/>
            <w:vAlign w:val="bottom"/>
          </w:tcPr>
          <w:p>
            <w:pPr>
              <w:jc w:val="right"/>
              <w:ind w:right="250"/>
              <w:spacing w:after="0"/>
              <w:rPr>
                <w:sz w:val="20"/>
                <w:szCs w:val="20"/>
                <w:color w:val="auto"/>
              </w:rPr>
            </w:pPr>
            <w:r>
              <w:rPr>
                <w:rFonts w:ascii="Arial" w:cs="Arial" w:eastAsia="Arial" w:hAnsi="Arial"/>
                <w:sz w:val="15"/>
                <w:szCs w:val="15"/>
                <w:color w:val="auto"/>
              </w:rPr>
              <w:t>1.90%</w:t>
            </w:r>
          </w:p>
        </w:tc>
        <w:tc>
          <w:tcPr>
            <w:tcW w:w="1620" w:type="dxa"/>
            <w:vAlign w:val="bottom"/>
          </w:tcPr>
          <w:p>
            <w:pPr>
              <w:ind w:left="700"/>
              <w:spacing w:after="0"/>
              <w:rPr>
                <w:sz w:val="20"/>
                <w:szCs w:val="20"/>
                <w:color w:val="auto"/>
              </w:rPr>
            </w:pPr>
            <w:r>
              <w:rPr>
                <w:rFonts w:ascii="Arial" w:cs="Arial" w:eastAsia="Arial" w:hAnsi="Arial"/>
                <w:sz w:val="15"/>
                <w:szCs w:val="15"/>
                <w:color w:val="auto"/>
              </w:rPr>
              <w:t>6.3 years</w:t>
            </w:r>
          </w:p>
        </w:tc>
        <w:tc>
          <w:tcPr>
            <w:tcW w:w="1520" w:type="dxa"/>
            <w:vAlign w:val="bottom"/>
          </w:tcPr>
          <w:p>
            <w:pPr>
              <w:jc w:val="right"/>
              <w:ind w:right="170"/>
              <w:spacing w:after="0"/>
              <w:rPr>
                <w:sz w:val="20"/>
                <w:szCs w:val="20"/>
                <w:color w:val="auto"/>
              </w:rPr>
            </w:pPr>
            <w:r>
              <w:rPr>
                <w:rFonts w:ascii="Arial" w:cs="Arial" w:eastAsia="Arial" w:hAnsi="Arial"/>
                <w:sz w:val="15"/>
                <w:szCs w:val="15"/>
                <w:color w:val="auto"/>
              </w:rPr>
              <w:t>24.59%</w:t>
            </w:r>
          </w:p>
        </w:tc>
        <w:tc>
          <w:tcPr>
            <w:tcW w:w="1480" w:type="dxa"/>
            <w:vAlign w:val="bottom"/>
          </w:tcPr>
          <w:p>
            <w:pPr>
              <w:jc w:val="right"/>
              <w:ind w:right="30"/>
              <w:spacing w:after="0"/>
              <w:rPr>
                <w:sz w:val="20"/>
                <w:szCs w:val="20"/>
                <w:color w:val="auto"/>
              </w:rPr>
            </w:pPr>
            <w:r>
              <w:rPr>
                <w:rFonts w:ascii="Arial" w:cs="Arial" w:eastAsia="Arial" w:hAnsi="Arial"/>
                <w:sz w:val="15"/>
                <w:szCs w:val="15"/>
                <w:color w:val="auto"/>
              </w:rPr>
              <w:t>1.23%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1"/>
              <w:spacing w:after="0"/>
              <w:rPr>
                <w:sz w:val="20"/>
                <w:szCs w:val="20"/>
                <w:color w:val="auto"/>
              </w:rPr>
            </w:pPr>
            <w:r>
              <w:rPr>
                <w:rFonts w:ascii="Arial" w:cs="Arial" w:eastAsia="Arial" w:hAnsi="Arial"/>
                <w:sz w:val="15"/>
                <w:szCs w:val="15"/>
                <w:color w:val="auto"/>
              </w:rPr>
              <w:t>9.28</w:t>
            </w:r>
          </w:p>
        </w:tc>
      </w:tr>
    </w:tbl>
    <w:p>
      <w:pPr>
        <w:spacing w:after="0" w:line="41" w:lineRule="exact"/>
        <w:rPr>
          <w:sz w:val="20"/>
          <w:szCs w:val="20"/>
          <w:color w:val="auto"/>
        </w:rPr>
      </w:pPr>
    </w:p>
    <w:p>
      <w:pPr>
        <w:ind w:left="402" w:right="100" w:hanging="402"/>
        <w:spacing w:after="0" w:line="247" w:lineRule="auto"/>
        <w:tabs>
          <w:tab w:leader="none" w:pos="4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reported represent annual cash incentive awards earned for each fiscal year, but paid during the following fiscal year or deferred. Annual cash incentive awards are calculated and paid based on performance against financial performance goals. Additional detail regarding our annual cash incentives is set forth in the “Annual Cash Incentives—Actual Cash Compensation Discussion and Analysis” on page 38.</w:t>
      </w:r>
    </w:p>
    <w:p>
      <w:pPr>
        <w:spacing w:after="0" w:line="69" w:lineRule="exact"/>
        <w:rPr>
          <w:rFonts w:ascii="Arial" w:cs="Arial" w:eastAsia="Arial" w:hAnsi="Arial"/>
          <w:sz w:val="16"/>
          <w:szCs w:val="16"/>
          <w:color w:val="auto"/>
        </w:rPr>
      </w:pPr>
    </w:p>
    <w:p>
      <w:pPr>
        <w:ind w:left="402" w:hanging="402"/>
        <w:spacing w:after="0"/>
        <w:tabs>
          <w:tab w:leader="none" w:pos="4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for fiscal 2018 are set forth below under “All Other Compensation for Fiscal 2018.”</w:t>
      </w:r>
    </w:p>
    <w:p>
      <w:pPr>
        <w:spacing w:after="0" w:line="85" w:lineRule="exact"/>
        <w:rPr>
          <w:rFonts w:ascii="Arial" w:cs="Arial" w:eastAsia="Arial" w:hAnsi="Arial"/>
          <w:sz w:val="16"/>
          <w:szCs w:val="16"/>
          <w:color w:val="auto"/>
        </w:rPr>
      </w:pPr>
    </w:p>
    <w:p>
      <w:pPr>
        <w:ind w:left="402" w:hanging="402"/>
        <w:spacing w:after="0"/>
        <w:tabs>
          <w:tab w:leader="none" w:pos="4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Mr. Brown retired from our Company on January 11, 2019.</w:t>
      </w:r>
    </w:p>
    <w:p>
      <w:pPr>
        <w:spacing w:after="0" w:line="85" w:lineRule="exact"/>
        <w:rPr>
          <w:rFonts w:ascii="Arial" w:cs="Arial" w:eastAsia="Arial" w:hAnsi="Arial"/>
          <w:sz w:val="16"/>
          <w:szCs w:val="16"/>
          <w:color w:val="auto"/>
        </w:rPr>
      </w:pPr>
    </w:p>
    <w:p>
      <w:pPr>
        <w:ind w:left="402" w:hanging="402"/>
        <w:spacing w:after="0"/>
        <w:tabs>
          <w:tab w:leader="none" w:pos="4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Mr. Hamilton was not a named executive officer in fiscal 2016 or fiscal 2017; therefore, his information is provided only for fiscal 2018.</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All Other Compensation for Fiscal 2018</w:t>
      </w:r>
    </w:p>
    <w:p>
      <w:pPr>
        <w:spacing w:after="0" w:line="112" w:lineRule="exact"/>
        <w:rPr>
          <w:sz w:val="20"/>
          <w:szCs w:val="20"/>
          <w:color w:val="auto"/>
        </w:rPr>
      </w:pPr>
    </w:p>
    <w:p>
      <w:pPr>
        <w:ind w:left="2" w:right="260" w:firstLine="408"/>
        <w:spacing w:after="0" w:line="255" w:lineRule="auto"/>
        <w:rPr>
          <w:sz w:val="20"/>
          <w:szCs w:val="20"/>
          <w:color w:val="auto"/>
        </w:rPr>
      </w:pPr>
      <w:r>
        <w:rPr>
          <w:rFonts w:ascii="Arial" w:cs="Arial" w:eastAsia="Arial" w:hAnsi="Arial"/>
          <w:sz w:val="16"/>
          <w:szCs w:val="16"/>
          <w:color w:val="auto"/>
        </w:rPr>
        <w:t>All other compensation for fiscal 2018 includes the value of Company contributions to our retirement plan(s), the value of modest perquisites provided and the matching portion by the Company for charitable donations by our named executive officers, all of which are described below.</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4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Element</w:t>
            </w:r>
          </w:p>
        </w:tc>
        <w:tc>
          <w:tcPr>
            <w:tcW w:w="10000" w:type="dxa"/>
            <w:vAlign w:val="bottom"/>
            <w:shd w:val="clear" w:color="auto" w:fill="C00000"/>
          </w:tcPr>
          <w:p>
            <w:pPr>
              <w:ind w:left="4860"/>
              <w:spacing w:after="0"/>
              <w:rPr>
                <w:sz w:val="20"/>
                <w:szCs w:val="20"/>
                <w:color w:val="auto"/>
              </w:rPr>
            </w:pPr>
            <w:r>
              <w:rPr>
                <w:rFonts w:ascii="Arial" w:cs="Arial" w:eastAsia="Arial" w:hAnsi="Arial"/>
                <w:sz w:val="13"/>
                <w:szCs w:val="13"/>
                <w:b w:val="1"/>
                <w:bCs w:val="1"/>
                <w:color w:val="FFFFFF"/>
              </w:rPr>
              <w:t>Description</w:t>
            </w:r>
          </w:p>
        </w:tc>
        <w:tc>
          <w:tcPr>
            <w:tcW w:w="40" w:type="dxa"/>
            <w:vAlign w:val="bottom"/>
          </w:tcPr>
          <w:p>
            <w:pPr>
              <w:spacing w:after="0"/>
              <w:rPr>
                <w:sz w:val="15"/>
                <w:szCs w:val="15"/>
                <w:color w:val="auto"/>
              </w:rPr>
            </w:pPr>
          </w:p>
        </w:tc>
      </w:tr>
      <w:tr>
        <w:trPr>
          <w:trHeight w:val="210"/>
        </w:trPr>
        <w:tc>
          <w:tcPr>
            <w:tcW w:w="1420" w:type="dxa"/>
            <w:vAlign w:val="bottom"/>
          </w:tcPr>
          <w:p>
            <w:pPr>
              <w:spacing w:after="0"/>
              <w:rPr>
                <w:sz w:val="20"/>
                <w:szCs w:val="20"/>
                <w:color w:val="auto"/>
              </w:rPr>
            </w:pPr>
            <w:r>
              <w:rPr>
                <w:rFonts w:ascii="Arial" w:cs="Arial" w:eastAsia="Arial" w:hAnsi="Arial"/>
                <w:sz w:val="15"/>
                <w:szCs w:val="15"/>
                <w:color w:val="auto"/>
              </w:rPr>
              <w:t>Retirement</w:t>
            </w:r>
          </w:p>
        </w:tc>
        <w:tc>
          <w:tcPr>
            <w:tcW w:w="10000" w:type="dxa"/>
            <w:vAlign w:val="bottom"/>
          </w:tcPr>
          <w:p>
            <w:pPr>
              <w:ind w:left="300"/>
              <w:spacing w:after="0"/>
              <w:rPr>
                <w:sz w:val="20"/>
                <w:szCs w:val="20"/>
                <w:color w:val="auto"/>
              </w:rPr>
            </w:pPr>
            <w:r>
              <w:rPr>
                <w:rFonts w:ascii="Arial" w:cs="Arial" w:eastAsia="Arial" w:hAnsi="Arial"/>
                <w:sz w:val="15"/>
                <w:szCs w:val="15"/>
                <w:color w:val="auto"/>
              </w:rPr>
              <w:t>Under our IS&amp;ESOP in 2018, we matched $0.50 for each employee dollar contribution, up to an employee maximum of 4%. Additionally, the</w:t>
            </w:r>
          </w:p>
        </w:tc>
        <w:tc>
          <w:tcPr>
            <w:tcW w:w="40" w:type="dxa"/>
            <w:vAlign w:val="bottom"/>
          </w:tcPr>
          <w:p>
            <w:pPr>
              <w:spacing w:after="0"/>
              <w:rPr>
                <w:sz w:val="18"/>
                <w:szCs w:val="18"/>
                <w:color w:val="auto"/>
              </w:rPr>
            </w:pPr>
          </w:p>
        </w:tc>
      </w:tr>
      <w:tr>
        <w:trPr>
          <w:trHeight w:val="172"/>
        </w:trPr>
        <w:tc>
          <w:tcPr>
            <w:tcW w:w="1420" w:type="dxa"/>
            <w:vAlign w:val="bottom"/>
          </w:tcPr>
          <w:p>
            <w:pPr>
              <w:spacing w:after="0"/>
              <w:rPr>
                <w:sz w:val="20"/>
                <w:szCs w:val="20"/>
                <w:color w:val="auto"/>
              </w:rPr>
            </w:pPr>
            <w:r>
              <w:rPr>
                <w:rFonts w:ascii="Arial" w:cs="Arial" w:eastAsia="Arial" w:hAnsi="Arial"/>
                <w:sz w:val="15"/>
                <w:szCs w:val="15"/>
                <w:color w:val="auto"/>
              </w:rPr>
              <w:t>Benefits</w:t>
            </w:r>
          </w:p>
        </w:tc>
        <w:tc>
          <w:tcPr>
            <w:tcW w:w="10000" w:type="dxa"/>
            <w:vAlign w:val="bottom"/>
          </w:tcPr>
          <w:p>
            <w:pPr>
              <w:ind w:left="300"/>
              <w:spacing w:after="0"/>
              <w:rPr>
                <w:sz w:val="20"/>
                <w:szCs w:val="20"/>
                <w:color w:val="auto"/>
              </w:rPr>
            </w:pPr>
            <w:r>
              <w:rPr>
                <w:rFonts w:ascii="Arial" w:cs="Arial" w:eastAsia="Arial" w:hAnsi="Arial"/>
                <w:sz w:val="15"/>
                <w:szCs w:val="15"/>
                <w:color w:val="auto"/>
                <w:w w:val="99"/>
              </w:rPr>
              <w:t>Company may make a discretionary investment fund and ESOP contribution. Employees are eligible to participate in the plan and receive company</w:t>
            </w:r>
          </w:p>
        </w:tc>
        <w:tc>
          <w:tcPr>
            <w:tcW w:w="4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rPr>
              <w:t>contributions, after 30 days of service. For certain employees whose compensation exceeds the IRS limit, we also provide a contribution into our</w:t>
            </w:r>
          </w:p>
        </w:tc>
        <w:tc>
          <w:tcPr>
            <w:tcW w:w="4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rPr>
              <w:t>nonqualified deferred compensation plans, the Supplemental Benefit Plan or the Deferred Plan, as applicable. Our nonqualified deferred</w:t>
            </w:r>
          </w:p>
        </w:tc>
        <w:tc>
          <w:tcPr>
            <w:tcW w:w="40" w:type="dxa"/>
            <w:vAlign w:val="bottom"/>
          </w:tcPr>
          <w:p>
            <w:pPr>
              <w:spacing w:after="0"/>
              <w:rPr>
                <w:sz w:val="14"/>
                <w:szCs w:val="14"/>
                <w:color w:val="auto"/>
              </w:rPr>
            </w:pPr>
          </w:p>
        </w:tc>
      </w:tr>
      <w:tr>
        <w:trPr>
          <w:trHeight w:val="170"/>
        </w:trPr>
        <w:tc>
          <w:tcPr>
            <w:tcW w:w="1420" w:type="dxa"/>
            <w:vAlign w:val="bottom"/>
          </w:tcPr>
          <w:p>
            <w:pPr>
              <w:spacing w:after="0"/>
              <w:rPr>
                <w:sz w:val="14"/>
                <w:szCs w:val="14"/>
                <w:color w:val="auto"/>
              </w:rPr>
            </w:pPr>
          </w:p>
        </w:tc>
        <w:tc>
          <w:tcPr>
            <w:tcW w:w="10000" w:type="dxa"/>
            <w:vAlign w:val="bottom"/>
          </w:tcPr>
          <w:p>
            <w:pPr>
              <w:ind w:left="300"/>
              <w:spacing w:after="0" w:line="170" w:lineRule="exact"/>
              <w:rPr>
                <w:sz w:val="20"/>
                <w:szCs w:val="20"/>
                <w:color w:val="auto"/>
              </w:rPr>
            </w:pPr>
            <w:r>
              <w:rPr>
                <w:rFonts w:ascii="Arial" w:cs="Arial" w:eastAsia="Arial" w:hAnsi="Arial"/>
                <w:sz w:val="15"/>
                <w:szCs w:val="15"/>
                <w:color w:val="auto"/>
              </w:rPr>
              <w:t>compensation plans are described under “Nonqualified Deferred Compensation for Fiscal 2018” beginning on page 50.</w:t>
            </w:r>
          </w:p>
        </w:tc>
        <w:tc>
          <w:tcPr>
            <w:tcW w:w="40" w:type="dxa"/>
            <w:vAlign w:val="bottom"/>
          </w:tcPr>
          <w:p>
            <w:pPr>
              <w:spacing w:after="0"/>
              <w:rPr>
                <w:sz w:val="14"/>
                <w:szCs w:val="14"/>
                <w:color w:val="auto"/>
              </w:rPr>
            </w:pPr>
          </w:p>
        </w:tc>
      </w:tr>
      <w:tr>
        <w:trPr>
          <w:trHeight w:val="216"/>
        </w:trPr>
        <w:tc>
          <w:tcPr>
            <w:tcW w:w="1420" w:type="dxa"/>
            <w:vAlign w:val="bottom"/>
            <w:shd w:val="clear" w:color="auto" w:fill="D9D9D9"/>
          </w:tcPr>
          <w:p>
            <w:pPr>
              <w:spacing w:after="0"/>
              <w:rPr>
                <w:sz w:val="20"/>
                <w:szCs w:val="20"/>
                <w:color w:val="auto"/>
              </w:rPr>
            </w:pPr>
            <w:r>
              <w:rPr>
                <w:rFonts w:ascii="Arial" w:cs="Arial" w:eastAsia="Arial" w:hAnsi="Arial"/>
                <w:sz w:val="15"/>
                <w:szCs w:val="15"/>
                <w:color w:val="auto"/>
              </w:rPr>
              <w:t>Perquisites</w:t>
            </w: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We provide our executive officers with modest perquisites, including:</w:t>
            </w:r>
          </w:p>
        </w:tc>
        <w:tc>
          <w:tcPr>
            <w:tcW w:w="40" w:type="dxa"/>
            <w:vAlign w:val="bottom"/>
          </w:tcPr>
          <w:p>
            <w:pPr>
              <w:spacing w:after="0"/>
              <w:rPr>
                <w:sz w:val="18"/>
                <w:szCs w:val="18"/>
                <w:color w:val="auto"/>
              </w:rPr>
            </w:pPr>
          </w:p>
        </w:tc>
      </w:tr>
      <w:tr>
        <w:trPr>
          <w:trHeight w:val="203"/>
        </w:trPr>
        <w:tc>
          <w:tcPr>
            <w:tcW w:w="1420" w:type="dxa"/>
            <w:vAlign w:val="bottom"/>
            <w:shd w:val="clear" w:color="auto" w:fill="D9D9D9"/>
          </w:tcPr>
          <w:p>
            <w:pPr>
              <w:spacing w:after="0"/>
              <w:rPr>
                <w:sz w:val="17"/>
                <w:szCs w:val="17"/>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w w:val="99"/>
              </w:rPr>
              <w:t>•  Company-leased automobile—We pay all costs associated with leasing, operating, maintaining and insuring a company-leased automobile up to</w:t>
            </w:r>
          </w:p>
        </w:tc>
        <w:tc>
          <w:tcPr>
            <w:tcW w:w="40" w:type="dxa"/>
            <w:vAlign w:val="bottom"/>
          </w:tcPr>
          <w:p>
            <w:pPr>
              <w:spacing w:after="0"/>
              <w:rPr>
                <w:sz w:val="17"/>
                <w:szCs w:val="17"/>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w w:val="98"/>
              </w:rPr>
              <w:t>certain thresholds. Our executive officers are generally eligible for a new vehicle after 30 months and may choose to purchase the existing vehicle</w:t>
            </w:r>
          </w:p>
        </w:tc>
        <w:tc>
          <w:tcPr>
            <w:tcW w:w="40" w:type="dxa"/>
            <w:vAlign w:val="bottom"/>
          </w:tcPr>
          <w:p>
            <w:pPr>
              <w:spacing w:after="0"/>
              <w:rPr>
                <w:sz w:val="14"/>
                <w:szCs w:val="14"/>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at book value plus payment of any miscellaneous expenses charged by our leasing company.</w:t>
            </w:r>
          </w:p>
        </w:tc>
        <w:tc>
          <w:tcPr>
            <w:tcW w:w="40" w:type="dxa"/>
            <w:vAlign w:val="bottom"/>
          </w:tcPr>
          <w:p>
            <w:pPr>
              <w:spacing w:after="0"/>
              <w:rPr>
                <w:sz w:val="15"/>
                <w:szCs w:val="15"/>
                <w:color w:val="auto"/>
              </w:rPr>
            </w:pPr>
          </w:p>
        </w:tc>
      </w:tr>
      <w:tr>
        <w:trPr>
          <w:trHeight w:val="215"/>
        </w:trPr>
        <w:tc>
          <w:tcPr>
            <w:tcW w:w="1420" w:type="dxa"/>
            <w:vAlign w:val="bottom"/>
            <w:shd w:val="clear" w:color="auto" w:fill="D9D9D9"/>
          </w:tcPr>
          <w:p>
            <w:pPr>
              <w:spacing w:after="0"/>
              <w:rPr>
                <w:sz w:val="18"/>
                <w:szCs w:val="18"/>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  Financial planning—We encourage our executive officers to receive professional advice regarding their financial, tax and estate planning needs.</w:t>
            </w:r>
          </w:p>
        </w:tc>
        <w:tc>
          <w:tcPr>
            <w:tcW w:w="40" w:type="dxa"/>
            <w:vAlign w:val="bottom"/>
          </w:tcPr>
          <w:p>
            <w:pPr>
              <w:spacing w:after="0"/>
              <w:rPr>
                <w:sz w:val="18"/>
                <w:szCs w:val="18"/>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Therefore, we pay up to a maximum defined amount for each of our executive officers to cover tax planning, tax return preparation, financial</w:t>
            </w:r>
          </w:p>
        </w:tc>
        <w:tc>
          <w:tcPr>
            <w:tcW w:w="40" w:type="dxa"/>
            <w:vAlign w:val="bottom"/>
          </w:tcPr>
          <w:p>
            <w:pPr>
              <w:spacing w:after="0"/>
              <w:rPr>
                <w:sz w:val="14"/>
                <w:szCs w:val="14"/>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counseling and estate planning. Every three years, we will pay up to an additional 50% of the annual allowance. Annual allowance ranges from</w:t>
            </w:r>
          </w:p>
        </w:tc>
        <w:tc>
          <w:tcPr>
            <w:tcW w:w="40" w:type="dxa"/>
            <w:vAlign w:val="bottom"/>
          </w:tcPr>
          <w:p>
            <w:pPr>
              <w:spacing w:after="0"/>
              <w:rPr>
                <w:sz w:val="14"/>
                <w:szCs w:val="14"/>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$5,000 to $15,000 depending on the level of the executive officer’s position.</w:t>
            </w:r>
          </w:p>
        </w:tc>
        <w:tc>
          <w:tcPr>
            <w:tcW w:w="40" w:type="dxa"/>
            <w:vAlign w:val="bottom"/>
          </w:tcPr>
          <w:p>
            <w:pPr>
              <w:spacing w:after="0"/>
              <w:rPr>
                <w:sz w:val="15"/>
                <w:szCs w:val="15"/>
                <w:color w:val="auto"/>
              </w:rPr>
            </w:pPr>
          </w:p>
        </w:tc>
      </w:tr>
      <w:tr>
        <w:trPr>
          <w:trHeight w:val="215"/>
        </w:trPr>
        <w:tc>
          <w:tcPr>
            <w:tcW w:w="1420" w:type="dxa"/>
            <w:vAlign w:val="bottom"/>
            <w:shd w:val="clear" w:color="auto" w:fill="D9D9D9"/>
          </w:tcPr>
          <w:p>
            <w:pPr>
              <w:spacing w:after="0"/>
              <w:rPr>
                <w:sz w:val="18"/>
                <w:szCs w:val="18"/>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  Annual executive physical—To help ensure the health of our executive officers, we generally pay up to $2,000 for approved physical exam</w:t>
            </w:r>
          </w:p>
        </w:tc>
        <w:tc>
          <w:tcPr>
            <w:tcW w:w="40" w:type="dxa"/>
            <w:vAlign w:val="bottom"/>
          </w:tcPr>
          <w:p>
            <w:pPr>
              <w:spacing w:after="0"/>
              <w:rPr>
                <w:sz w:val="18"/>
                <w:szCs w:val="18"/>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expenses not covered by the executive officer’s health insurance.</w:t>
            </w:r>
          </w:p>
        </w:tc>
        <w:tc>
          <w:tcPr>
            <w:tcW w:w="40" w:type="dxa"/>
            <w:vAlign w:val="bottom"/>
          </w:tcPr>
          <w:p>
            <w:pPr>
              <w:spacing w:after="0"/>
              <w:rPr>
                <w:sz w:val="15"/>
                <w:szCs w:val="15"/>
                <w:color w:val="auto"/>
              </w:rPr>
            </w:pPr>
          </w:p>
        </w:tc>
      </w:tr>
      <w:tr>
        <w:trPr>
          <w:trHeight w:val="203"/>
        </w:trPr>
        <w:tc>
          <w:tcPr>
            <w:tcW w:w="1420" w:type="dxa"/>
            <w:vAlign w:val="bottom"/>
            <w:shd w:val="clear" w:color="auto" w:fill="D9D9D9"/>
          </w:tcPr>
          <w:p>
            <w:pPr>
              <w:spacing w:after="0"/>
              <w:rPr>
                <w:sz w:val="17"/>
                <w:szCs w:val="17"/>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  Company products—To enable our executive officers the opportunity to become more familiar with our products and use those products on a</w:t>
            </w:r>
          </w:p>
        </w:tc>
        <w:tc>
          <w:tcPr>
            <w:tcW w:w="40" w:type="dxa"/>
            <w:vAlign w:val="bottom"/>
          </w:tcPr>
          <w:p>
            <w:pPr>
              <w:spacing w:after="0"/>
              <w:rPr>
                <w:sz w:val="17"/>
                <w:szCs w:val="17"/>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regular basis, we provide certain Company products and related accessories for personal use at no cost; provided, however, that executive</w:t>
            </w:r>
          </w:p>
        </w:tc>
        <w:tc>
          <w:tcPr>
            <w:tcW w:w="40" w:type="dxa"/>
            <w:vAlign w:val="bottom"/>
          </w:tcPr>
          <w:p>
            <w:pPr>
              <w:spacing w:after="0"/>
              <w:rPr>
                <w:sz w:val="14"/>
                <w:szCs w:val="14"/>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w w:val="98"/>
              </w:rPr>
              <w:t>officers are responsible for applicable taxes attributable to the value of such products. The value of a product or accessory is generally deemed to</w:t>
            </w:r>
          </w:p>
        </w:tc>
        <w:tc>
          <w:tcPr>
            <w:tcW w:w="40" w:type="dxa"/>
            <w:vAlign w:val="bottom"/>
          </w:tcPr>
          <w:p>
            <w:pPr>
              <w:spacing w:after="0"/>
              <w:rPr>
                <w:sz w:val="14"/>
                <w:szCs w:val="14"/>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be our distributor net price or its equivalent, which is also the price at which products are available to employees for purchase.</w:t>
            </w:r>
          </w:p>
        </w:tc>
        <w:tc>
          <w:tcPr>
            <w:tcW w:w="40" w:type="dxa"/>
            <w:vAlign w:val="bottom"/>
          </w:tcPr>
          <w:p>
            <w:pPr>
              <w:spacing w:after="0"/>
              <w:rPr>
                <w:sz w:val="15"/>
                <w:szCs w:val="15"/>
                <w:color w:val="auto"/>
              </w:rPr>
            </w:pPr>
          </w:p>
        </w:tc>
      </w:tr>
      <w:tr>
        <w:trPr>
          <w:trHeight w:val="215"/>
        </w:trPr>
        <w:tc>
          <w:tcPr>
            <w:tcW w:w="1420" w:type="dxa"/>
            <w:vAlign w:val="bottom"/>
            <w:shd w:val="clear" w:color="auto" w:fill="D9D9D9"/>
          </w:tcPr>
          <w:p>
            <w:pPr>
              <w:spacing w:after="0"/>
              <w:rPr>
                <w:sz w:val="18"/>
                <w:szCs w:val="18"/>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w w:val="98"/>
              </w:rPr>
              <w:t>•  Travel expenses—During fiscal 2018, we paid certain travel costs for spouses of our executive officers in connection with certain off-site meetings,</w:t>
            </w:r>
          </w:p>
        </w:tc>
        <w:tc>
          <w:tcPr>
            <w:tcW w:w="40" w:type="dxa"/>
            <w:vAlign w:val="bottom"/>
          </w:tcPr>
          <w:p>
            <w:pPr>
              <w:spacing w:after="0"/>
              <w:rPr>
                <w:sz w:val="18"/>
                <w:szCs w:val="18"/>
                <w:color w:val="auto"/>
              </w:rPr>
            </w:pPr>
          </w:p>
        </w:tc>
      </w:tr>
      <w:tr>
        <w:trPr>
          <w:trHeight w:val="170"/>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line="170" w:lineRule="exact"/>
              <w:rPr>
                <w:sz w:val="20"/>
                <w:szCs w:val="20"/>
                <w:color w:val="auto"/>
              </w:rPr>
            </w:pPr>
            <w:r>
              <w:rPr>
                <w:rFonts w:ascii="Arial" w:cs="Arial" w:eastAsia="Arial" w:hAnsi="Arial"/>
                <w:sz w:val="15"/>
                <w:szCs w:val="15"/>
                <w:color w:val="auto"/>
              </w:rPr>
              <w:t>such as an off-site Board of Directors meeting or other business-related meetings in which it was appropriate for a spouse to attend.</w:t>
            </w:r>
          </w:p>
        </w:tc>
        <w:tc>
          <w:tcPr>
            <w:tcW w:w="40" w:type="dxa"/>
            <w:vAlign w:val="bottom"/>
          </w:tcPr>
          <w:p>
            <w:pPr>
              <w:spacing w:after="0"/>
              <w:rPr>
                <w:sz w:val="14"/>
                <w:szCs w:val="14"/>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5"/>
                <w:szCs w:val="15"/>
                <w:color w:val="auto"/>
              </w:rPr>
              <w:t>Charitable Giving</w:t>
            </w:r>
          </w:p>
        </w:tc>
        <w:tc>
          <w:tcPr>
            <w:tcW w:w="10000" w:type="dxa"/>
            <w:vAlign w:val="bottom"/>
          </w:tcPr>
          <w:p>
            <w:pPr>
              <w:ind w:left="300"/>
              <w:spacing w:after="0"/>
              <w:rPr>
                <w:sz w:val="20"/>
                <w:szCs w:val="20"/>
                <w:color w:val="auto"/>
              </w:rPr>
            </w:pPr>
            <w:r>
              <w:rPr>
                <w:rFonts w:ascii="Arial" w:cs="Arial" w:eastAsia="Arial" w:hAnsi="Arial"/>
                <w:sz w:val="15"/>
                <w:szCs w:val="15"/>
                <w:color w:val="auto"/>
                <w:w w:val="98"/>
              </w:rPr>
              <w:t>We support charitable organizations for our employees through our matching gift program. The program for our executive officers provides that a gift</w:t>
            </w:r>
          </w:p>
        </w:tc>
        <w:tc>
          <w:tcPr>
            <w:tcW w:w="40" w:type="dxa"/>
            <w:vAlign w:val="bottom"/>
          </w:tcPr>
          <w:p>
            <w:pPr>
              <w:spacing w:after="0"/>
              <w:rPr>
                <w:sz w:val="15"/>
                <w:szCs w:val="15"/>
                <w:color w:val="auto"/>
              </w:rPr>
            </w:pPr>
          </w:p>
        </w:tc>
      </w:tr>
      <w:tr>
        <w:trPr>
          <w:trHeight w:val="172"/>
        </w:trPr>
        <w:tc>
          <w:tcPr>
            <w:tcW w:w="1420" w:type="dxa"/>
            <w:vAlign w:val="bottom"/>
          </w:tcPr>
          <w:p>
            <w:pPr>
              <w:spacing w:after="0"/>
              <w:rPr>
                <w:sz w:val="14"/>
                <w:szCs w:val="14"/>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w w:val="98"/>
              </w:rPr>
              <w:t>or gifts by an executive officer and/or his or her spouse to one or more tax exempt 501(c)(3) charitable organizations located in the United States will</w:t>
            </w:r>
          </w:p>
        </w:tc>
        <w:tc>
          <w:tcPr>
            <w:tcW w:w="40" w:type="dxa"/>
            <w:vAlign w:val="bottom"/>
          </w:tcPr>
          <w:p>
            <w:pPr>
              <w:spacing w:after="0"/>
              <w:rPr>
                <w:sz w:val="14"/>
                <w:szCs w:val="14"/>
                <w:color w:val="auto"/>
              </w:rPr>
            </w:pPr>
          </w:p>
        </w:tc>
      </w:tr>
      <w:tr>
        <w:trPr>
          <w:trHeight w:val="177"/>
        </w:trPr>
        <w:tc>
          <w:tcPr>
            <w:tcW w:w="1420" w:type="dxa"/>
            <w:vAlign w:val="bottom"/>
          </w:tcPr>
          <w:p>
            <w:pPr>
              <w:spacing w:after="0"/>
              <w:rPr>
                <w:sz w:val="15"/>
                <w:szCs w:val="15"/>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rPr>
              <w:t>be matched by us in an aggregate amount of up to $3,000 per year.</w:t>
            </w:r>
          </w:p>
        </w:tc>
        <w:tc>
          <w:tcPr>
            <w:tcW w:w="40" w:type="dxa"/>
            <w:vAlign w:val="bottom"/>
          </w:tcPr>
          <w:p>
            <w:pPr>
              <w:spacing w:after="0"/>
              <w:rPr>
                <w:sz w:val="15"/>
                <w:szCs w:val="15"/>
                <w:color w:val="auto"/>
              </w:rPr>
            </w:pPr>
          </w:p>
        </w:tc>
      </w:tr>
      <w:tr>
        <w:trPr>
          <w:trHeight w:val="384"/>
        </w:trPr>
        <w:tc>
          <w:tcPr>
            <w:tcW w:w="1420" w:type="dxa"/>
            <w:vAlign w:val="bottom"/>
          </w:tcPr>
          <w:p>
            <w:pPr>
              <w:spacing w:after="0"/>
              <w:rPr>
                <w:sz w:val="24"/>
                <w:szCs w:val="24"/>
                <w:color w:val="auto"/>
              </w:rPr>
            </w:pPr>
          </w:p>
        </w:tc>
        <w:tc>
          <w:tcPr>
            <w:tcW w:w="10000" w:type="dxa"/>
            <w:vAlign w:val="bottom"/>
          </w:tcPr>
          <w:p>
            <w:pPr>
              <w:ind w:left="4200"/>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24"/>
                <w:szCs w:val="24"/>
                <w:color w:val="auto"/>
              </w:rPr>
            </w:pPr>
          </w:p>
        </w:tc>
      </w:tr>
      <w:tr>
        <w:trPr>
          <w:trHeight w:val="91"/>
        </w:trPr>
        <w:tc>
          <w:tcPr>
            <w:tcW w:w="1420" w:type="dxa"/>
            <w:vAlign w:val="bottom"/>
            <w:tcBorders>
              <w:bottom w:val="single" w:sz="8" w:color="9A9A9A"/>
            </w:tcBorders>
          </w:tcPr>
          <w:p>
            <w:pPr>
              <w:spacing w:after="0"/>
              <w:rPr>
                <w:sz w:val="7"/>
                <w:szCs w:val="7"/>
                <w:color w:val="auto"/>
              </w:rPr>
            </w:pPr>
          </w:p>
        </w:tc>
        <w:tc>
          <w:tcPr>
            <w:tcW w:w="10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-27940</wp:posOffset>
            </wp:positionV>
            <wp:extent cx="33020"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2"/>
          </w:cols>
          <w:pgMar w:left="238" w:top="140" w:right="199" w:bottom="1440" w:gutter="0" w:footer="0" w:header="0"/>
        </w:sectPr>
      </w:pPr>
    </w:p>
    <w:bookmarkStart w:id="57" w:name="page58"/>
    <w:bookmarkEnd w:id="5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402"/>
        <w:spacing w:after="0"/>
        <w:rPr>
          <w:sz w:val="20"/>
          <w:szCs w:val="20"/>
          <w:color w:val="auto"/>
        </w:rPr>
      </w:pPr>
      <w:r>
        <w:rPr>
          <w:rFonts w:ascii="Arial" w:cs="Arial" w:eastAsia="Arial" w:hAnsi="Arial"/>
          <w:sz w:val="16"/>
          <w:szCs w:val="16"/>
          <w:color w:val="auto"/>
        </w:rPr>
        <w:t>Specific amounts included in the fiscal 2018 “All Other Compensation” column of the “Summary Compensation Table” are in the table below.</w:t>
      </w:r>
    </w:p>
    <w:p>
      <w:pPr>
        <w:spacing w:after="0" w:line="97"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300" w:type="dxa"/>
            <w:vAlign w:val="bottom"/>
            <w:shd w:val="clear" w:color="auto" w:fill="C00000"/>
          </w:tcPr>
          <w:p>
            <w:pPr>
              <w:spacing w:after="0"/>
              <w:rPr>
                <w:sz w:val="13"/>
                <w:szCs w:val="13"/>
                <w:color w:val="auto"/>
              </w:rPr>
            </w:pPr>
          </w:p>
        </w:tc>
        <w:tc>
          <w:tcPr>
            <w:tcW w:w="1540" w:type="dxa"/>
            <w:vAlign w:val="bottom"/>
            <w:shd w:val="clear" w:color="auto" w:fill="C00000"/>
          </w:tcPr>
          <w:p>
            <w:pPr>
              <w:spacing w:after="0"/>
              <w:rPr>
                <w:sz w:val="13"/>
                <w:szCs w:val="13"/>
                <w:color w:val="auto"/>
              </w:rPr>
            </w:pPr>
          </w:p>
        </w:tc>
        <w:tc>
          <w:tcPr>
            <w:tcW w:w="1320" w:type="dxa"/>
            <w:vAlign w:val="bottom"/>
            <w:shd w:val="clear" w:color="auto" w:fill="C00000"/>
          </w:tcPr>
          <w:p>
            <w:pPr>
              <w:spacing w:after="0"/>
              <w:rPr>
                <w:sz w:val="13"/>
                <w:szCs w:val="13"/>
                <w:color w:val="auto"/>
              </w:rPr>
            </w:pPr>
          </w:p>
        </w:tc>
        <w:tc>
          <w:tcPr>
            <w:tcW w:w="240" w:type="dxa"/>
            <w:vAlign w:val="bottom"/>
            <w:shd w:val="clear" w:color="auto" w:fill="C00000"/>
          </w:tcPr>
          <w:p>
            <w:pPr>
              <w:spacing w:after="0"/>
              <w:rPr>
                <w:sz w:val="13"/>
                <w:szCs w:val="13"/>
                <w:color w:val="auto"/>
              </w:rPr>
            </w:pPr>
          </w:p>
        </w:tc>
        <w:tc>
          <w:tcPr>
            <w:tcW w:w="1320" w:type="dxa"/>
            <w:vAlign w:val="bottom"/>
            <w:shd w:val="clear" w:color="auto" w:fill="C00000"/>
          </w:tcPr>
          <w:p>
            <w:pPr>
              <w:jc w:val="center"/>
              <w:ind w:right="191"/>
              <w:spacing w:after="0"/>
              <w:rPr>
                <w:sz w:val="20"/>
                <w:szCs w:val="20"/>
                <w:color w:val="auto"/>
              </w:rPr>
            </w:pPr>
            <w:r>
              <w:rPr>
                <w:rFonts w:ascii="Arial" w:cs="Arial" w:eastAsia="Arial" w:hAnsi="Arial"/>
                <w:sz w:val="13"/>
                <w:szCs w:val="13"/>
                <w:b w:val="1"/>
                <w:bCs w:val="1"/>
                <w:color w:val="FFFFFF"/>
                <w:w w:val="99"/>
              </w:rPr>
              <w:t>Nonqualified</w:t>
            </w:r>
          </w:p>
        </w:tc>
        <w:tc>
          <w:tcPr>
            <w:tcW w:w="340" w:type="dxa"/>
            <w:vAlign w:val="bottom"/>
            <w:shd w:val="clear" w:color="auto" w:fill="C00000"/>
          </w:tcPr>
          <w:p>
            <w:pPr>
              <w:spacing w:after="0"/>
              <w:rPr>
                <w:sz w:val="13"/>
                <w:szCs w:val="13"/>
                <w:color w:val="auto"/>
              </w:rPr>
            </w:pPr>
          </w:p>
        </w:tc>
        <w:tc>
          <w:tcPr>
            <w:tcW w:w="1220" w:type="dxa"/>
            <w:vAlign w:val="bottom"/>
            <w:shd w:val="clear" w:color="auto" w:fill="C00000"/>
          </w:tcPr>
          <w:p>
            <w:pPr>
              <w:spacing w:after="0"/>
              <w:rPr>
                <w:sz w:val="13"/>
                <w:szCs w:val="13"/>
                <w:color w:val="auto"/>
              </w:rPr>
            </w:pPr>
          </w:p>
        </w:tc>
        <w:tc>
          <w:tcPr>
            <w:tcW w:w="300" w:type="dxa"/>
            <w:vAlign w:val="bottom"/>
            <w:shd w:val="clear" w:color="auto" w:fill="C00000"/>
          </w:tcPr>
          <w:p>
            <w:pPr>
              <w:spacing w:after="0"/>
              <w:rPr>
                <w:sz w:val="13"/>
                <w:szCs w:val="13"/>
                <w:color w:val="auto"/>
              </w:rPr>
            </w:pPr>
          </w:p>
        </w:tc>
        <w:tc>
          <w:tcPr>
            <w:tcW w:w="1280" w:type="dxa"/>
            <w:vAlign w:val="bottom"/>
            <w:shd w:val="clear" w:color="auto" w:fill="C00000"/>
          </w:tcPr>
          <w:p>
            <w:pPr>
              <w:spacing w:after="0"/>
              <w:rPr>
                <w:sz w:val="13"/>
                <w:szCs w:val="13"/>
                <w:color w:val="auto"/>
              </w:rPr>
            </w:pPr>
          </w:p>
        </w:tc>
        <w:tc>
          <w:tcPr>
            <w:tcW w:w="420" w:type="dxa"/>
            <w:vAlign w:val="bottom"/>
            <w:shd w:val="clear" w:color="auto" w:fill="C00000"/>
          </w:tcPr>
          <w:p>
            <w:pPr>
              <w:spacing w:after="0"/>
              <w:rPr>
                <w:sz w:val="13"/>
                <w:szCs w:val="13"/>
                <w:color w:val="auto"/>
              </w:rPr>
            </w:pPr>
          </w:p>
        </w:tc>
        <w:tc>
          <w:tcPr>
            <w:tcW w:w="1140" w:type="dxa"/>
            <w:vAlign w:val="bottom"/>
            <w:shd w:val="clear" w:color="auto" w:fill="C00000"/>
          </w:tcPr>
          <w:p>
            <w:pPr>
              <w:spacing w:after="0"/>
              <w:rPr>
                <w:sz w:val="13"/>
                <w:szCs w:val="13"/>
                <w:color w:val="auto"/>
              </w:rPr>
            </w:pPr>
          </w:p>
        </w:tc>
      </w:tr>
      <w:tr>
        <w:trPr>
          <w:trHeight w:val="142"/>
        </w:trPr>
        <w:tc>
          <w:tcPr>
            <w:tcW w:w="2300" w:type="dxa"/>
            <w:vAlign w:val="bottom"/>
            <w:shd w:val="clear" w:color="auto" w:fill="C00000"/>
          </w:tcPr>
          <w:p>
            <w:pPr>
              <w:spacing w:after="0"/>
              <w:rPr>
                <w:sz w:val="12"/>
                <w:szCs w:val="12"/>
                <w:color w:val="auto"/>
              </w:rPr>
            </w:pPr>
          </w:p>
        </w:tc>
        <w:tc>
          <w:tcPr>
            <w:tcW w:w="1540" w:type="dxa"/>
            <w:vAlign w:val="bottom"/>
            <w:shd w:val="clear" w:color="auto" w:fill="C00000"/>
          </w:tcPr>
          <w:p>
            <w:pPr>
              <w:spacing w:after="0"/>
              <w:rPr>
                <w:sz w:val="12"/>
                <w:szCs w:val="12"/>
                <w:color w:val="auto"/>
              </w:rPr>
            </w:pPr>
          </w:p>
        </w:tc>
        <w:tc>
          <w:tcPr>
            <w:tcW w:w="1320" w:type="dxa"/>
            <w:vAlign w:val="bottom"/>
            <w:shd w:val="clear" w:color="auto" w:fill="C00000"/>
          </w:tcPr>
          <w:p>
            <w:pPr>
              <w:jc w:val="center"/>
              <w:ind w:right="191"/>
              <w:spacing w:after="0" w:line="143" w:lineRule="exact"/>
              <w:rPr>
                <w:sz w:val="20"/>
                <w:szCs w:val="20"/>
                <w:color w:val="auto"/>
              </w:rPr>
            </w:pPr>
            <w:r>
              <w:rPr>
                <w:rFonts w:ascii="Arial" w:cs="Arial" w:eastAsia="Arial" w:hAnsi="Arial"/>
                <w:sz w:val="13"/>
                <w:szCs w:val="13"/>
                <w:b w:val="1"/>
                <w:bCs w:val="1"/>
                <w:color w:val="FFFFFF"/>
              </w:rPr>
              <w:t>IS&amp;ESOP</w:t>
            </w:r>
          </w:p>
        </w:tc>
        <w:tc>
          <w:tcPr>
            <w:tcW w:w="240" w:type="dxa"/>
            <w:vAlign w:val="bottom"/>
            <w:shd w:val="clear" w:color="auto" w:fill="C00000"/>
          </w:tcPr>
          <w:p>
            <w:pPr>
              <w:spacing w:after="0"/>
              <w:rPr>
                <w:sz w:val="12"/>
                <w:szCs w:val="12"/>
                <w:color w:val="auto"/>
              </w:rPr>
            </w:pPr>
          </w:p>
        </w:tc>
        <w:tc>
          <w:tcPr>
            <w:tcW w:w="1320" w:type="dxa"/>
            <w:vAlign w:val="bottom"/>
            <w:shd w:val="clear" w:color="auto" w:fill="C00000"/>
          </w:tcPr>
          <w:p>
            <w:pPr>
              <w:jc w:val="center"/>
              <w:ind w:right="171"/>
              <w:spacing w:after="0" w:line="143" w:lineRule="exact"/>
              <w:rPr>
                <w:sz w:val="20"/>
                <w:szCs w:val="20"/>
                <w:color w:val="auto"/>
              </w:rPr>
            </w:pPr>
            <w:r>
              <w:rPr>
                <w:rFonts w:ascii="Arial" w:cs="Arial" w:eastAsia="Arial" w:hAnsi="Arial"/>
                <w:sz w:val="13"/>
                <w:szCs w:val="13"/>
                <w:b w:val="1"/>
                <w:bCs w:val="1"/>
                <w:color w:val="FFFFFF"/>
              </w:rPr>
              <w:t>Plan</w:t>
            </w:r>
          </w:p>
        </w:tc>
        <w:tc>
          <w:tcPr>
            <w:tcW w:w="340" w:type="dxa"/>
            <w:vAlign w:val="bottom"/>
            <w:shd w:val="clear" w:color="auto" w:fill="C00000"/>
          </w:tcPr>
          <w:p>
            <w:pPr>
              <w:spacing w:after="0"/>
              <w:rPr>
                <w:sz w:val="12"/>
                <w:szCs w:val="12"/>
                <w:color w:val="auto"/>
              </w:rPr>
            </w:pPr>
          </w:p>
        </w:tc>
        <w:tc>
          <w:tcPr>
            <w:tcW w:w="1220" w:type="dxa"/>
            <w:vAlign w:val="bottom"/>
            <w:shd w:val="clear" w:color="auto" w:fill="C00000"/>
          </w:tcPr>
          <w:p>
            <w:pPr>
              <w:jc w:val="center"/>
              <w:ind w:right="271"/>
              <w:spacing w:after="0" w:line="143" w:lineRule="exact"/>
              <w:rPr>
                <w:sz w:val="20"/>
                <w:szCs w:val="20"/>
                <w:color w:val="auto"/>
              </w:rPr>
            </w:pPr>
            <w:r>
              <w:rPr>
                <w:rFonts w:ascii="Arial" w:cs="Arial" w:eastAsia="Arial" w:hAnsi="Arial"/>
                <w:sz w:val="13"/>
                <w:szCs w:val="13"/>
                <w:b w:val="1"/>
                <w:bCs w:val="1"/>
                <w:color w:val="FFFFFF"/>
              </w:rPr>
              <w:t>Charitable</w:t>
            </w:r>
          </w:p>
        </w:tc>
        <w:tc>
          <w:tcPr>
            <w:tcW w:w="300" w:type="dxa"/>
            <w:vAlign w:val="bottom"/>
            <w:shd w:val="clear" w:color="auto" w:fill="C00000"/>
          </w:tcPr>
          <w:p>
            <w:pPr>
              <w:spacing w:after="0"/>
              <w:rPr>
                <w:sz w:val="12"/>
                <w:szCs w:val="12"/>
                <w:color w:val="auto"/>
              </w:rPr>
            </w:pPr>
          </w:p>
        </w:tc>
        <w:tc>
          <w:tcPr>
            <w:tcW w:w="1280" w:type="dxa"/>
            <w:vAlign w:val="bottom"/>
            <w:shd w:val="clear" w:color="auto" w:fill="C00000"/>
          </w:tcPr>
          <w:p>
            <w:pPr>
              <w:spacing w:after="0"/>
              <w:rPr>
                <w:sz w:val="12"/>
                <w:szCs w:val="12"/>
                <w:color w:val="auto"/>
              </w:rPr>
            </w:pPr>
          </w:p>
        </w:tc>
        <w:tc>
          <w:tcPr>
            <w:tcW w:w="420" w:type="dxa"/>
            <w:vAlign w:val="bottom"/>
            <w:shd w:val="clear" w:color="auto" w:fill="C00000"/>
          </w:tcPr>
          <w:p>
            <w:pPr>
              <w:spacing w:after="0"/>
              <w:rPr>
                <w:sz w:val="12"/>
                <w:szCs w:val="12"/>
                <w:color w:val="auto"/>
              </w:rPr>
            </w:pPr>
          </w:p>
        </w:tc>
        <w:tc>
          <w:tcPr>
            <w:tcW w:w="1140" w:type="dxa"/>
            <w:vAlign w:val="bottom"/>
            <w:shd w:val="clear" w:color="auto" w:fill="C00000"/>
          </w:tcPr>
          <w:p>
            <w:pPr>
              <w:spacing w:after="0"/>
              <w:rPr>
                <w:sz w:val="12"/>
                <w:szCs w:val="12"/>
                <w:color w:val="auto"/>
              </w:rPr>
            </w:pPr>
          </w:p>
        </w:tc>
      </w:tr>
      <w:tr>
        <w:trPr>
          <w:trHeight w:val="152"/>
        </w:trPr>
        <w:tc>
          <w:tcPr>
            <w:tcW w:w="2300" w:type="dxa"/>
            <w:vAlign w:val="bottom"/>
            <w:shd w:val="clear" w:color="auto" w:fill="C00000"/>
          </w:tcPr>
          <w:p>
            <w:pPr>
              <w:spacing w:after="0"/>
              <w:rPr>
                <w:sz w:val="13"/>
                <w:szCs w:val="13"/>
                <w:color w:val="auto"/>
              </w:rPr>
            </w:pPr>
          </w:p>
        </w:tc>
        <w:tc>
          <w:tcPr>
            <w:tcW w:w="1540" w:type="dxa"/>
            <w:vAlign w:val="bottom"/>
            <w:shd w:val="clear" w:color="auto" w:fill="C00000"/>
          </w:tcPr>
          <w:p>
            <w:pPr>
              <w:spacing w:after="0"/>
              <w:rPr>
                <w:sz w:val="13"/>
                <w:szCs w:val="13"/>
                <w:color w:val="auto"/>
              </w:rPr>
            </w:pPr>
          </w:p>
        </w:tc>
        <w:tc>
          <w:tcPr>
            <w:tcW w:w="1320" w:type="dxa"/>
            <w:vAlign w:val="bottom"/>
            <w:shd w:val="clear" w:color="auto" w:fill="C00000"/>
          </w:tcPr>
          <w:p>
            <w:pPr>
              <w:jc w:val="center"/>
              <w:ind w:right="191"/>
              <w:spacing w:after="0" w:line="152"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7"/>
                <w:szCs w:val="17"/>
                <w:b w:val="1"/>
                <w:bCs w:val="1"/>
                <w:color w:val="FFFFFF"/>
                <w:vertAlign w:val="superscript"/>
              </w:rPr>
              <w:t>(1)</w:t>
            </w:r>
          </w:p>
        </w:tc>
        <w:tc>
          <w:tcPr>
            <w:tcW w:w="240" w:type="dxa"/>
            <w:vAlign w:val="bottom"/>
            <w:shd w:val="clear" w:color="auto" w:fill="C00000"/>
          </w:tcPr>
          <w:p>
            <w:pPr>
              <w:spacing w:after="0"/>
              <w:rPr>
                <w:sz w:val="13"/>
                <w:szCs w:val="13"/>
                <w:color w:val="auto"/>
              </w:rPr>
            </w:pPr>
          </w:p>
        </w:tc>
        <w:tc>
          <w:tcPr>
            <w:tcW w:w="1320" w:type="dxa"/>
            <w:vAlign w:val="bottom"/>
            <w:shd w:val="clear" w:color="auto" w:fill="C00000"/>
          </w:tcPr>
          <w:p>
            <w:pPr>
              <w:jc w:val="center"/>
              <w:ind w:right="171"/>
              <w:spacing w:after="0" w:line="152"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7"/>
                <w:szCs w:val="17"/>
                <w:b w:val="1"/>
                <w:bCs w:val="1"/>
                <w:color w:val="FFFFFF"/>
                <w:vertAlign w:val="superscript"/>
              </w:rPr>
              <w:t>(2)</w:t>
            </w:r>
          </w:p>
        </w:tc>
        <w:tc>
          <w:tcPr>
            <w:tcW w:w="340" w:type="dxa"/>
            <w:vAlign w:val="bottom"/>
            <w:shd w:val="clear" w:color="auto" w:fill="C00000"/>
          </w:tcPr>
          <w:p>
            <w:pPr>
              <w:spacing w:after="0"/>
              <w:rPr>
                <w:sz w:val="13"/>
                <w:szCs w:val="13"/>
                <w:color w:val="auto"/>
              </w:rPr>
            </w:pPr>
          </w:p>
        </w:tc>
        <w:tc>
          <w:tcPr>
            <w:tcW w:w="1220" w:type="dxa"/>
            <w:vAlign w:val="bottom"/>
            <w:shd w:val="clear" w:color="auto" w:fill="C00000"/>
          </w:tcPr>
          <w:p>
            <w:pPr>
              <w:jc w:val="center"/>
              <w:ind w:right="251"/>
              <w:spacing w:after="0" w:line="152" w:lineRule="exact"/>
              <w:rPr>
                <w:sz w:val="20"/>
                <w:szCs w:val="20"/>
                <w:color w:val="auto"/>
              </w:rPr>
            </w:pPr>
            <w:r>
              <w:rPr>
                <w:rFonts w:ascii="Arial" w:cs="Arial" w:eastAsia="Arial" w:hAnsi="Arial"/>
                <w:sz w:val="11"/>
                <w:szCs w:val="11"/>
                <w:b w:val="1"/>
                <w:bCs w:val="1"/>
                <w:color w:val="FFFFFF"/>
              </w:rPr>
              <w:t>Giving</w:t>
            </w:r>
            <w:r>
              <w:rPr>
                <w:rFonts w:ascii="Arial" w:cs="Arial" w:eastAsia="Arial" w:hAnsi="Arial"/>
                <w:sz w:val="17"/>
                <w:szCs w:val="17"/>
                <w:b w:val="1"/>
                <w:bCs w:val="1"/>
                <w:color w:val="FFFFFF"/>
                <w:vertAlign w:val="superscript"/>
              </w:rPr>
              <w:t>(3)</w:t>
            </w:r>
          </w:p>
        </w:tc>
        <w:tc>
          <w:tcPr>
            <w:tcW w:w="300" w:type="dxa"/>
            <w:vAlign w:val="bottom"/>
            <w:shd w:val="clear" w:color="auto" w:fill="C00000"/>
          </w:tcPr>
          <w:p>
            <w:pPr>
              <w:spacing w:after="0"/>
              <w:rPr>
                <w:sz w:val="13"/>
                <w:szCs w:val="13"/>
                <w:color w:val="auto"/>
              </w:rPr>
            </w:pPr>
          </w:p>
        </w:tc>
        <w:tc>
          <w:tcPr>
            <w:tcW w:w="1280" w:type="dxa"/>
            <w:vAlign w:val="bottom"/>
            <w:shd w:val="clear" w:color="auto" w:fill="C00000"/>
          </w:tcPr>
          <w:p>
            <w:pPr>
              <w:jc w:val="right"/>
              <w:ind w:right="291"/>
              <w:spacing w:after="0" w:line="152" w:lineRule="exact"/>
              <w:rPr>
                <w:sz w:val="20"/>
                <w:szCs w:val="20"/>
                <w:color w:val="auto"/>
              </w:rPr>
            </w:pPr>
            <w:r>
              <w:rPr>
                <w:rFonts w:ascii="Arial" w:cs="Arial" w:eastAsia="Arial" w:hAnsi="Arial"/>
                <w:sz w:val="11"/>
                <w:szCs w:val="11"/>
                <w:b w:val="1"/>
                <w:bCs w:val="1"/>
                <w:color w:val="FFFFFF"/>
              </w:rPr>
              <w:t>Perquisites</w:t>
            </w:r>
            <w:r>
              <w:rPr>
                <w:rFonts w:ascii="Arial" w:cs="Arial" w:eastAsia="Arial" w:hAnsi="Arial"/>
                <w:sz w:val="17"/>
                <w:szCs w:val="17"/>
                <w:b w:val="1"/>
                <w:bCs w:val="1"/>
                <w:color w:val="FFFFFF"/>
                <w:vertAlign w:val="superscript"/>
              </w:rPr>
              <w:t>(4)</w:t>
            </w:r>
          </w:p>
        </w:tc>
        <w:tc>
          <w:tcPr>
            <w:tcW w:w="420" w:type="dxa"/>
            <w:vAlign w:val="bottom"/>
            <w:shd w:val="clear" w:color="auto" w:fill="C00000"/>
          </w:tcPr>
          <w:p>
            <w:pPr>
              <w:spacing w:after="0"/>
              <w:rPr>
                <w:sz w:val="13"/>
                <w:szCs w:val="13"/>
                <w:color w:val="auto"/>
              </w:rPr>
            </w:pPr>
          </w:p>
        </w:tc>
        <w:tc>
          <w:tcPr>
            <w:tcW w:w="1140" w:type="dxa"/>
            <w:vAlign w:val="bottom"/>
            <w:shd w:val="clear" w:color="auto" w:fill="C00000"/>
          </w:tcPr>
          <w:p>
            <w:pPr>
              <w:jc w:val="right"/>
              <w:ind w:right="549"/>
              <w:spacing w:after="0"/>
              <w:rPr>
                <w:sz w:val="20"/>
                <w:szCs w:val="20"/>
                <w:color w:val="auto"/>
              </w:rPr>
            </w:pPr>
            <w:r>
              <w:rPr>
                <w:rFonts w:ascii="Arial" w:cs="Arial" w:eastAsia="Arial" w:hAnsi="Arial"/>
                <w:sz w:val="13"/>
                <w:szCs w:val="13"/>
                <w:b w:val="1"/>
                <w:bCs w:val="1"/>
                <w:color w:val="FFFFFF"/>
              </w:rPr>
              <w:t>Total</w:t>
            </w:r>
          </w:p>
        </w:tc>
      </w:tr>
      <w:tr>
        <w:trPr>
          <w:trHeight w:val="159"/>
        </w:trPr>
        <w:tc>
          <w:tcPr>
            <w:tcW w:w="230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540" w:type="dxa"/>
            <w:vAlign w:val="bottom"/>
            <w:shd w:val="clear" w:color="auto" w:fill="C00000"/>
          </w:tcPr>
          <w:p>
            <w:pPr>
              <w:spacing w:after="0"/>
              <w:rPr>
                <w:sz w:val="13"/>
                <w:szCs w:val="13"/>
                <w:color w:val="auto"/>
              </w:rPr>
            </w:pPr>
          </w:p>
        </w:tc>
        <w:tc>
          <w:tcPr>
            <w:tcW w:w="1320" w:type="dxa"/>
            <w:vAlign w:val="bottom"/>
            <w:shd w:val="clear" w:color="auto" w:fill="C00000"/>
          </w:tcPr>
          <w:p>
            <w:pPr>
              <w:jc w:val="center"/>
              <w:ind w:right="211"/>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C00000"/>
          </w:tcPr>
          <w:p>
            <w:pPr>
              <w:spacing w:after="0"/>
              <w:rPr>
                <w:sz w:val="13"/>
                <w:szCs w:val="13"/>
                <w:color w:val="auto"/>
              </w:rPr>
            </w:pPr>
          </w:p>
        </w:tc>
        <w:tc>
          <w:tcPr>
            <w:tcW w:w="1320" w:type="dxa"/>
            <w:vAlign w:val="bottom"/>
            <w:shd w:val="clear" w:color="auto" w:fill="C00000"/>
          </w:tcPr>
          <w:p>
            <w:pPr>
              <w:jc w:val="center"/>
              <w:ind w:right="171"/>
              <w:spacing w:after="0"/>
              <w:rPr>
                <w:sz w:val="20"/>
                <w:szCs w:val="20"/>
                <w:color w:val="auto"/>
              </w:rPr>
            </w:pPr>
            <w:r>
              <w:rPr>
                <w:rFonts w:ascii="Arial" w:cs="Arial" w:eastAsia="Arial" w:hAnsi="Arial"/>
                <w:sz w:val="13"/>
                <w:szCs w:val="13"/>
                <w:b w:val="1"/>
                <w:bCs w:val="1"/>
                <w:color w:val="FFFFFF"/>
              </w:rPr>
              <w:t>($)</w:t>
            </w:r>
          </w:p>
        </w:tc>
        <w:tc>
          <w:tcPr>
            <w:tcW w:w="340" w:type="dxa"/>
            <w:vAlign w:val="bottom"/>
            <w:shd w:val="clear" w:color="auto" w:fill="C00000"/>
          </w:tcPr>
          <w:p>
            <w:pPr>
              <w:spacing w:after="0"/>
              <w:rPr>
                <w:sz w:val="13"/>
                <w:szCs w:val="13"/>
                <w:color w:val="auto"/>
              </w:rPr>
            </w:pPr>
          </w:p>
        </w:tc>
        <w:tc>
          <w:tcPr>
            <w:tcW w:w="1220" w:type="dxa"/>
            <w:vAlign w:val="bottom"/>
            <w:shd w:val="clear" w:color="auto" w:fill="C00000"/>
          </w:tcPr>
          <w:p>
            <w:pPr>
              <w:jc w:val="center"/>
              <w:ind w:right="271"/>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C00000"/>
          </w:tcPr>
          <w:p>
            <w:pPr>
              <w:spacing w:after="0"/>
              <w:rPr>
                <w:sz w:val="13"/>
                <w:szCs w:val="13"/>
                <w:color w:val="auto"/>
              </w:rPr>
            </w:pPr>
          </w:p>
        </w:tc>
        <w:tc>
          <w:tcPr>
            <w:tcW w:w="1280" w:type="dxa"/>
            <w:vAlign w:val="bottom"/>
            <w:shd w:val="clear" w:color="auto" w:fill="C00000"/>
          </w:tcPr>
          <w:p>
            <w:pPr>
              <w:jc w:val="right"/>
              <w:ind w:right="631"/>
              <w:spacing w:after="0"/>
              <w:rPr>
                <w:sz w:val="20"/>
                <w:szCs w:val="20"/>
                <w:color w:val="auto"/>
              </w:rPr>
            </w:pPr>
            <w:r>
              <w:rPr>
                <w:rFonts w:ascii="Arial" w:cs="Arial" w:eastAsia="Arial" w:hAnsi="Arial"/>
                <w:sz w:val="13"/>
                <w:szCs w:val="13"/>
                <w:b w:val="1"/>
                <w:bCs w:val="1"/>
                <w:color w:val="FFFFFF"/>
              </w:rPr>
              <w:t>($)</w:t>
            </w:r>
          </w:p>
        </w:tc>
        <w:tc>
          <w:tcPr>
            <w:tcW w:w="420" w:type="dxa"/>
            <w:vAlign w:val="bottom"/>
            <w:shd w:val="clear" w:color="auto" w:fill="C00000"/>
          </w:tcPr>
          <w:p>
            <w:pPr>
              <w:spacing w:after="0"/>
              <w:rPr>
                <w:sz w:val="13"/>
                <w:szCs w:val="13"/>
                <w:color w:val="auto"/>
              </w:rPr>
            </w:pPr>
          </w:p>
        </w:tc>
        <w:tc>
          <w:tcPr>
            <w:tcW w:w="1140" w:type="dxa"/>
            <w:vAlign w:val="bottom"/>
            <w:shd w:val="clear" w:color="auto" w:fill="C00000"/>
          </w:tcPr>
          <w:p>
            <w:pPr>
              <w:jc w:val="right"/>
              <w:ind w:right="629"/>
              <w:spacing w:after="0"/>
              <w:rPr>
                <w:sz w:val="20"/>
                <w:szCs w:val="20"/>
                <w:color w:val="auto"/>
              </w:rPr>
            </w:pPr>
            <w:r>
              <w:rPr>
                <w:rFonts w:ascii="Arial" w:cs="Arial" w:eastAsia="Arial" w:hAnsi="Arial"/>
                <w:sz w:val="13"/>
                <w:szCs w:val="13"/>
                <w:b w:val="1"/>
                <w:bCs w:val="1"/>
                <w:color w:val="FFFFFF"/>
              </w:rPr>
              <w:t>($)</w:t>
            </w:r>
          </w:p>
        </w:tc>
      </w:tr>
      <w:tr>
        <w:trPr>
          <w:trHeight w:val="184"/>
        </w:trPr>
        <w:tc>
          <w:tcPr>
            <w:tcW w:w="2300" w:type="dxa"/>
            <w:vAlign w:val="bottom"/>
          </w:tcPr>
          <w:p>
            <w:pPr>
              <w:spacing w:after="0"/>
              <w:rPr>
                <w:sz w:val="20"/>
                <w:szCs w:val="20"/>
                <w:color w:val="auto"/>
              </w:rPr>
            </w:pPr>
            <w:r>
              <w:rPr>
                <w:rFonts w:ascii="Arial" w:cs="Arial" w:eastAsia="Arial" w:hAnsi="Arial"/>
                <w:sz w:val="15"/>
                <w:szCs w:val="15"/>
                <w:color w:val="auto"/>
              </w:rPr>
              <w:t>Mr. Olson</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91"/>
              <w:spacing w:after="0"/>
              <w:rPr>
                <w:sz w:val="20"/>
                <w:szCs w:val="20"/>
                <w:color w:val="auto"/>
              </w:rPr>
            </w:pPr>
            <w:r>
              <w:rPr>
                <w:rFonts w:ascii="Arial" w:cs="Arial" w:eastAsia="Arial" w:hAnsi="Arial"/>
                <w:sz w:val="15"/>
                <w:szCs w:val="15"/>
                <w:color w:val="auto"/>
              </w:rPr>
              <w:t>24,301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71"/>
              <w:spacing w:after="0"/>
              <w:rPr>
                <w:sz w:val="20"/>
                <w:szCs w:val="20"/>
                <w:color w:val="auto"/>
              </w:rPr>
            </w:pPr>
            <w:r>
              <w:rPr>
                <w:rFonts w:ascii="Arial" w:cs="Arial" w:eastAsia="Arial" w:hAnsi="Arial"/>
                <w:sz w:val="15"/>
                <w:szCs w:val="15"/>
                <w:color w:val="auto"/>
              </w:rPr>
              <w:t>129,609</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71"/>
              <w:spacing w:after="0"/>
              <w:rPr>
                <w:sz w:val="20"/>
                <w:szCs w:val="20"/>
                <w:color w:val="auto"/>
              </w:rPr>
            </w:pPr>
            <w:r>
              <w:rPr>
                <w:rFonts w:ascii="Arial" w:cs="Arial" w:eastAsia="Arial" w:hAnsi="Arial"/>
                <w:sz w:val="15"/>
                <w:szCs w:val="15"/>
                <w:color w:val="auto"/>
              </w:rPr>
              <w:t>3,000</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1"/>
              <w:spacing w:after="0"/>
              <w:rPr>
                <w:sz w:val="20"/>
                <w:szCs w:val="20"/>
                <w:color w:val="auto"/>
              </w:rPr>
            </w:pPr>
            <w:r>
              <w:rPr>
                <w:rFonts w:ascii="Arial" w:cs="Arial" w:eastAsia="Arial" w:hAnsi="Arial"/>
                <w:sz w:val="15"/>
                <w:szCs w:val="15"/>
                <w:color w:val="auto"/>
              </w:rPr>
              <w:t>14,369</w:t>
            </w:r>
          </w:p>
        </w:tc>
        <w:tc>
          <w:tcPr>
            <w:tcW w:w="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9"/>
              <w:spacing w:after="0"/>
              <w:rPr>
                <w:sz w:val="20"/>
                <w:szCs w:val="20"/>
                <w:color w:val="auto"/>
              </w:rPr>
            </w:pPr>
            <w:r>
              <w:rPr>
                <w:rFonts w:ascii="Arial" w:cs="Arial" w:eastAsia="Arial" w:hAnsi="Arial"/>
                <w:sz w:val="15"/>
                <w:szCs w:val="15"/>
                <w:color w:val="auto"/>
              </w:rPr>
              <w:t>171,279</w:t>
            </w:r>
          </w:p>
        </w:tc>
      </w:tr>
      <w:tr>
        <w:trPr>
          <w:trHeight w:val="184"/>
        </w:trPr>
        <w:tc>
          <w:tcPr>
            <w:tcW w:w="230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15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91"/>
              <w:spacing w:after="0"/>
              <w:rPr>
                <w:sz w:val="20"/>
                <w:szCs w:val="20"/>
                <w:color w:val="auto"/>
              </w:rPr>
            </w:pPr>
            <w:r>
              <w:rPr>
                <w:rFonts w:ascii="Arial" w:cs="Arial" w:eastAsia="Arial" w:hAnsi="Arial"/>
                <w:sz w:val="15"/>
                <w:szCs w:val="15"/>
                <w:color w:val="auto"/>
              </w:rPr>
              <w:t>24,301</w:t>
            </w:r>
          </w:p>
        </w:tc>
        <w:tc>
          <w:tcPr>
            <w:tcW w:w="2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71"/>
              <w:spacing w:after="0"/>
              <w:rPr>
                <w:sz w:val="20"/>
                <w:szCs w:val="20"/>
                <w:color w:val="auto"/>
              </w:rPr>
            </w:pPr>
            <w:r>
              <w:rPr>
                <w:rFonts w:ascii="Arial" w:cs="Arial" w:eastAsia="Arial" w:hAnsi="Arial"/>
                <w:sz w:val="15"/>
                <w:szCs w:val="15"/>
                <w:color w:val="auto"/>
              </w:rPr>
              <w:t>54,137</w:t>
            </w:r>
          </w:p>
        </w:tc>
        <w:tc>
          <w:tcPr>
            <w:tcW w:w="34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220" w:type="dxa"/>
            <w:vAlign w:val="bottom"/>
            <w:shd w:val="clear" w:color="auto" w:fill="D9D9D9"/>
          </w:tcPr>
          <w:p>
            <w:pPr>
              <w:jc w:val="right"/>
              <w:ind w:right="71"/>
              <w:spacing w:after="0"/>
              <w:rPr>
                <w:sz w:val="20"/>
                <w:szCs w:val="20"/>
                <w:color w:val="auto"/>
              </w:rPr>
            </w:pPr>
            <w:r>
              <w:rPr>
                <w:rFonts w:ascii="Arial" w:cs="Arial" w:eastAsia="Arial" w:hAnsi="Arial"/>
                <w:sz w:val="15"/>
                <w:szCs w:val="15"/>
                <w:color w:val="auto"/>
              </w:rPr>
              <w:t>3,000</w:t>
            </w:r>
          </w:p>
        </w:tc>
        <w:tc>
          <w:tcPr>
            <w:tcW w:w="30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280" w:type="dxa"/>
            <w:vAlign w:val="bottom"/>
            <w:shd w:val="clear" w:color="auto" w:fill="D9D9D9"/>
          </w:tcPr>
          <w:p>
            <w:pPr>
              <w:jc w:val="right"/>
              <w:ind w:right="71"/>
              <w:spacing w:after="0"/>
              <w:rPr>
                <w:sz w:val="20"/>
                <w:szCs w:val="20"/>
                <w:color w:val="auto"/>
              </w:rPr>
            </w:pPr>
            <w:r>
              <w:rPr>
                <w:rFonts w:ascii="Arial" w:cs="Arial" w:eastAsia="Arial" w:hAnsi="Arial"/>
                <w:sz w:val="15"/>
                <w:szCs w:val="15"/>
                <w:color w:val="auto"/>
              </w:rPr>
              <w:t>32,102</w:t>
            </w:r>
          </w:p>
        </w:tc>
        <w:tc>
          <w:tcPr>
            <w:tcW w:w="420" w:type="dxa"/>
            <w:vAlign w:val="bottom"/>
            <w:shd w:val="clear" w:color="auto" w:fill="D9D9D9"/>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113,540</w:t>
            </w:r>
          </w:p>
        </w:tc>
      </w:tr>
      <w:tr>
        <w:trPr>
          <w:trHeight w:val="184"/>
        </w:trPr>
        <w:tc>
          <w:tcPr>
            <w:tcW w:w="2300" w:type="dxa"/>
            <w:vAlign w:val="bottom"/>
          </w:tcPr>
          <w:p>
            <w:pPr>
              <w:spacing w:after="0"/>
              <w:rPr>
                <w:sz w:val="20"/>
                <w:szCs w:val="20"/>
                <w:color w:val="auto"/>
              </w:rPr>
            </w:pPr>
            <w:r>
              <w:rPr>
                <w:rFonts w:ascii="Arial" w:cs="Arial" w:eastAsia="Arial" w:hAnsi="Arial"/>
                <w:sz w:val="15"/>
                <w:szCs w:val="15"/>
                <w:color w:val="auto"/>
              </w:rPr>
              <w:t>Mr. Brown</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91"/>
              <w:spacing w:after="0"/>
              <w:rPr>
                <w:sz w:val="20"/>
                <w:szCs w:val="20"/>
                <w:color w:val="auto"/>
              </w:rPr>
            </w:pPr>
            <w:r>
              <w:rPr>
                <w:rFonts w:ascii="Arial" w:cs="Arial" w:eastAsia="Arial" w:hAnsi="Arial"/>
                <w:sz w:val="15"/>
                <w:szCs w:val="15"/>
                <w:color w:val="auto"/>
              </w:rPr>
              <w:t>19,229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71"/>
              <w:spacing w:after="0"/>
              <w:rPr>
                <w:sz w:val="20"/>
                <w:szCs w:val="20"/>
                <w:color w:val="auto"/>
              </w:rPr>
            </w:pPr>
            <w:r>
              <w:rPr>
                <w:rFonts w:ascii="Arial" w:cs="Arial" w:eastAsia="Arial" w:hAnsi="Arial"/>
                <w:sz w:val="15"/>
                <w:szCs w:val="15"/>
                <w:color w:val="auto"/>
              </w:rPr>
              <w:t>44,086</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71"/>
              <w:spacing w:after="0"/>
              <w:rPr>
                <w:sz w:val="20"/>
                <w:szCs w:val="20"/>
                <w:color w:val="auto"/>
              </w:rPr>
            </w:pPr>
            <w:r>
              <w:rPr>
                <w:rFonts w:ascii="Arial" w:cs="Arial" w:eastAsia="Arial" w:hAnsi="Arial"/>
                <w:sz w:val="15"/>
                <w:szCs w:val="15"/>
                <w:color w:val="auto"/>
              </w:rPr>
              <w:t>3,000</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1"/>
              <w:spacing w:after="0"/>
              <w:rPr>
                <w:sz w:val="20"/>
                <w:szCs w:val="20"/>
                <w:color w:val="auto"/>
              </w:rPr>
            </w:pPr>
            <w:r>
              <w:rPr>
                <w:rFonts w:ascii="Arial" w:cs="Arial" w:eastAsia="Arial" w:hAnsi="Arial"/>
                <w:sz w:val="15"/>
                <w:szCs w:val="15"/>
                <w:color w:val="auto"/>
              </w:rPr>
              <w:t>27,593</w:t>
            </w:r>
          </w:p>
        </w:tc>
        <w:tc>
          <w:tcPr>
            <w:tcW w:w="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9"/>
              <w:spacing w:after="0"/>
              <w:rPr>
                <w:sz w:val="20"/>
                <w:szCs w:val="20"/>
                <w:color w:val="auto"/>
              </w:rPr>
            </w:pPr>
            <w:r>
              <w:rPr>
                <w:rFonts w:ascii="Arial" w:cs="Arial" w:eastAsia="Arial" w:hAnsi="Arial"/>
                <w:sz w:val="15"/>
                <w:szCs w:val="15"/>
                <w:color w:val="auto"/>
              </w:rPr>
              <w:t>93,908</w:t>
            </w:r>
          </w:p>
        </w:tc>
      </w:tr>
      <w:tr>
        <w:trPr>
          <w:trHeight w:val="184"/>
        </w:trPr>
        <w:tc>
          <w:tcPr>
            <w:tcW w:w="2300" w:type="dxa"/>
            <w:vAlign w:val="bottom"/>
            <w:shd w:val="clear" w:color="auto" w:fill="D9D9D9"/>
          </w:tcPr>
          <w:p>
            <w:pPr>
              <w:spacing w:after="0"/>
              <w:rPr>
                <w:sz w:val="20"/>
                <w:szCs w:val="20"/>
                <w:color w:val="auto"/>
              </w:rPr>
            </w:pPr>
            <w:r>
              <w:rPr>
                <w:rFonts w:ascii="Arial" w:cs="Arial" w:eastAsia="Arial" w:hAnsi="Arial"/>
                <w:sz w:val="15"/>
                <w:szCs w:val="15"/>
                <w:color w:val="auto"/>
              </w:rPr>
              <w:t>Mr. Dordell</w:t>
            </w:r>
          </w:p>
        </w:tc>
        <w:tc>
          <w:tcPr>
            <w:tcW w:w="15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91"/>
              <w:spacing w:after="0"/>
              <w:rPr>
                <w:sz w:val="20"/>
                <w:szCs w:val="20"/>
                <w:color w:val="auto"/>
              </w:rPr>
            </w:pPr>
            <w:r>
              <w:rPr>
                <w:rFonts w:ascii="Arial" w:cs="Arial" w:eastAsia="Arial" w:hAnsi="Arial"/>
                <w:sz w:val="15"/>
                <w:szCs w:val="15"/>
                <w:color w:val="auto"/>
              </w:rPr>
              <w:t>21,775</w:t>
            </w:r>
          </w:p>
        </w:tc>
        <w:tc>
          <w:tcPr>
            <w:tcW w:w="2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9D9D9"/>
          </w:tcPr>
          <w:p>
            <w:pPr>
              <w:jc w:val="right"/>
              <w:ind w:right="71"/>
              <w:spacing w:after="0"/>
              <w:rPr>
                <w:sz w:val="20"/>
                <w:szCs w:val="20"/>
                <w:color w:val="auto"/>
              </w:rPr>
            </w:pPr>
            <w:r>
              <w:rPr>
                <w:rFonts w:ascii="Arial" w:cs="Arial" w:eastAsia="Arial" w:hAnsi="Arial"/>
                <w:sz w:val="15"/>
                <w:szCs w:val="15"/>
                <w:color w:val="auto"/>
              </w:rPr>
              <w:t>38,843</w:t>
            </w:r>
          </w:p>
        </w:tc>
        <w:tc>
          <w:tcPr>
            <w:tcW w:w="34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w:t>
            </w:r>
          </w:p>
        </w:tc>
        <w:tc>
          <w:tcPr>
            <w:tcW w:w="1220" w:type="dxa"/>
            <w:vAlign w:val="bottom"/>
            <w:shd w:val="clear" w:color="auto" w:fill="D9D9D9"/>
          </w:tcPr>
          <w:p>
            <w:pPr>
              <w:jc w:val="right"/>
              <w:ind w:right="71"/>
              <w:spacing w:after="0"/>
              <w:rPr>
                <w:sz w:val="20"/>
                <w:szCs w:val="20"/>
                <w:color w:val="auto"/>
              </w:rPr>
            </w:pPr>
            <w:r>
              <w:rPr>
                <w:rFonts w:ascii="Arial" w:cs="Arial" w:eastAsia="Arial" w:hAnsi="Arial"/>
                <w:sz w:val="15"/>
                <w:szCs w:val="15"/>
                <w:color w:val="auto"/>
              </w:rPr>
              <w:t>3,000</w:t>
            </w:r>
          </w:p>
        </w:tc>
        <w:tc>
          <w:tcPr>
            <w:tcW w:w="300" w:type="dxa"/>
            <w:vAlign w:val="bottom"/>
            <w:shd w:val="clear" w:color="auto" w:fill="D9D9D9"/>
          </w:tcPr>
          <w:p>
            <w:pPr>
              <w:jc w:val="right"/>
              <w:ind w:right="6"/>
              <w:spacing w:after="0"/>
              <w:rPr>
                <w:sz w:val="20"/>
                <w:szCs w:val="20"/>
                <w:color w:val="auto"/>
              </w:rPr>
            </w:pPr>
            <w:r>
              <w:rPr>
                <w:rFonts w:ascii="Arial" w:cs="Arial" w:eastAsia="Arial" w:hAnsi="Arial"/>
                <w:sz w:val="15"/>
                <w:szCs w:val="15"/>
                <w:color w:val="auto"/>
              </w:rPr>
              <w:t>$</w:t>
            </w:r>
          </w:p>
        </w:tc>
        <w:tc>
          <w:tcPr>
            <w:tcW w:w="1280" w:type="dxa"/>
            <w:vAlign w:val="bottom"/>
            <w:shd w:val="clear" w:color="auto" w:fill="D9D9D9"/>
          </w:tcPr>
          <w:p>
            <w:pPr>
              <w:jc w:val="right"/>
              <w:ind w:right="71"/>
              <w:spacing w:after="0"/>
              <w:rPr>
                <w:sz w:val="20"/>
                <w:szCs w:val="20"/>
                <w:color w:val="auto"/>
              </w:rPr>
            </w:pPr>
            <w:r>
              <w:rPr>
                <w:rFonts w:ascii="Arial" w:cs="Arial" w:eastAsia="Arial" w:hAnsi="Arial"/>
                <w:sz w:val="15"/>
                <w:szCs w:val="15"/>
                <w:color w:val="auto"/>
              </w:rPr>
              <w:t>38,192</w:t>
            </w:r>
          </w:p>
        </w:tc>
        <w:tc>
          <w:tcPr>
            <w:tcW w:w="420" w:type="dxa"/>
            <w:vAlign w:val="bottom"/>
            <w:shd w:val="clear" w:color="auto" w:fill="D9D9D9"/>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9D9D9"/>
          </w:tcPr>
          <w:p>
            <w:pPr>
              <w:jc w:val="right"/>
              <w:ind w:right="49"/>
              <w:spacing w:after="0"/>
              <w:rPr>
                <w:sz w:val="20"/>
                <w:szCs w:val="20"/>
                <w:color w:val="auto"/>
              </w:rPr>
            </w:pPr>
            <w:r>
              <w:rPr>
                <w:rFonts w:ascii="Arial" w:cs="Arial" w:eastAsia="Arial" w:hAnsi="Arial"/>
                <w:sz w:val="15"/>
                <w:szCs w:val="15"/>
                <w:color w:val="auto"/>
              </w:rPr>
              <w:t>101,810</w:t>
            </w:r>
          </w:p>
        </w:tc>
      </w:tr>
      <w:tr>
        <w:trPr>
          <w:trHeight w:val="191"/>
        </w:trPr>
        <w:tc>
          <w:tcPr>
            <w:tcW w:w="2300" w:type="dxa"/>
            <w:vAlign w:val="bottom"/>
          </w:tcPr>
          <w:p>
            <w:pPr>
              <w:spacing w:after="0"/>
              <w:rPr>
                <w:sz w:val="20"/>
                <w:szCs w:val="20"/>
                <w:color w:val="auto"/>
              </w:rPr>
            </w:pPr>
            <w:r>
              <w:rPr>
                <w:rFonts w:ascii="Arial" w:cs="Arial" w:eastAsia="Arial" w:hAnsi="Arial"/>
                <w:sz w:val="15"/>
                <w:szCs w:val="15"/>
                <w:color w:val="auto"/>
              </w:rPr>
              <w:t>Mr. Hamilton</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91"/>
              <w:spacing w:after="0"/>
              <w:rPr>
                <w:sz w:val="20"/>
                <w:szCs w:val="20"/>
                <w:color w:val="auto"/>
              </w:rPr>
            </w:pPr>
            <w:r>
              <w:rPr>
                <w:rFonts w:ascii="Arial" w:cs="Arial" w:eastAsia="Arial" w:hAnsi="Arial"/>
                <w:sz w:val="15"/>
                <w:szCs w:val="15"/>
                <w:color w:val="auto"/>
              </w:rPr>
              <w:t>24,301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71"/>
              <w:spacing w:after="0"/>
              <w:rPr>
                <w:sz w:val="20"/>
                <w:szCs w:val="20"/>
                <w:color w:val="auto"/>
              </w:rPr>
            </w:pPr>
            <w:r>
              <w:rPr>
                <w:rFonts w:ascii="Arial" w:cs="Arial" w:eastAsia="Arial" w:hAnsi="Arial"/>
                <w:sz w:val="15"/>
                <w:szCs w:val="15"/>
                <w:color w:val="auto"/>
              </w:rPr>
              <w:t>22,625</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71"/>
              <w:spacing w:after="0"/>
              <w:rPr>
                <w:sz w:val="20"/>
                <w:szCs w:val="20"/>
                <w:color w:val="auto"/>
              </w:rPr>
            </w:pPr>
            <w:r>
              <w:rPr>
                <w:rFonts w:ascii="Arial" w:cs="Arial" w:eastAsia="Arial" w:hAnsi="Arial"/>
                <w:sz w:val="15"/>
                <w:szCs w:val="15"/>
                <w:color w:val="auto"/>
              </w:rPr>
              <w:t>1,500</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1"/>
              <w:spacing w:after="0"/>
              <w:rPr>
                <w:sz w:val="20"/>
                <w:szCs w:val="20"/>
                <w:color w:val="auto"/>
              </w:rPr>
            </w:pPr>
            <w:r>
              <w:rPr>
                <w:rFonts w:ascii="Arial" w:cs="Arial" w:eastAsia="Arial" w:hAnsi="Arial"/>
                <w:sz w:val="15"/>
                <w:szCs w:val="15"/>
                <w:color w:val="auto"/>
              </w:rPr>
              <w:t>28,230</w:t>
            </w:r>
          </w:p>
        </w:tc>
        <w:tc>
          <w:tcPr>
            <w:tcW w:w="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9"/>
              <w:spacing w:after="0"/>
              <w:rPr>
                <w:sz w:val="20"/>
                <w:szCs w:val="20"/>
                <w:color w:val="auto"/>
              </w:rPr>
            </w:pPr>
            <w:r>
              <w:rPr>
                <w:rFonts w:ascii="Arial" w:cs="Arial" w:eastAsia="Arial" w:hAnsi="Arial"/>
                <w:sz w:val="15"/>
                <w:szCs w:val="15"/>
                <w:color w:val="auto"/>
              </w:rPr>
              <w:t>76,656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20777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1" w:lineRule="exact"/>
        <w:rPr>
          <w:sz w:val="20"/>
          <w:szCs w:val="20"/>
          <w:color w:val="auto"/>
        </w:rPr>
      </w:pPr>
    </w:p>
    <w:p>
      <w:pPr>
        <w:ind w:left="402" w:hanging="402"/>
        <w:spacing w:after="0"/>
        <w:tabs>
          <w:tab w:leader="none" w:pos="4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Amounts reported represent Company (i) matching contributions, (ii) investment fund contributions, and (iii) ESOP contributions to the IS&amp;ESOP.</w:t>
      </w:r>
    </w:p>
    <w:p>
      <w:pPr>
        <w:spacing w:after="0" w:line="48" w:lineRule="exact"/>
        <w:rPr>
          <w:rFonts w:ascii="Arial" w:cs="Arial" w:eastAsia="Arial" w:hAnsi="Arial"/>
          <w:sz w:val="16"/>
          <w:szCs w:val="16"/>
          <w:color w:val="auto"/>
        </w:rPr>
      </w:pPr>
    </w:p>
    <w:p>
      <w:pPr>
        <w:ind w:left="402" w:hanging="402"/>
        <w:spacing w:after="0"/>
        <w:tabs>
          <w:tab w:leader="none" w:pos="4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Amounts reported represent Company contributions to the Deferred Plan and Supplemental Benefit Plan.</w:t>
      </w:r>
    </w:p>
    <w:p>
      <w:pPr>
        <w:spacing w:after="0" w:line="48" w:lineRule="exact"/>
        <w:rPr>
          <w:rFonts w:ascii="Arial" w:cs="Arial" w:eastAsia="Arial" w:hAnsi="Arial"/>
          <w:sz w:val="16"/>
          <w:szCs w:val="16"/>
          <w:color w:val="auto"/>
        </w:rPr>
      </w:pPr>
    </w:p>
    <w:p>
      <w:pPr>
        <w:ind w:left="402" w:hanging="402"/>
        <w:spacing w:after="0"/>
        <w:tabs>
          <w:tab w:leader="none" w:pos="4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Amounts reported represent matching contributions for charitable donations made by our executive officers.</w:t>
      </w:r>
    </w:p>
    <w:p>
      <w:pPr>
        <w:spacing w:after="0" w:line="48" w:lineRule="exact"/>
        <w:rPr>
          <w:rFonts w:ascii="Arial" w:cs="Arial" w:eastAsia="Arial" w:hAnsi="Arial"/>
          <w:sz w:val="16"/>
          <w:szCs w:val="16"/>
          <w:color w:val="auto"/>
        </w:rPr>
      </w:pPr>
    </w:p>
    <w:p>
      <w:pPr>
        <w:ind w:left="402" w:right="20" w:hanging="402"/>
        <w:spacing w:after="0" w:line="244" w:lineRule="auto"/>
        <w:tabs>
          <w:tab w:leader="none" w:pos="4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meetings, such as an off-site Board of Directors meeting or other business-related meetings in which it was appropriate for a spouse to attend.</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Grants of Plan-Based Awards for Fiscal 2018</w:t>
      </w:r>
    </w:p>
    <w:p>
      <w:pPr>
        <w:spacing w:after="0" w:line="112" w:lineRule="exact"/>
        <w:rPr>
          <w:sz w:val="20"/>
          <w:szCs w:val="20"/>
          <w:color w:val="auto"/>
        </w:rPr>
      </w:pPr>
    </w:p>
    <w:p>
      <w:pPr>
        <w:ind w:left="2" w:right="160" w:firstLine="408"/>
        <w:spacing w:after="0" w:line="247" w:lineRule="auto"/>
        <w:rPr>
          <w:sz w:val="20"/>
          <w:szCs w:val="20"/>
          <w:color w:val="auto"/>
        </w:rPr>
      </w:pPr>
      <w:r>
        <w:rPr>
          <w:rFonts w:ascii="Arial" w:cs="Arial" w:eastAsia="Arial" w:hAnsi="Arial"/>
          <w:sz w:val="16"/>
          <w:szCs w:val="16"/>
          <w:color w:val="auto"/>
        </w:rPr>
        <w:t>We currently grant cash and equity awards under our Amended and Restated 2010 Plan. During fiscal 2018, plan-based awards granted to our named executive officers included annual cash incentive awards, performance share awards, and stock option awards. More details on these grants can be found within the “Compensation Discussion and Analysis.”</w:t>
      </w:r>
    </w:p>
    <w:p>
      <w:pPr>
        <w:spacing w:after="0" w:line="81" w:lineRule="exact"/>
        <w:rPr>
          <w:sz w:val="20"/>
          <w:szCs w:val="20"/>
          <w:color w:val="auto"/>
        </w:rPr>
      </w:pPr>
    </w:p>
    <w:p>
      <w:pPr>
        <w:ind w:left="402"/>
        <w:spacing w:after="0"/>
        <w:rPr>
          <w:sz w:val="20"/>
          <w:szCs w:val="20"/>
          <w:color w:val="auto"/>
        </w:rPr>
      </w:pPr>
      <w:r>
        <w:rPr>
          <w:rFonts w:ascii="Arial" w:cs="Arial" w:eastAsia="Arial" w:hAnsi="Arial"/>
          <w:sz w:val="16"/>
          <w:szCs w:val="16"/>
          <w:color w:val="auto"/>
        </w:rPr>
        <w:t>The following table summarizes all plan-based awards granted to our named executive officers during fiscal 2018.</w:t>
      </w:r>
    </w:p>
    <w:p>
      <w:pPr>
        <w:spacing w:after="0" w:line="97"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226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500" w:type="dxa"/>
            <w:vAlign w:val="bottom"/>
            <w:shd w:val="clear" w:color="auto" w:fill="C00000"/>
          </w:tcPr>
          <w:p>
            <w:pPr>
              <w:spacing w:after="0"/>
              <w:rPr>
                <w:sz w:val="10"/>
                <w:szCs w:val="10"/>
                <w:color w:val="auto"/>
              </w:rPr>
            </w:pPr>
          </w:p>
        </w:tc>
        <w:tc>
          <w:tcPr>
            <w:tcW w:w="78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480" w:type="dxa"/>
            <w:vAlign w:val="bottom"/>
            <w:shd w:val="clear" w:color="auto" w:fill="C00000"/>
          </w:tcPr>
          <w:p>
            <w:pPr>
              <w:spacing w:after="0"/>
              <w:rPr>
                <w:sz w:val="10"/>
                <w:szCs w:val="10"/>
                <w:color w:val="auto"/>
              </w:rPr>
            </w:pPr>
          </w:p>
        </w:tc>
        <w:tc>
          <w:tcPr>
            <w:tcW w:w="220" w:type="dxa"/>
            <w:vAlign w:val="bottom"/>
            <w:shd w:val="clear" w:color="auto" w:fill="C00000"/>
          </w:tcPr>
          <w:p>
            <w:pPr>
              <w:spacing w:after="0"/>
              <w:rPr>
                <w:sz w:val="10"/>
                <w:szCs w:val="10"/>
                <w:color w:val="auto"/>
              </w:rPr>
            </w:pPr>
          </w:p>
        </w:tc>
        <w:tc>
          <w:tcPr>
            <w:tcW w:w="62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8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8"/>
              </w:rPr>
              <w:t>All Other</w:t>
            </w:r>
          </w:p>
        </w:tc>
        <w:tc>
          <w:tcPr>
            <w:tcW w:w="8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4"/>
              </w:rPr>
              <w:t>All Other</w:t>
            </w:r>
          </w:p>
        </w:tc>
        <w:tc>
          <w:tcPr>
            <w:tcW w:w="180" w:type="dxa"/>
            <w:vAlign w:val="bottom"/>
            <w:shd w:val="clear" w:color="auto" w:fill="C00000"/>
          </w:tcPr>
          <w:p>
            <w:pPr>
              <w:spacing w:after="0"/>
              <w:rPr>
                <w:sz w:val="10"/>
                <w:szCs w:val="10"/>
                <w:color w:val="auto"/>
              </w:rPr>
            </w:pPr>
          </w:p>
        </w:tc>
        <w:tc>
          <w:tcPr>
            <w:tcW w:w="680" w:type="dxa"/>
            <w:vAlign w:val="bottom"/>
            <w:shd w:val="clear" w:color="auto" w:fill="C00000"/>
          </w:tcPr>
          <w:p>
            <w:pPr>
              <w:spacing w:after="0"/>
              <w:rPr>
                <w:sz w:val="10"/>
                <w:szCs w:val="10"/>
                <w:color w:val="auto"/>
              </w:rPr>
            </w:pPr>
          </w:p>
        </w:tc>
        <w:tc>
          <w:tcPr>
            <w:tcW w:w="18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6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500" w:type="dxa"/>
            <w:vAlign w:val="bottom"/>
            <w:shd w:val="clear" w:color="auto" w:fill="C00000"/>
          </w:tcPr>
          <w:p>
            <w:pPr>
              <w:spacing w:after="0"/>
              <w:rPr>
                <w:sz w:val="10"/>
                <w:szCs w:val="10"/>
                <w:color w:val="auto"/>
              </w:rPr>
            </w:pPr>
          </w:p>
        </w:tc>
        <w:tc>
          <w:tcPr>
            <w:tcW w:w="78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480" w:type="dxa"/>
            <w:vAlign w:val="bottom"/>
            <w:shd w:val="clear" w:color="auto" w:fill="C00000"/>
          </w:tcPr>
          <w:p>
            <w:pPr>
              <w:spacing w:after="0"/>
              <w:rPr>
                <w:sz w:val="10"/>
                <w:szCs w:val="10"/>
                <w:color w:val="auto"/>
              </w:rPr>
            </w:pPr>
          </w:p>
        </w:tc>
        <w:tc>
          <w:tcPr>
            <w:tcW w:w="220" w:type="dxa"/>
            <w:vAlign w:val="bottom"/>
            <w:shd w:val="clear" w:color="auto" w:fill="C00000"/>
          </w:tcPr>
          <w:p>
            <w:pPr>
              <w:spacing w:after="0"/>
              <w:rPr>
                <w:sz w:val="10"/>
                <w:szCs w:val="10"/>
                <w:color w:val="auto"/>
              </w:rPr>
            </w:pPr>
          </w:p>
        </w:tc>
        <w:tc>
          <w:tcPr>
            <w:tcW w:w="62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82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9"/>
              </w:rPr>
              <w:t>Stock</w:t>
            </w:r>
          </w:p>
        </w:tc>
        <w:tc>
          <w:tcPr>
            <w:tcW w:w="84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5"/>
              </w:rPr>
              <w:t>Option</w:t>
            </w:r>
          </w:p>
        </w:tc>
        <w:tc>
          <w:tcPr>
            <w:tcW w:w="180" w:type="dxa"/>
            <w:vAlign w:val="bottom"/>
            <w:shd w:val="clear" w:color="auto" w:fill="C00000"/>
          </w:tcPr>
          <w:p>
            <w:pPr>
              <w:spacing w:after="0"/>
              <w:rPr>
                <w:sz w:val="10"/>
                <w:szCs w:val="10"/>
                <w:color w:val="auto"/>
              </w:rPr>
            </w:pPr>
          </w:p>
        </w:tc>
        <w:tc>
          <w:tcPr>
            <w:tcW w:w="680" w:type="dxa"/>
            <w:vAlign w:val="bottom"/>
            <w:shd w:val="clear" w:color="auto" w:fill="C00000"/>
          </w:tcPr>
          <w:p>
            <w:pPr>
              <w:spacing w:after="0"/>
              <w:rPr>
                <w:sz w:val="10"/>
                <w:szCs w:val="10"/>
                <w:color w:val="auto"/>
              </w:rPr>
            </w:pPr>
          </w:p>
        </w:tc>
        <w:tc>
          <w:tcPr>
            <w:tcW w:w="180" w:type="dxa"/>
            <w:vAlign w:val="bottom"/>
            <w:shd w:val="clear" w:color="auto" w:fill="C00000"/>
          </w:tcPr>
          <w:p>
            <w:pPr>
              <w:spacing w:after="0"/>
              <w:rPr>
                <w:sz w:val="10"/>
                <w:szCs w:val="10"/>
                <w:color w:val="auto"/>
              </w:rPr>
            </w:pPr>
          </w:p>
        </w:tc>
        <w:tc>
          <w:tcPr>
            <w:tcW w:w="700" w:type="dxa"/>
            <w:vAlign w:val="bottom"/>
            <w:shd w:val="clear" w:color="auto" w:fill="C00000"/>
          </w:tcPr>
          <w:p>
            <w:pPr>
              <w:jc w:val="center"/>
              <w:ind w:right="127"/>
              <w:spacing w:after="0" w:line="123" w:lineRule="exact"/>
              <w:rPr>
                <w:sz w:val="20"/>
                <w:szCs w:val="20"/>
                <w:color w:val="auto"/>
              </w:rPr>
            </w:pPr>
            <w:r>
              <w:rPr>
                <w:rFonts w:ascii="Arial" w:cs="Arial" w:eastAsia="Arial" w:hAnsi="Arial"/>
                <w:sz w:val="11"/>
                <w:szCs w:val="11"/>
                <w:b w:val="1"/>
                <w:bCs w:val="1"/>
                <w:color w:val="FFFFFF"/>
                <w:w w:val="95"/>
              </w:rPr>
              <w:t>Grant</w:t>
            </w:r>
          </w:p>
        </w:tc>
        <w:tc>
          <w:tcPr>
            <w:tcW w:w="0" w:type="dxa"/>
            <w:vAlign w:val="bottom"/>
          </w:tcPr>
          <w:p>
            <w:pPr>
              <w:spacing w:after="0"/>
              <w:rPr>
                <w:sz w:val="1"/>
                <w:szCs w:val="1"/>
                <w:color w:val="auto"/>
              </w:rPr>
            </w:pPr>
          </w:p>
        </w:tc>
      </w:tr>
      <w:tr>
        <w:trPr>
          <w:trHeight w:val="123"/>
        </w:trPr>
        <w:tc>
          <w:tcPr>
            <w:tcW w:w="226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500" w:type="dxa"/>
            <w:vAlign w:val="bottom"/>
            <w:shd w:val="clear" w:color="auto" w:fill="C00000"/>
          </w:tcPr>
          <w:p>
            <w:pPr>
              <w:spacing w:after="0"/>
              <w:rPr>
                <w:sz w:val="10"/>
                <w:szCs w:val="10"/>
                <w:color w:val="auto"/>
              </w:rPr>
            </w:pPr>
          </w:p>
        </w:tc>
        <w:tc>
          <w:tcPr>
            <w:tcW w:w="78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480" w:type="dxa"/>
            <w:vAlign w:val="bottom"/>
            <w:shd w:val="clear" w:color="auto" w:fill="C00000"/>
          </w:tcPr>
          <w:p>
            <w:pPr>
              <w:spacing w:after="0"/>
              <w:rPr>
                <w:sz w:val="10"/>
                <w:szCs w:val="10"/>
                <w:color w:val="auto"/>
              </w:rPr>
            </w:pPr>
          </w:p>
        </w:tc>
        <w:tc>
          <w:tcPr>
            <w:tcW w:w="220" w:type="dxa"/>
            <w:vAlign w:val="bottom"/>
            <w:shd w:val="clear" w:color="auto" w:fill="C00000"/>
          </w:tcPr>
          <w:p>
            <w:pPr>
              <w:spacing w:after="0"/>
              <w:rPr>
                <w:sz w:val="10"/>
                <w:szCs w:val="10"/>
                <w:color w:val="auto"/>
              </w:rPr>
            </w:pPr>
          </w:p>
        </w:tc>
        <w:tc>
          <w:tcPr>
            <w:tcW w:w="62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82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6"/>
              </w:rPr>
              <w:t>Awards:</w:t>
            </w:r>
          </w:p>
        </w:tc>
        <w:tc>
          <w:tcPr>
            <w:tcW w:w="84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6"/>
              </w:rPr>
              <w:t>Awards:</w:t>
            </w:r>
          </w:p>
        </w:tc>
        <w:tc>
          <w:tcPr>
            <w:tcW w:w="180" w:type="dxa"/>
            <w:vAlign w:val="bottom"/>
            <w:shd w:val="clear" w:color="auto" w:fill="C00000"/>
          </w:tcPr>
          <w:p>
            <w:pPr>
              <w:spacing w:after="0"/>
              <w:rPr>
                <w:sz w:val="10"/>
                <w:szCs w:val="10"/>
                <w:color w:val="auto"/>
              </w:rPr>
            </w:pPr>
          </w:p>
        </w:tc>
        <w:tc>
          <w:tcPr>
            <w:tcW w:w="680" w:type="dxa"/>
            <w:vAlign w:val="bottom"/>
            <w:shd w:val="clear" w:color="auto" w:fill="C00000"/>
          </w:tcPr>
          <w:p>
            <w:pPr>
              <w:jc w:val="center"/>
              <w:ind w:right="107"/>
              <w:spacing w:after="0" w:line="123" w:lineRule="exact"/>
              <w:rPr>
                <w:sz w:val="20"/>
                <w:szCs w:val="20"/>
                <w:color w:val="auto"/>
              </w:rPr>
            </w:pPr>
            <w:r>
              <w:rPr>
                <w:rFonts w:ascii="Arial" w:cs="Arial" w:eastAsia="Arial" w:hAnsi="Arial"/>
                <w:sz w:val="11"/>
                <w:szCs w:val="11"/>
                <w:b w:val="1"/>
                <w:bCs w:val="1"/>
                <w:color w:val="FFFFFF"/>
                <w:w w:val="97"/>
              </w:rPr>
              <w:t>Exercise</w:t>
            </w:r>
          </w:p>
        </w:tc>
        <w:tc>
          <w:tcPr>
            <w:tcW w:w="180" w:type="dxa"/>
            <w:vAlign w:val="bottom"/>
            <w:shd w:val="clear" w:color="auto" w:fill="C00000"/>
          </w:tcPr>
          <w:p>
            <w:pPr>
              <w:spacing w:after="0"/>
              <w:rPr>
                <w:sz w:val="10"/>
                <w:szCs w:val="10"/>
                <w:color w:val="auto"/>
              </w:rPr>
            </w:pPr>
          </w:p>
        </w:tc>
        <w:tc>
          <w:tcPr>
            <w:tcW w:w="700" w:type="dxa"/>
            <w:vAlign w:val="bottom"/>
            <w:shd w:val="clear" w:color="auto" w:fill="C00000"/>
          </w:tcPr>
          <w:p>
            <w:pPr>
              <w:jc w:val="center"/>
              <w:ind w:right="147"/>
              <w:spacing w:after="0" w:line="123" w:lineRule="exact"/>
              <w:rPr>
                <w:sz w:val="20"/>
                <w:szCs w:val="20"/>
                <w:color w:val="auto"/>
              </w:rPr>
            </w:pPr>
            <w:r>
              <w:rPr>
                <w:rFonts w:ascii="Arial" w:cs="Arial" w:eastAsia="Arial" w:hAnsi="Arial"/>
                <w:sz w:val="11"/>
                <w:szCs w:val="11"/>
                <w:b w:val="1"/>
                <w:bCs w:val="1"/>
                <w:color w:val="FFFFFF"/>
                <w:w w:val="97"/>
              </w:rPr>
              <w:t>Date Fair</w:t>
            </w:r>
          </w:p>
        </w:tc>
        <w:tc>
          <w:tcPr>
            <w:tcW w:w="0" w:type="dxa"/>
            <w:vAlign w:val="bottom"/>
          </w:tcPr>
          <w:p>
            <w:pPr>
              <w:spacing w:after="0"/>
              <w:rPr>
                <w:sz w:val="1"/>
                <w:szCs w:val="1"/>
                <w:color w:val="auto"/>
              </w:rPr>
            </w:pPr>
          </w:p>
        </w:tc>
      </w:tr>
      <w:tr>
        <w:trPr>
          <w:trHeight w:val="123"/>
        </w:trPr>
        <w:tc>
          <w:tcPr>
            <w:tcW w:w="226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500" w:type="dxa"/>
            <w:vAlign w:val="bottom"/>
            <w:shd w:val="clear" w:color="auto" w:fill="C00000"/>
          </w:tcPr>
          <w:p>
            <w:pPr>
              <w:spacing w:after="0"/>
              <w:rPr>
                <w:sz w:val="10"/>
                <w:szCs w:val="10"/>
                <w:color w:val="auto"/>
              </w:rPr>
            </w:pPr>
          </w:p>
        </w:tc>
        <w:tc>
          <w:tcPr>
            <w:tcW w:w="78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2020" w:type="dxa"/>
            <w:vAlign w:val="bottom"/>
            <w:gridSpan w:val="5"/>
            <w:shd w:val="clear" w:color="auto" w:fill="C00000"/>
          </w:tcPr>
          <w:p>
            <w:pPr>
              <w:jc w:val="center"/>
              <w:ind w:right="127"/>
              <w:spacing w:after="0" w:line="123" w:lineRule="exact"/>
              <w:rPr>
                <w:sz w:val="20"/>
                <w:szCs w:val="20"/>
                <w:color w:val="auto"/>
              </w:rPr>
            </w:pPr>
            <w:r>
              <w:rPr>
                <w:rFonts w:ascii="Arial" w:cs="Arial" w:eastAsia="Arial" w:hAnsi="Arial"/>
                <w:sz w:val="11"/>
                <w:szCs w:val="11"/>
                <w:b w:val="1"/>
                <w:bCs w:val="1"/>
                <w:color w:val="FFFFFF"/>
                <w:w w:val="97"/>
              </w:rPr>
              <w:t>Estimated Future Payouts</w:t>
            </w:r>
          </w:p>
        </w:tc>
        <w:tc>
          <w:tcPr>
            <w:tcW w:w="2180" w:type="dxa"/>
            <w:vAlign w:val="bottom"/>
            <w:gridSpan w:val="3"/>
            <w:shd w:val="clear" w:color="auto" w:fill="C00000"/>
          </w:tcPr>
          <w:p>
            <w:pPr>
              <w:jc w:val="center"/>
              <w:ind w:right="7"/>
              <w:spacing w:after="0" w:line="123" w:lineRule="exact"/>
              <w:rPr>
                <w:sz w:val="20"/>
                <w:szCs w:val="20"/>
                <w:color w:val="auto"/>
              </w:rPr>
            </w:pPr>
            <w:r>
              <w:rPr>
                <w:rFonts w:ascii="Arial" w:cs="Arial" w:eastAsia="Arial" w:hAnsi="Arial"/>
                <w:sz w:val="11"/>
                <w:szCs w:val="11"/>
                <w:b w:val="1"/>
                <w:bCs w:val="1"/>
                <w:color w:val="FFFFFF"/>
                <w:w w:val="97"/>
              </w:rPr>
              <w:t>Estimated Future Payouts</w:t>
            </w:r>
          </w:p>
        </w:tc>
        <w:tc>
          <w:tcPr>
            <w:tcW w:w="82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8"/>
              </w:rPr>
              <w:t>Number of</w:t>
            </w:r>
          </w:p>
        </w:tc>
        <w:tc>
          <w:tcPr>
            <w:tcW w:w="84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4"/>
              </w:rPr>
              <w:t>Number of</w:t>
            </w:r>
          </w:p>
        </w:tc>
        <w:tc>
          <w:tcPr>
            <w:tcW w:w="180" w:type="dxa"/>
            <w:vAlign w:val="bottom"/>
            <w:shd w:val="clear" w:color="auto" w:fill="C00000"/>
          </w:tcPr>
          <w:p>
            <w:pPr>
              <w:spacing w:after="0"/>
              <w:rPr>
                <w:sz w:val="10"/>
                <w:szCs w:val="10"/>
                <w:color w:val="auto"/>
              </w:rPr>
            </w:pPr>
          </w:p>
        </w:tc>
        <w:tc>
          <w:tcPr>
            <w:tcW w:w="680" w:type="dxa"/>
            <w:vAlign w:val="bottom"/>
            <w:shd w:val="clear" w:color="auto" w:fill="C00000"/>
          </w:tcPr>
          <w:p>
            <w:pPr>
              <w:jc w:val="center"/>
              <w:ind w:right="127"/>
              <w:spacing w:after="0" w:line="123" w:lineRule="exact"/>
              <w:rPr>
                <w:sz w:val="20"/>
                <w:szCs w:val="20"/>
                <w:color w:val="auto"/>
              </w:rPr>
            </w:pPr>
            <w:r>
              <w:rPr>
                <w:rFonts w:ascii="Arial" w:cs="Arial" w:eastAsia="Arial" w:hAnsi="Arial"/>
                <w:sz w:val="11"/>
                <w:szCs w:val="11"/>
                <w:b w:val="1"/>
                <w:bCs w:val="1"/>
                <w:color w:val="FFFFFF"/>
                <w:w w:val="94"/>
              </w:rPr>
              <w:t>or Base</w:t>
            </w:r>
          </w:p>
        </w:tc>
        <w:tc>
          <w:tcPr>
            <w:tcW w:w="180" w:type="dxa"/>
            <w:vAlign w:val="bottom"/>
            <w:shd w:val="clear" w:color="auto" w:fill="C00000"/>
          </w:tcPr>
          <w:p>
            <w:pPr>
              <w:spacing w:after="0"/>
              <w:rPr>
                <w:sz w:val="10"/>
                <w:szCs w:val="10"/>
                <w:color w:val="auto"/>
              </w:rPr>
            </w:pPr>
          </w:p>
        </w:tc>
        <w:tc>
          <w:tcPr>
            <w:tcW w:w="700" w:type="dxa"/>
            <w:vAlign w:val="bottom"/>
            <w:shd w:val="clear" w:color="auto" w:fill="C00000"/>
          </w:tcPr>
          <w:p>
            <w:pPr>
              <w:jc w:val="center"/>
              <w:ind w:right="127"/>
              <w:spacing w:after="0" w:line="123" w:lineRule="exact"/>
              <w:rPr>
                <w:sz w:val="20"/>
                <w:szCs w:val="20"/>
                <w:color w:val="auto"/>
              </w:rPr>
            </w:pPr>
            <w:r>
              <w:rPr>
                <w:rFonts w:ascii="Arial" w:cs="Arial" w:eastAsia="Arial" w:hAnsi="Arial"/>
                <w:sz w:val="11"/>
                <w:szCs w:val="11"/>
                <w:b w:val="1"/>
                <w:bCs w:val="1"/>
                <w:color w:val="FFFFFF"/>
                <w:w w:val="93"/>
              </w:rPr>
              <w:t>Value of</w:t>
            </w:r>
          </w:p>
        </w:tc>
        <w:tc>
          <w:tcPr>
            <w:tcW w:w="0" w:type="dxa"/>
            <w:vAlign w:val="bottom"/>
          </w:tcPr>
          <w:p>
            <w:pPr>
              <w:spacing w:after="0"/>
              <w:rPr>
                <w:sz w:val="1"/>
                <w:szCs w:val="1"/>
                <w:color w:val="auto"/>
              </w:rPr>
            </w:pPr>
          </w:p>
        </w:tc>
      </w:tr>
      <w:tr>
        <w:trPr>
          <w:trHeight w:val="123"/>
        </w:trPr>
        <w:tc>
          <w:tcPr>
            <w:tcW w:w="226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500" w:type="dxa"/>
            <w:vAlign w:val="bottom"/>
            <w:shd w:val="clear" w:color="auto" w:fill="C00000"/>
          </w:tcPr>
          <w:p>
            <w:pPr>
              <w:spacing w:after="0"/>
              <w:rPr>
                <w:sz w:val="10"/>
                <w:szCs w:val="10"/>
                <w:color w:val="auto"/>
              </w:rPr>
            </w:pPr>
          </w:p>
        </w:tc>
        <w:tc>
          <w:tcPr>
            <w:tcW w:w="78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2020" w:type="dxa"/>
            <w:vAlign w:val="bottom"/>
            <w:gridSpan w:val="5"/>
            <w:shd w:val="clear" w:color="auto" w:fill="C00000"/>
          </w:tcPr>
          <w:p>
            <w:pPr>
              <w:jc w:val="center"/>
              <w:ind w:right="127"/>
              <w:spacing w:after="0" w:line="123" w:lineRule="exact"/>
              <w:rPr>
                <w:sz w:val="20"/>
                <w:szCs w:val="20"/>
                <w:color w:val="auto"/>
              </w:rPr>
            </w:pPr>
            <w:r>
              <w:rPr>
                <w:rFonts w:ascii="Arial" w:cs="Arial" w:eastAsia="Arial" w:hAnsi="Arial"/>
                <w:sz w:val="11"/>
                <w:szCs w:val="11"/>
                <w:b w:val="1"/>
                <w:bCs w:val="1"/>
                <w:color w:val="FFFFFF"/>
                <w:w w:val="97"/>
              </w:rPr>
              <w:t>Under Non-Equity Incentive</w:t>
            </w:r>
          </w:p>
        </w:tc>
        <w:tc>
          <w:tcPr>
            <w:tcW w:w="2180" w:type="dxa"/>
            <w:vAlign w:val="bottom"/>
            <w:gridSpan w:val="3"/>
            <w:shd w:val="clear" w:color="auto" w:fill="C00000"/>
          </w:tcPr>
          <w:p>
            <w:pPr>
              <w:ind w:left="360"/>
              <w:spacing w:after="0" w:line="123" w:lineRule="exact"/>
              <w:rPr>
                <w:sz w:val="20"/>
                <w:szCs w:val="20"/>
                <w:color w:val="auto"/>
              </w:rPr>
            </w:pPr>
            <w:r>
              <w:rPr>
                <w:rFonts w:ascii="Arial" w:cs="Arial" w:eastAsia="Arial" w:hAnsi="Arial"/>
                <w:sz w:val="11"/>
                <w:szCs w:val="11"/>
                <w:b w:val="1"/>
                <w:bCs w:val="1"/>
                <w:color w:val="FFFFFF"/>
              </w:rPr>
              <w:t>Under Equity Incentive Plan</w:t>
            </w:r>
          </w:p>
        </w:tc>
        <w:tc>
          <w:tcPr>
            <w:tcW w:w="82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5"/>
              </w:rPr>
              <w:t>Shares of</w:t>
            </w:r>
          </w:p>
        </w:tc>
        <w:tc>
          <w:tcPr>
            <w:tcW w:w="84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4"/>
              </w:rPr>
              <w:t>Securities</w:t>
            </w:r>
          </w:p>
        </w:tc>
        <w:tc>
          <w:tcPr>
            <w:tcW w:w="180" w:type="dxa"/>
            <w:vAlign w:val="bottom"/>
            <w:shd w:val="clear" w:color="auto" w:fill="C00000"/>
          </w:tcPr>
          <w:p>
            <w:pPr>
              <w:spacing w:after="0"/>
              <w:rPr>
                <w:sz w:val="10"/>
                <w:szCs w:val="10"/>
                <w:color w:val="auto"/>
              </w:rPr>
            </w:pPr>
          </w:p>
        </w:tc>
        <w:tc>
          <w:tcPr>
            <w:tcW w:w="680" w:type="dxa"/>
            <w:vAlign w:val="bottom"/>
            <w:shd w:val="clear" w:color="auto" w:fill="C00000"/>
          </w:tcPr>
          <w:p>
            <w:pPr>
              <w:jc w:val="center"/>
              <w:ind w:right="127"/>
              <w:spacing w:after="0" w:line="123" w:lineRule="exact"/>
              <w:rPr>
                <w:sz w:val="20"/>
                <w:szCs w:val="20"/>
                <w:color w:val="auto"/>
              </w:rPr>
            </w:pPr>
            <w:r>
              <w:rPr>
                <w:rFonts w:ascii="Arial" w:cs="Arial" w:eastAsia="Arial" w:hAnsi="Arial"/>
                <w:sz w:val="11"/>
                <w:szCs w:val="11"/>
                <w:b w:val="1"/>
                <w:bCs w:val="1"/>
                <w:color w:val="FFFFFF"/>
                <w:w w:val="94"/>
              </w:rPr>
              <w:t>Price of</w:t>
            </w:r>
          </w:p>
        </w:tc>
        <w:tc>
          <w:tcPr>
            <w:tcW w:w="180" w:type="dxa"/>
            <w:vAlign w:val="bottom"/>
            <w:shd w:val="clear" w:color="auto" w:fill="C00000"/>
          </w:tcPr>
          <w:p>
            <w:pPr>
              <w:spacing w:after="0"/>
              <w:rPr>
                <w:sz w:val="10"/>
                <w:szCs w:val="10"/>
                <w:color w:val="auto"/>
              </w:rPr>
            </w:pPr>
          </w:p>
        </w:tc>
        <w:tc>
          <w:tcPr>
            <w:tcW w:w="700" w:type="dxa"/>
            <w:vAlign w:val="bottom"/>
            <w:shd w:val="clear" w:color="auto" w:fill="C00000"/>
          </w:tcPr>
          <w:p>
            <w:pPr>
              <w:jc w:val="center"/>
              <w:ind w:right="127"/>
              <w:spacing w:after="0" w:line="123" w:lineRule="exact"/>
              <w:rPr>
                <w:sz w:val="20"/>
                <w:szCs w:val="20"/>
                <w:color w:val="auto"/>
              </w:rPr>
            </w:pPr>
            <w:r>
              <w:rPr>
                <w:rFonts w:ascii="Arial" w:cs="Arial" w:eastAsia="Arial" w:hAnsi="Arial"/>
                <w:sz w:val="11"/>
                <w:szCs w:val="11"/>
                <w:b w:val="1"/>
                <w:bCs w:val="1"/>
                <w:color w:val="FFFFFF"/>
                <w:w w:val="98"/>
              </w:rPr>
              <w:t>Stock and</w:t>
            </w:r>
          </w:p>
        </w:tc>
        <w:tc>
          <w:tcPr>
            <w:tcW w:w="0" w:type="dxa"/>
            <w:vAlign w:val="bottom"/>
          </w:tcPr>
          <w:p>
            <w:pPr>
              <w:spacing w:after="0"/>
              <w:rPr>
                <w:sz w:val="1"/>
                <w:szCs w:val="1"/>
                <w:color w:val="auto"/>
              </w:rPr>
            </w:pPr>
          </w:p>
        </w:tc>
      </w:tr>
      <w:tr>
        <w:trPr>
          <w:trHeight w:val="133"/>
        </w:trPr>
        <w:tc>
          <w:tcPr>
            <w:tcW w:w="226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500" w:type="dxa"/>
            <w:vAlign w:val="bottom"/>
            <w:shd w:val="clear" w:color="auto" w:fill="C00000"/>
          </w:tcPr>
          <w:p>
            <w:pPr>
              <w:spacing w:after="0"/>
              <w:rPr>
                <w:sz w:val="11"/>
                <w:szCs w:val="11"/>
                <w:color w:val="auto"/>
              </w:rPr>
            </w:pPr>
          </w:p>
        </w:tc>
        <w:tc>
          <w:tcPr>
            <w:tcW w:w="780" w:type="dxa"/>
            <w:vAlign w:val="bottom"/>
            <w:shd w:val="clear" w:color="auto" w:fill="C00000"/>
          </w:tcPr>
          <w:p>
            <w:pPr>
              <w:spacing w:after="0"/>
              <w:rPr>
                <w:sz w:val="11"/>
                <w:szCs w:val="11"/>
                <w:color w:val="auto"/>
              </w:rPr>
            </w:pPr>
          </w:p>
        </w:tc>
        <w:tc>
          <w:tcPr>
            <w:tcW w:w="200" w:type="dxa"/>
            <w:vAlign w:val="bottom"/>
            <w:shd w:val="clear" w:color="auto" w:fill="C00000"/>
          </w:tcPr>
          <w:p>
            <w:pPr>
              <w:spacing w:after="0"/>
              <w:rPr>
                <w:sz w:val="11"/>
                <w:szCs w:val="11"/>
                <w:color w:val="auto"/>
              </w:rPr>
            </w:pPr>
          </w:p>
        </w:tc>
        <w:tc>
          <w:tcPr>
            <w:tcW w:w="480" w:type="dxa"/>
            <w:vAlign w:val="bottom"/>
            <w:shd w:val="clear" w:color="auto" w:fill="C00000"/>
          </w:tcPr>
          <w:p>
            <w:pPr>
              <w:spacing w:after="0"/>
              <w:rPr>
                <w:sz w:val="11"/>
                <w:szCs w:val="11"/>
                <w:color w:val="auto"/>
              </w:rPr>
            </w:pPr>
          </w:p>
        </w:tc>
        <w:tc>
          <w:tcPr>
            <w:tcW w:w="840" w:type="dxa"/>
            <w:vAlign w:val="bottom"/>
            <w:gridSpan w:val="2"/>
            <w:shd w:val="clear" w:color="auto" w:fill="C00000"/>
          </w:tcPr>
          <w:p>
            <w:pPr>
              <w:jc w:val="center"/>
              <w:spacing w:after="0"/>
              <w:rPr>
                <w:sz w:val="20"/>
                <w:szCs w:val="20"/>
                <w:color w:val="auto"/>
              </w:rPr>
            </w:pPr>
            <w:r>
              <w:rPr>
                <w:rFonts w:ascii="Arial" w:cs="Arial" w:eastAsia="Arial" w:hAnsi="Arial"/>
                <w:sz w:val="11"/>
                <w:szCs w:val="11"/>
                <w:b w:val="1"/>
                <w:bCs w:val="1"/>
                <w:color w:val="FFFFFF"/>
                <w:w w:val="98"/>
              </w:rPr>
              <w:t>Plan Awards</w:t>
            </w:r>
            <w:r>
              <w:rPr>
                <w:rFonts w:ascii="Arial" w:cs="Arial" w:eastAsia="Arial" w:hAnsi="Arial"/>
                <w:sz w:val="9"/>
                <w:szCs w:val="9"/>
                <w:b w:val="1"/>
                <w:bCs w:val="1"/>
                <w:color w:val="FFFFFF"/>
                <w:w w:val="98"/>
              </w:rPr>
              <w:t>(1)</w:t>
            </w:r>
          </w:p>
        </w:tc>
        <w:tc>
          <w:tcPr>
            <w:tcW w:w="100" w:type="dxa"/>
            <w:vAlign w:val="bottom"/>
            <w:shd w:val="clear" w:color="auto" w:fill="C00000"/>
          </w:tcPr>
          <w:p>
            <w:pPr>
              <w:spacing w:after="0"/>
              <w:rPr>
                <w:sz w:val="11"/>
                <w:szCs w:val="11"/>
                <w:color w:val="auto"/>
              </w:rPr>
            </w:pPr>
          </w:p>
        </w:tc>
        <w:tc>
          <w:tcPr>
            <w:tcW w:w="60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7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4"/>
              </w:rPr>
              <w:t>Awards</w:t>
            </w:r>
            <w:r>
              <w:rPr>
                <w:rFonts w:ascii="Arial" w:cs="Arial" w:eastAsia="Arial" w:hAnsi="Arial"/>
                <w:sz w:val="9"/>
                <w:szCs w:val="9"/>
                <w:b w:val="1"/>
                <w:bCs w:val="1"/>
                <w:color w:val="FFFFFF"/>
                <w:w w:val="94"/>
              </w:rPr>
              <w:t>(2)</w:t>
            </w:r>
          </w:p>
        </w:tc>
        <w:tc>
          <w:tcPr>
            <w:tcW w:w="760" w:type="dxa"/>
            <w:vAlign w:val="bottom"/>
            <w:shd w:val="clear" w:color="auto" w:fill="C00000"/>
          </w:tcPr>
          <w:p>
            <w:pPr>
              <w:spacing w:after="0"/>
              <w:rPr>
                <w:sz w:val="11"/>
                <w:szCs w:val="11"/>
                <w:color w:val="auto"/>
              </w:rPr>
            </w:pPr>
          </w:p>
        </w:tc>
        <w:tc>
          <w:tcPr>
            <w:tcW w:w="8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5"/>
              </w:rPr>
              <w:t>Stock or</w:t>
            </w:r>
          </w:p>
        </w:tc>
        <w:tc>
          <w:tcPr>
            <w:tcW w:w="8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7"/>
              </w:rPr>
              <w:t>Underlying</w:t>
            </w:r>
          </w:p>
        </w:tc>
        <w:tc>
          <w:tcPr>
            <w:tcW w:w="180" w:type="dxa"/>
            <w:vAlign w:val="bottom"/>
            <w:shd w:val="clear" w:color="auto" w:fill="C00000"/>
          </w:tcPr>
          <w:p>
            <w:pPr>
              <w:spacing w:after="0"/>
              <w:rPr>
                <w:sz w:val="11"/>
                <w:szCs w:val="11"/>
                <w:color w:val="auto"/>
              </w:rPr>
            </w:pPr>
          </w:p>
        </w:tc>
        <w:tc>
          <w:tcPr>
            <w:tcW w:w="680" w:type="dxa"/>
            <w:vAlign w:val="bottom"/>
            <w:shd w:val="clear" w:color="auto" w:fill="C00000"/>
          </w:tcPr>
          <w:p>
            <w:pPr>
              <w:jc w:val="center"/>
              <w:ind w:right="127"/>
              <w:spacing w:after="0"/>
              <w:rPr>
                <w:sz w:val="20"/>
                <w:szCs w:val="20"/>
                <w:color w:val="auto"/>
              </w:rPr>
            </w:pPr>
            <w:r>
              <w:rPr>
                <w:rFonts w:ascii="Arial" w:cs="Arial" w:eastAsia="Arial" w:hAnsi="Arial"/>
                <w:sz w:val="11"/>
                <w:szCs w:val="11"/>
                <w:b w:val="1"/>
                <w:bCs w:val="1"/>
                <w:color w:val="FFFFFF"/>
                <w:w w:val="95"/>
              </w:rPr>
              <w:t>Option</w:t>
            </w:r>
          </w:p>
        </w:tc>
        <w:tc>
          <w:tcPr>
            <w:tcW w:w="180" w:type="dxa"/>
            <w:vAlign w:val="bottom"/>
            <w:shd w:val="clear" w:color="auto" w:fill="C00000"/>
          </w:tcPr>
          <w:p>
            <w:pPr>
              <w:spacing w:after="0"/>
              <w:rPr>
                <w:sz w:val="11"/>
                <w:szCs w:val="11"/>
                <w:color w:val="auto"/>
              </w:rPr>
            </w:pPr>
          </w:p>
        </w:tc>
        <w:tc>
          <w:tcPr>
            <w:tcW w:w="700" w:type="dxa"/>
            <w:vAlign w:val="bottom"/>
            <w:shd w:val="clear" w:color="auto" w:fill="C00000"/>
          </w:tcPr>
          <w:p>
            <w:pPr>
              <w:jc w:val="center"/>
              <w:ind w:right="147"/>
              <w:spacing w:after="0"/>
              <w:rPr>
                <w:sz w:val="20"/>
                <w:szCs w:val="20"/>
                <w:color w:val="auto"/>
              </w:rPr>
            </w:pPr>
            <w:r>
              <w:rPr>
                <w:rFonts w:ascii="Arial" w:cs="Arial" w:eastAsia="Arial" w:hAnsi="Arial"/>
                <w:sz w:val="11"/>
                <w:szCs w:val="11"/>
                <w:b w:val="1"/>
                <w:bCs w:val="1"/>
                <w:color w:val="FFFFFF"/>
                <w:w w:val="95"/>
              </w:rPr>
              <w:t>Option</w:t>
            </w:r>
          </w:p>
        </w:tc>
        <w:tc>
          <w:tcPr>
            <w:tcW w:w="0" w:type="dxa"/>
            <w:vAlign w:val="bottom"/>
          </w:tcPr>
          <w:p>
            <w:pPr>
              <w:spacing w:after="0"/>
              <w:rPr>
                <w:sz w:val="1"/>
                <w:szCs w:val="1"/>
                <w:color w:val="auto"/>
              </w:rPr>
            </w:pPr>
          </w:p>
        </w:tc>
      </w:tr>
      <w:tr>
        <w:trPr>
          <w:trHeight w:val="137"/>
        </w:trPr>
        <w:tc>
          <w:tcPr>
            <w:tcW w:w="226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5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5"/>
              </w:rPr>
              <w:t>Grant</w:t>
            </w:r>
          </w:p>
        </w:tc>
        <w:tc>
          <w:tcPr>
            <w:tcW w:w="780" w:type="dxa"/>
            <w:vAlign w:val="bottom"/>
            <w:shd w:val="clear" w:color="auto" w:fill="C00000"/>
          </w:tcPr>
          <w:p>
            <w:pPr>
              <w:jc w:val="center"/>
              <w:ind w:left="67"/>
              <w:spacing w:after="0"/>
              <w:rPr>
                <w:sz w:val="20"/>
                <w:szCs w:val="20"/>
                <w:color w:val="auto"/>
              </w:rPr>
            </w:pPr>
            <w:r>
              <w:rPr>
                <w:rFonts w:ascii="Arial" w:cs="Arial" w:eastAsia="Arial" w:hAnsi="Arial"/>
                <w:sz w:val="11"/>
                <w:szCs w:val="11"/>
                <w:b w:val="1"/>
                <w:bCs w:val="1"/>
                <w:color w:val="FFFFFF"/>
                <w:w w:val="96"/>
              </w:rPr>
              <w:t>Approval</w:t>
            </w:r>
          </w:p>
        </w:tc>
        <w:tc>
          <w:tcPr>
            <w:tcW w:w="680" w:type="dxa"/>
            <w:vAlign w:val="bottom"/>
            <w:gridSpan w:val="2"/>
            <w:shd w:val="clear" w:color="auto" w:fill="C00000"/>
          </w:tcPr>
          <w:p>
            <w:pPr>
              <w:ind w:left="120"/>
              <w:spacing w:after="0"/>
              <w:rPr>
                <w:sz w:val="20"/>
                <w:szCs w:val="20"/>
                <w:color w:val="auto"/>
              </w:rPr>
            </w:pPr>
            <w:r>
              <w:rPr>
                <w:rFonts w:ascii="Arial" w:cs="Arial" w:eastAsia="Arial" w:hAnsi="Arial"/>
                <w:sz w:val="11"/>
                <w:szCs w:val="11"/>
                <w:b w:val="1"/>
                <w:bCs w:val="1"/>
                <w:color w:val="FFFFFF"/>
              </w:rPr>
              <w:t>Threshold</w:t>
            </w:r>
          </w:p>
        </w:tc>
        <w:tc>
          <w:tcPr>
            <w:tcW w:w="220" w:type="dxa"/>
            <w:vAlign w:val="bottom"/>
            <w:shd w:val="clear" w:color="auto" w:fill="C00000"/>
          </w:tcPr>
          <w:p>
            <w:pPr>
              <w:spacing w:after="0"/>
              <w:rPr>
                <w:sz w:val="11"/>
                <w:szCs w:val="11"/>
                <w:color w:val="auto"/>
              </w:rPr>
            </w:pPr>
          </w:p>
        </w:tc>
        <w:tc>
          <w:tcPr>
            <w:tcW w:w="620" w:type="dxa"/>
            <w:vAlign w:val="bottom"/>
            <w:shd w:val="clear" w:color="auto" w:fill="C00000"/>
          </w:tcPr>
          <w:p>
            <w:pPr>
              <w:jc w:val="right"/>
              <w:ind w:right="227"/>
              <w:spacing w:after="0"/>
              <w:rPr>
                <w:sz w:val="20"/>
                <w:szCs w:val="20"/>
                <w:color w:val="auto"/>
              </w:rPr>
            </w:pPr>
            <w:r>
              <w:rPr>
                <w:rFonts w:ascii="Arial" w:cs="Arial" w:eastAsia="Arial" w:hAnsi="Arial"/>
                <w:sz w:val="11"/>
                <w:szCs w:val="11"/>
                <w:b w:val="1"/>
                <w:bCs w:val="1"/>
                <w:color w:val="FFFFFF"/>
                <w:w w:val="95"/>
              </w:rPr>
              <w:t>Target</w:t>
            </w:r>
          </w:p>
        </w:tc>
        <w:tc>
          <w:tcPr>
            <w:tcW w:w="700" w:type="dxa"/>
            <w:vAlign w:val="bottom"/>
            <w:gridSpan w:val="2"/>
            <w:shd w:val="clear" w:color="auto" w:fill="C00000"/>
          </w:tcPr>
          <w:p>
            <w:pPr>
              <w:jc w:val="right"/>
              <w:ind w:right="87"/>
              <w:spacing w:after="0"/>
              <w:rPr>
                <w:sz w:val="20"/>
                <w:szCs w:val="20"/>
                <w:color w:val="auto"/>
              </w:rPr>
            </w:pPr>
            <w:r>
              <w:rPr>
                <w:rFonts w:ascii="Arial" w:cs="Arial" w:eastAsia="Arial" w:hAnsi="Arial"/>
                <w:sz w:val="11"/>
                <w:szCs w:val="11"/>
                <w:b w:val="1"/>
                <w:bCs w:val="1"/>
                <w:color w:val="FFFFFF"/>
              </w:rPr>
              <w:t>Maximum</w:t>
            </w:r>
          </w:p>
        </w:tc>
        <w:tc>
          <w:tcPr>
            <w:tcW w:w="720" w:type="dxa"/>
            <w:vAlign w:val="bottom"/>
            <w:shd w:val="clear" w:color="auto" w:fill="C00000"/>
          </w:tcPr>
          <w:p>
            <w:pPr>
              <w:ind w:left="120"/>
              <w:spacing w:after="0"/>
              <w:rPr>
                <w:sz w:val="20"/>
                <w:szCs w:val="20"/>
                <w:color w:val="auto"/>
              </w:rPr>
            </w:pPr>
            <w:r>
              <w:rPr>
                <w:rFonts w:ascii="Arial" w:cs="Arial" w:eastAsia="Arial" w:hAnsi="Arial"/>
                <w:sz w:val="11"/>
                <w:szCs w:val="11"/>
                <w:b w:val="1"/>
                <w:bCs w:val="1"/>
                <w:color w:val="FFFFFF"/>
              </w:rPr>
              <w:t>Threshold</w:t>
            </w:r>
          </w:p>
        </w:tc>
        <w:tc>
          <w:tcPr>
            <w:tcW w:w="7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89"/>
              </w:rPr>
              <w:t>Target</w:t>
            </w:r>
          </w:p>
        </w:tc>
        <w:tc>
          <w:tcPr>
            <w:tcW w:w="760" w:type="dxa"/>
            <w:vAlign w:val="bottom"/>
            <w:shd w:val="clear" w:color="auto" w:fill="C00000"/>
          </w:tcPr>
          <w:p>
            <w:pPr>
              <w:jc w:val="right"/>
              <w:ind w:right="107"/>
              <w:spacing w:after="0"/>
              <w:rPr>
                <w:sz w:val="20"/>
                <w:szCs w:val="20"/>
                <w:color w:val="auto"/>
              </w:rPr>
            </w:pPr>
            <w:r>
              <w:rPr>
                <w:rFonts w:ascii="Arial" w:cs="Arial" w:eastAsia="Arial" w:hAnsi="Arial"/>
                <w:sz w:val="11"/>
                <w:szCs w:val="11"/>
                <w:b w:val="1"/>
                <w:bCs w:val="1"/>
                <w:color w:val="FFFFFF"/>
              </w:rPr>
              <w:t>Maximum</w:t>
            </w:r>
          </w:p>
        </w:tc>
        <w:tc>
          <w:tcPr>
            <w:tcW w:w="8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4"/>
              </w:rPr>
              <w:t>Units</w:t>
            </w:r>
          </w:p>
        </w:tc>
        <w:tc>
          <w:tcPr>
            <w:tcW w:w="8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8"/>
              </w:rPr>
              <w:t>Options</w:t>
            </w:r>
            <w:r>
              <w:rPr>
                <w:rFonts w:ascii="Arial" w:cs="Arial" w:eastAsia="Arial" w:hAnsi="Arial"/>
                <w:sz w:val="9"/>
                <w:szCs w:val="9"/>
                <w:b w:val="1"/>
                <w:bCs w:val="1"/>
                <w:color w:val="FFFFFF"/>
                <w:w w:val="98"/>
              </w:rPr>
              <w:t>(3)</w:t>
            </w:r>
          </w:p>
        </w:tc>
        <w:tc>
          <w:tcPr>
            <w:tcW w:w="180" w:type="dxa"/>
            <w:vAlign w:val="bottom"/>
            <w:shd w:val="clear" w:color="auto" w:fill="C00000"/>
          </w:tcPr>
          <w:p>
            <w:pPr>
              <w:spacing w:after="0"/>
              <w:rPr>
                <w:sz w:val="11"/>
                <w:szCs w:val="11"/>
                <w:color w:val="auto"/>
              </w:rPr>
            </w:pPr>
          </w:p>
        </w:tc>
        <w:tc>
          <w:tcPr>
            <w:tcW w:w="680" w:type="dxa"/>
            <w:vAlign w:val="bottom"/>
            <w:shd w:val="clear" w:color="auto" w:fill="C00000"/>
          </w:tcPr>
          <w:p>
            <w:pPr>
              <w:jc w:val="center"/>
              <w:ind w:right="127"/>
              <w:spacing w:after="0"/>
              <w:rPr>
                <w:sz w:val="20"/>
                <w:szCs w:val="20"/>
                <w:color w:val="auto"/>
              </w:rPr>
            </w:pPr>
            <w:r>
              <w:rPr>
                <w:rFonts w:ascii="Arial" w:cs="Arial" w:eastAsia="Arial" w:hAnsi="Arial"/>
                <w:sz w:val="11"/>
                <w:szCs w:val="11"/>
                <w:b w:val="1"/>
                <w:bCs w:val="1"/>
                <w:color w:val="FFFFFF"/>
                <w:w w:val="98"/>
              </w:rPr>
              <w:t>Awards</w:t>
            </w:r>
            <w:r>
              <w:rPr>
                <w:rFonts w:ascii="Arial" w:cs="Arial" w:eastAsia="Arial" w:hAnsi="Arial"/>
                <w:sz w:val="9"/>
                <w:szCs w:val="9"/>
                <w:b w:val="1"/>
                <w:bCs w:val="1"/>
                <w:color w:val="FFFFFF"/>
                <w:w w:val="98"/>
              </w:rPr>
              <w:t>(4)</w:t>
            </w:r>
          </w:p>
        </w:tc>
        <w:tc>
          <w:tcPr>
            <w:tcW w:w="880" w:type="dxa"/>
            <w:vAlign w:val="bottom"/>
            <w:gridSpan w:val="2"/>
            <w:shd w:val="clear" w:color="auto" w:fill="C00000"/>
          </w:tcPr>
          <w:p>
            <w:pPr>
              <w:jc w:val="center"/>
              <w:spacing w:after="0"/>
              <w:rPr>
                <w:sz w:val="20"/>
                <w:szCs w:val="20"/>
                <w:color w:val="auto"/>
              </w:rPr>
            </w:pPr>
            <w:r>
              <w:rPr>
                <w:rFonts w:ascii="Arial" w:cs="Arial" w:eastAsia="Arial" w:hAnsi="Arial"/>
                <w:sz w:val="11"/>
                <w:szCs w:val="11"/>
                <w:b w:val="1"/>
                <w:bCs w:val="1"/>
                <w:color w:val="FFFFFF"/>
                <w:w w:val="97"/>
              </w:rPr>
              <w:t>Awards</w:t>
            </w:r>
            <w:r>
              <w:rPr>
                <w:rFonts w:ascii="Arial" w:cs="Arial" w:eastAsia="Arial" w:hAnsi="Arial"/>
                <w:sz w:val="9"/>
                <w:szCs w:val="9"/>
                <w:b w:val="1"/>
                <w:bCs w:val="1"/>
                <w:color w:val="FFFFFF"/>
                <w:w w:val="97"/>
              </w:rPr>
              <w:t>(5)(6)</w:t>
            </w:r>
          </w:p>
        </w:tc>
        <w:tc>
          <w:tcPr>
            <w:tcW w:w="0" w:type="dxa"/>
            <w:vAlign w:val="bottom"/>
          </w:tcPr>
          <w:p>
            <w:pPr>
              <w:spacing w:after="0"/>
              <w:rPr>
                <w:sz w:val="1"/>
                <w:szCs w:val="1"/>
                <w:color w:val="auto"/>
              </w:rPr>
            </w:pPr>
          </w:p>
        </w:tc>
      </w:tr>
      <w:tr>
        <w:trPr>
          <w:trHeight w:val="133"/>
        </w:trPr>
        <w:tc>
          <w:tcPr>
            <w:tcW w:w="2260" w:type="dxa"/>
            <w:vAlign w:val="bottom"/>
            <w:shd w:val="clear" w:color="auto" w:fill="C00000"/>
          </w:tcPr>
          <w:p>
            <w:pPr>
              <w:spacing w:after="0"/>
              <w:rPr>
                <w:sz w:val="20"/>
                <w:szCs w:val="20"/>
                <w:color w:val="auto"/>
              </w:rPr>
            </w:pPr>
            <w:r>
              <w:rPr>
                <w:rFonts w:ascii="Arial" w:cs="Arial" w:eastAsia="Arial" w:hAnsi="Arial"/>
                <w:sz w:val="11"/>
                <w:szCs w:val="11"/>
                <w:b w:val="1"/>
                <w:bCs w:val="1"/>
                <w:color w:val="FFFFFF"/>
              </w:rPr>
              <w:t>Name</w:t>
            </w:r>
          </w:p>
        </w:tc>
        <w:tc>
          <w:tcPr>
            <w:tcW w:w="80" w:type="dxa"/>
            <w:vAlign w:val="bottom"/>
            <w:shd w:val="clear" w:color="auto" w:fill="C00000"/>
          </w:tcPr>
          <w:p>
            <w:pPr>
              <w:spacing w:after="0"/>
              <w:rPr>
                <w:sz w:val="11"/>
                <w:szCs w:val="11"/>
                <w:color w:val="auto"/>
              </w:rPr>
            </w:pPr>
          </w:p>
        </w:tc>
        <w:tc>
          <w:tcPr>
            <w:tcW w:w="5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Date</w:t>
            </w:r>
          </w:p>
        </w:tc>
        <w:tc>
          <w:tcPr>
            <w:tcW w:w="780" w:type="dxa"/>
            <w:vAlign w:val="bottom"/>
            <w:shd w:val="clear" w:color="auto" w:fill="C00000"/>
          </w:tcPr>
          <w:p>
            <w:pPr>
              <w:jc w:val="center"/>
              <w:ind w:left="47"/>
              <w:spacing w:after="0"/>
              <w:rPr>
                <w:sz w:val="20"/>
                <w:szCs w:val="20"/>
                <w:color w:val="auto"/>
              </w:rPr>
            </w:pPr>
            <w:r>
              <w:rPr>
                <w:rFonts w:ascii="Arial" w:cs="Arial" w:eastAsia="Arial" w:hAnsi="Arial"/>
                <w:sz w:val="11"/>
                <w:szCs w:val="11"/>
                <w:b w:val="1"/>
                <w:bCs w:val="1"/>
                <w:color w:val="FFFFFF"/>
              </w:rPr>
              <w:t>Date</w:t>
            </w:r>
          </w:p>
        </w:tc>
        <w:tc>
          <w:tcPr>
            <w:tcW w:w="200" w:type="dxa"/>
            <w:vAlign w:val="bottom"/>
            <w:shd w:val="clear" w:color="auto" w:fill="C00000"/>
          </w:tcPr>
          <w:p>
            <w:pPr>
              <w:spacing w:after="0"/>
              <w:rPr>
                <w:sz w:val="11"/>
                <w:szCs w:val="11"/>
                <w:color w:val="auto"/>
              </w:rPr>
            </w:pPr>
          </w:p>
        </w:tc>
        <w:tc>
          <w:tcPr>
            <w:tcW w:w="480" w:type="dxa"/>
            <w:vAlign w:val="bottom"/>
            <w:shd w:val="clear" w:color="auto" w:fill="C00000"/>
          </w:tcPr>
          <w:p>
            <w:pPr>
              <w:jc w:val="right"/>
              <w:ind w:right="187"/>
              <w:spacing w:after="0"/>
              <w:rPr>
                <w:sz w:val="20"/>
                <w:szCs w:val="20"/>
                <w:color w:val="auto"/>
              </w:rPr>
            </w:pPr>
            <w:r>
              <w:rPr>
                <w:rFonts w:ascii="Arial" w:cs="Arial" w:eastAsia="Arial" w:hAnsi="Arial"/>
                <w:sz w:val="11"/>
                <w:szCs w:val="11"/>
                <w:b w:val="1"/>
                <w:bCs w:val="1"/>
                <w:color w:val="FFFFFF"/>
              </w:rPr>
              <w:t>($)</w:t>
            </w:r>
          </w:p>
        </w:tc>
        <w:tc>
          <w:tcPr>
            <w:tcW w:w="220" w:type="dxa"/>
            <w:vAlign w:val="bottom"/>
            <w:shd w:val="clear" w:color="auto" w:fill="C00000"/>
          </w:tcPr>
          <w:p>
            <w:pPr>
              <w:spacing w:after="0"/>
              <w:rPr>
                <w:sz w:val="11"/>
                <w:szCs w:val="11"/>
                <w:color w:val="auto"/>
              </w:rPr>
            </w:pPr>
          </w:p>
        </w:tc>
        <w:tc>
          <w:tcPr>
            <w:tcW w:w="620" w:type="dxa"/>
            <w:vAlign w:val="bottom"/>
            <w:shd w:val="clear" w:color="auto" w:fill="C00000"/>
          </w:tcPr>
          <w:p>
            <w:pPr>
              <w:jc w:val="right"/>
              <w:ind w:right="327"/>
              <w:spacing w:after="0"/>
              <w:rPr>
                <w:sz w:val="20"/>
                <w:szCs w:val="20"/>
                <w:color w:val="auto"/>
              </w:rPr>
            </w:pPr>
            <w:r>
              <w:rPr>
                <w:rFonts w:ascii="Arial" w:cs="Arial" w:eastAsia="Arial" w:hAnsi="Arial"/>
                <w:sz w:val="11"/>
                <w:szCs w:val="11"/>
                <w:b w:val="1"/>
                <w:bCs w:val="1"/>
                <w:color w:val="FFFFFF"/>
              </w:rPr>
              <w:t>($)</w:t>
            </w:r>
          </w:p>
        </w:tc>
        <w:tc>
          <w:tcPr>
            <w:tcW w:w="100" w:type="dxa"/>
            <w:vAlign w:val="bottom"/>
            <w:shd w:val="clear" w:color="auto" w:fill="C00000"/>
          </w:tcPr>
          <w:p>
            <w:pPr>
              <w:spacing w:after="0"/>
              <w:rPr>
                <w:sz w:val="11"/>
                <w:szCs w:val="11"/>
                <w:color w:val="auto"/>
              </w:rPr>
            </w:pPr>
          </w:p>
        </w:tc>
        <w:tc>
          <w:tcPr>
            <w:tcW w:w="600" w:type="dxa"/>
            <w:vAlign w:val="bottom"/>
            <w:shd w:val="clear" w:color="auto" w:fill="C00000"/>
          </w:tcPr>
          <w:p>
            <w:pPr>
              <w:jc w:val="right"/>
              <w:ind w:right="267"/>
              <w:spacing w:after="0"/>
              <w:rPr>
                <w:sz w:val="20"/>
                <w:szCs w:val="20"/>
                <w:color w:val="auto"/>
              </w:rPr>
            </w:pPr>
            <w:r>
              <w:rPr>
                <w:rFonts w:ascii="Arial" w:cs="Arial" w:eastAsia="Arial" w:hAnsi="Arial"/>
                <w:sz w:val="11"/>
                <w:szCs w:val="11"/>
                <w:b w:val="1"/>
                <w:bCs w:val="1"/>
                <w:color w:val="FFFFFF"/>
              </w:rPr>
              <w:t>($)</w:t>
            </w:r>
          </w:p>
        </w:tc>
        <w:tc>
          <w:tcPr>
            <w:tcW w:w="720" w:type="dxa"/>
            <w:vAlign w:val="bottom"/>
            <w:shd w:val="clear" w:color="auto" w:fill="C00000"/>
          </w:tcPr>
          <w:p>
            <w:pPr>
              <w:ind w:left="300"/>
              <w:spacing w:after="0"/>
              <w:rPr>
                <w:sz w:val="20"/>
                <w:szCs w:val="20"/>
                <w:color w:val="auto"/>
              </w:rPr>
            </w:pPr>
            <w:r>
              <w:rPr>
                <w:rFonts w:ascii="Arial" w:cs="Arial" w:eastAsia="Arial" w:hAnsi="Arial"/>
                <w:sz w:val="11"/>
                <w:szCs w:val="11"/>
                <w:b w:val="1"/>
                <w:bCs w:val="1"/>
                <w:color w:val="FFFFFF"/>
              </w:rPr>
              <w:t>(#)</w:t>
            </w:r>
          </w:p>
        </w:tc>
        <w:tc>
          <w:tcPr>
            <w:tcW w:w="7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C00000"/>
          </w:tcPr>
          <w:p>
            <w:pPr>
              <w:jc w:val="right"/>
              <w:ind w:right="287"/>
              <w:spacing w:after="0"/>
              <w:rPr>
                <w:sz w:val="20"/>
                <w:szCs w:val="20"/>
                <w:color w:val="auto"/>
              </w:rPr>
            </w:pPr>
            <w:r>
              <w:rPr>
                <w:rFonts w:ascii="Arial" w:cs="Arial" w:eastAsia="Arial" w:hAnsi="Arial"/>
                <w:sz w:val="11"/>
                <w:szCs w:val="11"/>
                <w:b w:val="1"/>
                <w:bCs w:val="1"/>
                <w:color w:val="FFFFFF"/>
              </w:rPr>
              <w:t>(#)</w:t>
            </w:r>
          </w:p>
        </w:tc>
        <w:tc>
          <w:tcPr>
            <w:tcW w:w="8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w:t>
            </w:r>
          </w:p>
        </w:tc>
        <w:tc>
          <w:tcPr>
            <w:tcW w:w="8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88"/>
              </w:rPr>
              <w:t>(#)</w:t>
            </w:r>
          </w:p>
        </w:tc>
        <w:tc>
          <w:tcPr>
            <w:tcW w:w="180" w:type="dxa"/>
            <w:vAlign w:val="bottom"/>
            <w:shd w:val="clear" w:color="auto" w:fill="C00000"/>
          </w:tcPr>
          <w:p>
            <w:pPr>
              <w:spacing w:after="0"/>
              <w:rPr>
                <w:sz w:val="11"/>
                <w:szCs w:val="11"/>
                <w:color w:val="auto"/>
              </w:rPr>
            </w:pPr>
          </w:p>
        </w:tc>
        <w:tc>
          <w:tcPr>
            <w:tcW w:w="680" w:type="dxa"/>
            <w:vAlign w:val="bottom"/>
            <w:shd w:val="clear" w:color="auto" w:fill="C00000"/>
          </w:tcPr>
          <w:p>
            <w:pPr>
              <w:jc w:val="center"/>
              <w:ind w:right="127"/>
              <w:spacing w:after="0"/>
              <w:rPr>
                <w:sz w:val="20"/>
                <w:szCs w:val="20"/>
                <w:color w:val="auto"/>
              </w:rPr>
            </w:pPr>
            <w:r>
              <w:rPr>
                <w:rFonts w:ascii="Arial" w:cs="Arial" w:eastAsia="Arial" w:hAnsi="Arial"/>
                <w:sz w:val="11"/>
                <w:szCs w:val="11"/>
                <w:b w:val="1"/>
                <w:bCs w:val="1"/>
                <w:color w:val="FFFFFF"/>
                <w:w w:val="98"/>
              </w:rPr>
              <w:t>($/Sh)</w:t>
            </w:r>
          </w:p>
        </w:tc>
        <w:tc>
          <w:tcPr>
            <w:tcW w:w="180" w:type="dxa"/>
            <w:vAlign w:val="bottom"/>
            <w:shd w:val="clear" w:color="auto" w:fill="C00000"/>
          </w:tcPr>
          <w:p>
            <w:pPr>
              <w:spacing w:after="0"/>
              <w:rPr>
                <w:sz w:val="11"/>
                <w:szCs w:val="11"/>
                <w:color w:val="auto"/>
              </w:rPr>
            </w:pPr>
          </w:p>
        </w:tc>
        <w:tc>
          <w:tcPr>
            <w:tcW w:w="700" w:type="dxa"/>
            <w:vAlign w:val="bottom"/>
            <w:shd w:val="clear" w:color="auto" w:fill="C00000"/>
          </w:tcPr>
          <w:p>
            <w:pPr>
              <w:jc w:val="center"/>
              <w:ind w:right="127"/>
              <w:spacing w:after="0"/>
              <w:rPr>
                <w:sz w:val="20"/>
                <w:szCs w:val="20"/>
                <w:color w:val="auto"/>
              </w:rPr>
            </w:pPr>
            <w:r>
              <w:rPr>
                <w:rFonts w:ascii="Arial" w:cs="Arial" w:eastAsia="Arial" w:hAnsi="Arial"/>
                <w:sz w:val="11"/>
                <w:szCs w:val="11"/>
                <w:b w:val="1"/>
                <w:bCs w:val="1"/>
                <w:color w:val="FFFFFF"/>
                <w:w w:val="88"/>
              </w:rPr>
              <w:t>($)</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20"/>
                <w:szCs w:val="20"/>
                <w:color w:val="auto"/>
              </w:rPr>
            </w:pPr>
            <w:r>
              <w:rPr>
                <w:rFonts w:ascii="Arial" w:cs="Arial" w:eastAsia="Arial" w:hAnsi="Arial"/>
                <w:sz w:val="11"/>
                <w:szCs w:val="11"/>
                <w:color w:val="auto"/>
              </w:rPr>
              <w:t>Richard M. Olson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80"/>
              <w:spacing w:after="0"/>
              <w:rPr>
                <w:sz w:val="20"/>
                <w:szCs w:val="20"/>
                <w:color w:val="auto"/>
              </w:rPr>
            </w:pPr>
            <w:r>
              <w:rPr>
                <w:rFonts w:ascii="Arial" w:cs="Arial" w:eastAsia="Arial" w:hAnsi="Arial"/>
                <w:sz w:val="11"/>
                <w:szCs w:val="11"/>
                <w:color w:val="auto"/>
              </w:rPr>
              <w:t>Annual Cash Incentive Award</w:t>
            </w:r>
          </w:p>
        </w:tc>
        <w:tc>
          <w:tcPr>
            <w:tcW w:w="80" w:type="dxa"/>
            <w:vAlign w:val="bottom"/>
          </w:tcPr>
          <w:p>
            <w:pPr>
              <w:spacing w:after="0"/>
              <w:rPr>
                <w:sz w:val="17"/>
                <w:szCs w:val="17"/>
                <w:color w:val="auto"/>
              </w:rPr>
            </w:pPr>
          </w:p>
        </w:tc>
        <w:tc>
          <w:tcPr>
            <w:tcW w:w="500" w:type="dxa"/>
            <w:vAlign w:val="bottom"/>
            <w:vMerge w:val="restart"/>
          </w:tcPr>
          <w:p>
            <w:pPr>
              <w:ind w:left="24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ind w:left="440"/>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120"/>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385,000</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147"/>
              <w:spacing w:after="0"/>
              <w:rPr>
                <w:sz w:val="20"/>
                <w:szCs w:val="20"/>
                <w:color w:val="auto"/>
              </w:rPr>
            </w:pPr>
            <w:r>
              <w:rPr>
                <w:rFonts w:ascii="Arial" w:cs="Arial" w:eastAsia="Arial" w:hAnsi="Arial"/>
                <w:sz w:val="11"/>
                <w:szCs w:val="11"/>
                <w:color w:val="auto"/>
              </w:rPr>
              <w:t>962,500</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vMerge w:val="restart"/>
          </w:tcPr>
          <w:p>
            <w:pPr>
              <w:jc w:val="right"/>
              <w:ind w:right="47"/>
              <w:spacing w:after="0"/>
              <w:rPr>
                <w:sz w:val="20"/>
                <w:szCs w:val="20"/>
                <w:color w:val="auto"/>
              </w:rPr>
            </w:pPr>
            <w:r>
              <w:rPr>
                <w:rFonts w:ascii="Arial" w:cs="Arial" w:eastAsia="Arial" w:hAnsi="Arial"/>
                <w:sz w:val="11"/>
                <w:szCs w:val="11"/>
                <w:color w:val="auto"/>
                <w:w w:val="97"/>
              </w:rPr>
              <w:t>1,925,000</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Arial" w:cs="Arial" w:eastAsia="Arial" w:hAnsi="Arial"/>
                <w:sz w:val="11"/>
                <w:szCs w:val="11"/>
                <w:color w:val="auto"/>
              </w:rPr>
              <w:t>Performance Share Award</w:t>
            </w:r>
          </w:p>
        </w:tc>
        <w:tc>
          <w:tcPr>
            <w:tcW w:w="580" w:type="dxa"/>
            <w:vAlign w:val="bottom"/>
            <w:gridSpan w:val="2"/>
            <w:vMerge w:val="restart"/>
          </w:tcPr>
          <w:p>
            <w:pPr>
              <w:jc w:val="center"/>
              <w:ind w:left="7"/>
              <w:spacing w:after="0"/>
              <w:rPr>
                <w:sz w:val="20"/>
                <w:szCs w:val="20"/>
                <w:color w:val="auto"/>
              </w:rPr>
            </w:pPr>
            <w:r>
              <w:rPr>
                <w:rFonts w:ascii="Arial" w:cs="Arial" w:eastAsia="Arial" w:hAnsi="Arial"/>
                <w:sz w:val="11"/>
                <w:szCs w:val="11"/>
                <w:color w:val="auto"/>
                <w:w w:val="93"/>
              </w:rPr>
              <w:t>12/05/17</w:t>
            </w:r>
          </w:p>
        </w:tc>
        <w:tc>
          <w:tcPr>
            <w:tcW w:w="780" w:type="dxa"/>
            <w:vAlign w:val="bottom"/>
            <w:vMerge w:val="restart"/>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vMerge w:val="restart"/>
          </w:tcPr>
          <w:p>
            <w:pPr>
              <w:ind w:left="360"/>
              <w:spacing w:after="0"/>
              <w:rPr>
                <w:sz w:val="20"/>
                <w:szCs w:val="20"/>
                <w:color w:val="auto"/>
              </w:rPr>
            </w:pPr>
            <w:r>
              <w:rPr>
                <w:rFonts w:ascii="Arial" w:cs="Arial" w:eastAsia="Arial" w:hAnsi="Arial"/>
                <w:sz w:val="11"/>
                <w:szCs w:val="11"/>
                <w:color w:val="auto"/>
              </w:rPr>
              <w:t>9,640</w:t>
            </w:r>
          </w:p>
        </w:tc>
        <w:tc>
          <w:tcPr>
            <w:tcW w:w="700" w:type="dxa"/>
            <w:vAlign w:val="bottom"/>
            <w:vMerge w:val="restart"/>
          </w:tcPr>
          <w:p>
            <w:pPr>
              <w:jc w:val="right"/>
              <w:ind w:right="47"/>
              <w:spacing w:after="0"/>
              <w:rPr>
                <w:sz w:val="20"/>
                <w:szCs w:val="20"/>
                <w:color w:val="auto"/>
              </w:rPr>
            </w:pPr>
            <w:r>
              <w:rPr>
                <w:rFonts w:ascii="Arial" w:cs="Arial" w:eastAsia="Arial" w:hAnsi="Arial"/>
                <w:sz w:val="11"/>
                <w:szCs w:val="11"/>
                <w:color w:val="auto"/>
              </w:rPr>
              <w:t>24,100</w:t>
            </w:r>
          </w:p>
        </w:tc>
        <w:tc>
          <w:tcPr>
            <w:tcW w:w="760" w:type="dxa"/>
            <w:vAlign w:val="bottom"/>
            <w:vMerge w:val="restart"/>
          </w:tcPr>
          <w:p>
            <w:pPr>
              <w:jc w:val="right"/>
              <w:ind w:right="107"/>
              <w:spacing w:after="0"/>
              <w:rPr>
                <w:sz w:val="20"/>
                <w:szCs w:val="20"/>
                <w:color w:val="auto"/>
              </w:rPr>
            </w:pPr>
            <w:r>
              <w:rPr>
                <w:rFonts w:ascii="Arial" w:cs="Arial" w:eastAsia="Arial" w:hAnsi="Arial"/>
                <w:sz w:val="11"/>
                <w:szCs w:val="11"/>
                <w:color w:val="auto"/>
              </w:rPr>
              <w:t>48,200</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67"/>
              <w:spacing w:after="0"/>
              <w:rPr>
                <w:sz w:val="20"/>
                <w:szCs w:val="20"/>
                <w:color w:val="auto"/>
              </w:rPr>
            </w:pPr>
            <w:r>
              <w:rPr>
                <w:rFonts w:ascii="Arial" w:cs="Arial" w:eastAsia="Arial" w:hAnsi="Arial"/>
                <w:sz w:val="11"/>
                <w:szCs w:val="11"/>
                <w:color w:val="auto"/>
              </w:rPr>
              <w:t>1,576,140</w:t>
            </w:r>
          </w:p>
        </w:tc>
        <w:tc>
          <w:tcPr>
            <w:tcW w:w="0" w:type="dxa"/>
            <w:vAlign w:val="bottom"/>
          </w:tcPr>
          <w:p>
            <w:pPr>
              <w:spacing w:after="0"/>
              <w:rPr>
                <w:sz w:val="1"/>
                <w:szCs w:val="1"/>
                <w:color w:val="auto"/>
              </w:rPr>
            </w:pPr>
          </w:p>
        </w:tc>
      </w:tr>
      <w:tr>
        <w:trPr>
          <w:trHeight w:val="61"/>
        </w:trPr>
        <w:tc>
          <w:tcPr>
            <w:tcW w:w="22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Arial" w:cs="Arial" w:eastAsia="Arial" w:hAnsi="Arial"/>
                <w:sz w:val="11"/>
                <w:szCs w:val="11"/>
                <w:color w:val="auto"/>
              </w:rPr>
              <w:t>Stock Options</w:t>
            </w:r>
          </w:p>
        </w:tc>
        <w:tc>
          <w:tcPr>
            <w:tcW w:w="580" w:type="dxa"/>
            <w:vAlign w:val="bottom"/>
            <w:gridSpan w:val="2"/>
            <w:vMerge w:val="restart"/>
          </w:tcPr>
          <w:p>
            <w:pPr>
              <w:jc w:val="center"/>
              <w:ind w:left="7"/>
              <w:spacing w:after="0"/>
              <w:rPr>
                <w:sz w:val="20"/>
                <w:szCs w:val="20"/>
                <w:color w:val="auto"/>
              </w:rPr>
            </w:pPr>
            <w:r>
              <w:rPr>
                <w:rFonts w:ascii="Arial" w:cs="Arial" w:eastAsia="Arial" w:hAnsi="Arial"/>
                <w:sz w:val="11"/>
                <w:szCs w:val="11"/>
                <w:color w:val="auto"/>
                <w:w w:val="93"/>
              </w:rPr>
              <w:t>12/08/17</w:t>
            </w:r>
          </w:p>
        </w:tc>
        <w:tc>
          <w:tcPr>
            <w:tcW w:w="780" w:type="dxa"/>
            <w:vAlign w:val="bottom"/>
            <w:vMerge w:val="restart"/>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vMerge w:val="restart"/>
          </w:tcPr>
          <w:p>
            <w:pPr>
              <w:jc w:val="right"/>
              <w:ind w:right="47"/>
              <w:spacing w:after="0"/>
              <w:rPr>
                <w:sz w:val="20"/>
                <w:szCs w:val="20"/>
                <w:color w:val="auto"/>
              </w:rPr>
            </w:pPr>
            <w:r>
              <w:rPr>
                <w:rFonts w:ascii="Arial" w:cs="Arial" w:eastAsia="Arial" w:hAnsi="Arial"/>
                <w:sz w:val="11"/>
                <w:szCs w:val="11"/>
                <w:color w:val="auto"/>
              </w:rPr>
              <w:t>102,400</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47"/>
              <w:spacing w:after="0"/>
              <w:rPr>
                <w:sz w:val="20"/>
                <w:szCs w:val="20"/>
                <w:color w:val="auto"/>
              </w:rPr>
            </w:pPr>
            <w:r>
              <w:rPr>
                <w:rFonts w:ascii="Arial" w:cs="Arial" w:eastAsia="Arial" w:hAnsi="Arial"/>
                <w:sz w:val="11"/>
                <w:szCs w:val="11"/>
                <w:color w:val="auto"/>
              </w:rPr>
              <w:t>65.93</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67"/>
              <w:spacing w:after="0"/>
              <w:rPr>
                <w:sz w:val="20"/>
                <w:szCs w:val="20"/>
                <w:color w:val="auto"/>
              </w:rPr>
            </w:pPr>
            <w:r>
              <w:rPr>
                <w:rFonts w:ascii="Arial" w:cs="Arial" w:eastAsia="Arial" w:hAnsi="Arial"/>
                <w:sz w:val="11"/>
                <w:szCs w:val="11"/>
                <w:color w:val="auto"/>
              </w:rPr>
              <w:t>1,531,904</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spacing w:after="0"/>
              <w:rPr>
                <w:sz w:val="20"/>
                <w:szCs w:val="20"/>
                <w:color w:val="auto"/>
              </w:rPr>
            </w:pPr>
            <w:r>
              <w:rPr>
                <w:rFonts w:ascii="Arial" w:cs="Arial" w:eastAsia="Arial" w:hAnsi="Arial"/>
                <w:sz w:val="11"/>
                <w:szCs w:val="11"/>
                <w:color w:val="auto"/>
              </w:rPr>
              <w:t>Renee J. Peterson</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0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ind w:left="80"/>
              <w:spacing w:after="0"/>
              <w:rPr>
                <w:sz w:val="20"/>
                <w:szCs w:val="20"/>
                <w:color w:val="auto"/>
              </w:rPr>
            </w:pPr>
            <w:r>
              <w:rPr>
                <w:rFonts w:ascii="Arial" w:cs="Arial" w:eastAsia="Arial" w:hAnsi="Arial"/>
                <w:sz w:val="11"/>
                <w:szCs w:val="11"/>
                <w:color w:val="auto"/>
              </w:rPr>
              <w:t>Annual Cash Incentive Award</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ind w:left="240"/>
              <w:spacing w:after="0"/>
              <w:rPr>
                <w:sz w:val="20"/>
                <w:szCs w:val="20"/>
                <w:color w:val="auto"/>
              </w:rPr>
            </w:pPr>
            <w:r>
              <w:rPr>
                <w:rFonts w:ascii="Arial" w:cs="Arial" w:eastAsia="Arial" w:hAnsi="Arial"/>
                <w:sz w:val="11"/>
                <w:szCs w:val="11"/>
                <w:color w:val="auto"/>
              </w:rPr>
              <w:t>—</w:t>
            </w:r>
          </w:p>
        </w:tc>
        <w:tc>
          <w:tcPr>
            <w:tcW w:w="780" w:type="dxa"/>
            <w:vAlign w:val="bottom"/>
            <w:shd w:val="clear" w:color="auto" w:fill="D9D9D9"/>
          </w:tcPr>
          <w:p>
            <w:pPr>
              <w:ind w:left="440"/>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ind w:left="120"/>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D9D9D9"/>
          </w:tcPr>
          <w:p>
            <w:pPr>
              <w:jc w:val="right"/>
              <w:ind w:right="7"/>
              <w:spacing w:after="0"/>
              <w:rPr>
                <w:sz w:val="20"/>
                <w:szCs w:val="20"/>
                <w:color w:val="auto"/>
              </w:rPr>
            </w:pPr>
            <w:r>
              <w:rPr>
                <w:rFonts w:ascii="Arial" w:cs="Arial" w:eastAsia="Arial" w:hAnsi="Arial"/>
                <w:sz w:val="11"/>
                <w:szCs w:val="11"/>
                <w:color w:val="auto"/>
              </w:rPr>
              <w:t>156,000</w:t>
            </w:r>
          </w:p>
        </w:tc>
        <w:tc>
          <w:tcPr>
            <w:tcW w:w="2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D9D9D9"/>
          </w:tcPr>
          <w:p>
            <w:pPr>
              <w:jc w:val="right"/>
              <w:ind w:right="147"/>
              <w:spacing w:after="0"/>
              <w:rPr>
                <w:sz w:val="20"/>
                <w:szCs w:val="20"/>
                <w:color w:val="auto"/>
              </w:rPr>
            </w:pPr>
            <w:r>
              <w:rPr>
                <w:rFonts w:ascii="Arial" w:cs="Arial" w:eastAsia="Arial" w:hAnsi="Arial"/>
                <w:sz w:val="11"/>
                <w:szCs w:val="11"/>
                <w:color w:val="auto"/>
              </w:rPr>
              <w:t>390,000</w:t>
            </w: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780,000</w:t>
            </w:r>
          </w:p>
        </w:tc>
        <w:tc>
          <w:tcPr>
            <w:tcW w:w="72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ind w:left="80"/>
              <w:spacing w:after="0"/>
              <w:rPr>
                <w:sz w:val="20"/>
                <w:szCs w:val="20"/>
                <w:color w:val="auto"/>
              </w:rPr>
            </w:pPr>
            <w:r>
              <w:rPr>
                <w:rFonts w:ascii="Arial" w:cs="Arial" w:eastAsia="Arial" w:hAnsi="Arial"/>
                <w:sz w:val="11"/>
                <w:szCs w:val="11"/>
                <w:color w:val="auto"/>
              </w:rPr>
              <w:t>Performance Share Award</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3"/>
              </w:rPr>
              <w:t>12/05/17</w:t>
            </w:r>
          </w:p>
        </w:tc>
        <w:tc>
          <w:tcPr>
            <w:tcW w:w="780" w:type="dxa"/>
            <w:vAlign w:val="bottom"/>
            <w:shd w:val="clear" w:color="auto" w:fill="D9D9D9"/>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00" w:type="dxa"/>
            <w:vAlign w:val="bottom"/>
            <w:shd w:val="clear" w:color="auto" w:fill="D9D9D9"/>
          </w:tcPr>
          <w:p>
            <w:pPr>
              <w:spacing w:after="0"/>
              <w:rPr>
                <w:sz w:val="11"/>
                <w:szCs w:val="11"/>
                <w:color w:val="auto"/>
              </w:rPr>
            </w:pPr>
          </w:p>
        </w:tc>
        <w:tc>
          <w:tcPr>
            <w:tcW w:w="720" w:type="dxa"/>
            <w:vAlign w:val="bottom"/>
            <w:shd w:val="clear" w:color="auto" w:fill="D9D9D9"/>
          </w:tcPr>
          <w:p>
            <w:pPr>
              <w:ind w:left="360"/>
              <w:spacing w:after="0"/>
              <w:rPr>
                <w:sz w:val="20"/>
                <w:szCs w:val="20"/>
                <w:color w:val="auto"/>
              </w:rPr>
            </w:pPr>
            <w:r>
              <w:rPr>
                <w:rFonts w:ascii="Arial" w:cs="Arial" w:eastAsia="Arial" w:hAnsi="Arial"/>
                <w:sz w:val="11"/>
                <w:szCs w:val="11"/>
                <w:color w:val="auto"/>
              </w:rPr>
              <w:t>2,680</w:t>
            </w:r>
          </w:p>
        </w:tc>
        <w:tc>
          <w:tcPr>
            <w:tcW w:w="70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6,700</w:t>
            </w:r>
          </w:p>
        </w:tc>
        <w:tc>
          <w:tcPr>
            <w:tcW w:w="760" w:type="dxa"/>
            <w:vAlign w:val="bottom"/>
            <w:shd w:val="clear" w:color="auto" w:fill="D9D9D9"/>
          </w:tcPr>
          <w:p>
            <w:pPr>
              <w:jc w:val="right"/>
              <w:ind w:right="107"/>
              <w:spacing w:after="0"/>
              <w:rPr>
                <w:sz w:val="20"/>
                <w:szCs w:val="20"/>
                <w:color w:val="auto"/>
              </w:rPr>
            </w:pPr>
            <w:r>
              <w:rPr>
                <w:rFonts w:ascii="Arial" w:cs="Arial" w:eastAsia="Arial" w:hAnsi="Arial"/>
                <w:sz w:val="11"/>
                <w:szCs w:val="11"/>
                <w:color w:val="auto"/>
              </w:rPr>
              <w:t>13,400</w:t>
            </w: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D9D9D9"/>
          </w:tcPr>
          <w:p>
            <w:pPr>
              <w:jc w:val="right"/>
              <w:ind w:right="67"/>
              <w:spacing w:after="0"/>
              <w:rPr>
                <w:sz w:val="20"/>
                <w:szCs w:val="20"/>
                <w:color w:val="auto"/>
              </w:rPr>
            </w:pPr>
            <w:r>
              <w:rPr>
                <w:rFonts w:ascii="Arial" w:cs="Arial" w:eastAsia="Arial" w:hAnsi="Arial"/>
                <w:sz w:val="11"/>
                <w:szCs w:val="11"/>
                <w:color w:val="auto"/>
              </w:rPr>
              <w:t>438,180</w:t>
            </w: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ind w:left="80"/>
              <w:spacing w:after="0"/>
              <w:rPr>
                <w:sz w:val="20"/>
                <w:szCs w:val="20"/>
                <w:color w:val="auto"/>
              </w:rPr>
            </w:pPr>
            <w:r>
              <w:rPr>
                <w:rFonts w:ascii="Arial" w:cs="Arial" w:eastAsia="Arial" w:hAnsi="Arial"/>
                <w:sz w:val="11"/>
                <w:szCs w:val="11"/>
                <w:color w:val="auto"/>
              </w:rPr>
              <w:t>Stock Options</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3"/>
              </w:rPr>
              <w:t>12/08/17</w:t>
            </w:r>
          </w:p>
        </w:tc>
        <w:tc>
          <w:tcPr>
            <w:tcW w:w="780" w:type="dxa"/>
            <w:vAlign w:val="bottom"/>
            <w:shd w:val="clear" w:color="auto" w:fill="D9D9D9"/>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0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28,400</w:t>
            </w:r>
          </w:p>
        </w:tc>
        <w:tc>
          <w:tcPr>
            <w:tcW w:w="1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65.93</w:t>
            </w:r>
          </w:p>
        </w:tc>
        <w:tc>
          <w:tcPr>
            <w:tcW w:w="1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D9D9D9"/>
          </w:tcPr>
          <w:p>
            <w:pPr>
              <w:jc w:val="right"/>
              <w:ind w:right="67"/>
              <w:spacing w:after="0"/>
              <w:rPr>
                <w:sz w:val="20"/>
                <w:szCs w:val="20"/>
                <w:color w:val="auto"/>
              </w:rPr>
            </w:pPr>
            <w:r>
              <w:rPr>
                <w:rFonts w:ascii="Arial" w:cs="Arial" w:eastAsia="Arial" w:hAnsi="Arial"/>
                <w:sz w:val="11"/>
                <w:szCs w:val="11"/>
                <w:color w:val="auto"/>
              </w:rPr>
              <w:t>424,864</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20"/>
                <w:szCs w:val="20"/>
                <w:color w:val="auto"/>
              </w:rPr>
            </w:pPr>
            <w:r>
              <w:rPr>
                <w:rFonts w:ascii="Arial" w:cs="Arial" w:eastAsia="Arial" w:hAnsi="Arial"/>
                <w:sz w:val="11"/>
                <w:szCs w:val="11"/>
                <w:color w:val="auto"/>
              </w:rPr>
              <w:t>William E. Brown, Jr.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Arial" w:cs="Arial" w:eastAsia="Arial" w:hAnsi="Arial"/>
                <w:sz w:val="11"/>
                <w:szCs w:val="11"/>
                <w:color w:val="auto"/>
              </w:rPr>
              <w:t>Annual Cash Incentive Award</w:t>
            </w:r>
          </w:p>
        </w:tc>
        <w:tc>
          <w:tcPr>
            <w:tcW w:w="80" w:type="dxa"/>
            <w:vAlign w:val="bottom"/>
          </w:tcPr>
          <w:p>
            <w:pPr>
              <w:spacing w:after="0"/>
              <w:rPr>
                <w:sz w:val="11"/>
                <w:szCs w:val="11"/>
                <w:color w:val="auto"/>
              </w:rPr>
            </w:pPr>
          </w:p>
        </w:tc>
        <w:tc>
          <w:tcPr>
            <w:tcW w:w="500" w:type="dxa"/>
            <w:vAlign w:val="bottom"/>
          </w:tcPr>
          <w:p>
            <w:pPr>
              <w:ind w:left="24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200" w:type="dxa"/>
            <w:vAlign w:val="bottom"/>
          </w:tcPr>
          <w:p>
            <w:pPr>
              <w:ind w:left="120"/>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115,700</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47"/>
              <w:spacing w:after="0"/>
              <w:rPr>
                <w:sz w:val="20"/>
                <w:szCs w:val="20"/>
                <w:color w:val="auto"/>
              </w:rPr>
            </w:pPr>
            <w:r>
              <w:rPr>
                <w:rFonts w:ascii="Arial" w:cs="Arial" w:eastAsia="Arial" w:hAnsi="Arial"/>
                <w:sz w:val="11"/>
                <w:szCs w:val="11"/>
                <w:color w:val="auto"/>
              </w:rPr>
              <w:t>289,250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578,500</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Arial" w:cs="Arial" w:eastAsia="Arial" w:hAnsi="Arial"/>
                <w:sz w:val="11"/>
                <w:szCs w:val="11"/>
                <w:color w:val="auto"/>
              </w:rPr>
              <w:t>Performance Share Award</w:t>
            </w:r>
          </w:p>
        </w:tc>
        <w:tc>
          <w:tcPr>
            <w:tcW w:w="580" w:type="dxa"/>
            <w:vAlign w:val="bottom"/>
            <w:gridSpan w:val="2"/>
          </w:tcPr>
          <w:p>
            <w:pPr>
              <w:jc w:val="center"/>
              <w:ind w:left="7"/>
              <w:spacing w:after="0"/>
              <w:rPr>
                <w:sz w:val="20"/>
                <w:szCs w:val="20"/>
                <w:color w:val="auto"/>
              </w:rPr>
            </w:pPr>
            <w:r>
              <w:rPr>
                <w:rFonts w:ascii="Arial" w:cs="Arial" w:eastAsia="Arial" w:hAnsi="Arial"/>
                <w:sz w:val="11"/>
                <w:szCs w:val="11"/>
                <w:color w:val="auto"/>
                <w:w w:val="93"/>
              </w:rPr>
              <w:t>12/05/17</w:t>
            </w:r>
          </w:p>
        </w:tc>
        <w:tc>
          <w:tcPr>
            <w:tcW w:w="780" w:type="dxa"/>
            <w:vAlign w:val="bottom"/>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360"/>
              <w:spacing w:after="0"/>
              <w:rPr>
                <w:sz w:val="20"/>
                <w:szCs w:val="20"/>
                <w:color w:val="auto"/>
              </w:rPr>
            </w:pPr>
            <w:r>
              <w:rPr>
                <w:rFonts w:ascii="Arial" w:cs="Arial" w:eastAsia="Arial" w:hAnsi="Arial"/>
                <w:sz w:val="11"/>
                <w:szCs w:val="11"/>
                <w:color w:val="auto"/>
              </w:rPr>
              <w:t>1,880</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4,700</w:t>
            </w: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9,400</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307,380</w:t>
            </w:r>
          </w:p>
        </w:tc>
        <w:tc>
          <w:tcPr>
            <w:tcW w:w="0" w:type="dxa"/>
            <w:vAlign w:val="bottom"/>
          </w:tcPr>
          <w:p>
            <w:pPr>
              <w:spacing w:after="0"/>
              <w:rPr>
                <w:sz w:val="1"/>
                <w:szCs w:val="1"/>
                <w:color w:val="auto"/>
              </w:rPr>
            </w:pPr>
          </w:p>
        </w:tc>
      </w:tr>
      <w:tr>
        <w:trPr>
          <w:trHeight w:val="127"/>
        </w:trPr>
        <w:tc>
          <w:tcPr>
            <w:tcW w:w="2260" w:type="dxa"/>
            <w:vAlign w:val="bottom"/>
          </w:tcPr>
          <w:p>
            <w:pPr>
              <w:ind w:left="80"/>
              <w:spacing w:after="0"/>
              <w:rPr>
                <w:sz w:val="20"/>
                <w:szCs w:val="20"/>
                <w:color w:val="auto"/>
              </w:rPr>
            </w:pPr>
            <w:r>
              <w:rPr>
                <w:rFonts w:ascii="Arial" w:cs="Arial" w:eastAsia="Arial" w:hAnsi="Arial"/>
                <w:sz w:val="11"/>
                <w:szCs w:val="11"/>
                <w:color w:val="auto"/>
              </w:rPr>
              <w:t>Stock Options</w:t>
            </w:r>
          </w:p>
        </w:tc>
        <w:tc>
          <w:tcPr>
            <w:tcW w:w="580" w:type="dxa"/>
            <w:vAlign w:val="bottom"/>
            <w:gridSpan w:val="2"/>
          </w:tcPr>
          <w:p>
            <w:pPr>
              <w:jc w:val="center"/>
              <w:ind w:left="7"/>
              <w:spacing w:after="0"/>
              <w:rPr>
                <w:sz w:val="20"/>
                <w:szCs w:val="20"/>
                <w:color w:val="auto"/>
              </w:rPr>
            </w:pPr>
            <w:r>
              <w:rPr>
                <w:rFonts w:ascii="Arial" w:cs="Arial" w:eastAsia="Arial" w:hAnsi="Arial"/>
                <w:sz w:val="11"/>
                <w:szCs w:val="11"/>
                <w:color w:val="auto"/>
                <w:w w:val="93"/>
              </w:rPr>
              <w:t>12/08/17</w:t>
            </w:r>
          </w:p>
        </w:tc>
        <w:tc>
          <w:tcPr>
            <w:tcW w:w="780" w:type="dxa"/>
            <w:vAlign w:val="bottom"/>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Arial" w:cs="Arial" w:eastAsia="Arial" w:hAnsi="Arial"/>
                <w:sz w:val="11"/>
                <w:szCs w:val="11"/>
                <w:color w:val="auto"/>
              </w:rPr>
              <w:t>19,800</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65.93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296,208</w:t>
            </w: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spacing w:after="0"/>
              <w:rPr>
                <w:sz w:val="20"/>
                <w:szCs w:val="20"/>
                <w:color w:val="auto"/>
              </w:rPr>
            </w:pPr>
            <w:r>
              <w:rPr>
                <w:rFonts w:ascii="Arial" w:cs="Arial" w:eastAsia="Arial" w:hAnsi="Arial"/>
                <w:sz w:val="11"/>
                <w:szCs w:val="11"/>
                <w:color w:val="auto"/>
              </w:rPr>
              <w:t>Timothy P. Dordell</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0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ind w:left="80"/>
              <w:spacing w:after="0"/>
              <w:rPr>
                <w:sz w:val="20"/>
                <w:szCs w:val="20"/>
                <w:color w:val="auto"/>
              </w:rPr>
            </w:pPr>
            <w:r>
              <w:rPr>
                <w:rFonts w:ascii="Arial" w:cs="Arial" w:eastAsia="Arial" w:hAnsi="Arial"/>
                <w:sz w:val="11"/>
                <w:szCs w:val="11"/>
                <w:color w:val="auto"/>
              </w:rPr>
              <w:t>Annual Cash Incentive Award</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ind w:left="240"/>
              <w:spacing w:after="0"/>
              <w:rPr>
                <w:sz w:val="20"/>
                <w:szCs w:val="20"/>
                <w:color w:val="auto"/>
              </w:rPr>
            </w:pPr>
            <w:r>
              <w:rPr>
                <w:rFonts w:ascii="Arial" w:cs="Arial" w:eastAsia="Arial" w:hAnsi="Arial"/>
                <w:sz w:val="11"/>
                <w:szCs w:val="11"/>
                <w:color w:val="auto"/>
              </w:rPr>
              <w:t>—</w:t>
            </w:r>
          </w:p>
        </w:tc>
        <w:tc>
          <w:tcPr>
            <w:tcW w:w="780" w:type="dxa"/>
            <w:vAlign w:val="bottom"/>
            <w:shd w:val="clear" w:color="auto" w:fill="D9D9D9"/>
          </w:tcPr>
          <w:p>
            <w:pPr>
              <w:ind w:left="440"/>
              <w:spacing w:after="0"/>
              <w:rPr>
                <w:sz w:val="20"/>
                <w:szCs w:val="20"/>
                <w:color w:val="auto"/>
              </w:rPr>
            </w:pPr>
            <w:r>
              <w:rPr>
                <w:rFonts w:ascii="Arial" w:cs="Arial" w:eastAsia="Arial" w:hAnsi="Arial"/>
                <w:sz w:val="11"/>
                <w:szCs w:val="11"/>
                <w:color w:val="auto"/>
              </w:rPr>
              <w:t>—</w:t>
            </w:r>
          </w:p>
        </w:tc>
        <w:tc>
          <w:tcPr>
            <w:tcW w:w="200" w:type="dxa"/>
            <w:vAlign w:val="bottom"/>
            <w:shd w:val="clear" w:color="auto" w:fill="D9D9D9"/>
          </w:tcPr>
          <w:p>
            <w:pPr>
              <w:ind w:left="120"/>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D9D9D9"/>
          </w:tcPr>
          <w:p>
            <w:pPr>
              <w:jc w:val="right"/>
              <w:ind w:right="7"/>
              <w:spacing w:after="0"/>
              <w:rPr>
                <w:sz w:val="20"/>
                <w:szCs w:val="20"/>
                <w:color w:val="auto"/>
              </w:rPr>
            </w:pPr>
            <w:r>
              <w:rPr>
                <w:rFonts w:ascii="Arial" w:cs="Arial" w:eastAsia="Arial" w:hAnsi="Arial"/>
                <w:sz w:val="11"/>
                <w:szCs w:val="11"/>
                <w:color w:val="auto"/>
              </w:rPr>
              <w:t>105,120</w:t>
            </w:r>
          </w:p>
        </w:tc>
        <w:tc>
          <w:tcPr>
            <w:tcW w:w="2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D9D9D9"/>
          </w:tcPr>
          <w:p>
            <w:pPr>
              <w:jc w:val="right"/>
              <w:ind w:right="147"/>
              <w:spacing w:after="0"/>
              <w:rPr>
                <w:sz w:val="20"/>
                <w:szCs w:val="20"/>
                <w:color w:val="auto"/>
              </w:rPr>
            </w:pPr>
            <w:r>
              <w:rPr>
                <w:rFonts w:ascii="Arial" w:cs="Arial" w:eastAsia="Arial" w:hAnsi="Arial"/>
                <w:sz w:val="11"/>
                <w:szCs w:val="11"/>
                <w:color w:val="auto"/>
              </w:rPr>
              <w:t>262,800</w:t>
            </w:r>
          </w:p>
        </w:tc>
        <w:tc>
          <w:tcPr>
            <w:tcW w:w="100" w:type="dxa"/>
            <w:vAlign w:val="bottom"/>
            <w:shd w:val="clear" w:color="auto" w:fill="D9D9D9"/>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525,600</w:t>
            </w:r>
          </w:p>
        </w:tc>
        <w:tc>
          <w:tcPr>
            <w:tcW w:w="72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ind w:left="80"/>
              <w:spacing w:after="0"/>
              <w:rPr>
                <w:sz w:val="20"/>
                <w:szCs w:val="20"/>
                <w:color w:val="auto"/>
              </w:rPr>
            </w:pPr>
            <w:r>
              <w:rPr>
                <w:rFonts w:ascii="Arial" w:cs="Arial" w:eastAsia="Arial" w:hAnsi="Arial"/>
                <w:sz w:val="11"/>
                <w:szCs w:val="11"/>
                <w:color w:val="auto"/>
              </w:rPr>
              <w:t>Performance Share Award</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3"/>
              </w:rPr>
              <w:t>12/05/17</w:t>
            </w:r>
          </w:p>
        </w:tc>
        <w:tc>
          <w:tcPr>
            <w:tcW w:w="780" w:type="dxa"/>
            <w:vAlign w:val="bottom"/>
            <w:shd w:val="clear" w:color="auto" w:fill="D9D9D9"/>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00" w:type="dxa"/>
            <w:vAlign w:val="bottom"/>
            <w:shd w:val="clear" w:color="auto" w:fill="D9D9D9"/>
          </w:tcPr>
          <w:p>
            <w:pPr>
              <w:spacing w:after="0"/>
              <w:rPr>
                <w:sz w:val="11"/>
                <w:szCs w:val="11"/>
                <w:color w:val="auto"/>
              </w:rPr>
            </w:pPr>
          </w:p>
        </w:tc>
        <w:tc>
          <w:tcPr>
            <w:tcW w:w="72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1,800</w:t>
            </w:r>
          </w:p>
        </w:tc>
        <w:tc>
          <w:tcPr>
            <w:tcW w:w="70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4,500</w:t>
            </w:r>
          </w:p>
        </w:tc>
        <w:tc>
          <w:tcPr>
            <w:tcW w:w="760" w:type="dxa"/>
            <w:vAlign w:val="bottom"/>
            <w:shd w:val="clear" w:color="auto" w:fill="D9D9D9"/>
          </w:tcPr>
          <w:p>
            <w:pPr>
              <w:jc w:val="right"/>
              <w:ind w:right="107"/>
              <w:spacing w:after="0"/>
              <w:rPr>
                <w:sz w:val="20"/>
                <w:szCs w:val="20"/>
                <w:color w:val="auto"/>
              </w:rPr>
            </w:pPr>
            <w:r>
              <w:rPr>
                <w:rFonts w:ascii="Arial" w:cs="Arial" w:eastAsia="Arial" w:hAnsi="Arial"/>
                <w:sz w:val="11"/>
                <w:szCs w:val="11"/>
                <w:color w:val="auto"/>
              </w:rPr>
              <w:t>9,000</w:t>
            </w: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680" w:type="dxa"/>
            <w:vAlign w:val="bottom"/>
            <w:shd w:val="clear" w:color="auto" w:fill="D9D9D9"/>
          </w:tcPr>
          <w:p>
            <w:pPr>
              <w:spacing w:after="0"/>
              <w:rPr>
                <w:sz w:val="11"/>
                <w:szCs w:val="11"/>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D9D9D9"/>
          </w:tcPr>
          <w:p>
            <w:pPr>
              <w:jc w:val="right"/>
              <w:ind w:right="67"/>
              <w:spacing w:after="0"/>
              <w:rPr>
                <w:sz w:val="20"/>
                <w:szCs w:val="20"/>
                <w:color w:val="auto"/>
              </w:rPr>
            </w:pPr>
            <w:r>
              <w:rPr>
                <w:rFonts w:ascii="Arial" w:cs="Arial" w:eastAsia="Arial" w:hAnsi="Arial"/>
                <w:sz w:val="11"/>
                <w:szCs w:val="11"/>
                <w:color w:val="auto"/>
              </w:rPr>
              <w:t>294,300</w:t>
            </w:r>
          </w:p>
        </w:tc>
        <w:tc>
          <w:tcPr>
            <w:tcW w:w="0" w:type="dxa"/>
            <w:vAlign w:val="bottom"/>
          </w:tcPr>
          <w:p>
            <w:pPr>
              <w:spacing w:after="0"/>
              <w:rPr>
                <w:sz w:val="1"/>
                <w:szCs w:val="1"/>
                <w:color w:val="auto"/>
              </w:rPr>
            </w:pPr>
          </w:p>
        </w:tc>
      </w:tr>
      <w:tr>
        <w:trPr>
          <w:trHeight w:val="135"/>
        </w:trPr>
        <w:tc>
          <w:tcPr>
            <w:tcW w:w="2260" w:type="dxa"/>
            <w:vAlign w:val="bottom"/>
            <w:shd w:val="clear" w:color="auto" w:fill="D9D9D9"/>
          </w:tcPr>
          <w:p>
            <w:pPr>
              <w:ind w:left="80"/>
              <w:spacing w:after="0"/>
              <w:rPr>
                <w:sz w:val="20"/>
                <w:szCs w:val="20"/>
                <w:color w:val="auto"/>
              </w:rPr>
            </w:pPr>
            <w:r>
              <w:rPr>
                <w:rFonts w:ascii="Arial" w:cs="Arial" w:eastAsia="Arial" w:hAnsi="Arial"/>
                <w:sz w:val="11"/>
                <w:szCs w:val="11"/>
                <w:color w:val="auto"/>
              </w:rPr>
              <w:t>Stock Options</w:t>
            </w:r>
          </w:p>
        </w:tc>
        <w:tc>
          <w:tcPr>
            <w:tcW w:w="80" w:type="dxa"/>
            <w:vAlign w:val="bottom"/>
            <w:shd w:val="clear" w:color="auto" w:fill="D9D9D9"/>
          </w:tcPr>
          <w:p>
            <w:pPr>
              <w:spacing w:after="0"/>
              <w:rPr>
                <w:sz w:val="11"/>
                <w:szCs w:val="11"/>
                <w:color w:val="auto"/>
              </w:rPr>
            </w:pPr>
          </w:p>
        </w:tc>
        <w:tc>
          <w:tcPr>
            <w:tcW w:w="50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3"/>
              </w:rPr>
              <w:t>12/08/17</w:t>
            </w:r>
          </w:p>
        </w:tc>
        <w:tc>
          <w:tcPr>
            <w:tcW w:w="780" w:type="dxa"/>
            <w:vAlign w:val="bottom"/>
            <w:shd w:val="clear" w:color="auto" w:fill="D9D9D9"/>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60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4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19,000</w:t>
            </w:r>
          </w:p>
        </w:tc>
        <w:tc>
          <w:tcPr>
            <w:tcW w:w="1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9D9D9"/>
          </w:tcPr>
          <w:p>
            <w:pPr>
              <w:jc w:val="right"/>
              <w:ind w:right="47"/>
              <w:spacing w:after="0"/>
              <w:rPr>
                <w:sz w:val="20"/>
                <w:szCs w:val="20"/>
                <w:color w:val="auto"/>
              </w:rPr>
            </w:pPr>
            <w:r>
              <w:rPr>
                <w:rFonts w:ascii="Arial" w:cs="Arial" w:eastAsia="Arial" w:hAnsi="Arial"/>
                <w:sz w:val="11"/>
                <w:szCs w:val="11"/>
                <w:color w:val="auto"/>
              </w:rPr>
              <w:t>65.93</w:t>
            </w:r>
          </w:p>
        </w:tc>
        <w:tc>
          <w:tcPr>
            <w:tcW w:w="1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D9D9D9"/>
          </w:tcPr>
          <w:p>
            <w:pPr>
              <w:jc w:val="right"/>
              <w:ind w:right="67"/>
              <w:spacing w:after="0"/>
              <w:rPr>
                <w:sz w:val="20"/>
                <w:szCs w:val="20"/>
                <w:color w:val="auto"/>
              </w:rPr>
            </w:pPr>
            <w:r>
              <w:rPr>
                <w:rFonts w:ascii="Arial" w:cs="Arial" w:eastAsia="Arial" w:hAnsi="Arial"/>
                <w:sz w:val="11"/>
                <w:szCs w:val="11"/>
                <w:color w:val="auto"/>
              </w:rPr>
              <w:t>284,240</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20"/>
                <w:szCs w:val="20"/>
                <w:color w:val="auto"/>
              </w:rPr>
            </w:pPr>
            <w:r>
              <w:rPr>
                <w:rFonts w:ascii="Arial" w:cs="Arial" w:eastAsia="Arial" w:hAnsi="Arial"/>
                <w:sz w:val="11"/>
                <w:szCs w:val="11"/>
                <w:color w:val="auto"/>
              </w:rPr>
              <w:t>Bradley A. Hamilton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Arial" w:cs="Arial" w:eastAsia="Arial" w:hAnsi="Arial"/>
                <w:sz w:val="11"/>
                <w:szCs w:val="11"/>
                <w:color w:val="auto"/>
              </w:rPr>
              <w:t>Annual Cash Incentive Award</w:t>
            </w:r>
          </w:p>
        </w:tc>
        <w:tc>
          <w:tcPr>
            <w:tcW w:w="80" w:type="dxa"/>
            <w:vAlign w:val="bottom"/>
          </w:tcPr>
          <w:p>
            <w:pPr>
              <w:spacing w:after="0"/>
              <w:rPr>
                <w:sz w:val="11"/>
                <w:szCs w:val="11"/>
                <w:color w:val="auto"/>
              </w:rPr>
            </w:pPr>
          </w:p>
        </w:tc>
        <w:tc>
          <w:tcPr>
            <w:tcW w:w="500" w:type="dxa"/>
            <w:vAlign w:val="bottom"/>
          </w:tcPr>
          <w:p>
            <w:pPr>
              <w:ind w:left="24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200" w:type="dxa"/>
            <w:vAlign w:val="bottom"/>
          </w:tcPr>
          <w:p>
            <w:pPr>
              <w:ind w:left="120"/>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77,000</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47"/>
              <w:spacing w:after="0"/>
              <w:rPr>
                <w:sz w:val="20"/>
                <w:szCs w:val="20"/>
                <w:color w:val="auto"/>
              </w:rPr>
            </w:pPr>
            <w:r>
              <w:rPr>
                <w:rFonts w:ascii="Arial" w:cs="Arial" w:eastAsia="Arial" w:hAnsi="Arial"/>
                <w:sz w:val="11"/>
                <w:szCs w:val="11"/>
                <w:color w:val="auto"/>
              </w:rPr>
              <w:t>192,500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385,000</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Arial" w:cs="Arial" w:eastAsia="Arial" w:hAnsi="Arial"/>
                <w:sz w:val="11"/>
                <w:szCs w:val="11"/>
                <w:color w:val="auto"/>
              </w:rPr>
              <w:t>Performance Share Award</w:t>
            </w:r>
          </w:p>
        </w:tc>
        <w:tc>
          <w:tcPr>
            <w:tcW w:w="580" w:type="dxa"/>
            <w:vAlign w:val="bottom"/>
            <w:gridSpan w:val="2"/>
          </w:tcPr>
          <w:p>
            <w:pPr>
              <w:jc w:val="center"/>
              <w:ind w:left="7"/>
              <w:spacing w:after="0"/>
              <w:rPr>
                <w:sz w:val="20"/>
                <w:szCs w:val="20"/>
                <w:color w:val="auto"/>
              </w:rPr>
            </w:pPr>
            <w:r>
              <w:rPr>
                <w:rFonts w:ascii="Arial" w:cs="Arial" w:eastAsia="Arial" w:hAnsi="Arial"/>
                <w:sz w:val="11"/>
                <w:szCs w:val="11"/>
                <w:color w:val="auto"/>
                <w:w w:val="93"/>
              </w:rPr>
              <w:t>12/05/17</w:t>
            </w:r>
          </w:p>
        </w:tc>
        <w:tc>
          <w:tcPr>
            <w:tcW w:w="780" w:type="dxa"/>
            <w:vAlign w:val="bottom"/>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360"/>
              <w:spacing w:after="0"/>
              <w:rPr>
                <w:sz w:val="20"/>
                <w:szCs w:val="20"/>
                <w:color w:val="auto"/>
              </w:rPr>
            </w:pPr>
            <w:r>
              <w:rPr>
                <w:rFonts w:ascii="Arial" w:cs="Arial" w:eastAsia="Arial" w:hAnsi="Arial"/>
                <w:sz w:val="11"/>
                <w:szCs w:val="11"/>
                <w:color w:val="auto"/>
              </w:rPr>
              <w:t>1,320</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3,300</w:t>
            </w: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6,600</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215,820</w:t>
            </w: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Arial" w:cs="Arial" w:eastAsia="Arial" w:hAnsi="Arial"/>
                <w:sz w:val="11"/>
                <w:szCs w:val="11"/>
                <w:color w:val="auto"/>
              </w:rPr>
              <w:t>Stock Options</w:t>
            </w:r>
          </w:p>
        </w:tc>
        <w:tc>
          <w:tcPr>
            <w:tcW w:w="580" w:type="dxa"/>
            <w:vAlign w:val="bottom"/>
            <w:gridSpan w:val="2"/>
          </w:tcPr>
          <w:p>
            <w:pPr>
              <w:jc w:val="center"/>
              <w:ind w:left="7"/>
              <w:spacing w:after="0"/>
              <w:rPr>
                <w:sz w:val="20"/>
                <w:szCs w:val="20"/>
                <w:color w:val="auto"/>
              </w:rPr>
            </w:pPr>
            <w:r>
              <w:rPr>
                <w:rFonts w:ascii="Arial" w:cs="Arial" w:eastAsia="Arial" w:hAnsi="Arial"/>
                <w:sz w:val="11"/>
                <w:szCs w:val="11"/>
                <w:color w:val="auto"/>
                <w:w w:val="93"/>
              </w:rPr>
              <w:t>12/08/17</w:t>
            </w:r>
          </w:p>
        </w:tc>
        <w:tc>
          <w:tcPr>
            <w:tcW w:w="780" w:type="dxa"/>
            <w:vAlign w:val="bottom"/>
          </w:tcPr>
          <w:p>
            <w:pPr>
              <w:jc w:val="center"/>
              <w:ind w:left="47"/>
              <w:spacing w:after="0"/>
              <w:rPr>
                <w:sz w:val="20"/>
                <w:szCs w:val="20"/>
                <w:color w:val="auto"/>
              </w:rPr>
            </w:pPr>
            <w:r>
              <w:rPr>
                <w:rFonts w:ascii="Arial" w:cs="Arial" w:eastAsia="Arial" w:hAnsi="Arial"/>
                <w:sz w:val="11"/>
                <w:szCs w:val="11"/>
                <w:color w:val="auto"/>
                <w:w w:val="93"/>
              </w:rPr>
              <w:t>12/05/17</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Arial" w:cs="Arial" w:eastAsia="Arial" w:hAnsi="Arial"/>
                <w:sz w:val="11"/>
                <w:szCs w:val="11"/>
                <w:color w:val="auto"/>
              </w:rPr>
              <w:t>14,200</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65.93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212,432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-2042795</wp:posOffset>
            </wp:positionV>
            <wp:extent cx="26924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92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wp:posOffset>
            </wp:positionV>
            <wp:extent cx="207772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43" w:lineRule="exact"/>
        <w:rPr>
          <w:sz w:val="20"/>
          <w:szCs w:val="20"/>
          <w:color w:val="auto"/>
        </w:rPr>
      </w:pPr>
    </w:p>
    <w:p>
      <w:pPr>
        <w:ind w:left="402" w:right="420" w:hanging="402"/>
        <w:spacing w:after="0" w:line="255" w:lineRule="auto"/>
        <w:tabs>
          <w:tab w:leader="none" w:pos="402"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Amounts reported represent the range of payouts of annual cash incentive awards for fiscal 2018. Actual payouts for fiscal 2018 are included in the “Summary Compensation Table” beginning on page 44 in the “Non-Equity Incentive Plan Compensation” column.</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8" w:name="page59"/>
    <w:bookmarkEnd w:id="58"/>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46" w:lineRule="exact"/>
        <w:rPr>
          <w:sz w:val="20"/>
          <w:szCs w:val="20"/>
          <w:color w:val="auto"/>
        </w:rPr>
      </w:pPr>
    </w:p>
    <w:p>
      <w:pPr>
        <w:ind w:left="402" w:right="100" w:hanging="402"/>
        <w:spacing w:after="0" w:line="247" w:lineRule="auto"/>
        <w:tabs>
          <w:tab w:leader="none" w:pos="402"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reported represent the range of performance share award payouts for the fiscal 2018 to fiscal 2020 performance period. Information regarding the performance share awards is set forth within the “Compensation Discussion and Analysis” under “Long-Term Incentives—Performance Share Awards” on page 39.</w:t>
      </w:r>
    </w:p>
    <w:p>
      <w:pPr>
        <w:spacing w:after="0" w:line="32" w:lineRule="exact"/>
        <w:rPr>
          <w:rFonts w:ascii="Arial" w:cs="Arial" w:eastAsia="Arial" w:hAnsi="Arial"/>
          <w:sz w:val="16"/>
          <w:szCs w:val="16"/>
          <w:color w:val="auto"/>
        </w:rPr>
      </w:pPr>
    </w:p>
    <w:p>
      <w:pPr>
        <w:ind w:left="402" w:right="140" w:hanging="402"/>
        <w:spacing w:after="0" w:line="244" w:lineRule="auto"/>
        <w:tabs>
          <w:tab w:leader="none" w:pos="402"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reported represent stock options granted during fiscal 2018, which grant date was December 8, 2017, the second business day following the issuance of our press release announcing our financial results for fiscal 2017. Options have a ten-year term and vest ratably in three equal installments on each of the first, second and third year anniversaries of the date of grant. Additional information regarding stock options is set forth within the “Compensation Discussion and Analysis” under “Long-Term Incentives—Stock Options” on page 39.</w:t>
      </w:r>
    </w:p>
    <w:p>
      <w:pPr>
        <w:spacing w:after="0" w:line="35" w:lineRule="exact"/>
        <w:rPr>
          <w:rFonts w:ascii="Arial" w:cs="Arial" w:eastAsia="Arial" w:hAnsi="Arial"/>
          <w:sz w:val="16"/>
          <w:szCs w:val="16"/>
          <w:color w:val="auto"/>
        </w:rPr>
      </w:pPr>
    </w:p>
    <w:p>
      <w:pPr>
        <w:ind w:left="402" w:right="460" w:hanging="402"/>
        <w:spacing w:after="0" w:line="255" w:lineRule="auto"/>
        <w:tabs>
          <w:tab w:leader="none" w:pos="402"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reported represent the exercise price of stock options granted during fiscal 2018, which equals the closing price of our common stock, as reported on the NYSE, on December 8, 2017, the date of grant.</w:t>
      </w:r>
    </w:p>
    <w:p>
      <w:pPr>
        <w:spacing w:after="0" w:line="25" w:lineRule="exact"/>
        <w:rPr>
          <w:rFonts w:ascii="Arial" w:cs="Arial" w:eastAsia="Arial" w:hAnsi="Arial"/>
          <w:sz w:val="16"/>
          <w:szCs w:val="16"/>
          <w:color w:val="auto"/>
        </w:rPr>
      </w:pPr>
    </w:p>
    <w:p>
      <w:pPr>
        <w:ind w:left="402" w:hanging="402"/>
        <w:spacing w:after="0" w:line="247" w:lineRule="auto"/>
        <w:tabs>
          <w:tab w:leader="none" w:pos="402"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reported represent the grant date fair value of performance share awards at target granted for the fiscal 2018 to fiscal 2020 performance period based on the closing price of our common stock, as reported on the NYSE, on December 5, 2017, the date of grant, of $65.40. These amounts are also set forth in the “Summary Compensation Table” beginning on page 44 in the “Stock Awards” column.</w:t>
      </w:r>
    </w:p>
    <w:p>
      <w:pPr>
        <w:spacing w:after="0" w:line="32" w:lineRule="exact"/>
        <w:rPr>
          <w:rFonts w:ascii="Arial" w:cs="Arial" w:eastAsia="Arial" w:hAnsi="Arial"/>
          <w:sz w:val="16"/>
          <w:szCs w:val="16"/>
          <w:color w:val="auto"/>
        </w:rPr>
      </w:pPr>
    </w:p>
    <w:p>
      <w:pPr>
        <w:ind w:left="402" w:right="440" w:hanging="402"/>
        <w:spacing w:after="0" w:line="247" w:lineRule="auto"/>
        <w:tabs>
          <w:tab w:leader="none" w:pos="402"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reported for option awards represent the grant date fair value of $14.96 per share, computed in accordance with FASB ASC Topic 818, of option awards made for fiscal 2018. These amounts are also set forth in the “Summary Compensation Table” beginning on page 44 in the “Option Awards” column. The specific assumptions used in the valuation of the options are included in footnote 3 to the “Summary Compensation Table.”</w:t>
      </w:r>
    </w:p>
    <w:p>
      <w:pPr>
        <w:spacing w:after="0" w:line="17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Outstanding Equity Awards at Fiscal Year-End for 2018</w:t>
      </w:r>
    </w:p>
    <w:p>
      <w:pPr>
        <w:spacing w:after="0" w:line="112" w:lineRule="exact"/>
        <w:rPr>
          <w:sz w:val="20"/>
          <w:szCs w:val="20"/>
          <w:color w:val="auto"/>
        </w:rPr>
      </w:pPr>
    </w:p>
    <w:p>
      <w:pPr>
        <w:ind w:right="160" w:firstLine="408"/>
        <w:spacing w:after="0" w:line="247" w:lineRule="auto"/>
        <w:rPr>
          <w:sz w:val="20"/>
          <w:szCs w:val="20"/>
          <w:color w:val="auto"/>
        </w:rPr>
      </w:pPr>
      <w:r>
        <w:rPr>
          <w:rFonts w:ascii="Arial" w:cs="Arial" w:eastAsia="Arial" w:hAnsi="Arial"/>
          <w:sz w:val="16"/>
          <w:szCs w:val="16"/>
          <w:color w:val="auto"/>
        </w:rPr>
        <w:t>The following table summarizes all outstanding equity awards previously granted to our named executive officers that were outstanding on October 31, 2018, the last day of fiscal 2018. Specifically, it reflects exercisable and unexercisable stock options, unvested restricted stock unit awards and unvested performance share awards.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shd w:val="clear" w:color="auto" w:fill="C00000"/>
          </w:tcPr>
          <w:p>
            <w:pPr>
              <w:spacing w:after="0"/>
              <w:rPr>
                <w:sz w:val="17"/>
                <w:szCs w:val="17"/>
                <w:color w:val="auto"/>
              </w:rPr>
            </w:pPr>
          </w:p>
        </w:tc>
        <w:tc>
          <w:tcPr>
            <w:tcW w:w="840" w:type="dxa"/>
            <w:vAlign w:val="bottom"/>
            <w:shd w:val="clear" w:color="auto" w:fill="C00000"/>
          </w:tcPr>
          <w:p>
            <w:pPr>
              <w:spacing w:after="0"/>
              <w:rPr>
                <w:sz w:val="17"/>
                <w:szCs w:val="17"/>
                <w:color w:val="auto"/>
              </w:rPr>
            </w:pPr>
          </w:p>
        </w:tc>
        <w:tc>
          <w:tcPr>
            <w:tcW w:w="80" w:type="dxa"/>
            <w:vAlign w:val="bottom"/>
            <w:shd w:val="clear" w:color="auto" w:fill="C00000"/>
          </w:tcPr>
          <w:p>
            <w:pPr>
              <w:spacing w:after="0"/>
              <w:rPr>
                <w:sz w:val="17"/>
                <w:szCs w:val="17"/>
                <w:color w:val="auto"/>
              </w:rPr>
            </w:pPr>
          </w:p>
        </w:tc>
        <w:tc>
          <w:tcPr>
            <w:tcW w:w="2300" w:type="dxa"/>
            <w:vAlign w:val="bottom"/>
            <w:gridSpan w:val="3"/>
            <w:shd w:val="clear" w:color="auto" w:fill="C00000"/>
          </w:tcPr>
          <w:p>
            <w:pPr>
              <w:jc w:val="right"/>
              <w:ind w:right="683"/>
              <w:spacing w:after="0"/>
              <w:rPr>
                <w:sz w:val="20"/>
                <w:szCs w:val="20"/>
                <w:color w:val="auto"/>
              </w:rPr>
            </w:pPr>
            <w:r>
              <w:rPr>
                <w:rFonts w:ascii="Arial" w:cs="Arial" w:eastAsia="Arial" w:hAnsi="Arial"/>
                <w:sz w:val="11"/>
                <w:szCs w:val="11"/>
                <w:color w:val="FFFFFF"/>
              </w:rPr>
              <w:t>Option Awards</w:t>
            </w:r>
          </w:p>
        </w:tc>
        <w:tc>
          <w:tcPr>
            <w:tcW w:w="1080" w:type="dxa"/>
            <w:vAlign w:val="bottom"/>
            <w:shd w:val="clear" w:color="auto" w:fill="C00000"/>
          </w:tcPr>
          <w:p>
            <w:pPr>
              <w:spacing w:after="0"/>
              <w:rPr>
                <w:sz w:val="17"/>
                <w:szCs w:val="17"/>
                <w:color w:val="auto"/>
              </w:rPr>
            </w:pPr>
          </w:p>
        </w:tc>
        <w:tc>
          <w:tcPr>
            <w:tcW w:w="900" w:type="dxa"/>
            <w:vAlign w:val="bottom"/>
            <w:shd w:val="clear" w:color="auto" w:fill="C00000"/>
          </w:tcPr>
          <w:p>
            <w:pPr>
              <w:spacing w:after="0"/>
              <w:rPr>
                <w:sz w:val="17"/>
                <w:szCs w:val="17"/>
                <w:color w:val="auto"/>
              </w:rPr>
            </w:pPr>
          </w:p>
        </w:tc>
        <w:tc>
          <w:tcPr>
            <w:tcW w:w="900" w:type="dxa"/>
            <w:vAlign w:val="bottom"/>
            <w:shd w:val="clear" w:color="auto" w:fill="C00000"/>
          </w:tcPr>
          <w:p>
            <w:pPr>
              <w:spacing w:after="0"/>
              <w:rPr>
                <w:sz w:val="17"/>
                <w:szCs w:val="17"/>
                <w:color w:val="auto"/>
              </w:rPr>
            </w:pPr>
          </w:p>
        </w:tc>
        <w:tc>
          <w:tcPr>
            <w:tcW w:w="1460" w:type="dxa"/>
            <w:vAlign w:val="bottom"/>
            <w:shd w:val="clear" w:color="auto" w:fill="C00000"/>
          </w:tcPr>
          <w:p>
            <w:pPr>
              <w:jc w:val="right"/>
              <w:ind w:right="585"/>
              <w:spacing w:after="0"/>
              <w:rPr>
                <w:sz w:val="20"/>
                <w:szCs w:val="20"/>
                <w:color w:val="auto"/>
              </w:rPr>
            </w:pPr>
            <w:r>
              <w:rPr>
                <w:rFonts w:ascii="Arial" w:cs="Arial" w:eastAsia="Arial" w:hAnsi="Arial"/>
                <w:sz w:val="11"/>
                <w:szCs w:val="11"/>
                <w:color w:val="FFFFFF"/>
              </w:rPr>
              <w:t>Stock Awards</w:t>
            </w:r>
          </w:p>
        </w:tc>
        <w:tc>
          <w:tcPr>
            <w:tcW w:w="280" w:type="dxa"/>
            <w:vAlign w:val="bottom"/>
            <w:shd w:val="clear" w:color="auto" w:fill="C00000"/>
          </w:tcPr>
          <w:p>
            <w:pPr>
              <w:spacing w:after="0"/>
              <w:rPr>
                <w:sz w:val="17"/>
                <w:szCs w:val="17"/>
                <w:color w:val="auto"/>
              </w:rPr>
            </w:pPr>
          </w:p>
        </w:tc>
        <w:tc>
          <w:tcPr>
            <w:tcW w:w="1160" w:type="dxa"/>
            <w:vAlign w:val="bottom"/>
            <w:shd w:val="clear" w:color="auto" w:fill="C00000"/>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00000"/>
          </w:tcPr>
          <w:p>
            <w:pPr>
              <w:spacing w:after="0"/>
              <w:rPr>
                <w:sz w:val="12"/>
                <w:szCs w:val="12"/>
                <w:color w:val="auto"/>
              </w:rPr>
            </w:pPr>
          </w:p>
        </w:tc>
        <w:tc>
          <w:tcPr>
            <w:tcW w:w="840" w:type="dxa"/>
            <w:vAlign w:val="bottom"/>
            <w:shd w:val="clear" w:color="auto" w:fill="C00000"/>
          </w:tcPr>
          <w:p>
            <w:pPr>
              <w:spacing w:after="0"/>
              <w:rPr>
                <w:sz w:val="12"/>
                <w:szCs w:val="12"/>
                <w:color w:val="auto"/>
              </w:rPr>
            </w:pPr>
          </w:p>
        </w:tc>
        <w:tc>
          <w:tcPr>
            <w:tcW w:w="80" w:type="dxa"/>
            <w:vAlign w:val="bottom"/>
            <w:shd w:val="clear" w:color="auto" w:fill="C00000"/>
          </w:tcPr>
          <w:p>
            <w:pPr>
              <w:spacing w:after="0"/>
              <w:rPr>
                <w:sz w:val="12"/>
                <w:szCs w:val="12"/>
                <w:color w:val="auto"/>
              </w:rPr>
            </w:pPr>
          </w:p>
        </w:tc>
        <w:tc>
          <w:tcPr>
            <w:tcW w:w="1040" w:type="dxa"/>
            <w:vAlign w:val="bottom"/>
            <w:shd w:val="clear" w:color="auto" w:fill="C00000"/>
          </w:tcPr>
          <w:p>
            <w:pPr>
              <w:spacing w:after="0"/>
              <w:rPr>
                <w:sz w:val="12"/>
                <w:szCs w:val="12"/>
                <w:color w:val="auto"/>
              </w:rPr>
            </w:pPr>
          </w:p>
        </w:tc>
        <w:tc>
          <w:tcPr>
            <w:tcW w:w="360" w:type="dxa"/>
            <w:vAlign w:val="bottom"/>
            <w:shd w:val="clear" w:color="auto" w:fill="C00000"/>
          </w:tcPr>
          <w:p>
            <w:pPr>
              <w:spacing w:after="0"/>
              <w:rPr>
                <w:sz w:val="12"/>
                <w:szCs w:val="12"/>
                <w:color w:val="auto"/>
              </w:rPr>
            </w:pPr>
          </w:p>
        </w:tc>
        <w:tc>
          <w:tcPr>
            <w:tcW w:w="90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900" w:type="dxa"/>
            <w:vAlign w:val="bottom"/>
            <w:shd w:val="clear" w:color="auto" w:fill="C00000"/>
          </w:tcPr>
          <w:p>
            <w:pPr>
              <w:spacing w:after="0"/>
              <w:rPr>
                <w:sz w:val="12"/>
                <w:szCs w:val="12"/>
                <w:color w:val="auto"/>
              </w:rPr>
            </w:pPr>
          </w:p>
        </w:tc>
        <w:tc>
          <w:tcPr>
            <w:tcW w:w="900" w:type="dxa"/>
            <w:vAlign w:val="bottom"/>
            <w:shd w:val="clear" w:color="auto" w:fill="C00000"/>
          </w:tcPr>
          <w:p>
            <w:pPr>
              <w:spacing w:after="0"/>
              <w:rPr>
                <w:sz w:val="12"/>
                <w:szCs w:val="12"/>
                <w:color w:val="auto"/>
              </w:rPr>
            </w:pPr>
          </w:p>
        </w:tc>
        <w:tc>
          <w:tcPr>
            <w:tcW w:w="1460" w:type="dxa"/>
            <w:vAlign w:val="bottom"/>
            <w:shd w:val="clear" w:color="auto" w:fill="C00000"/>
          </w:tcPr>
          <w:p>
            <w:pPr>
              <w:spacing w:after="0"/>
              <w:rPr>
                <w:sz w:val="12"/>
                <w:szCs w:val="12"/>
                <w:color w:val="auto"/>
              </w:rPr>
            </w:pPr>
          </w:p>
        </w:tc>
        <w:tc>
          <w:tcPr>
            <w:tcW w:w="280" w:type="dxa"/>
            <w:vAlign w:val="bottom"/>
            <w:shd w:val="clear" w:color="auto" w:fill="C00000"/>
          </w:tcPr>
          <w:p>
            <w:pPr>
              <w:spacing w:after="0"/>
              <w:rPr>
                <w:sz w:val="12"/>
                <w:szCs w:val="12"/>
                <w:color w:val="auto"/>
              </w:rPr>
            </w:pPr>
          </w:p>
        </w:tc>
        <w:tc>
          <w:tcPr>
            <w:tcW w:w="1160" w:type="dxa"/>
            <w:vAlign w:val="bottom"/>
            <w:shd w:val="clear" w:color="auto" w:fill="C00000"/>
          </w:tcPr>
          <w:p>
            <w:pPr>
              <w:jc w:val="center"/>
              <w:ind w:right="205"/>
              <w:spacing w:after="0"/>
              <w:rPr>
                <w:sz w:val="20"/>
                <w:szCs w:val="20"/>
                <w:color w:val="auto"/>
              </w:rPr>
            </w:pPr>
            <w:r>
              <w:rPr>
                <w:rFonts w:ascii="Arial" w:cs="Arial" w:eastAsia="Arial" w:hAnsi="Arial"/>
                <w:sz w:val="11"/>
                <w:szCs w:val="11"/>
                <w:color w:val="FFFFFF"/>
                <w:w w:val="97"/>
              </w:rPr>
              <w:t>Equity</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84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08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46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color w:val="FFFFFF"/>
                <w:w w:val="97"/>
              </w:rPr>
              <w:t>Equity</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3" w:lineRule="exact"/>
              <w:rPr>
                <w:sz w:val="20"/>
                <w:szCs w:val="20"/>
                <w:color w:val="auto"/>
              </w:rPr>
            </w:pPr>
            <w:r>
              <w:rPr>
                <w:rFonts w:ascii="Arial" w:cs="Arial" w:eastAsia="Arial" w:hAnsi="Arial"/>
                <w:sz w:val="11"/>
                <w:szCs w:val="11"/>
                <w:color w:val="FFFFFF"/>
                <w:w w:val="95"/>
              </w:rPr>
              <w:t>Incentive</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84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08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46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color w:val="FFFFFF"/>
                <w:w w:val="95"/>
              </w:rPr>
              <w:t>Incentive</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3" w:lineRule="exact"/>
              <w:rPr>
                <w:sz w:val="20"/>
                <w:szCs w:val="20"/>
                <w:color w:val="auto"/>
              </w:rPr>
            </w:pPr>
            <w:r>
              <w:rPr>
                <w:rFonts w:ascii="Arial" w:cs="Arial" w:eastAsia="Arial" w:hAnsi="Arial"/>
                <w:sz w:val="11"/>
                <w:szCs w:val="11"/>
                <w:color w:val="FFFFFF"/>
                <w:w w:val="95"/>
              </w:rPr>
              <w:t>Plan Awards:</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84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08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left="27"/>
              <w:spacing w:after="0" w:line="123" w:lineRule="exact"/>
              <w:rPr>
                <w:sz w:val="20"/>
                <w:szCs w:val="20"/>
                <w:color w:val="auto"/>
              </w:rPr>
            </w:pPr>
            <w:r>
              <w:rPr>
                <w:rFonts w:ascii="Arial" w:cs="Arial" w:eastAsia="Arial" w:hAnsi="Arial"/>
                <w:sz w:val="11"/>
                <w:szCs w:val="11"/>
                <w:color w:val="FFFFFF"/>
              </w:rPr>
              <w:t>Market</w:t>
            </w:r>
          </w:p>
        </w:tc>
        <w:tc>
          <w:tcPr>
            <w:tcW w:w="146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color w:val="FFFFFF"/>
                <w:w w:val="95"/>
              </w:rPr>
              <w:t>Plan Awards:</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3" w:lineRule="exact"/>
              <w:rPr>
                <w:sz w:val="20"/>
                <w:szCs w:val="20"/>
                <w:color w:val="auto"/>
              </w:rPr>
            </w:pPr>
            <w:r>
              <w:rPr>
                <w:rFonts w:ascii="Arial" w:cs="Arial" w:eastAsia="Arial" w:hAnsi="Arial"/>
                <w:sz w:val="11"/>
                <w:szCs w:val="11"/>
                <w:color w:val="FFFFFF"/>
                <w:w w:val="98"/>
              </w:rPr>
              <w:t>Market or</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92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color w:val="FFFFFF"/>
                <w:w w:val="93"/>
              </w:rPr>
              <w:t>Number of</w:t>
            </w:r>
          </w:p>
        </w:tc>
        <w:tc>
          <w:tcPr>
            <w:tcW w:w="1040" w:type="dxa"/>
            <w:vAlign w:val="bottom"/>
            <w:shd w:val="clear" w:color="auto" w:fill="C00000"/>
          </w:tcPr>
          <w:p>
            <w:pPr>
              <w:jc w:val="center"/>
              <w:ind w:left="164"/>
              <w:spacing w:after="0" w:line="123" w:lineRule="exact"/>
              <w:rPr>
                <w:sz w:val="20"/>
                <w:szCs w:val="20"/>
                <w:color w:val="auto"/>
              </w:rPr>
            </w:pPr>
            <w:r>
              <w:rPr>
                <w:rFonts w:ascii="Arial" w:cs="Arial" w:eastAsia="Arial" w:hAnsi="Arial"/>
                <w:sz w:val="11"/>
                <w:szCs w:val="11"/>
                <w:color w:val="FFFFFF"/>
                <w:w w:val="97"/>
              </w:rPr>
              <w:t>Number of</w:t>
            </w: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08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left="27"/>
              <w:spacing w:after="0" w:line="123" w:lineRule="exact"/>
              <w:rPr>
                <w:sz w:val="20"/>
                <w:szCs w:val="20"/>
                <w:color w:val="auto"/>
              </w:rPr>
            </w:pPr>
            <w:r>
              <w:rPr>
                <w:rFonts w:ascii="Arial" w:cs="Arial" w:eastAsia="Arial" w:hAnsi="Arial"/>
                <w:sz w:val="11"/>
                <w:szCs w:val="11"/>
                <w:color w:val="FFFFFF"/>
                <w:w w:val="94"/>
              </w:rPr>
              <w:t>Value of</w:t>
            </w:r>
          </w:p>
        </w:tc>
        <w:tc>
          <w:tcPr>
            <w:tcW w:w="146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color w:val="FFFFFF"/>
                <w:w w:val="97"/>
              </w:rPr>
              <w:t>Number of</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3" w:lineRule="exact"/>
              <w:rPr>
                <w:sz w:val="20"/>
                <w:szCs w:val="20"/>
                <w:color w:val="auto"/>
              </w:rPr>
            </w:pPr>
            <w:r>
              <w:rPr>
                <w:rFonts w:ascii="Arial" w:cs="Arial" w:eastAsia="Arial" w:hAnsi="Arial"/>
                <w:sz w:val="11"/>
                <w:szCs w:val="11"/>
                <w:color w:val="FFFFFF"/>
                <w:w w:val="94"/>
              </w:rPr>
              <w:t>Payout Value</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92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color w:val="FFFFFF"/>
                <w:w w:val="99"/>
              </w:rPr>
              <w:t>Securities</w:t>
            </w:r>
          </w:p>
        </w:tc>
        <w:tc>
          <w:tcPr>
            <w:tcW w:w="1040" w:type="dxa"/>
            <w:vAlign w:val="bottom"/>
            <w:shd w:val="clear" w:color="auto" w:fill="C00000"/>
          </w:tcPr>
          <w:p>
            <w:pPr>
              <w:jc w:val="center"/>
              <w:ind w:left="164"/>
              <w:spacing w:after="0" w:line="123" w:lineRule="exact"/>
              <w:rPr>
                <w:sz w:val="20"/>
                <w:szCs w:val="20"/>
                <w:color w:val="auto"/>
              </w:rPr>
            </w:pPr>
            <w:r>
              <w:rPr>
                <w:rFonts w:ascii="Arial" w:cs="Arial" w:eastAsia="Arial" w:hAnsi="Arial"/>
                <w:sz w:val="11"/>
                <w:szCs w:val="11"/>
                <w:color w:val="FFFFFF"/>
                <w:w w:val="95"/>
              </w:rPr>
              <w:t>Securities</w:t>
            </w: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08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7"/>
              <w:spacing w:after="0" w:line="123" w:lineRule="exact"/>
              <w:rPr>
                <w:sz w:val="20"/>
                <w:szCs w:val="20"/>
                <w:color w:val="auto"/>
              </w:rPr>
            </w:pPr>
            <w:r>
              <w:rPr>
                <w:rFonts w:ascii="Arial" w:cs="Arial" w:eastAsia="Arial" w:hAnsi="Arial"/>
                <w:sz w:val="11"/>
                <w:szCs w:val="11"/>
                <w:color w:val="FFFFFF"/>
                <w:w w:val="97"/>
              </w:rPr>
              <w:t>Number of</w:t>
            </w:r>
          </w:p>
        </w:tc>
        <w:tc>
          <w:tcPr>
            <w:tcW w:w="900" w:type="dxa"/>
            <w:vAlign w:val="bottom"/>
            <w:shd w:val="clear" w:color="auto" w:fill="C00000"/>
          </w:tcPr>
          <w:p>
            <w:pPr>
              <w:jc w:val="center"/>
              <w:ind w:left="27"/>
              <w:spacing w:after="0" w:line="123" w:lineRule="exact"/>
              <w:rPr>
                <w:sz w:val="20"/>
                <w:szCs w:val="20"/>
                <w:color w:val="auto"/>
              </w:rPr>
            </w:pPr>
            <w:r>
              <w:rPr>
                <w:rFonts w:ascii="Arial" w:cs="Arial" w:eastAsia="Arial" w:hAnsi="Arial"/>
                <w:sz w:val="11"/>
                <w:szCs w:val="11"/>
                <w:color w:val="FFFFFF"/>
                <w:w w:val="96"/>
              </w:rPr>
              <w:t>Shares or</w:t>
            </w:r>
          </w:p>
        </w:tc>
        <w:tc>
          <w:tcPr>
            <w:tcW w:w="146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color w:val="FFFFFF"/>
                <w:w w:val="95"/>
              </w:rPr>
              <w:t>Unearned</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3" w:lineRule="exact"/>
              <w:rPr>
                <w:sz w:val="20"/>
                <w:szCs w:val="20"/>
                <w:color w:val="auto"/>
              </w:rPr>
            </w:pPr>
            <w:r>
              <w:rPr>
                <w:rFonts w:ascii="Arial" w:cs="Arial" w:eastAsia="Arial" w:hAnsi="Arial"/>
                <w:sz w:val="11"/>
                <w:szCs w:val="11"/>
                <w:color w:val="FFFFFF"/>
                <w:w w:val="95"/>
              </w:rPr>
              <w:t>of Unearned</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92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color w:val="FFFFFF"/>
                <w:w w:val="98"/>
              </w:rPr>
              <w:t>Underlying</w:t>
            </w:r>
          </w:p>
        </w:tc>
        <w:tc>
          <w:tcPr>
            <w:tcW w:w="1040" w:type="dxa"/>
            <w:vAlign w:val="bottom"/>
            <w:shd w:val="clear" w:color="auto" w:fill="C00000"/>
          </w:tcPr>
          <w:p>
            <w:pPr>
              <w:jc w:val="center"/>
              <w:ind w:left="164"/>
              <w:spacing w:after="0" w:line="123" w:lineRule="exact"/>
              <w:rPr>
                <w:sz w:val="20"/>
                <w:szCs w:val="20"/>
                <w:color w:val="auto"/>
              </w:rPr>
            </w:pPr>
            <w:r>
              <w:rPr>
                <w:rFonts w:ascii="Arial" w:cs="Arial" w:eastAsia="Arial" w:hAnsi="Arial"/>
                <w:sz w:val="11"/>
                <w:szCs w:val="11"/>
                <w:color w:val="FFFFFF"/>
                <w:w w:val="95"/>
              </w:rPr>
              <w:t>Underlying</w:t>
            </w: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08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7"/>
              <w:spacing w:after="0" w:line="123" w:lineRule="exact"/>
              <w:rPr>
                <w:sz w:val="20"/>
                <w:szCs w:val="20"/>
                <w:color w:val="auto"/>
              </w:rPr>
            </w:pPr>
            <w:r>
              <w:rPr>
                <w:rFonts w:ascii="Arial" w:cs="Arial" w:eastAsia="Arial" w:hAnsi="Arial"/>
                <w:sz w:val="11"/>
                <w:szCs w:val="11"/>
                <w:color w:val="FFFFFF"/>
                <w:w w:val="96"/>
              </w:rPr>
              <w:t>Shares or</w:t>
            </w:r>
          </w:p>
        </w:tc>
        <w:tc>
          <w:tcPr>
            <w:tcW w:w="900" w:type="dxa"/>
            <w:vAlign w:val="bottom"/>
            <w:shd w:val="clear" w:color="auto" w:fill="C00000"/>
          </w:tcPr>
          <w:p>
            <w:pPr>
              <w:jc w:val="center"/>
              <w:ind w:left="7"/>
              <w:spacing w:after="0" w:line="123" w:lineRule="exact"/>
              <w:rPr>
                <w:sz w:val="20"/>
                <w:szCs w:val="20"/>
                <w:color w:val="auto"/>
              </w:rPr>
            </w:pPr>
            <w:r>
              <w:rPr>
                <w:rFonts w:ascii="Arial" w:cs="Arial" w:eastAsia="Arial" w:hAnsi="Arial"/>
                <w:sz w:val="11"/>
                <w:szCs w:val="11"/>
                <w:color w:val="FFFFFF"/>
                <w:w w:val="96"/>
              </w:rPr>
              <w:t>Units of</w:t>
            </w:r>
          </w:p>
        </w:tc>
        <w:tc>
          <w:tcPr>
            <w:tcW w:w="1460" w:type="dxa"/>
            <w:vAlign w:val="bottom"/>
            <w:shd w:val="clear" w:color="auto" w:fill="C00000"/>
          </w:tcPr>
          <w:p>
            <w:pPr>
              <w:jc w:val="center"/>
              <w:ind w:left="5"/>
              <w:spacing w:after="0" w:line="123" w:lineRule="exact"/>
              <w:rPr>
                <w:sz w:val="20"/>
                <w:szCs w:val="20"/>
                <w:color w:val="auto"/>
              </w:rPr>
            </w:pPr>
            <w:r>
              <w:rPr>
                <w:rFonts w:ascii="Arial" w:cs="Arial" w:eastAsia="Arial" w:hAnsi="Arial"/>
                <w:sz w:val="11"/>
                <w:szCs w:val="11"/>
                <w:color w:val="FFFFFF"/>
                <w:w w:val="96"/>
              </w:rPr>
              <w:t>Shares, Units</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25"/>
              <w:spacing w:after="0" w:line="123" w:lineRule="exact"/>
              <w:rPr>
                <w:sz w:val="20"/>
                <w:szCs w:val="20"/>
                <w:color w:val="auto"/>
              </w:rPr>
            </w:pPr>
            <w:r>
              <w:rPr>
                <w:rFonts w:ascii="Arial" w:cs="Arial" w:eastAsia="Arial" w:hAnsi="Arial"/>
                <w:sz w:val="11"/>
                <w:szCs w:val="11"/>
                <w:color w:val="FFFFFF"/>
                <w:w w:val="96"/>
              </w:rPr>
              <w:t>Shares, Units</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92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color w:val="FFFFFF"/>
                <w:w w:val="98"/>
              </w:rPr>
              <w:t>Unexercised</w:t>
            </w:r>
          </w:p>
        </w:tc>
        <w:tc>
          <w:tcPr>
            <w:tcW w:w="1040" w:type="dxa"/>
            <w:vAlign w:val="bottom"/>
            <w:shd w:val="clear" w:color="auto" w:fill="C00000"/>
          </w:tcPr>
          <w:p>
            <w:pPr>
              <w:jc w:val="center"/>
              <w:ind w:left="164"/>
              <w:spacing w:after="0" w:line="123" w:lineRule="exact"/>
              <w:rPr>
                <w:sz w:val="20"/>
                <w:szCs w:val="20"/>
                <w:color w:val="auto"/>
              </w:rPr>
            </w:pPr>
            <w:r>
              <w:rPr>
                <w:rFonts w:ascii="Arial" w:cs="Arial" w:eastAsia="Arial" w:hAnsi="Arial"/>
                <w:sz w:val="11"/>
                <w:szCs w:val="11"/>
                <w:color w:val="FFFFFF"/>
                <w:w w:val="94"/>
              </w:rPr>
              <w:t>Unexercised</w:t>
            </w: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83"/>
              <w:spacing w:after="0" w:line="123" w:lineRule="exact"/>
              <w:rPr>
                <w:sz w:val="20"/>
                <w:szCs w:val="20"/>
                <w:color w:val="auto"/>
              </w:rPr>
            </w:pPr>
            <w:r>
              <w:rPr>
                <w:rFonts w:ascii="Arial" w:cs="Arial" w:eastAsia="Arial" w:hAnsi="Arial"/>
                <w:sz w:val="11"/>
                <w:szCs w:val="11"/>
                <w:color w:val="FFFFFF"/>
                <w:w w:val="98"/>
              </w:rPr>
              <w:t>Option</w:t>
            </w:r>
          </w:p>
        </w:tc>
        <w:tc>
          <w:tcPr>
            <w:tcW w:w="108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47"/>
              <w:spacing w:after="0" w:line="123" w:lineRule="exact"/>
              <w:rPr>
                <w:sz w:val="20"/>
                <w:szCs w:val="20"/>
                <w:color w:val="auto"/>
              </w:rPr>
            </w:pPr>
            <w:r>
              <w:rPr>
                <w:rFonts w:ascii="Arial" w:cs="Arial" w:eastAsia="Arial" w:hAnsi="Arial"/>
                <w:sz w:val="11"/>
                <w:szCs w:val="11"/>
                <w:color w:val="FFFFFF"/>
                <w:w w:val="94"/>
              </w:rPr>
              <w:t>Units that</w:t>
            </w:r>
          </w:p>
        </w:tc>
        <w:tc>
          <w:tcPr>
            <w:tcW w:w="900" w:type="dxa"/>
            <w:vAlign w:val="bottom"/>
            <w:shd w:val="clear" w:color="auto" w:fill="C00000"/>
          </w:tcPr>
          <w:p>
            <w:pPr>
              <w:jc w:val="center"/>
              <w:ind w:left="27"/>
              <w:spacing w:after="0" w:line="123" w:lineRule="exact"/>
              <w:rPr>
                <w:sz w:val="20"/>
                <w:szCs w:val="20"/>
                <w:color w:val="auto"/>
              </w:rPr>
            </w:pPr>
            <w:r>
              <w:rPr>
                <w:rFonts w:ascii="Arial" w:cs="Arial" w:eastAsia="Arial" w:hAnsi="Arial"/>
                <w:sz w:val="11"/>
                <w:szCs w:val="11"/>
                <w:color w:val="FFFFFF"/>
                <w:w w:val="93"/>
              </w:rPr>
              <w:t>Stock that</w:t>
            </w:r>
          </w:p>
        </w:tc>
        <w:tc>
          <w:tcPr>
            <w:tcW w:w="1460" w:type="dxa"/>
            <w:vAlign w:val="bottom"/>
            <w:shd w:val="clear" w:color="auto" w:fill="C00000"/>
          </w:tcPr>
          <w:p>
            <w:pPr>
              <w:jc w:val="center"/>
              <w:ind w:left="5"/>
              <w:spacing w:after="0" w:line="123" w:lineRule="exact"/>
              <w:rPr>
                <w:sz w:val="20"/>
                <w:szCs w:val="20"/>
                <w:color w:val="auto"/>
              </w:rPr>
            </w:pPr>
            <w:r>
              <w:rPr>
                <w:rFonts w:ascii="Arial" w:cs="Arial" w:eastAsia="Arial" w:hAnsi="Arial"/>
                <w:sz w:val="11"/>
                <w:szCs w:val="11"/>
                <w:color w:val="FFFFFF"/>
                <w:w w:val="96"/>
              </w:rPr>
              <w:t>or Other Rights</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25"/>
              <w:spacing w:after="0" w:line="123" w:lineRule="exact"/>
              <w:rPr>
                <w:sz w:val="20"/>
                <w:szCs w:val="20"/>
                <w:color w:val="auto"/>
              </w:rPr>
            </w:pPr>
            <w:r>
              <w:rPr>
                <w:rFonts w:ascii="Arial" w:cs="Arial" w:eastAsia="Arial" w:hAnsi="Arial"/>
                <w:sz w:val="11"/>
                <w:szCs w:val="11"/>
                <w:color w:val="FFFFFF"/>
                <w:w w:val="96"/>
              </w:rPr>
              <w:t>or Other Rights</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92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color w:val="FFFFFF"/>
                <w:w w:val="94"/>
              </w:rPr>
              <w:t>Options</w:t>
            </w:r>
          </w:p>
        </w:tc>
        <w:tc>
          <w:tcPr>
            <w:tcW w:w="1040" w:type="dxa"/>
            <w:vAlign w:val="bottom"/>
            <w:shd w:val="clear" w:color="auto" w:fill="C00000"/>
          </w:tcPr>
          <w:p>
            <w:pPr>
              <w:jc w:val="center"/>
              <w:ind w:left="184"/>
              <w:spacing w:after="0" w:line="123" w:lineRule="exact"/>
              <w:rPr>
                <w:sz w:val="20"/>
                <w:szCs w:val="20"/>
                <w:color w:val="auto"/>
              </w:rPr>
            </w:pPr>
            <w:r>
              <w:rPr>
                <w:rFonts w:ascii="Arial" w:cs="Arial" w:eastAsia="Arial" w:hAnsi="Arial"/>
                <w:sz w:val="11"/>
                <w:szCs w:val="11"/>
                <w:color w:val="FFFFFF"/>
                <w:w w:val="94"/>
              </w:rPr>
              <w:t>Options</w:t>
            </w: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83"/>
              <w:spacing w:after="0" w:line="123" w:lineRule="exact"/>
              <w:rPr>
                <w:sz w:val="20"/>
                <w:szCs w:val="20"/>
                <w:color w:val="auto"/>
              </w:rPr>
            </w:pPr>
            <w:r>
              <w:rPr>
                <w:rFonts w:ascii="Arial" w:cs="Arial" w:eastAsia="Arial" w:hAnsi="Arial"/>
                <w:sz w:val="11"/>
                <w:szCs w:val="11"/>
                <w:color w:val="FFFFFF"/>
                <w:w w:val="94"/>
              </w:rPr>
              <w:t>Exercise</w:t>
            </w:r>
          </w:p>
        </w:tc>
        <w:tc>
          <w:tcPr>
            <w:tcW w:w="1080" w:type="dxa"/>
            <w:vAlign w:val="bottom"/>
            <w:shd w:val="clear" w:color="auto" w:fill="C00000"/>
          </w:tcPr>
          <w:p>
            <w:pPr>
              <w:ind w:left="320"/>
              <w:spacing w:after="0" w:line="123" w:lineRule="exact"/>
              <w:rPr>
                <w:sz w:val="20"/>
                <w:szCs w:val="20"/>
                <w:color w:val="auto"/>
              </w:rPr>
            </w:pPr>
            <w:r>
              <w:rPr>
                <w:rFonts w:ascii="Arial" w:cs="Arial" w:eastAsia="Arial" w:hAnsi="Arial"/>
                <w:sz w:val="11"/>
                <w:szCs w:val="11"/>
                <w:color w:val="FFFFFF"/>
              </w:rPr>
              <w:t>Option</w:t>
            </w:r>
          </w:p>
        </w:tc>
        <w:tc>
          <w:tcPr>
            <w:tcW w:w="900" w:type="dxa"/>
            <w:vAlign w:val="bottom"/>
            <w:shd w:val="clear" w:color="auto" w:fill="C00000"/>
          </w:tcPr>
          <w:p>
            <w:pPr>
              <w:jc w:val="center"/>
              <w:ind w:right="47"/>
              <w:spacing w:after="0" w:line="123" w:lineRule="exact"/>
              <w:rPr>
                <w:sz w:val="20"/>
                <w:szCs w:val="20"/>
                <w:color w:val="auto"/>
              </w:rPr>
            </w:pPr>
            <w:r>
              <w:rPr>
                <w:rFonts w:ascii="Arial" w:cs="Arial" w:eastAsia="Arial" w:hAnsi="Arial"/>
                <w:sz w:val="11"/>
                <w:szCs w:val="11"/>
                <w:color w:val="FFFFFF"/>
                <w:w w:val="95"/>
              </w:rPr>
              <w:t>Have Not</w:t>
            </w:r>
          </w:p>
        </w:tc>
        <w:tc>
          <w:tcPr>
            <w:tcW w:w="900" w:type="dxa"/>
            <w:vAlign w:val="bottom"/>
            <w:shd w:val="clear" w:color="auto" w:fill="C00000"/>
          </w:tcPr>
          <w:p>
            <w:pPr>
              <w:jc w:val="center"/>
              <w:ind w:left="27"/>
              <w:spacing w:after="0" w:line="123" w:lineRule="exact"/>
              <w:rPr>
                <w:sz w:val="20"/>
                <w:szCs w:val="20"/>
                <w:color w:val="auto"/>
              </w:rPr>
            </w:pPr>
            <w:r>
              <w:rPr>
                <w:rFonts w:ascii="Arial" w:cs="Arial" w:eastAsia="Arial" w:hAnsi="Arial"/>
                <w:sz w:val="11"/>
                <w:szCs w:val="11"/>
                <w:color w:val="FFFFFF"/>
              </w:rPr>
              <w:t>Have Not</w:t>
            </w:r>
          </w:p>
        </w:tc>
        <w:tc>
          <w:tcPr>
            <w:tcW w:w="146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color w:val="FFFFFF"/>
                <w:w w:val="98"/>
              </w:rPr>
              <w:t>That Have</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3" w:lineRule="exact"/>
              <w:rPr>
                <w:sz w:val="20"/>
                <w:szCs w:val="20"/>
                <w:color w:val="auto"/>
              </w:rPr>
            </w:pPr>
            <w:r>
              <w:rPr>
                <w:rFonts w:ascii="Arial" w:cs="Arial" w:eastAsia="Arial" w:hAnsi="Arial"/>
                <w:sz w:val="11"/>
                <w:szCs w:val="11"/>
                <w:color w:val="FFFFFF"/>
                <w:w w:val="98"/>
              </w:rPr>
              <w:t>That Have</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92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color w:val="FFFFFF"/>
                <w:w w:val="98"/>
              </w:rPr>
              <w:t>Exercisable</w:t>
            </w:r>
          </w:p>
        </w:tc>
        <w:tc>
          <w:tcPr>
            <w:tcW w:w="1040" w:type="dxa"/>
            <w:vAlign w:val="bottom"/>
            <w:shd w:val="clear" w:color="auto" w:fill="C00000"/>
          </w:tcPr>
          <w:p>
            <w:pPr>
              <w:jc w:val="center"/>
              <w:ind w:left="164"/>
              <w:spacing w:after="0" w:line="123" w:lineRule="exact"/>
              <w:rPr>
                <w:sz w:val="20"/>
                <w:szCs w:val="20"/>
                <w:color w:val="auto"/>
              </w:rPr>
            </w:pPr>
            <w:r>
              <w:rPr>
                <w:rFonts w:ascii="Arial" w:cs="Arial" w:eastAsia="Arial" w:hAnsi="Arial"/>
                <w:sz w:val="11"/>
                <w:szCs w:val="11"/>
                <w:color w:val="FFFFFF"/>
                <w:w w:val="96"/>
              </w:rPr>
              <w:t>Unexercisable</w:t>
            </w:r>
            <w:r>
              <w:rPr>
                <w:rFonts w:ascii="Arial" w:cs="Arial" w:eastAsia="Arial" w:hAnsi="Arial"/>
                <w:sz w:val="9"/>
                <w:szCs w:val="9"/>
                <w:color w:val="FFFFFF"/>
                <w:w w:val="96"/>
              </w:rPr>
              <w:t>(1)</w:t>
            </w: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83"/>
              <w:spacing w:after="0" w:line="123" w:lineRule="exact"/>
              <w:rPr>
                <w:sz w:val="20"/>
                <w:szCs w:val="20"/>
                <w:color w:val="auto"/>
              </w:rPr>
            </w:pPr>
            <w:r>
              <w:rPr>
                <w:rFonts w:ascii="Arial" w:cs="Arial" w:eastAsia="Arial" w:hAnsi="Arial"/>
                <w:sz w:val="11"/>
                <w:szCs w:val="11"/>
                <w:color w:val="FFFFFF"/>
                <w:w w:val="95"/>
              </w:rPr>
              <w:t>Price</w:t>
            </w:r>
          </w:p>
        </w:tc>
        <w:tc>
          <w:tcPr>
            <w:tcW w:w="1080" w:type="dxa"/>
            <w:vAlign w:val="bottom"/>
            <w:shd w:val="clear" w:color="auto" w:fill="C00000"/>
          </w:tcPr>
          <w:p>
            <w:pPr>
              <w:ind w:left="240"/>
              <w:spacing w:after="0" w:line="123" w:lineRule="exact"/>
              <w:rPr>
                <w:sz w:val="20"/>
                <w:szCs w:val="20"/>
                <w:color w:val="auto"/>
              </w:rPr>
            </w:pPr>
            <w:r>
              <w:rPr>
                <w:rFonts w:ascii="Arial" w:cs="Arial" w:eastAsia="Arial" w:hAnsi="Arial"/>
                <w:sz w:val="11"/>
                <w:szCs w:val="11"/>
                <w:color w:val="FFFFFF"/>
              </w:rPr>
              <w:t>Expiration</w:t>
            </w:r>
          </w:p>
        </w:tc>
        <w:tc>
          <w:tcPr>
            <w:tcW w:w="900" w:type="dxa"/>
            <w:vAlign w:val="bottom"/>
            <w:shd w:val="clear" w:color="auto" w:fill="C00000"/>
          </w:tcPr>
          <w:p>
            <w:pPr>
              <w:jc w:val="center"/>
              <w:ind w:right="47"/>
              <w:spacing w:after="0" w:line="123" w:lineRule="exact"/>
              <w:rPr>
                <w:sz w:val="20"/>
                <w:szCs w:val="20"/>
                <w:color w:val="auto"/>
              </w:rPr>
            </w:pPr>
            <w:r>
              <w:rPr>
                <w:rFonts w:ascii="Arial" w:cs="Arial" w:eastAsia="Arial" w:hAnsi="Arial"/>
                <w:sz w:val="11"/>
                <w:szCs w:val="11"/>
                <w:color w:val="FFFFFF"/>
                <w:w w:val="93"/>
              </w:rPr>
              <w:t>Vested</w:t>
            </w:r>
          </w:p>
        </w:tc>
        <w:tc>
          <w:tcPr>
            <w:tcW w:w="900" w:type="dxa"/>
            <w:vAlign w:val="bottom"/>
            <w:shd w:val="clear" w:color="auto" w:fill="C00000"/>
          </w:tcPr>
          <w:p>
            <w:pPr>
              <w:jc w:val="center"/>
              <w:ind w:left="27"/>
              <w:spacing w:after="0" w:line="123" w:lineRule="exact"/>
              <w:rPr>
                <w:sz w:val="20"/>
                <w:szCs w:val="20"/>
                <w:color w:val="auto"/>
              </w:rPr>
            </w:pPr>
            <w:r>
              <w:rPr>
                <w:rFonts w:ascii="Arial" w:cs="Arial" w:eastAsia="Arial" w:hAnsi="Arial"/>
                <w:sz w:val="11"/>
                <w:szCs w:val="11"/>
                <w:color w:val="FFFFFF"/>
                <w:w w:val="99"/>
              </w:rPr>
              <w:t>Vested</w:t>
            </w:r>
          </w:p>
        </w:tc>
        <w:tc>
          <w:tcPr>
            <w:tcW w:w="146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color w:val="FFFFFF"/>
                <w:w w:val="94"/>
              </w:rPr>
              <w:t>Not Vested</w:t>
            </w:r>
            <w:r>
              <w:rPr>
                <w:rFonts w:ascii="Arial" w:cs="Arial" w:eastAsia="Arial" w:hAnsi="Arial"/>
                <w:sz w:val="9"/>
                <w:szCs w:val="9"/>
                <w:color w:val="FFFFFF"/>
                <w:w w:val="94"/>
              </w:rPr>
              <w:t>(2)</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3" w:lineRule="exact"/>
              <w:rPr>
                <w:sz w:val="20"/>
                <w:szCs w:val="20"/>
                <w:color w:val="auto"/>
              </w:rPr>
            </w:pPr>
            <w:r>
              <w:rPr>
                <w:rFonts w:ascii="Arial" w:cs="Arial" w:eastAsia="Arial" w:hAnsi="Arial"/>
                <w:sz w:val="11"/>
                <w:szCs w:val="11"/>
                <w:color w:val="FFFFFF"/>
                <w:w w:val="94"/>
              </w:rPr>
              <w:t>Not Vested</w:t>
            </w:r>
            <w:r>
              <w:rPr>
                <w:rFonts w:ascii="Arial" w:cs="Arial" w:eastAsia="Arial" w:hAnsi="Arial"/>
                <w:sz w:val="9"/>
                <w:szCs w:val="9"/>
                <w:color w:val="FFFFFF"/>
                <w:w w:val="94"/>
              </w:rPr>
              <w:t>(3)</w:t>
            </w:r>
          </w:p>
        </w:tc>
        <w:tc>
          <w:tcPr>
            <w:tcW w:w="0" w:type="dxa"/>
            <w:vAlign w:val="bottom"/>
          </w:tcPr>
          <w:p>
            <w:pPr>
              <w:spacing w:after="0"/>
              <w:rPr>
                <w:sz w:val="1"/>
                <w:szCs w:val="1"/>
                <w:color w:val="auto"/>
              </w:rPr>
            </w:pPr>
          </w:p>
        </w:tc>
      </w:tr>
      <w:tr>
        <w:trPr>
          <w:trHeight w:val="121"/>
        </w:trPr>
        <w:tc>
          <w:tcPr>
            <w:tcW w:w="2420" w:type="dxa"/>
            <w:vAlign w:val="bottom"/>
            <w:shd w:val="clear" w:color="auto" w:fill="C00000"/>
          </w:tcPr>
          <w:p>
            <w:pPr>
              <w:spacing w:after="0" w:line="121" w:lineRule="exact"/>
              <w:rPr>
                <w:sz w:val="20"/>
                <w:szCs w:val="20"/>
                <w:color w:val="auto"/>
              </w:rPr>
            </w:pPr>
            <w:r>
              <w:rPr>
                <w:rFonts w:ascii="Arial" w:cs="Arial" w:eastAsia="Arial" w:hAnsi="Arial"/>
                <w:sz w:val="11"/>
                <w:szCs w:val="11"/>
                <w:color w:val="FFFFFF"/>
              </w:rPr>
              <w:t>Name</w:t>
            </w:r>
          </w:p>
        </w:tc>
        <w:tc>
          <w:tcPr>
            <w:tcW w:w="840" w:type="dxa"/>
            <w:vAlign w:val="bottom"/>
            <w:shd w:val="clear" w:color="auto" w:fill="C00000"/>
          </w:tcPr>
          <w:p>
            <w:pPr>
              <w:jc w:val="center"/>
              <w:ind w:left="143"/>
              <w:spacing w:after="0" w:line="121" w:lineRule="exact"/>
              <w:rPr>
                <w:sz w:val="20"/>
                <w:szCs w:val="20"/>
                <w:color w:val="auto"/>
              </w:rPr>
            </w:pPr>
            <w:r>
              <w:rPr>
                <w:rFonts w:ascii="Arial" w:cs="Arial" w:eastAsia="Arial" w:hAnsi="Arial"/>
                <w:sz w:val="11"/>
                <w:szCs w:val="11"/>
                <w:color w:val="FFFFFF"/>
                <w:w w:val="88"/>
              </w:rPr>
              <w:t>(#)</w:t>
            </w:r>
          </w:p>
        </w:tc>
        <w:tc>
          <w:tcPr>
            <w:tcW w:w="80" w:type="dxa"/>
            <w:vAlign w:val="bottom"/>
            <w:shd w:val="clear" w:color="auto" w:fill="C00000"/>
          </w:tcPr>
          <w:p>
            <w:pPr>
              <w:spacing w:after="0"/>
              <w:rPr>
                <w:sz w:val="10"/>
                <w:szCs w:val="10"/>
                <w:color w:val="auto"/>
              </w:rPr>
            </w:pPr>
          </w:p>
        </w:tc>
        <w:tc>
          <w:tcPr>
            <w:tcW w:w="1040" w:type="dxa"/>
            <w:vAlign w:val="bottom"/>
            <w:shd w:val="clear" w:color="auto" w:fill="C00000"/>
          </w:tcPr>
          <w:p>
            <w:pPr>
              <w:jc w:val="center"/>
              <w:ind w:left="164"/>
              <w:spacing w:after="0" w:line="121" w:lineRule="exact"/>
              <w:rPr>
                <w:sz w:val="20"/>
                <w:szCs w:val="20"/>
                <w:color w:val="auto"/>
              </w:rPr>
            </w:pPr>
            <w:r>
              <w:rPr>
                <w:rFonts w:ascii="Arial" w:cs="Arial" w:eastAsia="Arial" w:hAnsi="Arial"/>
                <w:sz w:val="11"/>
                <w:szCs w:val="11"/>
                <w:color w:val="FFFFFF"/>
              </w:rPr>
              <w:t>(#)</w:t>
            </w:r>
          </w:p>
        </w:tc>
        <w:tc>
          <w:tcPr>
            <w:tcW w:w="36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83"/>
              <w:spacing w:after="0" w:line="121" w:lineRule="exact"/>
              <w:rPr>
                <w:sz w:val="20"/>
                <w:szCs w:val="20"/>
                <w:color w:val="auto"/>
              </w:rPr>
            </w:pPr>
            <w:r>
              <w:rPr>
                <w:rFonts w:ascii="Arial" w:cs="Arial" w:eastAsia="Arial" w:hAnsi="Arial"/>
                <w:sz w:val="11"/>
                <w:szCs w:val="11"/>
                <w:color w:val="FFFFFF"/>
                <w:w w:val="88"/>
              </w:rPr>
              <w:t>($)</w:t>
            </w:r>
          </w:p>
        </w:tc>
        <w:tc>
          <w:tcPr>
            <w:tcW w:w="1080" w:type="dxa"/>
            <w:vAlign w:val="bottom"/>
            <w:shd w:val="clear" w:color="auto" w:fill="C00000"/>
          </w:tcPr>
          <w:p>
            <w:pPr>
              <w:ind w:left="360"/>
              <w:spacing w:after="0" w:line="121" w:lineRule="exact"/>
              <w:rPr>
                <w:sz w:val="20"/>
                <w:szCs w:val="20"/>
                <w:color w:val="auto"/>
              </w:rPr>
            </w:pPr>
            <w:r>
              <w:rPr>
                <w:rFonts w:ascii="Arial" w:cs="Arial" w:eastAsia="Arial" w:hAnsi="Arial"/>
                <w:sz w:val="11"/>
                <w:szCs w:val="11"/>
                <w:color w:val="FFFFFF"/>
              </w:rPr>
              <w:t>Date</w:t>
            </w:r>
          </w:p>
        </w:tc>
        <w:tc>
          <w:tcPr>
            <w:tcW w:w="900" w:type="dxa"/>
            <w:vAlign w:val="bottom"/>
            <w:shd w:val="clear" w:color="auto" w:fill="C00000"/>
          </w:tcPr>
          <w:p>
            <w:pPr>
              <w:jc w:val="center"/>
              <w:ind w:right="47"/>
              <w:spacing w:after="0" w:line="121" w:lineRule="exact"/>
              <w:rPr>
                <w:sz w:val="20"/>
                <w:szCs w:val="20"/>
                <w:color w:val="auto"/>
              </w:rPr>
            </w:pPr>
            <w:r>
              <w:rPr>
                <w:rFonts w:ascii="Arial" w:cs="Arial" w:eastAsia="Arial" w:hAnsi="Arial"/>
                <w:sz w:val="11"/>
                <w:szCs w:val="11"/>
                <w:color w:val="FFFFFF"/>
                <w:w w:val="88"/>
              </w:rPr>
              <w:t>(#)</w:t>
            </w:r>
          </w:p>
        </w:tc>
        <w:tc>
          <w:tcPr>
            <w:tcW w:w="900" w:type="dxa"/>
            <w:vAlign w:val="bottom"/>
            <w:shd w:val="clear" w:color="auto" w:fill="C00000"/>
          </w:tcPr>
          <w:p>
            <w:pPr>
              <w:jc w:val="center"/>
              <w:ind w:left="27"/>
              <w:spacing w:after="0" w:line="121" w:lineRule="exact"/>
              <w:rPr>
                <w:sz w:val="20"/>
                <w:szCs w:val="20"/>
                <w:color w:val="auto"/>
              </w:rPr>
            </w:pPr>
            <w:r>
              <w:rPr>
                <w:rFonts w:ascii="Arial" w:cs="Arial" w:eastAsia="Arial" w:hAnsi="Arial"/>
                <w:sz w:val="11"/>
                <w:szCs w:val="11"/>
                <w:color w:val="FFFFFF"/>
              </w:rPr>
              <w:t>($)</w:t>
            </w:r>
          </w:p>
        </w:tc>
        <w:tc>
          <w:tcPr>
            <w:tcW w:w="146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color w:val="FFFFFF"/>
              </w:rPr>
              <w:t>(#)</w:t>
            </w:r>
          </w:p>
        </w:tc>
        <w:tc>
          <w:tcPr>
            <w:tcW w:w="280" w:type="dxa"/>
            <w:vAlign w:val="bottom"/>
            <w:shd w:val="clear" w:color="auto" w:fill="C00000"/>
          </w:tcPr>
          <w:p>
            <w:pPr>
              <w:spacing w:after="0"/>
              <w:rPr>
                <w:sz w:val="10"/>
                <w:szCs w:val="10"/>
                <w:color w:val="auto"/>
              </w:rPr>
            </w:pPr>
          </w:p>
        </w:tc>
        <w:tc>
          <w:tcPr>
            <w:tcW w:w="1160" w:type="dxa"/>
            <w:vAlign w:val="bottom"/>
            <w:shd w:val="clear" w:color="auto" w:fill="C00000"/>
          </w:tcPr>
          <w:p>
            <w:pPr>
              <w:jc w:val="center"/>
              <w:ind w:right="205"/>
              <w:spacing w:after="0" w:line="121" w:lineRule="exact"/>
              <w:rPr>
                <w:sz w:val="20"/>
                <w:szCs w:val="20"/>
                <w:color w:val="auto"/>
              </w:rPr>
            </w:pPr>
            <w:r>
              <w:rPr>
                <w:rFonts w:ascii="Arial" w:cs="Arial" w:eastAsia="Arial" w:hAnsi="Arial"/>
                <w:sz w:val="11"/>
                <w:szCs w:val="11"/>
                <w:color w:val="FFFFFF"/>
              </w:rPr>
              <w:t>($)</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1"/>
                <w:szCs w:val="11"/>
                <w:color w:val="auto"/>
              </w:rPr>
              <w:t>Richard M. Olson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7,780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10.1825</w:t>
            </w:r>
          </w:p>
        </w:tc>
        <w:tc>
          <w:tcPr>
            <w:tcW w:w="1080" w:type="dxa"/>
            <w:vAlign w:val="bottom"/>
          </w:tcPr>
          <w:p>
            <w:pPr>
              <w:ind w:left="360"/>
              <w:spacing w:after="0"/>
              <w:rPr>
                <w:sz w:val="20"/>
                <w:szCs w:val="20"/>
                <w:color w:val="auto"/>
              </w:rPr>
            </w:pPr>
            <w:r>
              <w:rPr>
                <w:rFonts w:ascii="Arial" w:cs="Arial" w:eastAsia="Arial" w:hAnsi="Arial"/>
                <w:sz w:val="11"/>
                <w:szCs w:val="11"/>
                <w:color w:val="auto"/>
              </w:rPr>
              <w:t>12/01/2019</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15.8800</w:t>
            </w:r>
          </w:p>
        </w:tc>
        <w:tc>
          <w:tcPr>
            <w:tcW w:w="1080" w:type="dxa"/>
            <w:vAlign w:val="bottom"/>
          </w:tcPr>
          <w:p>
            <w:pPr>
              <w:ind w:left="360"/>
              <w:spacing w:after="0"/>
              <w:rPr>
                <w:sz w:val="20"/>
                <w:szCs w:val="20"/>
                <w:color w:val="auto"/>
              </w:rPr>
            </w:pPr>
            <w:r>
              <w:rPr>
                <w:rFonts w:ascii="Arial" w:cs="Arial" w:eastAsia="Arial" w:hAnsi="Arial"/>
                <w:sz w:val="11"/>
                <w:szCs w:val="11"/>
                <w:color w:val="auto"/>
              </w:rPr>
              <w:t>12/08/2020</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14.1125</w:t>
            </w:r>
          </w:p>
        </w:tc>
        <w:tc>
          <w:tcPr>
            <w:tcW w:w="1080" w:type="dxa"/>
            <w:vAlign w:val="bottom"/>
          </w:tcPr>
          <w:p>
            <w:pPr>
              <w:ind w:left="360"/>
              <w:spacing w:after="0"/>
              <w:rPr>
                <w:sz w:val="20"/>
                <w:szCs w:val="20"/>
                <w:color w:val="auto"/>
              </w:rPr>
            </w:pPr>
            <w:r>
              <w:rPr>
                <w:rFonts w:ascii="Arial" w:cs="Arial" w:eastAsia="Arial" w:hAnsi="Arial"/>
                <w:sz w:val="11"/>
                <w:szCs w:val="11"/>
                <w:color w:val="auto"/>
              </w:rPr>
              <w:t>12/07/2021</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12,600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21.0300</w:t>
            </w:r>
          </w:p>
        </w:tc>
        <w:tc>
          <w:tcPr>
            <w:tcW w:w="1080" w:type="dxa"/>
            <w:vAlign w:val="bottom"/>
          </w:tcPr>
          <w:p>
            <w:pPr>
              <w:ind w:left="360"/>
              <w:spacing w:after="0"/>
              <w:rPr>
                <w:sz w:val="20"/>
                <w:szCs w:val="20"/>
                <w:color w:val="auto"/>
              </w:rPr>
            </w:pPr>
            <w:r>
              <w:rPr>
                <w:rFonts w:ascii="Arial" w:cs="Arial" w:eastAsia="Arial" w:hAnsi="Arial"/>
                <w:sz w:val="11"/>
                <w:szCs w:val="11"/>
                <w:color w:val="auto"/>
              </w:rPr>
              <w:t>12/11/2022</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29.7500</w:t>
            </w:r>
          </w:p>
        </w:tc>
        <w:tc>
          <w:tcPr>
            <w:tcW w:w="1080" w:type="dxa"/>
            <w:vAlign w:val="bottom"/>
          </w:tcPr>
          <w:p>
            <w:pPr>
              <w:ind w:left="360"/>
              <w:spacing w:after="0"/>
              <w:rPr>
                <w:sz w:val="20"/>
                <w:szCs w:val="20"/>
                <w:color w:val="auto"/>
              </w:rPr>
            </w:pPr>
            <w:r>
              <w:rPr>
                <w:rFonts w:ascii="Arial" w:cs="Arial" w:eastAsia="Arial" w:hAnsi="Arial"/>
                <w:sz w:val="11"/>
                <w:szCs w:val="11"/>
                <w:color w:val="auto"/>
              </w:rPr>
              <w:t>12/06/2023</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31.3750</w:t>
            </w:r>
          </w:p>
        </w:tc>
        <w:tc>
          <w:tcPr>
            <w:tcW w:w="1080" w:type="dxa"/>
            <w:vAlign w:val="bottom"/>
          </w:tcPr>
          <w:p>
            <w:pPr>
              <w:ind w:left="360"/>
              <w:spacing w:after="0"/>
              <w:rPr>
                <w:sz w:val="20"/>
                <w:szCs w:val="20"/>
                <w:color w:val="auto"/>
              </w:rPr>
            </w:pPr>
            <w:r>
              <w:rPr>
                <w:rFonts w:ascii="Arial" w:cs="Arial" w:eastAsia="Arial" w:hAnsi="Arial"/>
                <w:sz w:val="11"/>
                <w:szCs w:val="11"/>
                <w:color w:val="auto"/>
              </w:rPr>
              <w:t>12/05/2024</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29,600</w:t>
            </w:r>
          </w:p>
        </w:tc>
        <w:tc>
          <w:tcPr>
            <w:tcW w:w="1040" w:type="dxa"/>
            <w:vAlign w:val="bottom"/>
          </w:tcPr>
          <w:p>
            <w:pPr>
              <w:jc w:val="right"/>
              <w:spacing w:after="0"/>
              <w:rPr>
                <w:sz w:val="20"/>
                <w:szCs w:val="20"/>
                <w:color w:val="auto"/>
              </w:rPr>
            </w:pPr>
            <w:r>
              <w:rPr>
                <w:rFonts w:ascii="Arial" w:cs="Arial" w:eastAsia="Arial" w:hAnsi="Arial"/>
                <w:sz w:val="11"/>
                <w:szCs w:val="11"/>
                <w:color w:val="auto"/>
              </w:rPr>
              <w:t>14,800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38.8200</w:t>
            </w:r>
          </w:p>
        </w:tc>
        <w:tc>
          <w:tcPr>
            <w:tcW w:w="1080" w:type="dxa"/>
            <w:vAlign w:val="bottom"/>
          </w:tcPr>
          <w:p>
            <w:pPr>
              <w:ind w:left="360"/>
              <w:spacing w:after="0"/>
              <w:rPr>
                <w:sz w:val="20"/>
                <w:szCs w:val="20"/>
                <w:color w:val="auto"/>
              </w:rPr>
            </w:pPr>
            <w:r>
              <w:rPr>
                <w:rFonts w:ascii="Arial" w:cs="Arial" w:eastAsia="Arial" w:hAnsi="Arial"/>
                <w:sz w:val="11"/>
                <w:szCs w:val="11"/>
                <w:color w:val="auto"/>
              </w:rPr>
              <w:t>12/04/2025</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39,800</w:t>
            </w:r>
          </w:p>
        </w:tc>
        <w:tc>
          <w:tcPr>
            <w:tcW w:w="1040" w:type="dxa"/>
            <w:vAlign w:val="bottom"/>
          </w:tcPr>
          <w:p>
            <w:pPr>
              <w:jc w:val="right"/>
              <w:spacing w:after="0"/>
              <w:rPr>
                <w:sz w:val="20"/>
                <w:szCs w:val="20"/>
                <w:color w:val="auto"/>
              </w:rPr>
            </w:pPr>
            <w:r>
              <w:rPr>
                <w:rFonts w:ascii="Arial" w:cs="Arial" w:eastAsia="Arial" w:hAnsi="Arial"/>
                <w:sz w:val="11"/>
                <w:szCs w:val="11"/>
                <w:color w:val="auto"/>
              </w:rPr>
              <w:t>79,600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56.5400</w:t>
            </w:r>
          </w:p>
        </w:tc>
        <w:tc>
          <w:tcPr>
            <w:tcW w:w="1080" w:type="dxa"/>
            <w:vAlign w:val="bottom"/>
          </w:tcPr>
          <w:p>
            <w:pPr>
              <w:ind w:left="360"/>
              <w:spacing w:after="0"/>
              <w:rPr>
                <w:sz w:val="20"/>
                <w:szCs w:val="20"/>
                <w:color w:val="auto"/>
              </w:rPr>
            </w:pPr>
            <w:r>
              <w:rPr>
                <w:rFonts w:ascii="Arial" w:cs="Arial" w:eastAsia="Arial" w:hAnsi="Arial"/>
                <w:sz w:val="11"/>
                <w:szCs w:val="11"/>
                <w:color w:val="auto"/>
              </w:rPr>
              <w:t>12/09/2026</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vMerge w:val="restart"/>
          </w:tcPr>
          <w:p>
            <w:pPr>
              <w:ind w:left="100"/>
              <w:spacing w:after="0"/>
              <w:rPr>
                <w:sz w:val="20"/>
                <w:szCs w:val="20"/>
                <w:color w:val="auto"/>
              </w:rPr>
            </w:pPr>
            <w:r>
              <w:rPr>
                <w:rFonts w:ascii="Arial" w:cs="Arial" w:eastAsia="Arial" w:hAnsi="Arial"/>
                <w:sz w:val="11"/>
                <w:szCs w:val="11"/>
                <w:color w:val="auto"/>
              </w:rPr>
              <w:t>F’17-F’19 Performance Shares</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1040" w:type="dxa"/>
            <w:vAlign w:val="bottom"/>
          </w:tcPr>
          <w:p>
            <w:pPr>
              <w:jc w:val="right"/>
              <w:spacing w:after="0"/>
              <w:rPr>
                <w:sz w:val="20"/>
                <w:szCs w:val="20"/>
                <w:color w:val="auto"/>
              </w:rPr>
            </w:pPr>
            <w:r>
              <w:rPr>
                <w:rFonts w:ascii="Arial" w:cs="Arial" w:eastAsia="Arial" w:hAnsi="Arial"/>
                <w:sz w:val="11"/>
                <w:szCs w:val="11"/>
                <w:color w:val="auto"/>
              </w:rPr>
              <w:t>102,400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65.9300</w:t>
            </w:r>
          </w:p>
        </w:tc>
        <w:tc>
          <w:tcPr>
            <w:tcW w:w="1080" w:type="dxa"/>
            <w:vAlign w:val="bottom"/>
          </w:tcPr>
          <w:p>
            <w:pPr>
              <w:ind w:left="360"/>
              <w:spacing w:after="0"/>
              <w:rPr>
                <w:sz w:val="20"/>
                <w:szCs w:val="20"/>
                <w:color w:val="auto"/>
              </w:rPr>
            </w:pPr>
            <w:r>
              <w:rPr>
                <w:rFonts w:ascii="Arial" w:cs="Arial" w:eastAsia="Arial" w:hAnsi="Arial"/>
                <w:sz w:val="11"/>
                <w:szCs w:val="11"/>
                <w:color w:val="auto"/>
              </w:rPr>
              <w:t>12/08/2027</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vMerge w:val="restart"/>
          </w:tcPr>
          <w:p>
            <w:pPr>
              <w:jc w:val="right"/>
              <w:ind w:right="65"/>
              <w:spacing w:after="0"/>
              <w:rPr>
                <w:sz w:val="20"/>
                <w:szCs w:val="20"/>
                <w:color w:val="auto"/>
              </w:rPr>
            </w:pPr>
            <w:r>
              <w:rPr>
                <w:rFonts w:ascii="Arial" w:cs="Arial" w:eastAsia="Arial" w:hAnsi="Arial"/>
                <w:sz w:val="11"/>
                <w:szCs w:val="11"/>
                <w:color w:val="auto"/>
              </w:rPr>
              <w:t>37,848</w:t>
            </w:r>
          </w:p>
        </w:tc>
        <w:tc>
          <w:tcPr>
            <w:tcW w:w="2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vMerge w:val="restart"/>
          </w:tcPr>
          <w:p>
            <w:pPr>
              <w:jc w:val="right"/>
              <w:ind w:right="65"/>
              <w:spacing w:after="0"/>
              <w:rPr>
                <w:sz w:val="20"/>
                <w:szCs w:val="20"/>
                <w:color w:val="auto"/>
              </w:rPr>
            </w:pPr>
            <w:r>
              <w:rPr>
                <w:rFonts w:ascii="Arial" w:cs="Arial" w:eastAsia="Arial" w:hAnsi="Arial"/>
                <w:sz w:val="11"/>
                <w:szCs w:val="11"/>
                <w:color w:val="auto"/>
              </w:rPr>
              <w:t>2,131,978</w:t>
            </w:r>
          </w:p>
        </w:tc>
        <w:tc>
          <w:tcPr>
            <w:tcW w:w="0" w:type="dxa"/>
            <w:vAlign w:val="bottom"/>
          </w:tcPr>
          <w:p>
            <w:pPr>
              <w:spacing w:after="0"/>
              <w:rPr>
                <w:sz w:val="1"/>
                <w:szCs w:val="1"/>
                <w:color w:val="auto"/>
              </w:rPr>
            </w:pPr>
          </w:p>
        </w:tc>
      </w:tr>
      <w:tr>
        <w:trPr>
          <w:trHeight w:val="132"/>
        </w:trPr>
        <w:tc>
          <w:tcPr>
            <w:tcW w:w="2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20" w:type="dxa"/>
            <w:vAlign w:val="bottom"/>
          </w:tcPr>
          <w:p>
            <w:pPr>
              <w:ind w:left="100"/>
              <w:spacing w:after="0"/>
              <w:rPr>
                <w:sz w:val="20"/>
                <w:szCs w:val="20"/>
                <w:color w:val="auto"/>
              </w:rPr>
            </w:pPr>
            <w:r>
              <w:rPr>
                <w:rFonts w:ascii="Arial" w:cs="Arial" w:eastAsia="Arial" w:hAnsi="Arial"/>
                <w:sz w:val="11"/>
                <w:szCs w:val="11"/>
                <w:color w:val="auto"/>
              </w:rPr>
              <w:t>F’18-F’20 Performance Shares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23,883</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65"/>
              <w:spacing w:after="0"/>
              <w:rPr>
                <w:sz w:val="20"/>
                <w:szCs w:val="20"/>
                <w:color w:val="auto"/>
              </w:rPr>
            </w:pPr>
            <w:r>
              <w:rPr>
                <w:rFonts w:ascii="Arial" w:cs="Arial" w:eastAsia="Arial" w:hAnsi="Arial"/>
                <w:sz w:val="11"/>
                <w:szCs w:val="11"/>
                <w:color w:val="auto"/>
              </w:rPr>
              <w:t>1,345,329</w:t>
            </w: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20"/>
                <w:szCs w:val="20"/>
                <w:color w:val="auto"/>
              </w:rPr>
            </w:pPr>
            <w:r>
              <w:rPr>
                <w:rFonts w:ascii="Arial" w:cs="Arial" w:eastAsia="Arial" w:hAnsi="Arial"/>
                <w:sz w:val="11"/>
                <w:szCs w:val="11"/>
                <w:color w:val="auto"/>
              </w:rPr>
              <w:t>Renee J. Peterson</w:t>
            </w:r>
          </w:p>
        </w:tc>
        <w:tc>
          <w:tcPr>
            <w:tcW w:w="8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Stock Options</w:t>
            </w: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26,400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14.1125</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12/07/2021</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51,600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21.0300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12/11/2022</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38,800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29.7500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12/06/2023</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38,000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31.3750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12/05/2024</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26,266</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13,134</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38.8200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12/04/2025</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12,100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24,200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56.5400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12/09/2026</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rPr>
              <w:t>F’17-F’19 Performance Shares</w:t>
            </w: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28,400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65.9300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12/08/2027</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vMerge w:val="restart"/>
            <w:shd w:val="clear" w:color="auto" w:fill="D9D9D9"/>
          </w:tcPr>
          <w:p>
            <w:pPr>
              <w:jc w:val="right"/>
              <w:ind w:right="65"/>
              <w:spacing w:after="0"/>
              <w:rPr>
                <w:sz w:val="20"/>
                <w:szCs w:val="20"/>
                <w:color w:val="auto"/>
              </w:rPr>
            </w:pPr>
            <w:r>
              <w:rPr>
                <w:rFonts w:ascii="Arial" w:cs="Arial" w:eastAsia="Arial" w:hAnsi="Arial"/>
                <w:sz w:val="11"/>
                <w:szCs w:val="11"/>
                <w:color w:val="auto"/>
              </w:rPr>
              <w:t>11,553</w:t>
            </w:r>
          </w:p>
        </w:tc>
        <w:tc>
          <w:tcPr>
            <w:tcW w:w="280" w:type="dxa"/>
            <w:vAlign w:val="bottom"/>
            <w:vMerge w:val="restart"/>
            <w:shd w:val="clear" w:color="auto" w:fill="D9D9D9"/>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vMerge w:val="restart"/>
            <w:shd w:val="clear" w:color="auto" w:fill="D9D9D9"/>
          </w:tcPr>
          <w:p>
            <w:pPr>
              <w:jc w:val="right"/>
              <w:ind w:right="65"/>
              <w:spacing w:after="0"/>
              <w:rPr>
                <w:sz w:val="20"/>
                <w:szCs w:val="20"/>
                <w:color w:val="auto"/>
              </w:rPr>
            </w:pPr>
            <w:r>
              <w:rPr>
                <w:rFonts w:ascii="Arial" w:cs="Arial" w:eastAsia="Arial" w:hAnsi="Arial"/>
                <w:sz w:val="11"/>
                <w:szCs w:val="11"/>
                <w:color w:val="auto"/>
              </w:rPr>
              <w:t>650,780</w:t>
            </w:r>
          </w:p>
        </w:tc>
        <w:tc>
          <w:tcPr>
            <w:tcW w:w="0" w:type="dxa"/>
            <w:vAlign w:val="bottom"/>
          </w:tcPr>
          <w:p>
            <w:pPr>
              <w:spacing w:after="0"/>
              <w:rPr>
                <w:sz w:val="1"/>
                <w:szCs w:val="1"/>
                <w:color w:val="auto"/>
              </w:rPr>
            </w:pPr>
          </w:p>
        </w:tc>
      </w:tr>
      <w:tr>
        <w:trPr>
          <w:trHeight w:val="135"/>
        </w:trPr>
        <w:tc>
          <w:tcPr>
            <w:tcW w:w="2420" w:type="dxa"/>
            <w:vAlign w:val="bottom"/>
            <w:vMerge w:val="continue"/>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vMerge w:val="continue"/>
            <w:shd w:val="clear" w:color="auto" w:fill="D9D9D9"/>
          </w:tcPr>
          <w:p>
            <w:pPr>
              <w:spacing w:after="0"/>
              <w:rPr>
                <w:sz w:val="11"/>
                <w:szCs w:val="11"/>
                <w:color w:val="auto"/>
              </w:rPr>
            </w:pPr>
          </w:p>
        </w:tc>
        <w:tc>
          <w:tcPr>
            <w:tcW w:w="280" w:type="dxa"/>
            <w:vAlign w:val="bottom"/>
            <w:vMerge w:val="continue"/>
            <w:shd w:val="clear" w:color="auto" w:fill="D9D9D9"/>
          </w:tcPr>
          <w:p>
            <w:pPr>
              <w:spacing w:after="0"/>
              <w:rPr>
                <w:sz w:val="11"/>
                <w:szCs w:val="11"/>
                <w:color w:val="auto"/>
              </w:rPr>
            </w:pPr>
          </w:p>
        </w:tc>
        <w:tc>
          <w:tcPr>
            <w:tcW w:w="116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F’18-F’20 Performance Shares</w:t>
            </w:r>
          </w:p>
        </w:tc>
        <w:tc>
          <w:tcPr>
            <w:tcW w:w="8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jc w:val="right"/>
              <w:ind w:right="65"/>
              <w:spacing w:after="0"/>
              <w:rPr>
                <w:sz w:val="20"/>
                <w:szCs w:val="20"/>
                <w:color w:val="auto"/>
              </w:rPr>
            </w:pPr>
            <w:r>
              <w:rPr>
                <w:rFonts w:ascii="Arial" w:cs="Arial" w:eastAsia="Arial" w:hAnsi="Arial"/>
                <w:sz w:val="11"/>
                <w:szCs w:val="11"/>
                <w:color w:val="auto"/>
              </w:rPr>
              <w:t>6,639</w:t>
            </w:r>
          </w:p>
        </w:tc>
        <w:tc>
          <w:tcPr>
            <w:tcW w:w="28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shd w:val="clear" w:color="auto" w:fill="D9D9D9"/>
          </w:tcPr>
          <w:p>
            <w:pPr>
              <w:jc w:val="right"/>
              <w:ind w:right="65"/>
              <w:spacing w:after="0"/>
              <w:rPr>
                <w:sz w:val="20"/>
                <w:szCs w:val="20"/>
                <w:color w:val="auto"/>
              </w:rPr>
            </w:pPr>
            <w:r>
              <w:rPr>
                <w:rFonts w:ascii="Arial" w:cs="Arial" w:eastAsia="Arial" w:hAnsi="Arial"/>
                <w:sz w:val="11"/>
                <w:szCs w:val="11"/>
                <w:color w:val="auto"/>
              </w:rPr>
              <w:t>373,975</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1"/>
                <w:szCs w:val="11"/>
                <w:color w:val="auto"/>
              </w:rPr>
              <w:t>William E. Brown, Jr.</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24,800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15.8800</w:t>
            </w:r>
          </w:p>
        </w:tc>
        <w:tc>
          <w:tcPr>
            <w:tcW w:w="1080" w:type="dxa"/>
            <w:vAlign w:val="bottom"/>
          </w:tcPr>
          <w:p>
            <w:pPr>
              <w:ind w:left="360"/>
              <w:spacing w:after="0"/>
              <w:rPr>
                <w:sz w:val="20"/>
                <w:szCs w:val="20"/>
                <w:color w:val="auto"/>
              </w:rPr>
            </w:pPr>
            <w:r>
              <w:rPr>
                <w:rFonts w:ascii="Arial" w:cs="Arial" w:eastAsia="Arial" w:hAnsi="Arial"/>
                <w:sz w:val="11"/>
                <w:szCs w:val="11"/>
                <w:color w:val="auto"/>
              </w:rPr>
              <w:t>12/08/2020</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23,600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14.1125</w:t>
            </w:r>
          </w:p>
        </w:tc>
        <w:tc>
          <w:tcPr>
            <w:tcW w:w="1080" w:type="dxa"/>
            <w:vAlign w:val="bottom"/>
          </w:tcPr>
          <w:p>
            <w:pPr>
              <w:ind w:left="360"/>
              <w:spacing w:after="0"/>
              <w:rPr>
                <w:sz w:val="20"/>
                <w:szCs w:val="20"/>
                <w:color w:val="auto"/>
              </w:rPr>
            </w:pPr>
            <w:r>
              <w:rPr>
                <w:rFonts w:ascii="Arial" w:cs="Arial" w:eastAsia="Arial" w:hAnsi="Arial"/>
                <w:sz w:val="11"/>
                <w:szCs w:val="11"/>
                <w:color w:val="auto"/>
              </w:rPr>
              <w:t>12/07/2021</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33,600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21.0300</w:t>
            </w:r>
          </w:p>
        </w:tc>
        <w:tc>
          <w:tcPr>
            <w:tcW w:w="1080" w:type="dxa"/>
            <w:vAlign w:val="bottom"/>
          </w:tcPr>
          <w:p>
            <w:pPr>
              <w:ind w:left="360"/>
              <w:spacing w:after="0"/>
              <w:rPr>
                <w:sz w:val="20"/>
                <w:szCs w:val="20"/>
                <w:color w:val="auto"/>
              </w:rPr>
            </w:pPr>
            <w:r>
              <w:rPr>
                <w:rFonts w:ascii="Arial" w:cs="Arial" w:eastAsia="Arial" w:hAnsi="Arial"/>
                <w:sz w:val="11"/>
                <w:szCs w:val="11"/>
                <w:color w:val="auto"/>
              </w:rPr>
              <w:t>12/11/2022</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29.7500</w:t>
            </w:r>
          </w:p>
        </w:tc>
        <w:tc>
          <w:tcPr>
            <w:tcW w:w="1080" w:type="dxa"/>
            <w:vAlign w:val="bottom"/>
          </w:tcPr>
          <w:p>
            <w:pPr>
              <w:ind w:left="360"/>
              <w:spacing w:after="0"/>
              <w:rPr>
                <w:sz w:val="20"/>
                <w:szCs w:val="20"/>
                <w:color w:val="auto"/>
              </w:rPr>
            </w:pPr>
            <w:r>
              <w:rPr>
                <w:rFonts w:ascii="Arial" w:cs="Arial" w:eastAsia="Arial" w:hAnsi="Arial"/>
                <w:sz w:val="11"/>
                <w:szCs w:val="11"/>
                <w:color w:val="auto"/>
              </w:rPr>
              <w:t>12/06/2023</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22,600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31.3750</w:t>
            </w:r>
          </w:p>
        </w:tc>
        <w:tc>
          <w:tcPr>
            <w:tcW w:w="1080" w:type="dxa"/>
            <w:vAlign w:val="bottom"/>
          </w:tcPr>
          <w:p>
            <w:pPr>
              <w:ind w:left="360"/>
              <w:spacing w:after="0"/>
              <w:rPr>
                <w:sz w:val="20"/>
                <w:szCs w:val="20"/>
                <w:color w:val="auto"/>
              </w:rPr>
            </w:pPr>
            <w:r>
              <w:rPr>
                <w:rFonts w:ascii="Arial" w:cs="Arial" w:eastAsia="Arial" w:hAnsi="Arial"/>
                <w:sz w:val="11"/>
                <w:szCs w:val="11"/>
                <w:color w:val="auto"/>
              </w:rPr>
              <w:t>12/05/2024</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16,400</w:t>
            </w:r>
          </w:p>
        </w:tc>
        <w:tc>
          <w:tcPr>
            <w:tcW w:w="1040" w:type="dxa"/>
            <w:vAlign w:val="bottom"/>
          </w:tcPr>
          <w:p>
            <w:pPr>
              <w:jc w:val="right"/>
              <w:spacing w:after="0"/>
              <w:rPr>
                <w:sz w:val="20"/>
                <w:szCs w:val="20"/>
                <w:color w:val="auto"/>
              </w:rPr>
            </w:pPr>
            <w:r>
              <w:rPr>
                <w:rFonts w:ascii="Arial" w:cs="Arial" w:eastAsia="Arial" w:hAnsi="Arial"/>
                <w:sz w:val="11"/>
                <w:szCs w:val="11"/>
                <w:color w:val="auto"/>
              </w:rPr>
              <w:t>8,200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38.8200</w:t>
            </w:r>
          </w:p>
        </w:tc>
        <w:tc>
          <w:tcPr>
            <w:tcW w:w="1080" w:type="dxa"/>
            <w:vAlign w:val="bottom"/>
          </w:tcPr>
          <w:p>
            <w:pPr>
              <w:ind w:left="360"/>
              <w:spacing w:after="0"/>
              <w:rPr>
                <w:sz w:val="20"/>
                <w:szCs w:val="20"/>
                <w:color w:val="auto"/>
              </w:rPr>
            </w:pPr>
            <w:r>
              <w:rPr>
                <w:rFonts w:ascii="Arial" w:cs="Arial" w:eastAsia="Arial" w:hAnsi="Arial"/>
                <w:sz w:val="11"/>
                <w:szCs w:val="11"/>
                <w:color w:val="auto"/>
              </w:rPr>
              <w:t>12/04/2025</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8,466</w:t>
            </w:r>
          </w:p>
        </w:tc>
        <w:tc>
          <w:tcPr>
            <w:tcW w:w="1040" w:type="dxa"/>
            <w:vAlign w:val="bottom"/>
          </w:tcPr>
          <w:p>
            <w:pPr>
              <w:jc w:val="right"/>
              <w:spacing w:after="0"/>
              <w:rPr>
                <w:sz w:val="20"/>
                <w:szCs w:val="20"/>
                <w:color w:val="auto"/>
              </w:rPr>
            </w:pPr>
            <w:r>
              <w:rPr>
                <w:rFonts w:ascii="Arial" w:cs="Arial" w:eastAsia="Arial" w:hAnsi="Arial"/>
                <w:sz w:val="11"/>
                <w:szCs w:val="11"/>
                <w:color w:val="auto"/>
              </w:rPr>
              <w:t>16,934</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56.5400</w:t>
            </w:r>
          </w:p>
        </w:tc>
        <w:tc>
          <w:tcPr>
            <w:tcW w:w="1080" w:type="dxa"/>
            <w:vAlign w:val="bottom"/>
          </w:tcPr>
          <w:p>
            <w:pPr>
              <w:ind w:left="360"/>
              <w:spacing w:after="0"/>
              <w:rPr>
                <w:sz w:val="20"/>
                <w:szCs w:val="20"/>
                <w:color w:val="auto"/>
              </w:rPr>
            </w:pPr>
            <w:r>
              <w:rPr>
                <w:rFonts w:ascii="Arial" w:cs="Arial" w:eastAsia="Arial" w:hAnsi="Arial"/>
                <w:sz w:val="11"/>
                <w:szCs w:val="11"/>
                <w:color w:val="auto"/>
              </w:rPr>
              <w:t>12/09/2026</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vMerge w:val="restart"/>
          </w:tcPr>
          <w:p>
            <w:pPr>
              <w:ind w:left="100"/>
              <w:spacing w:after="0"/>
              <w:rPr>
                <w:sz w:val="20"/>
                <w:szCs w:val="20"/>
                <w:color w:val="auto"/>
              </w:rPr>
            </w:pPr>
            <w:r>
              <w:rPr>
                <w:rFonts w:ascii="Arial" w:cs="Arial" w:eastAsia="Arial" w:hAnsi="Arial"/>
                <w:sz w:val="11"/>
                <w:szCs w:val="11"/>
                <w:color w:val="auto"/>
              </w:rPr>
              <w:t>F’17-F’19 Performance Shares</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1040" w:type="dxa"/>
            <w:vAlign w:val="bottom"/>
          </w:tcPr>
          <w:p>
            <w:pPr>
              <w:jc w:val="right"/>
              <w:spacing w:after="0"/>
              <w:rPr>
                <w:sz w:val="20"/>
                <w:szCs w:val="20"/>
                <w:color w:val="auto"/>
              </w:rPr>
            </w:pPr>
            <w:r>
              <w:rPr>
                <w:rFonts w:ascii="Arial" w:cs="Arial" w:eastAsia="Arial" w:hAnsi="Arial"/>
                <w:sz w:val="11"/>
                <w:szCs w:val="11"/>
                <w:color w:val="auto"/>
              </w:rPr>
              <w:t>19,800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65.9300</w:t>
            </w:r>
          </w:p>
        </w:tc>
        <w:tc>
          <w:tcPr>
            <w:tcW w:w="1080" w:type="dxa"/>
            <w:vAlign w:val="bottom"/>
          </w:tcPr>
          <w:p>
            <w:pPr>
              <w:ind w:left="360"/>
              <w:spacing w:after="0"/>
              <w:rPr>
                <w:sz w:val="20"/>
                <w:szCs w:val="20"/>
                <w:color w:val="auto"/>
              </w:rPr>
            </w:pPr>
            <w:r>
              <w:rPr>
                <w:rFonts w:ascii="Arial" w:cs="Arial" w:eastAsia="Arial" w:hAnsi="Arial"/>
                <w:sz w:val="11"/>
                <w:szCs w:val="11"/>
                <w:color w:val="auto"/>
              </w:rPr>
              <w:t>12/08/2027</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vMerge w:val="restart"/>
          </w:tcPr>
          <w:p>
            <w:pPr>
              <w:jc w:val="right"/>
              <w:ind w:right="65"/>
              <w:spacing w:after="0"/>
              <w:rPr>
                <w:sz w:val="20"/>
                <w:szCs w:val="20"/>
                <w:color w:val="auto"/>
              </w:rPr>
            </w:pPr>
            <w:r>
              <w:rPr>
                <w:rFonts w:ascii="Arial" w:cs="Arial" w:eastAsia="Arial" w:hAnsi="Arial"/>
                <w:sz w:val="11"/>
                <w:szCs w:val="11"/>
                <w:color w:val="auto"/>
              </w:rPr>
              <w:t>8,100</w:t>
            </w:r>
          </w:p>
        </w:tc>
        <w:tc>
          <w:tcPr>
            <w:tcW w:w="2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vMerge w:val="restart"/>
          </w:tcPr>
          <w:p>
            <w:pPr>
              <w:jc w:val="right"/>
              <w:ind w:right="65"/>
              <w:spacing w:after="0"/>
              <w:rPr>
                <w:sz w:val="20"/>
                <w:szCs w:val="20"/>
                <w:color w:val="auto"/>
              </w:rPr>
            </w:pPr>
            <w:r>
              <w:rPr>
                <w:rFonts w:ascii="Arial" w:cs="Arial" w:eastAsia="Arial" w:hAnsi="Arial"/>
                <w:sz w:val="11"/>
                <w:szCs w:val="11"/>
                <w:color w:val="auto"/>
              </w:rPr>
              <w:t>456,273</w:t>
            </w:r>
          </w:p>
        </w:tc>
        <w:tc>
          <w:tcPr>
            <w:tcW w:w="0" w:type="dxa"/>
            <w:vAlign w:val="bottom"/>
          </w:tcPr>
          <w:p>
            <w:pPr>
              <w:spacing w:after="0"/>
              <w:rPr>
                <w:sz w:val="1"/>
                <w:szCs w:val="1"/>
                <w:color w:val="auto"/>
              </w:rPr>
            </w:pPr>
          </w:p>
        </w:tc>
      </w:tr>
      <w:tr>
        <w:trPr>
          <w:trHeight w:val="132"/>
        </w:trPr>
        <w:tc>
          <w:tcPr>
            <w:tcW w:w="2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20" w:type="dxa"/>
            <w:vAlign w:val="bottom"/>
          </w:tcPr>
          <w:p>
            <w:pPr>
              <w:ind w:left="100"/>
              <w:spacing w:after="0"/>
              <w:rPr>
                <w:sz w:val="20"/>
                <w:szCs w:val="20"/>
                <w:color w:val="auto"/>
              </w:rPr>
            </w:pPr>
            <w:r>
              <w:rPr>
                <w:rFonts w:ascii="Arial" w:cs="Arial" w:eastAsia="Arial" w:hAnsi="Arial"/>
                <w:sz w:val="11"/>
                <w:szCs w:val="11"/>
                <w:color w:val="auto"/>
              </w:rPr>
              <w:t>F’18-F’20 Performance Shares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4,657</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65"/>
              <w:spacing w:after="0"/>
              <w:rPr>
                <w:sz w:val="20"/>
                <w:szCs w:val="20"/>
                <w:color w:val="auto"/>
              </w:rPr>
            </w:pPr>
            <w:r>
              <w:rPr>
                <w:rFonts w:ascii="Arial" w:cs="Arial" w:eastAsia="Arial" w:hAnsi="Arial"/>
                <w:sz w:val="11"/>
                <w:szCs w:val="11"/>
                <w:color w:val="auto"/>
              </w:rPr>
              <w:t>262,329</w:t>
            </w: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20"/>
                <w:szCs w:val="20"/>
                <w:color w:val="auto"/>
              </w:rPr>
            </w:pPr>
            <w:r>
              <w:rPr>
                <w:rFonts w:ascii="Arial" w:cs="Arial" w:eastAsia="Arial" w:hAnsi="Arial"/>
                <w:sz w:val="11"/>
                <w:szCs w:val="11"/>
                <w:color w:val="auto"/>
              </w:rPr>
              <w:t>Timothy P. Dordell</w:t>
            </w:r>
          </w:p>
        </w:tc>
        <w:tc>
          <w:tcPr>
            <w:tcW w:w="8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Stock Options</w:t>
            </w: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31,000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21.0300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12/11/2022</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24,000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29.7500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12/06/2023</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23,800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31.3750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12/05/2024</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15,600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7,800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38.8200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12/04/2025</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8,100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16,200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56.5400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12/09/2026</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spacing w:after="0"/>
              <w:rPr>
                <w:sz w:val="11"/>
                <w:szCs w:val="11"/>
                <w:color w:val="auto"/>
              </w:rPr>
            </w:pPr>
          </w:p>
        </w:tc>
        <w:tc>
          <w:tcPr>
            <w:tcW w:w="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rPr>
              <w:t>F’17-F’19 Performance Shares</w:t>
            </w:r>
          </w:p>
        </w:tc>
        <w:tc>
          <w:tcPr>
            <w:tcW w:w="92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19,000</w:t>
            </w:r>
          </w:p>
        </w:tc>
        <w:tc>
          <w:tcPr>
            <w:tcW w:w="360" w:type="dxa"/>
            <w:vAlign w:val="bottom"/>
            <w:shd w:val="clear" w:color="auto" w:fill="D9D9D9"/>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shd w:val="clear" w:color="auto" w:fill="D9D9D9"/>
          </w:tcPr>
          <w:p>
            <w:pPr>
              <w:jc w:val="right"/>
              <w:ind w:right="163"/>
              <w:spacing w:after="0"/>
              <w:rPr>
                <w:sz w:val="20"/>
                <w:szCs w:val="20"/>
                <w:color w:val="auto"/>
              </w:rPr>
            </w:pPr>
            <w:r>
              <w:rPr>
                <w:rFonts w:ascii="Arial" w:cs="Arial" w:eastAsia="Arial" w:hAnsi="Arial"/>
                <w:sz w:val="11"/>
                <w:szCs w:val="11"/>
                <w:color w:val="auto"/>
              </w:rPr>
              <w:t>65.9300</w:t>
            </w:r>
          </w:p>
        </w:tc>
        <w:tc>
          <w:tcPr>
            <w:tcW w:w="1080" w:type="dxa"/>
            <w:vAlign w:val="bottom"/>
            <w:shd w:val="clear" w:color="auto" w:fill="D9D9D9"/>
          </w:tcPr>
          <w:p>
            <w:pPr>
              <w:ind w:left="360"/>
              <w:spacing w:after="0"/>
              <w:rPr>
                <w:sz w:val="20"/>
                <w:szCs w:val="20"/>
                <w:color w:val="auto"/>
              </w:rPr>
            </w:pPr>
            <w:r>
              <w:rPr>
                <w:rFonts w:ascii="Arial" w:cs="Arial" w:eastAsia="Arial" w:hAnsi="Arial"/>
                <w:sz w:val="11"/>
                <w:szCs w:val="11"/>
                <w:color w:val="auto"/>
              </w:rPr>
              <w:t>12/08/2027</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vMerge w:val="restart"/>
            <w:shd w:val="clear" w:color="auto" w:fill="D9D9D9"/>
          </w:tcPr>
          <w:p>
            <w:pPr>
              <w:jc w:val="right"/>
              <w:ind w:right="65"/>
              <w:spacing w:after="0"/>
              <w:rPr>
                <w:sz w:val="20"/>
                <w:szCs w:val="20"/>
                <w:color w:val="auto"/>
              </w:rPr>
            </w:pPr>
            <w:r>
              <w:rPr>
                <w:rFonts w:ascii="Arial" w:cs="Arial" w:eastAsia="Arial" w:hAnsi="Arial"/>
                <w:sz w:val="11"/>
                <w:szCs w:val="11"/>
                <w:color w:val="auto"/>
              </w:rPr>
              <w:t>7,702</w:t>
            </w:r>
          </w:p>
        </w:tc>
        <w:tc>
          <w:tcPr>
            <w:tcW w:w="280" w:type="dxa"/>
            <w:vAlign w:val="bottom"/>
            <w:vMerge w:val="restart"/>
            <w:shd w:val="clear" w:color="auto" w:fill="D9D9D9"/>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vMerge w:val="restart"/>
            <w:shd w:val="clear" w:color="auto" w:fill="D9D9D9"/>
          </w:tcPr>
          <w:p>
            <w:pPr>
              <w:jc w:val="right"/>
              <w:ind w:right="65"/>
              <w:spacing w:after="0"/>
              <w:rPr>
                <w:sz w:val="20"/>
                <w:szCs w:val="20"/>
                <w:color w:val="auto"/>
              </w:rPr>
            </w:pPr>
            <w:r>
              <w:rPr>
                <w:rFonts w:ascii="Arial" w:cs="Arial" w:eastAsia="Arial" w:hAnsi="Arial"/>
                <w:sz w:val="11"/>
                <w:szCs w:val="11"/>
                <w:color w:val="auto"/>
              </w:rPr>
              <w:t>433,854</w:t>
            </w:r>
          </w:p>
        </w:tc>
        <w:tc>
          <w:tcPr>
            <w:tcW w:w="0" w:type="dxa"/>
            <w:vAlign w:val="bottom"/>
          </w:tcPr>
          <w:p>
            <w:pPr>
              <w:spacing w:after="0"/>
              <w:rPr>
                <w:sz w:val="1"/>
                <w:szCs w:val="1"/>
                <w:color w:val="auto"/>
              </w:rPr>
            </w:pPr>
          </w:p>
        </w:tc>
      </w:tr>
      <w:tr>
        <w:trPr>
          <w:trHeight w:val="135"/>
        </w:trPr>
        <w:tc>
          <w:tcPr>
            <w:tcW w:w="2420" w:type="dxa"/>
            <w:vAlign w:val="bottom"/>
            <w:vMerge w:val="continue"/>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vMerge w:val="continue"/>
            <w:shd w:val="clear" w:color="auto" w:fill="D9D9D9"/>
          </w:tcPr>
          <w:p>
            <w:pPr>
              <w:spacing w:after="0"/>
              <w:rPr>
                <w:sz w:val="11"/>
                <w:szCs w:val="11"/>
                <w:color w:val="auto"/>
              </w:rPr>
            </w:pPr>
          </w:p>
        </w:tc>
        <w:tc>
          <w:tcPr>
            <w:tcW w:w="280" w:type="dxa"/>
            <w:vAlign w:val="bottom"/>
            <w:vMerge w:val="continue"/>
            <w:shd w:val="clear" w:color="auto" w:fill="D9D9D9"/>
          </w:tcPr>
          <w:p>
            <w:pPr>
              <w:spacing w:after="0"/>
              <w:rPr>
                <w:sz w:val="11"/>
                <w:szCs w:val="11"/>
                <w:color w:val="auto"/>
              </w:rPr>
            </w:pPr>
          </w:p>
        </w:tc>
        <w:tc>
          <w:tcPr>
            <w:tcW w:w="116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F’18-F’20 Performance Shares</w:t>
            </w:r>
          </w:p>
        </w:tc>
        <w:tc>
          <w:tcPr>
            <w:tcW w:w="8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460" w:type="dxa"/>
            <w:vAlign w:val="bottom"/>
            <w:shd w:val="clear" w:color="auto" w:fill="D9D9D9"/>
          </w:tcPr>
          <w:p>
            <w:pPr>
              <w:jc w:val="right"/>
              <w:ind w:right="65"/>
              <w:spacing w:after="0"/>
              <w:rPr>
                <w:sz w:val="20"/>
                <w:szCs w:val="20"/>
                <w:color w:val="auto"/>
              </w:rPr>
            </w:pPr>
            <w:r>
              <w:rPr>
                <w:rFonts w:ascii="Arial" w:cs="Arial" w:eastAsia="Arial" w:hAnsi="Arial"/>
                <w:sz w:val="11"/>
                <w:szCs w:val="11"/>
                <w:color w:val="auto"/>
              </w:rPr>
              <w:t>4,459</w:t>
            </w:r>
          </w:p>
        </w:tc>
        <w:tc>
          <w:tcPr>
            <w:tcW w:w="280" w:type="dxa"/>
            <w:vAlign w:val="bottom"/>
            <w:shd w:val="clear" w:color="auto" w:fill="D9D9D9"/>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shd w:val="clear" w:color="auto" w:fill="D9D9D9"/>
          </w:tcPr>
          <w:p>
            <w:pPr>
              <w:jc w:val="right"/>
              <w:ind w:right="65"/>
              <w:spacing w:after="0"/>
              <w:rPr>
                <w:sz w:val="20"/>
                <w:szCs w:val="20"/>
                <w:color w:val="auto"/>
              </w:rPr>
            </w:pPr>
            <w:r>
              <w:rPr>
                <w:rFonts w:ascii="Arial" w:cs="Arial" w:eastAsia="Arial" w:hAnsi="Arial"/>
                <w:sz w:val="11"/>
                <w:szCs w:val="11"/>
                <w:color w:val="auto"/>
              </w:rPr>
              <w:t>251,175</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1"/>
                <w:szCs w:val="11"/>
                <w:color w:val="auto"/>
              </w:rPr>
              <w:t>Bradley A. Hamilton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3,340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15.8800</w:t>
            </w:r>
          </w:p>
        </w:tc>
        <w:tc>
          <w:tcPr>
            <w:tcW w:w="1080" w:type="dxa"/>
            <w:vAlign w:val="bottom"/>
          </w:tcPr>
          <w:p>
            <w:pPr>
              <w:ind w:left="360"/>
              <w:spacing w:after="0"/>
              <w:rPr>
                <w:sz w:val="20"/>
                <w:szCs w:val="20"/>
                <w:color w:val="auto"/>
              </w:rPr>
            </w:pPr>
            <w:r>
              <w:rPr>
                <w:rFonts w:ascii="Arial" w:cs="Arial" w:eastAsia="Arial" w:hAnsi="Arial"/>
                <w:sz w:val="11"/>
                <w:szCs w:val="11"/>
                <w:color w:val="auto"/>
              </w:rPr>
              <w:t>12/08/2020</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3,340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15.8800</w:t>
            </w:r>
          </w:p>
        </w:tc>
        <w:tc>
          <w:tcPr>
            <w:tcW w:w="1080" w:type="dxa"/>
            <w:vAlign w:val="bottom"/>
          </w:tcPr>
          <w:p>
            <w:pPr>
              <w:ind w:left="360"/>
              <w:spacing w:after="0"/>
              <w:rPr>
                <w:sz w:val="20"/>
                <w:szCs w:val="20"/>
                <w:color w:val="auto"/>
              </w:rPr>
            </w:pPr>
            <w:r>
              <w:rPr>
                <w:rFonts w:ascii="Arial" w:cs="Arial" w:eastAsia="Arial" w:hAnsi="Arial"/>
                <w:sz w:val="11"/>
                <w:szCs w:val="11"/>
                <w:color w:val="auto"/>
              </w:rPr>
              <w:t>12/08/2020</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3,480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14.1125</w:t>
            </w:r>
          </w:p>
        </w:tc>
        <w:tc>
          <w:tcPr>
            <w:tcW w:w="1080" w:type="dxa"/>
            <w:vAlign w:val="bottom"/>
          </w:tcPr>
          <w:p>
            <w:pPr>
              <w:ind w:left="360"/>
              <w:spacing w:after="0"/>
              <w:rPr>
                <w:sz w:val="20"/>
                <w:szCs w:val="20"/>
                <w:color w:val="auto"/>
              </w:rPr>
            </w:pPr>
            <w:r>
              <w:rPr>
                <w:rFonts w:ascii="Arial" w:cs="Arial" w:eastAsia="Arial" w:hAnsi="Arial"/>
                <w:sz w:val="11"/>
                <w:szCs w:val="11"/>
                <w:color w:val="auto"/>
              </w:rPr>
              <w:t>12/07/2021</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21.0300</w:t>
            </w:r>
          </w:p>
        </w:tc>
        <w:tc>
          <w:tcPr>
            <w:tcW w:w="1080" w:type="dxa"/>
            <w:vAlign w:val="bottom"/>
          </w:tcPr>
          <w:p>
            <w:pPr>
              <w:ind w:left="360"/>
              <w:spacing w:after="0"/>
              <w:rPr>
                <w:sz w:val="20"/>
                <w:szCs w:val="20"/>
                <w:color w:val="auto"/>
              </w:rPr>
            </w:pPr>
            <w:r>
              <w:rPr>
                <w:rFonts w:ascii="Arial" w:cs="Arial" w:eastAsia="Arial" w:hAnsi="Arial"/>
                <w:sz w:val="11"/>
                <w:szCs w:val="11"/>
                <w:color w:val="auto"/>
              </w:rPr>
              <w:t>12/11/2022</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29.7500</w:t>
            </w:r>
          </w:p>
        </w:tc>
        <w:tc>
          <w:tcPr>
            <w:tcW w:w="1080" w:type="dxa"/>
            <w:vAlign w:val="bottom"/>
          </w:tcPr>
          <w:p>
            <w:pPr>
              <w:ind w:left="360"/>
              <w:spacing w:after="0"/>
              <w:rPr>
                <w:sz w:val="20"/>
                <w:szCs w:val="20"/>
                <w:color w:val="auto"/>
              </w:rPr>
            </w:pPr>
            <w:r>
              <w:rPr>
                <w:rFonts w:ascii="Arial" w:cs="Arial" w:eastAsia="Arial" w:hAnsi="Arial"/>
                <w:sz w:val="11"/>
                <w:szCs w:val="11"/>
                <w:color w:val="auto"/>
              </w:rPr>
              <w:t>12/06/2023</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29.7500</w:t>
            </w:r>
          </w:p>
        </w:tc>
        <w:tc>
          <w:tcPr>
            <w:tcW w:w="1080" w:type="dxa"/>
            <w:vAlign w:val="bottom"/>
          </w:tcPr>
          <w:p>
            <w:pPr>
              <w:ind w:left="360"/>
              <w:spacing w:after="0"/>
              <w:rPr>
                <w:sz w:val="20"/>
                <w:szCs w:val="20"/>
                <w:color w:val="auto"/>
              </w:rPr>
            </w:pPr>
            <w:r>
              <w:rPr>
                <w:rFonts w:ascii="Arial" w:cs="Arial" w:eastAsia="Arial" w:hAnsi="Arial"/>
                <w:sz w:val="11"/>
                <w:szCs w:val="11"/>
                <w:color w:val="auto"/>
              </w:rPr>
              <w:t>12/06/2023</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2,230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31.3750</w:t>
            </w:r>
          </w:p>
        </w:tc>
        <w:tc>
          <w:tcPr>
            <w:tcW w:w="1080" w:type="dxa"/>
            <w:vAlign w:val="bottom"/>
          </w:tcPr>
          <w:p>
            <w:pPr>
              <w:ind w:left="360"/>
              <w:spacing w:after="0"/>
              <w:rPr>
                <w:sz w:val="20"/>
                <w:szCs w:val="20"/>
                <w:color w:val="auto"/>
              </w:rPr>
            </w:pPr>
            <w:r>
              <w:rPr>
                <w:rFonts w:ascii="Arial" w:cs="Arial" w:eastAsia="Arial" w:hAnsi="Arial"/>
                <w:sz w:val="11"/>
                <w:szCs w:val="11"/>
                <w:color w:val="auto"/>
              </w:rPr>
              <w:t>12/05/2024</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7,200</w:t>
            </w:r>
          </w:p>
        </w:tc>
        <w:tc>
          <w:tcPr>
            <w:tcW w:w="1040" w:type="dxa"/>
            <w:vAlign w:val="bottom"/>
          </w:tcPr>
          <w:p>
            <w:pPr>
              <w:jc w:val="right"/>
              <w:spacing w:after="0"/>
              <w:rPr>
                <w:sz w:val="20"/>
                <w:szCs w:val="20"/>
                <w:color w:val="auto"/>
              </w:rPr>
            </w:pPr>
            <w:r>
              <w:rPr>
                <w:rFonts w:ascii="Arial" w:cs="Arial" w:eastAsia="Arial" w:hAnsi="Arial"/>
                <w:sz w:val="11"/>
                <w:szCs w:val="11"/>
                <w:color w:val="auto"/>
              </w:rPr>
              <w:t>3,600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38.8200</w:t>
            </w:r>
          </w:p>
        </w:tc>
        <w:tc>
          <w:tcPr>
            <w:tcW w:w="1080" w:type="dxa"/>
            <w:vAlign w:val="bottom"/>
          </w:tcPr>
          <w:p>
            <w:pPr>
              <w:ind w:left="360"/>
              <w:spacing w:after="0"/>
              <w:rPr>
                <w:sz w:val="20"/>
                <w:szCs w:val="20"/>
                <w:color w:val="auto"/>
              </w:rPr>
            </w:pPr>
            <w:r>
              <w:rPr>
                <w:rFonts w:ascii="Arial" w:cs="Arial" w:eastAsia="Arial" w:hAnsi="Arial"/>
                <w:sz w:val="11"/>
                <w:szCs w:val="11"/>
                <w:color w:val="auto"/>
              </w:rPr>
              <w:t>12/04/2025</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3,400</w:t>
            </w:r>
          </w:p>
        </w:tc>
        <w:tc>
          <w:tcPr>
            <w:tcW w:w="1040" w:type="dxa"/>
            <w:vAlign w:val="bottom"/>
          </w:tcPr>
          <w:p>
            <w:pPr>
              <w:jc w:val="right"/>
              <w:spacing w:after="0"/>
              <w:rPr>
                <w:sz w:val="20"/>
                <w:szCs w:val="20"/>
                <w:color w:val="auto"/>
              </w:rPr>
            </w:pPr>
            <w:r>
              <w:rPr>
                <w:rFonts w:ascii="Arial" w:cs="Arial" w:eastAsia="Arial" w:hAnsi="Arial"/>
                <w:sz w:val="11"/>
                <w:szCs w:val="11"/>
                <w:color w:val="auto"/>
              </w:rPr>
              <w:t>6,800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56.5400</w:t>
            </w:r>
          </w:p>
        </w:tc>
        <w:tc>
          <w:tcPr>
            <w:tcW w:w="1080" w:type="dxa"/>
            <w:vAlign w:val="bottom"/>
          </w:tcPr>
          <w:p>
            <w:pPr>
              <w:ind w:left="360"/>
              <w:spacing w:after="0"/>
              <w:rPr>
                <w:sz w:val="20"/>
                <w:szCs w:val="20"/>
                <w:color w:val="auto"/>
              </w:rPr>
            </w:pPr>
            <w:r>
              <w:rPr>
                <w:rFonts w:ascii="Arial" w:cs="Arial" w:eastAsia="Arial" w:hAnsi="Arial"/>
                <w:sz w:val="11"/>
                <w:szCs w:val="11"/>
                <w:color w:val="auto"/>
              </w:rPr>
              <w:t>12/09/2026</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vMerge w:val="restart"/>
          </w:tcPr>
          <w:p>
            <w:pPr>
              <w:ind w:left="100"/>
              <w:spacing w:after="0"/>
              <w:rPr>
                <w:sz w:val="20"/>
                <w:szCs w:val="20"/>
                <w:color w:val="auto"/>
              </w:rPr>
            </w:pPr>
            <w:r>
              <w:rPr>
                <w:rFonts w:ascii="Arial" w:cs="Arial" w:eastAsia="Arial" w:hAnsi="Arial"/>
                <w:sz w:val="11"/>
                <w:szCs w:val="11"/>
                <w:color w:val="auto"/>
              </w:rPr>
              <w:t>F’17-F’19 Performance Shares</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1040" w:type="dxa"/>
            <w:vAlign w:val="bottom"/>
          </w:tcPr>
          <w:p>
            <w:pPr>
              <w:jc w:val="right"/>
              <w:spacing w:after="0"/>
              <w:rPr>
                <w:sz w:val="20"/>
                <w:szCs w:val="20"/>
                <w:color w:val="auto"/>
              </w:rPr>
            </w:pPr>
            <w:r>
              <w:rPr>
                <w:rFonts w:ascii="Arial" w:cs="Arial" w:eastAsia="Arial" w:hAnsi="Arial"/>
                <w:sz w:val="11"/>
                <w:szCs w:val="11"/>
                <w:color w:val="auto"/>
              </w:rPr>
              <w:t>14,200</w:t>
            </w: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rPr>
                <w:sz w:val="20"/>
                <w:szCs w:val="20"/>
                <w:color w:val="auto"/>
              </w:rPr>
            </w:pPr>
            <w:r>
              <w:rPr>
                <w:rFonts w:ascii="Arial" w:cs="Arial" w:eastAsia="Arial" w:hAnsi="Arial"/>
                <w:sz w:val="11"/>
                <w:szCs w:val="11"/>
                <w:color w:val="auto"/>
              </w:rPr>
              <w:t>65.9300</w:t>
            </w:r>
          </w:p>
        </w:tc>
        <w:tc>
          <w:tcPr>
            <w:tcW w:w="1080" w:type="dxa"/>
            <w:vAlign w:val="bottom"/>
          </w:tcPr>
          <w:p>
            <w:pPr>
              <w:ind w:left="360"/>
              <w:spacing w:after="0"/>
              <w:rPr>
                <w:sz w:val="20"/>
                <w:szCs w:val="20"/>
                <w:color w:val="auto"/>
              </w:rPr>
            </w:pPr>
            <w:r>
              <w:rPr>
                <w:rFonts w:ascii="Arial" w:cs="Arial" w:eastAsia="Arial" w:hAnsi="Arial"/>
                <w:sz w:val="11"/>
                <w:szCs w:val="11"/>
                <w:color w:val="auto"/>
              </w:rPr>
              <w:t>12/08/2027</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vMerge w:val="restart"/>
          </w:tcPr>
          <w:p>
            <w:pPr>
              <w:jc w:val="right"/>
              <w:ind w:right="65"/>
              <w:spacing w:after="0"/>
              <w:rPr>
                <w:sz w:val="20"/>
                <w:szCs w:val="20"/>
                <w:color w:val="auto"/>
              </w:rPr>
            </w:pPr>
            <w:r>
              <w:rPr>
                <w:rFonts w:ascii="Arial" w:cs="Arial" w:eastAsia="Arial" w:hAnsi="Arial"/>
                <w:sz w:val="11"/>
                <w:szCs w:val="11"/>
                <w:color w:val="auto"/>
              </w:rPr>
              <w:t>3,187</w:t>
            </w:r>
          </w:p>
        </w:tc>
        <w:tc>
          <w:tcPr>
            <w:tcW w:w="2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vMerge w:val="restart"/>
          </w:tcPr>
          <w:p>
            <w:pPr>
              <w:jc w:val="right"/>
              <w:ind w:right="65"/>
              <w:spacing w:after="0"/>
              <w:rPr>
                <w:sz w:val="20"/>
                <w:szCs w:val="20"/>
                <w:color w:val="auto"/>
              </w:rPr>
            </w:pPr>
            <w:r>
              <w:rPr>
                <w:rFonts w:ascii="Arial" w:cs="Arial" w:eastAsia="Arial" w:hAnsi="Arial"/>
                <w:sz w:val="11"/>
                <w:szCs w:val="11"/>
                <w:color w:val="auto"/>
              </w:rPr>
              <w:t>179,524</w:t>
            </w:r>
          </w:p>
        </w:tc>
        <w:tc>
          <w:tcPr>
            <w:tcW w:w="0" w:type="dxa"/>
            <w:vAlign w:val="bottom"/>
          </w:tcPr>
          <w:p>
            <w:pPr>
              <w:spacing w:after="0"/>
              <w:rPr>
                <w:sz w:val="1"/>
                <w:szCs w:val="1"/>
                <w:color w:val="auto"/>
              </w:rPr>
            </w:pPr>
          </w:p>
        </w:tc>
      </w:tr>
      <w:tr>
        <w:trPr>
          <w:trHeight w:val="132"/>
        </w:trPr>
        <w:tc>
          <w:tcPr>
            <w:tcW w:w="2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tcPr>
          <w:p>
            <w:pPr>
              <w:ind w:left="100"/>
              <w:spacing w:after="0"/>
              <w:rPr>
                <w:sz w:val="20"/>
                <w:szCs w:val="20"/>
                <w:color w:val="auto"/>
              </w:rPr>
            </w:pPr>
            <w:r>
              <w:rPr>
                <w:rFonts w:ascii="Arial" w:cs="Arial" w:eastAsia="Arial" w:hAnsi="Arial"/>
                <w:sz w:val="11"/>
                <w:szCs w:val="11"/>
                <w:color w:val="auto"/>
              </w:rPr>
              <w:t>F’18-F’20 Performance Shares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jc w:val="right"/>
              <w:ind w:right="65"/>
              <w:spacing w:after="0"/>
              <w:rPr>
                <w:sz w:val="20"/>
                <w:szCs w:val="20"/>
                <w:color w:val="auto"/>
              </w:rPr>
            </w:pPr>
            <w:r>
              <w:rPr>
                <w:rFonts w:ascii="Arial" w:cs="Arial" w:eastAsia="Arial" w:hAnsi="Arial"/>
                <w:sz w:val="11"/>
                <w:szCs w:val="11"/>
                <w:color w:val="auto"/>
              </w:rPr>
              <w:t>3,270</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65"/>
              <w:spacing w:after="0"/>
              <w:rPr>
                <w:sz w:val="20"/>
                <w:szCs w:val="20"/>
                <w:color w:val="auto"/>
              </w:rPr>
            </w:pPr>
            <w:r>
              <w:rPr>
                <w:rFonts w:ascii="Arial" w:cs="Arial" w:eastAsia="Arial" w:hAnsi="Arial"/>
                <w:sz w:val="11"/>
                <w:szCs w:val="11"/>
                <w:color w:val="auto"/>
              </w:rPr>
              <w:t>184,199</w:t>
            </w:r>
          </w:p>
        </w:tc>
        <w:tc>
          <w:tcPr>
            <w:tcW w:w="0" w:type="dxa"/>
            <w:vAlign w:val="bottom"/>
          </w:tcPr>
          <w:p>
            <w:pPr>
              <w:spacing w:after="0"/>
              <w:rPr>
                <w:sz w:val="1"/>
                <w:szCs w:val="1"/>
                <w:color w:val="auto"/>
              </w:rPr>
            </w:pPr>
          </w:p>
        </w:tc>
      </w:tr>
      <w:tr>
        <w:trPr>
          <w:trHeight w:val="89"/>
        </w:trPr>
        <w:tc>
          <w:tcPr>
            <w:tcW w:w="2420" w:type="dxa"/>
            <w:vAlign w:val="bottom"/>
            <w:tcBorders>
              <w:bottom w:val="single" w:sz="8" w:color="C00000"/>
            </w:tcBorders>
          </w:tcPr>
          <w:p>
            <w:pPr>
              <w:spacing w:after="0"/>
              <w:rPr>
                <w:sz w:val="7"/>
                <w:szCs w:val="7"/>
                <w:color w:val="auto"/>
              </w:rPr>
            </w:pPr>
          </w:p>
        </w:tc>
        <w:tc>
          <w:tcPr>
            <w:tcW w:w="840" w:type="dxa"/>
            <w:vAlign w:val="bottom"/>
            <w:tcBorders>
              <w:bottom w:val="single" w:sz="8" w:color="C00000"/>
            </w:tcBorders>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-5648325</wp:posOffset>
            </wp:positionV>
            <wp:extent cx="557085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70855" cy="762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0" w:name="page61"/>
    <w:bookmarkEnd w:id="6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36" w:lineRule="exact"/>
        <w:rPr>
          <w:sz w:val="20"/>
          <w:szCs w:val="20"/>
          <w:color w:val="auto"/>
        </w:rPr>
      </w:pPr>
    </w:p>
    <w:p>
      <w:pPr>
        <w:ind w:left="402" w:right="140" w:hanging="402"/>
        <w:spacing w:after="0" w:line="245" w:lineRule="auto"/>
        <w:tabs>
          <w:tab w:leader="none" w:pos="402" w:val="left"/>
        </w:tabs>
        <w:numPr>
          <w:ilvl w:val="0"/>
          <w:numId w:val="71"/>
        </w:numPr>
        <w:rPr>
          <w:rFonts w:ascii="Arial" w:cs="Arial" w:eastAsia="Arial" w:hAnsi="Arial"/>
          <w:sz w:val="15"/>
          <w:szCs w:val="15"/>
          <w:color w:val="auto"/>
        </w:rPr>
      </w:pPr>
      <w:r>
        <w:rPr>
          <w:rFonts w:ascii="Arial" w:cs="Arial" w:eastAsia="Arial" w:hAnsi="Arial"/>
          <w:sz w:val="15"/>
          <w:szCs w:val="15"/>
          <w:color w:val="auto"/>
        </w:rPr>
        <w:t>Stock options have a ten-year term and vest ratably in three equal installments on each of the first, second and third year anniversaries of the date of grant. The vesting schedule for options unexercisable as of October 31, 2018 is as follows:</w:t>
      </w:r>
    </w:p>
    <w:p>
      <w:pPr>
        <w:spacing w:after="0" w:line="99" w:lineRule="exact"/>
        <w:rPr>
          <w:sz w:val="20"/>
          <w:szCs w:val="20"/>
          <w:color w:val="auto"/>
        </w:rPr>
      </w:pPr>
    </w:p>
    <w:tbl>
      <w:tblPr>
        <w:tblLayout w:type="fixed"/>
        <w:tblInd w:w="462" w:type="dxa"/>
        <w:tblCellMar>
          <w:top w:w="0" w:type="dxa"/>
          <w:left w:w="0" w:type="dxa"/>
          <w:bottom w:w="0" w:type="dxa"/>
          <w:right w:w="0" w:type="dxa"/>
        </w:tblCellMar>
      </w:tblPr>
      <w:tr>
        <w:trPr>
          <w:trHeight w:val="164"/>
        </w:trPr>
        <w:tc>
          <w:tcPr>
            <w:tcW w:w="2020" w:type="dxa"/>
            <w:vAlign w:val="bottom"/>
            <w:shd w:val="clear" w:color="auto" w:fill="C00000"/>
          </w:tcPr>
          <w:p>
            <w:pPr>
              <w:spacing w:after="0"/>
              <w:rPr>
                <w:sz w:val="14"/>
                <w:szCs w:val="14"/>
                <w:color w:val="auto"/>
              </w:rPr>
            </w:pPr>
          </w:p>
        </w:tc>
        <w:tc>
          <w:tcPr>
            <w:tcW w:w="1240" w:type="dxa"/>
            <w:vAlign w:val="bottom"/>
            <w:shd w:val="clear" w:color="auto" w:fill="C00000"/>
          </w:tcPr>
          <w:p>
            <w:pPr>
              <w:spacing w:after="0"/>
              <w:rPr>
                <w:sz w:val="14"/>
                <w:szCs w:val="14"/>
                <w:color w:val="auto"/>
              </w:rPr>
            </w:pPr>
          </w:p>
        </w:tc>
        <w:tc>
          <w:tcPr>
            <w:tcW w:w="1040" w:type="dxa"/>
            <w:vAlign w:val="bottom"/>
            <w:shd w:val="clear" w:color="auto" w:fill="C00000"/>
          </w:tcPr>
          <w:p>
            <w:pPr>
              <w:spacing w:after="0"/>
              <w:rPr>
                <w:sz w:val="14"/>
                <w:szCs w:val="14"/>
                <w:color w:val="auto"/>
              </w:rPr>
            </w:pPr>
          </w:p>
        </w:tc>
        <w:tc>
          <w:tcPr>
            <w:tcW w:w="1100" w:type="dxa"/>
            <w:vAlign w:val="bottom"/>
            <w:shd w:val="clear" w:color="auto" w:fill="C00000"/>
          </w:tcPr>
          <w:p>
            <w:pPr>
              <w:spacing w:after="0"/>
              <w:rPr>
                <w:sz w:val="14"/>
                <w:szCs w:val="14"/>
                <w:color w:val="auto"/>
              </w:rPr>
            </w:pPr>
          </w:p>
        </w:tc>
        <w:tc>
          <w:tcPr>
            <w:tcW w:w="1120" w:type="dxa"/>
            <w:vAlign w:val="bottom"/>
            <w:shd w:val="clear" w:color="auto" w:fill="C00000"/>
          </w:tcPr>
          <w:p>
            <w:pPr>
              <w:spacing w:after="0"/>
              <w:rPr>
                <w:sz w:val="14"/>
                <w:szCs w:val="14"/>
                <w:color w:val="auto"/>
              </w:rPr>
            </w:pPr>
          </w:p>
        </w:tc>
        <w:tc>
          <w:tcPr>
            <w:tcW w:w="1100" w:type="dxa"/>
            <w:vAlign w:val="bottom"/>
            <w:shd w:val="clear" w:color="auto" w:fill="C00000"/>
          </w:tcPr>
          <w:p>
            <w:pPr>
              <w:spacing w:after="0"/>
              <w:rPr>
                <w:sz w:val="14"/>
                <w:szCs w:val="14"/>
                <w:color w:val="auto"/>
              </w:rPr>
            </w:pPr>
          </w:p>
        </w:tc>
        <w:tc>
          <w:tcPr>
            <w:tcW w:w="1120" w:type="dxa"/>
            <w:vAlign w:val="bottom"/>
            <w:shd w:val="clear" w:color="auto" w:fill="C00000"/>
          </w:tcPr>
          <w:p>
            <w:pPr>
              <w:spacing w:after="0"/>
              <w:rPr>
                <w:sz w:val="14"/>
                <w:szCs w:val="14"/>
                <w:color w:val="auto"/>
              </w:rPr>
            </w:pPr>
          </w:p>
        </w:tc>
        <w:tc>
          <w:tcPr>
            <w:tcW w:w="1180" w:type="dxa"/>
            <w:vAlign w:val="bottom"/>
            <w:shd w:val="clear" w:color="auto" w:fill="C00000"/>
          </w:tcPr>
          <w:p>
            <w:pPr>
              <w:spacing w:after="0"/>
              <w:rPr>
                <w:sz w:val="14"/>
                <w:szCs w:val="14"/>
                <w:color w:val="auto"/>
              </w:rPr>
            </w:pPr>
          </w:p>
        </w:tc>
        <w:tc>
          <w:tcPr>
            <w:tcW w:w="1040" w:type="dxa"/>
            <w:vAlign w:val="bottom"/>
            <w:shd w:val="clear" w:color="auto" w:fill="C00000"/>
          </w:tcPr>
          <w:p>
            <w:pPr>
              <w:ind w:left="340"/>
              <w:spacing w:after="0"/>
              <w:rPr>
                <w:sz w:val="20"/>
                <w:szCs w:val="20"/>
                <w:color w:val="auto"/>
              </w:rPr>
            </w:pPr>
            <w:r>
              <w:rPr>
                <w:rFonts w:ascii="Arial" w:cs="Arial" w:eastAsia="Arial" w:hAnsi="Arial"/>
                <w:sz w:val="13"/>
                <w:szCs w:val="13"/>
                <w:color w:val="FFFFFF"/>
              </w:rPr>
              <w:t>Option</w:t>
            </w:r>
          </w:p>
        </w:tc>
      </w:tr>
      <w:tr>
        <w:trPr>
          <w:trHeight w:val="147"/>
        </w:trPr>
        <w:tc>
          <w:tcPr>
            <w:tcW w:w="2020" w:type="dxa"/>
            <w:vAlign w:val="bottom"/>
            <w:shd w:val="clear" w:color="auto" w:fill="C00000"/>
          </w:tcPr>
          <w:p>
            <w:pPr>
              <w:spacing w:after="0"/>
              <w:rPr>
                <w:sz w:val="12"/>
                <w:szCs w:val="12"/>
                <w:color w:val="auto"/>
              </w:rPr>
            </w:pPr>
          </w:p>
        </w:tc>
        <w:tc>
          <w:tcPr>
            <w:tcW w:w="1240" w:type="dxa"/>
            <w:vAlign w:val="bottom"/>
            <w:shd w:val="clear" w:color="auto" w:fill="C00000"/>
          </w:tcPr>
          <w:p>
            <w:pPr>
              <w:spacing w:after="0"/>
              <w:rPr>
                <w:sz w:val="12"/>
                <w:szCs w:val="12"/>
                <w:color w:val="auto"/>
              </w:rPr>
            </w:pPr>
          </w:p>
        </w:tc>
        <w:tc>
          <w:tcPr>
            <w:tcW w:w="1040" w:type="dxa"/>
            <w:vAlign w:val="bottom"/>
            <w:shd w:val="clear" w:color="auto" w:fill="C00000"/>
          </w:tcPr>
          <w:p>
            <w:pPr>
              <w:spacing w:after="0"/>
              <w:rPr>
                <w:sz w:val="12"/>
                <w:szCs w:val="12"/>
                <w:color w:val="auto"/>
              </w:rPr>
            </w:pPr>
          </w:p>
        </w:tc>
        <w:tc>
          <w:tcPr>
            <w:tcW w:w="1100" w:type="dxa"/>
            <w:vAlign w:val="bottom"/>
            <w:shd w:val="clear" w:color="auto" w:fill="C00000"/>
          </w:tcPr>
          <w:p>
            <w:pPr>
              <w:spacing w:after="0"/>
              <w:rPr>
                <w:sz w:val="12"/>
                <w:szCs w:val="12"/>
                <w:color w:val="auto"/>
              </w:rPr>
            </w:pPr>
          </w:p>
        </w:tc>
        <w:tc>
          <w:tcPr>
            <w:tcW w:w="1120" w:type="dxa"/>
            <w:vAlign w:val="bottom"/>
            <w:shd w:val="clear" w:color="auto" w:fill="C00000"/>
          </w:tcPr>
          <w:p>
            <w:pPr>
              <w:spacing w:after="0"/>
              <w:rPr>
                <w:sz w:val="12"/>
                <w:szCs w:val="12"/>
                <w:color w:val="auto"/>
              </w:rPr>
            </w:pPr>
          </w:p>
        </w:tc>
        <w:tc>
          <w:tcPr>
            <w:tcW w:w="1100" w:type="dxa"/>
            <w:vAlign w:val="bottom"/>
            <w:shd w:val="clear" w:color="auto" w:fill="C00000"/>
          </w:tcPr>
          <w:p>
            <w:pPr>
              <w:spacing w:after="0"/>
              <w:rPr>
                <w:sz w:val="12"/>
                <w:szCs w:val="12"/>
                <w:color w:val="auto"/>
              </w:rPr>
            </w:pPr>
          </w:p>
        </w:tc>
        <w:tc>
          <w:tcPr>
            <w:tcW w:w="1120" w:type="dxa"/>
            <w:vAlign w:val="bottom"/>
            <w:shd w:val="clear" w:color="auto" w:fill="C00000"/>
          </w:tcPr>
          <w:p>
            <w:pPr>
              <w:spacing w:after="0"/>
              <w:rPr>
                <w:sz w:val="12"/>
                <w:szCs w:val="12"/>
                <w:color w:val="auto"/>
              </w:rPr>
            </w:pPr>
          </w:p>
        </w:tc>
        <w:tc>
          <w:tcPr>
            <w:tcW w:w="1180" w:type="dxa"/>
            <w:vAlign w:val="bottom"/>
            <w:shd w:val="clear" w:color="auto" w:fill="C00000"/>
          </w:tcPr>
          <w:p>
            <w:pPr>
              <w:spacing w:after="0"/>
              <w:rPr>
                <w:sz w:val="12"/>
                <w:szCs w:val="12"/>
                <w:color w:val="auto"/>
              </w:rPr>
            </w:pPr>
          </w:p>
        </w:tc>
        <w:tc>
          <w:tcPr>
            <w:tcW w:w="1040" w:type="dxa"/>
            <w:vAlign w:val="bottom"/>
            <w:shd w:val="clear" w:color="auto" w:fill="C00000"/>
          </w:tcPr>
          <w:p>
            <w:pPr>
              <w:ind w:left="240"/>
              <w:spacing w:after="0" w:line="148" w:lineRule="exact"/>
              <w:rPr>
                <w:sz w:val="20"/>
                <w:szCs w:val="20"/>
                <w:color w:val="auto"/>
              </w:rPr>
            </w:pPr>
            <w:r>
              <w:rPr>
                <w:rFonts w:ascii="Arial" w:cs="Arial" w:eastAsia="Arial" w:hAnsi="Arial"/>
                <w:sz w:val="13"/>
                <w:szCs w:val="13"/>
                <w:color w:val="FFFFFF"/>
              </w:rPr>
              <w:t>Expiration</w:t>
            </w:r>
          </w:p>
        </w:tc>
      </w:tr>
      <w:tr>
        <w:trPr>
          <w:trHeight w:val="143"/>
        </w:trPr>
        <w:tc>
          <w:tcPr>
            <w:tcW w:w="2020" w:type="dxa"/>
            <w:vAlign w:val="bottom"/>
            <w:shd w:val="clear" w:color="auto" w:fill="C00000"/>
          </w:tcPr>
          <w:p>
            <w:pPr>
              <w:spacing w:after="0" w:line="143" w:lineRule="exact"/>
              <w:rPr>
                <w:sz w:val="20"/>
                <w:szCs w:val="20"/>
                <w:color w:val="auto"/>
              </w:rPr>
            </w:pPr>
            <w:r>
              <w:rPr>
                <w:rFonts w:ascii="Arial" w:cs="Arial" w:eastAsia="Arial" w:hAnsi="Arial"/>
                <w:sz w:val="13"/>
                <w:szCs w:val="13"/>
                <w:color w:val="FFFFFF"/>
              </w:rPr>
              <w:t>Name</w:t>
            </w:r>
          </w:p>
        </w:tc>
        <w:tc>
          <w:tcPr>
            <w:tcW w:w="1240" w:type="dxa"/>
            <w:vAlign w:val="bottom"/>
            <w:shd w:val="clear" w:color="auto" w:fill="C00000"/>
          </w:tcPr>
          <w:p>
            <w:pPr>
              <w:jc w:val="right"/>
              <w:ind w:right="235"/>
              <w:spacing w:after="0" w:line="143" w:lineRule="exact"/>
              <w:rPr>
                <w:sz w:val="20"/>
                <w:szCs w:val="20"/>
                <w:color w:val="auto"/>
              </w:rPr>
            </w:pPr>
            <w:r>
              <w:rPr>
                <w:rFonts w:ascii="Arial" w:cs="Arial" w:eastAsia="Arial" w:hAnsi="Arial"/>
                <w:sz w:val="13"/>
                <w:szCs w:val="13"/>
                <w:color w:val="FFFFFF"/>
              </w:rPr>
              <w:t>Grant Date</w:t>
            </w:r>
          </w:p>
        </w:tc>
        <w:tc>
          <w:tcPr>
            <w:tcW w:w="1040" w:type="dxa"/>
            <w:vAlign w:val="bottom"/>
            <w:shd w:val="clear" w:color="auto" w:fill="C00000"/>
          </w:tcPr>
          <w:p>
            <w:pPr>
              <w:jc w:val="right"/>
              <w:ind w:right="195"/>
              <w:spacing w:after="0" w:line="143" w:lineRule="exact"/>
              <w:rPr>
                <w:sz w:val="20"/>
                <w:szCs w:val="20"/>
                <w:color w:val="auto"/>
              </w:rPr>
            </w:pPr>
            <w:r>
              <w:rPr>
                <w:rFonts w:ascii="Arial" w:cs="Arial" w:eastAsia="Arial" w:hAnsi="Arial"/>
                <w:sz w:val="13"/>
                <w:szCs w:val="13"/>
                <w:color w:val="FFFFFF"/>
              </w:rPr>
              <w:t>12/04/2018</w:t>
            </w:r>
          </w:p>
        </w:tc>
        <w:tc>
          <w:tcPr>
            <w:tcW w:w="1100" w:type="dxa"/>
            <w:vAlign w:val="bottom"/>
            <w:shd w:val="clear" w:color="auto" w:fill="C00000"/>
          </w:tcPr>
          <w:p>
            <w:pPr>
              <w:jc w:val="right"/>
              <w:ind w:right="195"/>
              <w:spacing w:after="0" w:line="143" w:lineRule="exact"/>
              <w:rPr>
                <w:sz w:val="20"/>
                <w:szCs w:val="20"/>
                <w:color w:val="auto"/>
              </w:rPr>
            </w:pPr>
            <w:r>
              <w:rPr>
                <w:rFonts w:ascii="Arial" w:cs="Arial" w:eastAsia="Arial" w:hAnsi="Arial"/>
                <w:sz w:val="13"/>
                <w:szCs w:val="13"/>
                <w:color w:val="FFFFFF"/>
              </w:rPr>
              <w:t>12/08/2018</w:t>
            </w:r>
          </w:p>
        </w:tc>
        <w:tc>
          <w:tcPr>
            <w:tcW w:w="1120" w:type="dxa"/>
            <w:vAlign w:val="bottom"/>
            <w:shd w:val="clear" w:color="auto" w:fill="C00000"/>
          </w:tcPr>
          <w:p>
            <w:pPr>
              <w:jc w:val="right"/>
              <w:ind w:right="215"/>
              <w:spacing w:after="0" w:line="143" w:lineRule="exact"/>
              <w:rPr>
                <w:sz w:val="20"/>
                <w:szCs w:val="20"/>
                <w:color w:val="auto"/>
              </w:rPr>
            </w:pPr>
            <w:r>
              <w:rPr>
                <w:rFonts w:ascii="Arial" w:cs="Arial" w:eastAsia="Arial" w:hAnsi="Arial"/>
                <w:sz w:val="13"/>
                <w:szCs w:val="13"/>
                <w:color w:val="FFFFFF"/>
              </w:rPr>
              <w:t>12/09/2018</w:t>
            </w:r>
          </w:p>
        </w:tc>
        <w:tc>
          <w:tcPr>
            <w:tcW w:w="1100" w:type="dxa"/>
            <w:vAlign w:val="bottom"/>
            <w:shd w:val="clear" w:color="auto" w:fill="C00000"/>
          </w:tcPr>
          <w:p>
            <w:pPr>
              <w:jc w:val="right"/>
              <w:ind w:right="215"/>
              <w:spacing w:after="0" w:line="143" w:lineRule="exact"/>
              <w:rPr>
                <w:sz w:val="20"/>
                <w:szCs w:val="20"/>
                <w:color w:val="auto"/>
              </w:rPr>
            </w:pPr>
            <w:r>
              <w:rPr>
                <w:rFonts w:ascii="Arial" w:cs="Arial" w:eastAsia="Arial" w:hAnsi="Arial"/>
                <w:sz w:val="13"/>
                <w:szCs w:val="13"/>
                <w:color w:val="FFFFFF"/>
              </w:rPr>
              <w:t>12/08/2019</w:t>
            </w:r>
          </w:p>
        </w:tc>
        <w:tc>
          <w:tcPr>
            <w:tcW w:w="1120" w:type="dxa"/>
            <w:vAlign w:val="bottom"/>
            <w:shd w:val="clear" w:color="auto" w:fill="C00000"/>
          </w:tcPr>
          <w:p>
            <w:pPr>
              <w:jc w:val="right"/>
              <w:ind w:right="235"/>
              <w:spacing w:after="0" w:line="143" w:lineRule="exact"/>
              <w:rPr>
                <w:sz w:val="20"/>
                <w:szCs w:val="20"/>
                <w:color w:val="auto"/>
              </w:rPr>
            </w:pPr>
            <w:r>
              <w:rPr>
                <w:rFonts w:ascii="Arial" w:cs="Arial" w:eastAsia="Arial" w:hAnsi="Arial"/>
                <w:sz w:val="13"/>
                <w:szCs w:val="13"/>
                <w:color w:val="FFFFFF"/>
              </w:rPr>
              <w:t>12/09/2019</w:t>
            </w:r>
          </w:p>
        </w:tc>
        <w:tc>
          <w:tcPr>
            <w:tcW w:w="1180" w:type="dxa"/>
            <w:vAlign w:val="bottom"/>
            <w:shd w:val="clear" w:color="auto" w:fill="C00000"/>
          </w:tcPr>
          <w:p>
            <w:pPr>
              <w:jc w:val="right"/>
              <w:ind w:right="295"/>
              <w:spacing w:after="0" w:line="143" w:lineRule="exact"/>
              <w:rPr>
                <w:sz w:val="20"/>
                <w:szCs w:val="20"/>
                <w:color w:val="auto"/>
              </w:rPr>
            </w:pPr>
            <w:r>
              <w:rPr>
                <w:rFonts w:ascii="Arial" w:cs="Arial" w:eastAsia="Arial" w:hAnsi="Arial"/>
                <w:sz w:val="13"/>
                <w:szCs w:val="13"/>
                <w:color w:val="FFFFFF"/>
              </w:rPr>
              <w:t>12/08/2020</w:t>
            </w:r>
          </w:p>
        </w:tc>
        <w:tc>
          <w:tcPr>
            <w:tcW w:w="1040" w:type="dxa"/>
            <w:vAlign w:val="bottom"/>
            <w:shd w:val="clear" w:color="auto" w:fill="C00000"/>
          </w:tcPr>
          <w:p>
            <w:pPr>
              <w:ind w:left="380"/>
              <w:spacing w:after="0" w:line="143" w:lineRule="exact"/>
              <w:rPr>
                <w:sz w:val="20"/>
                <w:szCs w:val="20"/>
                <w:color w:val="auto"/>
              </w:rPr>
            </w:pPr>
            <w:r>
              <w:rPr>
                <w:rFonts w:ascii="Arial" w:cs="Arial" w:eastAsia="Arial" w:hAnsi="Arial"/>
                <w:sz w:val="13"/>
                <w:szCs w:val="13"/>
                <w:color w:val="FFFFFF"/>
              </w:rPr>
              <w:t>Date</w:t>
            </w:r>
          </w:p>
        </w:tc>
      </w:tr>
      <w:tr>
        <w:trPr>
          <w:trHeight w:val="173"/>
        </w:trPr>
        <w:tc>
          <w:tcPr>
            <w:tcW w:w="2020" w:type="dxa"/>
            <w:vAlign w:val="bottom"/>
          </w:tcPr>
          <w:p>
            <w:pPr>
              <w:spacing w:after="0"/>
              <w:rPr>
                <w:sz w:val="20"/>
                <w:szCs w:val="20"/>
                <w:color w:val="auto"/>
              </w:rPr>
            </w:pPr>
            <w:r>
              <w:rPr>
                <w:rFonts w:ascii="Arial" w:cs="Arial" w:eastAsia="Arial" w:hAnsi="Arial"/>
                <w:sz w:val="13"/>
                <w:szCs w:val="13"/>
                <w:color w:val="auto"/>
              </w:rPr>
              <w:t>Mr. Olson</w:t>
            </w:r>
          </w:p>
        </w:tc>
        <w:tc>
          <w:tcPr>
            <w:tcW w:w="1240" w:type="dxa"/>
            <w:vAlign w:val="bottom"/>
          </w:tcPr>
          <w:p>
            <w:pPr>
              <w:jc w:val="right"/>
              <w:ind w:right="75"/>
              <w:spacing w:after="0"/>
              <w:rPr>
                <w:sz w:val="20"/>
                <w:szCs w:val="20"/>
                <w:color w:val="auto"/>
              </w:rPr>
            </w:pPr>
            <w:r>
              <w:rPr>
                <w:rFonts w:ascii="Arial" w:cs="Arial" w:eastAsia="Arial" w:hAnsi="Arial"/>
                <w:sz w:val="13"/>
                <w:szCs w:val="13"/>
                <w:color w:val="auto"/>
              </w:rPr>
              <w:t>12/04/2015</w:t>
            </w:r>
          </w:p>
        </w:tc>
        <w:tc>
          <w:tcPr>
            <w:tcW w:w="1040" w:type="dxa"/>
            <w:vAlign w:val="bottom"/>
          </w:tcPr>
          <w:p>
            <w:pPr>
              <w:jc w:val="right"/>
              <w:ind w:right="95"/>
              <w:spacing w:after="0"/>
              <w:rPr>
                <w:sz w:val="20"/>
                <w:szCs w:val="20"/>
                <w:color w:val="auto"/>
              </w:rPr>
            </w:pPr>
            <w:r>
              <w:rPr>
                <w:rFonts w:ascii="Arial" w:cs="Arial" w:eastAsia="Arial" w:hAnsi="Arial"/>
                <w:sz w:val="13"/>
                <w:szCs w:val="13"/>
                <w:color w:val="auto"/>
              </w:rPr>
              <w:t>14,800</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Arial" w:cs="Arial" w:eastAsia="Arial" w:hAnsi="Arial"/>
                <w:sz w:val="13"/>
                <w:szCs w:val="13"/>
                <w:color w:val="auto"/>
                <w:w w:val="98"/>
              </w:rPr>
              <w:t>12/04/2025</w:t>
            </w:r>
          </w:p>
        </w:tc>
      </w:tr>
      <w:tr>
        <w:trPr>
          <w:trHeight w:val="159"/>
        </w:trPr>
        <w:tc>
          <w:tcPr>
            <w:tcW w:w="2020" w:type="dxa"/>
            <w:vAlign w:val="bottom"/>
          </w:tcPr>
          <w:p>
            <w:pPr>
              <w:spacing w:after="0"/>
              <w:rPr>
                <w:sz w:val="13"/>
                <w:szCs w:val="13"/>
                <w:color w:val="auto"/>
              </w:rPr>
            </w:pPr>
          </w:p>
        </w:tc>
        <w:tc>
          <w:tcPr>
            <w:tcW w:w="1240" w:type="dxa"/>
            <w:vAlign w:val="bottom"/>
          </w:tcPr>
          <w:p>
            <w:pPr>
              <w:jc w:val="right"/>
              <w:ind w:right="75"/>
              <w:spacing w:after="0"/>
              <w:rPr>
                <w:sz w:val="20"/>
                <w:szCs w:val="20"/>
                <w:color w:val="auto"/>
              </w:rPr>
            </w:pPr>
            <w:r>
              <w:rPr>
                <w:rFonts w:ascii="Arial" w:cs="Arial" w:eastAsia="Arial" w:hAnsi="Arial"/>
                <w:sz w:val="13"/>
                <w:szCs w:val="13"/>
                <w:color w:val="auto"/>
              </w:rPr>
              <w:t>12/09/2016</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jc w:val="right"/>
              <w:ind w:right="115"/>
              <w:spacing w:after="0"/>
              <w:rPr>
                <w:sz w:val="20"/>
                <w:szCs w:val="20"/>
                <w:color w:val="auto"/>
              </w:rPr>
            </w:pPr>
            <w:r>
              <w:rPr>
                <w:rFonts w:ascii="Arial" w:cs="Arial" w:eastAsia="Arial" w:hAnsi="Arial"/>
                <w:sz w:val="13"/>
                <w:szCs w:val="13"/>
                <w:color w:val="auto"/>
              </w:rPr>
              <w:t>39,800</w:t>
            </w:r>
          </w:p>
        </w:tc>
        <w:tc>
          <w:tcPr>
            <w:tcW w:w="1100" w:type="dxa"/>
            <w:vAlign w:val="bottom"/>
          </w:tcPr>
          <w:p>
            <w:pPr>
              <w:spacing w:after="0"/>
              <w:rPr>
                <w:sz w:val="13"/>
                <w:szCs w:val="13"/>
                <w:color w:val="auto"/>
              </w:rPr>
            </w:pPr>
          </w:p>
        </w:tc>
        <w:tc>
          <w:tcPr>
            <w:tcW w:w="1120" w:type="dxa"/>
            <w:vAlign w:val="bottom"/>
          </w:tcPr>
          <w:p>
            <w:pPr>
              <w:jc w:val="right"/>
              <w:ind w:right="115"/>
              <w:spacing w:after="0"/>
              <w:rPr>
                <w:sz w:val="20"/>
                <w:szCs w:val="20"/>
                <w:color w:val="auto"/>
              </w:rPr>
            </w:pPr>
            <w:r>
              <w:rPr>
                <w:rFonts w:ascii="Arial" w:cs="Arial" w:eastAsia="Arial" w:hAnsi="Arial"/>
                <w:sz w:val="13"/>
                <w:szCs w:val="13"/>
                <w:color w:val="auto"/>
              </w:rPr>
              <w:t>39,800</w:t>
            </w:r>
          </w:p>
        </w:tc>
        <w:tc>
          <w:tcPr>
            <w:tcW w:w="1180" w:type="dxa"/>
            <w:vAlign w:val="bottom"/>
          </w:tcPr>
          <w:p>
            <w:pPr>
              <w:spacing w:after="0"/>
              <w:rPr>
                <w:sz w:val="13"/>
                <w:szCs w:val="13"/>
                <w:color w:val="auto"/>
              </w:rPr>
            </w:pPr>
          </w:p>
        </w:tc>
        <w:tc>
          <w:tcPr>
            <w:tcW w:w="1040" w:type="dxa"/>
            <w:vAlign w:val="bottom"/>
          </w:tcPr>
          <w:p>
            <w:pPr>
              <w:ind w:left="380"/>
              <w:spacing w:after="0"/>
              <w:rPr>
                <w:sz w:val="20"/>
                <w:szCs w:val="20"/>
                <w:color w:val="auto"/>
              </w:rPr>
            </w:pPr>
            <w:r>
              <w:rPr>
                <w:rFonts w:ascii="Arial" w:cs="Arial" w:eastAsia="Arial" w:hAnsi="Arial"/>
                <w:sz w:val="13"/>
                <w:szCs w:val="13"/>
                <w:color w:val="auto"/>
                <w:w w:val="98"/>
              </w:rPr>
              <w:t>12/09/2026</w:t>
            </w:r>
          </w:p>
        </w:tc>
      </w:tr>
      <w:tr>
        <w:trPr>
          <w:trHeight w:val="146"/>
        </w:trPr>
        <w:tc>
          <w:tcPr>
            <w:tcW w:w="2020" w:type="dxa"/>
            <w:vAlign w:val="bottom"/>
          </w:tcPr>
          <w:p>
            <w:pPr>
              <w:spacing w:after="0"/>
              <w:rPr>
                <w:sz w:val="12"/>
                <w:szCs w:val="12"/>
                <w:color w:val="auto"/>
              </w:rPr>
            </w:pPr>
          </w:p>
        </w:tc>
        <w:tc>
          <w:tcPr>
            <w:tcW w:w="12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12/08/2017</w:t>
            </w:r>
          </w:p>
        </w:tc>
        <w:tc>
          <w:tcPr>
            <w:tcW w:w="1040" w:type="dxa"/>
            <w:vAlign w:val="bottom"/>
          </w:tcPr>
          <w:p>
            <w:pPr>
              <w:spacing w:after="0"/>
              <w:rPr>
                <w:sz w:val="12"/>
                <w:szCs w:val="12"/>
                <w:color w:val="auto"/>
              </w:rPr>
            </w:pPr>
          </w:p>
        </w:tc>
        <w:tc>
          <w:tcPr>
            <w:tcW w:w="11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34,133</w:t>
            </w:r>
          </w:p>
        </w:tc>
        <w:tc>
          <w:tcPr>
            <w:tcW w:w="1120" w:type="dxa"/>
            <w:vAlign w:val="bottom"/>
          </w:tcPr>
          <w:p>
            <w:pPr>
              <w:spacing w:after="0"/>
              <w:rPr>
                <w:sz w:val="12"/>
                <w:szCs w:val="12"/>
                <w:color w:val="auto"/>
              </w:rPr>
            </w:pPr>
          </w:p>
        </w:tc>
        <w:tc>
          <w:tcPr>
            <w:tcW w:w="11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34,133</w:t>
            </w:r>
          </w:p>
        </w:tc>
        <w:tc>
          <w:tcPr>
            <w:tcW w:w="1120" w:type="dxa"/>
            <w:vAlign w:val="bottom"/>
          </w:tcPr>
          <w:p>
            <w:pPr>
              <w:spacing w:after="0"/>
              <w:rPr>
                <w:sz w:val="12"/>
                <w:szCs w:val="12"/>
                <w:color w:val="auto"/>
              </w:rPr>
            </w:pPr>
          </w:p>
        </w:tc>
        <w:tc>
          <w:tcPr>
            <w:tcW w:w="1180" w:type="dxa"/>
            <w:vAlign w:val="bottom"/>
          </w:tcPr>
          <w:p>
            <w:pPr>
              <w:jc w:val="right"/>
              <w:ind w:right="175"/>
              <w:spacing w:after="0" w:line="146" w:lineRule="exact"/>
              <w:rPr>
                <w:sz w:val="20"/>
                <w:szCs w:val="20"/>
                <w:color w:val="auto"/>
              </w:rPr>
            </w:pPr>
            <w:r>
              <w:rPr>
                <w:rFonts w:ascii="Arial" w:cs="Arial" w:eastAsia="Arial" w:hAnsi="Arial"/>
                <w:sz w:val="13"/>
                <w:szCs w:val="13"/>
                <w:color w:val="auto"/>
              </w:rPr>
              <w:t>34,134</w:t>
            </w:r>
          </w:p>
        </w:tc>
        <w:tc>
          <w:tcPr>
            <w:tcW w:w="1040" w:type="dxa"/>
            <w:vAlign w:val="bottom"/>
          </w:tcPr>
          <w:p>
            <w:pPr>
              <w:ind w:left="380"/>
              <w:spacing w:after="0" w:line="146" w:lineRule="exact"/>
              <w:rPr>
                <w:sz w:val="20"/>
                <w:szCs w:val="20"/>
                <w:color w:val="auto"/>
              </w:rPr>
            </w:pPr>
            <w:r>
              <w:rPr>
                <w:rFonts w:ascii="Arial" w:cs="Arial" w:eastAsia="Arial" w:hAnsi="Arial"/>
                <w:sz w:val="13"/>
                <w:szCs w:val="13"/>
                <w:color w:val="auto"/>
                <w:w w:val="98"/>
              </w:rPr>
              <w:t>12/08/2027</w:t>
            </w:r>
          </w:p>
        </w:tc>
      </w:tr>
      <w:tr>
        <w:trPr>
          <w:trHeight w:val="159"/>
        </w:trPr>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Ms. Peterson</w:t>
            </w:r>
          </w:p>
        </w:tc>
        <w:tc>
          <w:tcPr>
            <w:tcW w:w="124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12/04/2015</w:t>
            </w:r>
          </w:p>
        </w:tc>
        <w:tc>
          <w:tcPr>
            <w:tcW w:w="10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13,134</w:t>
            </w: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spacing w:after="0"/>
              <w:rPr>
                <w:sz w:val="13"/>
                <w:szCs w:val="13"/>
                <w:color w:val="auto"/>
              </w:rPr>
            </w:pPr>
          </w:p>
        </w:tc>
        <w:tc>
          <w:tcPr>
            <w:tcW w:w="1180" w:type="dxa"/>
            <w:vAlign w:val="bottom"/>
            <w:shd w:val="clear" w:color="auto" w:fill="D9D9D9"/>
          </w:tcPr>
          <w:p>
            <w:pPr>
              <w:spacing w:after="0"/>
              <w:rPr>
                <w:sz w:val="13"/>
                <w:szCs w:val="13"/>
                <w:color w:val="auto"/>
              </w:rPr>
            </w:pPr>
          </w:p>
        </w:tc>
        <w:tc>
          <w:tcPr>
            <w:tcW w:w="104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8"/>
              </w:rPr>
              <w:t>12/04/2025</w:t>
            </w:r>
          </w:p>
        </w:tc>
      </w:tr>
      <w:tr>
        <w:trPr>
          <w:trHeight w:val="159"/>
        </w:trPr>
        <w:tc>
          <w:tcPr>
            <w:tcW w:w="2020" w:type="dxa"/>
            <w:vAlign w:val="bottom"/>
            <w:shd w:val="clear" w:color="auto" w:fill="D9D9D9"/>
          </w:tcPr>
          <w:p>
            <w:pPr>
              <w:spacing w:after="0"/>
              <w:rPr>
                <w:sz w:val="13"/>
                <w:szCs w:val="13"/>
                <w:color w:val="auto"/>
              </w:rPr>
            </w:pPr>
          </w:p>
        </w:tc>
        <w:tc>
          <w:tcPr>
            <w:tcW w:w="124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12/09/2016</w:t>
            </w:r>
          </w:p>
        </w:tc>
        <w:tc>
          <w:tcPr>
            <w:tcW w:w="104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jc w:val="right"/>
              <w:ind w:right="115"/>
              <w:spacing w:after="0"/>
              <w:rPr>
                <w:sz w:val="20"/>
                <w:szCs w:val="20"/>
                <w:color w:val="auto"/>
              </w:rPr>
            </w:pPr>
            <w:r>
              <w:rPr>
                <w:rFonts w:ascii="Arial" w:cs="Arial" w:eastAsia="Arial" w:hAnsi="Arial"/>
                <w:sz w:val="13"/>
                <w:szCs w:val="13"/>
                <w:color w:val="auto"/>
              </w:rPr>
              <w:t>12,100</w:t>
            </w: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jc w:val="right"/>
              <w:ind w:right="115"/>
              <w:spacing w:after="0"/>
              <w:rPr>
                <w:sz w:val="20"/>
                <w:szCs w:val="20"/>
                <w:color w:val="auto"/>
              </w:rPr>
            </w:pPr>
            <w:r>
              <w:rPr>
                <w:rFonts w:ascii="Arial" w:cs="Arial" w:eastAsia="Arial" w:hAnsi="Arial"/>
                <w:sz w:val="13"/>
                <w:szCs w:val="13"/>
                <w:color w:val="auto"/>
              </w:rPr>
              <w:t>12,100</w:t>
            </w:r>
          </w:p>
        </w:tc>
        <w:tc>
          <w:tcPr>
            <w:tcW w:w="1180" w:type="dxa"/>
            <w:vAlign w:val="bottom"/>
            <w:shd w:val="clear" w:color="auto" w:fill="D9D9D9"/>
          </w:tcPr>
          <w:p>
            <w:pPr>
              <w:spacing w:after="0"/>
              <w:rPr>
                <w:sz w:val="13"/>
                <w:szCs w:val="13"/>
                <w:color w:val="auto"/>
              </w:rPr>
            </w:pPr>
          </w:p>
        </w:tc>
        <w:tc>
          <w:tcPr>
            <w:tcW w:w="104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8"/>
              </w:rPr>
              <w:t>12/09/2026</w:t>
            </w:r>
          </w:p>
        </w:tc>
      </w:tr>
      <w:tr>
        <w:trPr>
          <w:trHeight w:val="159"/>
        </w:trPr>
        <w:tc>
          <w:tcPr>
            <w:tcW w:w="2020" w:type="dxa"/>
            <w:vAlign w:val="bottom"/>
            <w:shd w:val="clear" w:color="auto" w:fill="D9D9D9"/>
          </w:tcPr>
          <w:p>
            <w:pPr>
              <w:spacing w:after="0"/>
              <w:rPr>
                <w:sz w:val="13"/>
                <w:szCs w:val="13"/>
                <w:color w:val="auto"/>
              </w:rPr>
            </w:pPr>
          </w:p>
        </w:tc>
        <w:tc>
          <w:tcPr>
            <w:tcW w:w="124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12/08/2017</w:t>
            </w:r>
          </w:p>
        </w:tc>
        <w:tc>
          <w:tcPr>
            <w:tcW w:w="1040" w:type="dxa"/>
            <w:vAlign w:val="bottom"/>
            <w:shd w:val="clear" w:color="auto" w:fill="D9D9D9"/>
          </w:tcPr>
          <w:p>
            <w:pPr>
              <w:spacing w:after="0"/>
              <w:rPr>
                <w:sz w:val="13"/>
                <w:szCs w:val="13"/>
                <w:color w:val="auto"/>
              </w:rPr>
            </w:pPr>
          </w:p>
        </w:tc>
        <w:tc>
          <w:tcPr>
            <w:tcW w:w="110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9,466</w:t>
            </w:r>
          </w:p>
        </w:tc>
        <w:tc>
          <w:tcPr>
            <w:tcW w:w="1120" w:type="dxa"/>
            <w:vAlign w:val="bottom"/>
            <w:shd w:val="clear" w:color="auto" w:fill="D9D9D9"/>
          </w:tcPr>
          <w:p>
            <w:pPr>
              <w:spacing w:after="0"/>
              <w:rPr>
                <w:sz w:val="13"/>
                <w:szCs w:val="13"/>
                <w:color w:val="auto"/>
              </w:rPr>
            </w:pPr>
          </w:p>
        </w:tc>
        <w:tc>
          <w:tcPr>
            <w:tcW w:w="1100" w:type="dxa"/>
            <w:vAlign w:val="bottom"/>
            <w:shd w:val="clear" w:color="auto" w:fill="D9D9D9"/>
          </w:tcPr>
          <w:p>
            <w:pPr>
              <w:jc w:val="right"/>
              <w:ind w:right="115"/>
              <w:spacing w:after="0"/>
              <w:rPr>
                <w:sz w:val="20"/>
                <w:szCs w:val="20"/>
                <w:color w:val="auto"/>
              </w:rPr>
            </w:pPr>
            <w:r>
              <w:rPr>
                <w:rFonts w:ascii="Arial" w:cs="Arial" w:eastAsia="Arial" w:hAnsi="Arial"/>
                <w:sz w:val="13"/>
                <w:szCs w:val="13"/>
                <w:color w:val="auto"/>
              </w:rPr>
              <w:t>9,467</w:t>
            </w:r>
          </w:p>
        </w:tc>
        <w:tc>
          <w:tcPr>
            <w:tcW w:w="1120" w:type="dxa"/>
            <w:vAlign w:val="bottom"/>
            <w:shd w:val="clear" w:color="auto" w:fill="D9D9D9"/>
          </w:tcPr>
          <w:p>
            <w:pPr>
              <w:spacing w:after="0"/>
              <w:rPr>
                <w:sz w:val="13"/>
                <w:szCs w:val="13"/>
                <w:color w:val="auto"/>
              </w:rPr>
            </w:pPr>
          </w:p>
        </w:tc>
        <w:tc>
          <w:tcPr>
            <w:tcW w:w="1180" w:type="dxa"/>
            <w:vAlign w:val="bottom"/>
            <w:shd w:val="clear" w:color="auto" w:fill="D9D9D9"/>
          </w:tcPr>
          <w:p>
            <w:pPr>
              <w:jc w:val="right"/>
              <w:ind w:right="175"/>
              <w:spacing w:after="0"/>
              <w:rPr>
                <w:sz w:val="20"/>
                <w:szCs w:val="20"/>
                <w:color w:val="auto"/>
              </w:rPr>
            </w:pPr>
            <w:r>
              <w:rPr>
                <w:rFonts w:ascii="Arial" w:cs="Arial" w:eastAsia="Arial" w:hAnsi="Arial"/>
                <w:sz w:val="13"/>
                <w:szCs w:val="13"/>
                <w:color w:val="auto"/>
              </w:rPr>
              <w:t>9,467</w:t>
            </w:r>
          </w:p>
        </w:tc>
        <w:tc>
          <w:tcPr>
            <w:tcW w:w="104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8"/>
              </w:rPr>
              <w:t>12/08/2027</w:t>
            </w:r>
          </w:p>
        </w:tc>
      </w:tr>
      <w:tr>
        <w:trPr>
          <w:trHeight w:val="173"/>
        </w:trPr>
        <w:tc>
          <w:tcPr>
            <w:tcW w:w="2020" w:type="dxa"/>
            <w:vAlign w:val="bottom"/>
          </w:tcPr>
          <w:p>
            <w:pPr>
              <w:spacing w:after="0"/>
              <w:rPr>
                <w:sz w:val="20"/>
                <w:szCs w:val="20"/>
                <w:color w:val="auto"/>
              </w:rPr>
            </w:pPr>
            <w:r>
              <w:rPr>
                <w:rFonts w:ascii="Arial" w:cs="Arial" w:eastAsia="Arial" w:hAnsi="Arial"/>
                <w:sz w:val="13"/>
                <w:szCs w:val="13"/>
                <w:color w:val="auto"/>
              </w:rPr>
              <w:t>Mr. Brown</w:t>
            </w:r>
          </w:p>
        </w:tc>
        <w:tc>
          <w:tcPr>
            <w:tcW w:w="1240" w:type="dxa"/>
            <w:vAlign w:val="bottom"/>
          </w:tcPr>
          <w:p>
            <w:pPr>
              <w:jc w:val="right"/>
              <w:ind w:right="75"/>
              <w:spacing w:after="0"/>
              <w:rPr>
                <w:sz w:val="20"/>
                <w:szCs w:val="20"/>
                <w:color w:val="auto"/>
              </w:rPr>
            </w:pPr>
            <w:r>
              <w:rPr>
                <w:rFonts w:ascii="Arial" w:cs="Arial" w:eastAsia="Arial" w:hAnsi="Arial"/>
                <w:sz w:val="13"/>
                <w:szCs w:val="13"/>
                <w:color w:val="auto"/>
              </w:rPr>
              <w:t>12/04/2015</w:t>
            </w:r>
          </w:p>
        </w:tc>
        <w:tc>
          <w:tcPr>
            <w:tcW w:w="1040" w:type="dxa"/>
            <w:vAlign w:val="bottom"/>
          </w:tcPr>
          <w:p>
            <w:pPr>
              <w:jc w:val="right"/>
              <w:ind w:right="95"/>
              <w:spacing w:after="0"/>
              <w:rPr>
                <w:sz w:val="20"/>
                <w:szCs w:val="20"/>
                <w:color w:val="auto"/>
              </w:rPr>
            </w:pPr>
            <w:r>
              <w:rPr>
                <w:rFonts w:ascii="Arial" w:cs="Arial" w:eastAsia="Arial" w:hAnsi="Arial"/>
                <w:sz w:val="13"/>
                <w:szCs w:val="13"/>
                <w:color w:val="auto"/>
              </w:rPr>
              <w:t>8,200</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Arial" w:cs="Arial" w:eastAsia="Arial" w:hAnsi="Arial"/>
                <w:sz w:val="13"/>
                <w:szCs w:val="13"/>
                <w:color w:val="auto"/>
                <w:w w:val="98"/>
              </w:rPr>
              <w:t>12/04/2025</w:t>
            </w:r>
          </w:p>
        </w:tc>
      </w:tr>
      <w:tr>
        <w:trPr>
          <w:trHeight w:val="159"/>
        </w:trPr>
        <w:tc>
          <w:tcPr>
            <w:tcW w:w="2020" w:type="dxa"/>
            <w:vAlign w:val="bottom"/>
          </w:tcPr>
          <w:p>
            <w:pPr>
              <w:spacing w:after="0"/>
              <w:rPr>
                <w:sz w:val="13"/>
                <w:szCs w:val="13"/>
                <w:color w:val="auto"/>
              </w:rPr>
            </w:pPr>
          </w:p>
        </w:tc>
        <w:tc>
          <w:tcPr>
            <w:tcW w:w="1240" w:type="dxa"/>
            <w:vAlign w:val="bottom"/>
          </w:tcPr>
          <w:p>
            <w:pPr>
              <w:jc w:val="right"/>
              <w:ind w:right="75"/>
              <w:spacing w:after="0"/>
              <w:rPr>
                <w:sz w:val="20"/>
                <w:szCs w:val="20"/>
                <w:color w:val="auto"/>
              </w:rPr>
            </w:pPr>
            <w:r>
              <w:rPr>
                <w:rFonts w:ascii="Arial" w:cs="Arial" w:eastAsia="Arial" w:hAnsi="Arial"/>
                <w:sz w:val="13"/>
                <w:szCs w:val="13"/>
                <w:color w:val="auto"/>
              </w:rPr>
              <w:t>12/09/2016</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jc w:val="right"/>
              <w:ind w:right="115"/>
              <w:spacing w:after="0"/>
              <w:rPr>
                <w:sz w:val="20"/>
                <w:szCs w:val="20"/>
                <w:color w:val="auto"/>
              </w:rPr>
            </w:pPr>
            <w:r>
              <w:rPr>
                <w:rFonts w:ascii="Arial" w:cs="Arial" w:eastAsia="Arial" w:hAnsi="Arial"/>
                <w:sz w:val="13"/>
                <w:szCs w:val="13"/>
                <w:color w:val="auto"/>
              </w:rPr>
              <w:t>8,467</w:t>
            </w:r>
          </w:p>
        </w:tc>
        <w:tc>
          <w:tcPr>
            <w:tcW w:w="1100" w:type="dxa"/>
            <w:vAlign w:val="bottom"/>
          </w:tcPr>
          <w:p>
            <w:pPr>
              <w:spacing w:after="0"/>
              <w:rPr>
                <w:sz w:val="13"/>
                <w:szCs w:val="13"/>
                <w:color w:val="auto"/>
              </w:rPr>
            </w:pPr>
          </w:p>
        </w:tc>
        <w:tc>
          <w:tcPr>
            <w:tcW w:w="1120" w:type="dxa"/>
            <w:vAlign w:val="bottom"/>
          </w:tcPr>
          <w:p>
            <w:pPr>
              <w:jc w:val="right"/>
              <w:ind w:right="115"/>
              <w:spacing w:after="0"/>
              <w:rPr>
                <w:sz w:val="20"/>
                <w:szCs w:val="20"/>
                <w:color w:val="auto"/>
              </w:rPr>
            </w:pPr>
            <w:r>
              <w:rPr>
                <w:rFonts w:ascii="Arial" w:cs="Arial" w:eastAsia="Arial" w:hAnsi="Arial"/>
                <w:sz w:val="13"/>
                <w:szCs w:val="13"/>
                <w:color w:val="auto"/>
              </w:rPr>
              <w:t>8,467</w:t>
            </w:r>
          </w:p>
        </w:tc>
        <w:tc>
          <w:tcPr>
            <w:tcW w:w="1180" w:type="dxa"/>
            <w:vAlign w:val="bottom"/>
          </w:tcPr>
          <w:p>
            <w:pPr>
              <w:spacing w:after="0"/>
              <w:rPr>
                <w:sz w:val="13"/>
                <w:szCs w:val="13"/>
                <w:color w:val="auto"/>
              </w:rPr>
            </w:pPr>
          </w:p>
        </w:tc>
        <w:tc>
          <w:tcPr>
            <w:tcW w:w="1040" w:type="dxa"/>
            <w:vAlign w:val="bottom"/>
          </w:tcPr>
          <w:p>
            <w:pPr>
              <w:ind w:left="380"/>
              <w:spacing w:after="0"/>
              <w:rPr>
                <w:sz w:val="20"/>
                <w:szCs w:val="20"/>
                <w:color w:val="auto"/>
              </w:rPr>
            </w:pPr>
            <w:r>
              <w:rPr>
                <w:rFonts w:ascii="Arial" w:cs="Arial" w:eastAsia="Arial" w:hAnsi="Arial"/>
                <w:sz w:val="13"/>
                <w:szCs w:val="13"/>
                <w:color w:val="auto"/>
                <w:w w:val="98"/>
              </w:rPr>
              <w:t>12/09/2026</w:t>
            </w:r>
          </w:p>
        </w:tc>
      </w:tr>
      <w:tr>
        <w:trPr>
          <w:trHeight w:val="146"/>
        </w:trPr>
        <w:tc>
          <w:tcPr>
            <w:tcW w:w="2020" w:type="dxa"/>
            <w:vAlign w:val="bottom"/>
          </w:tcPr>
          <w:p>
            <w:pPr>
              <w:spacing w:after="0"/>
              <w:rPr>
                <w:sz w:val="12"/>
                <w:szCs w:val="12"/>
                <w:color w:val="auto"/>
              </w:rPr>
            </w:pPr>
          </w:p>
        </w:tc>
        <w:tc>
          <w:tcPr>
            <w:tcW w:w="124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12/08/2017</w:t>
            </w:r>
          </w:p>
        </w:tc>
        <w:tc>
          <w:tcPr>
            <w:tcW w:w="1040" w:type="dxa"/>
            <w:vAlign w:val="bottom"/>
          </w:tcPr>
          <w:p>
            <w:pPr>
              <w:spacing w:after="0"/>
              <w:rPr>
                <w:sz w:val="12"/>
                <w:szCs w:val="12"/>
                <w:color w:val="auto"/>
              </w:rPr>
            </w:pPr>
          </w:p>
        </w:tc>
        <w:tc>
          <w:tcPr>
            <w:tcW w:w="1100" w:type="dxa"/>
            <w:vAlign w:val="bottom"/>
          </w:tcPr>
          <w:p>
            <w:pPr>
              <w:jc w:val="right"/>
              <w:ind w:right="95"/>
              <w:spacing w:after="0" w:line="146" w:lineRule="exact"/>
              <w:rPr>
                <w:sz w:val="20"/>
                <w:szCs w:val="20"/>
                <w:color w:val="auto"/>
              </w:rPr>
            </w:pPr>
            <w:r>
              <w:rPr>
                <w:rFonts w:ascii="Arial" w:cs="Arial" w:eastAsia="Arial" w:hAnsi="Arial"/>
                <w:sz w:val="13"/>
                <w:szCs w:val="13"/>
                <w:color w:val="auto"/>
              </w:rPr>
              <w:t>6,600</w:t>
            </w:r>
          </w:p>
        </w:tc>
        <w:tc>
          <w:tcPr>
            <w:tcW w:w="1120" w:type="dxa"/>
            <w:vAlign w:val="bottom"/>
          </w:tcPr>
          <w:p>
            <w:pPr>
              <w:spacing w:after="0"/>
              <w:rPr>
                <w:sz w:val="12"/>
                <w:szCs w:val="12"/>
                <w:color w:val="auto"/>
              </w:rPr>
            </w:pPr>
          </w:p>
        </w:tc>
        <w:tc>
          <w:tcPr>
            <w:tcW w:w="11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6,600</w:t>
            </w:r>
          </w:p>
        </w:tc>
        <w:tc>
          <w:tcPr>
            <w:tcW w:w="1120" w:type="dxa"/>
            <w:vAlign w:val="bottom"/>
          </w:tcPr>
          <w:p>
            <w:pPr>
              <w:spacing w:after="0"/>
              <w:rPr>
                <w:sz w:val="12"/>
                <w:szCs w:val="12"/>
                <w:color w:val="auto"/>
              </w:rPr>
            </w:pPr>
          </w:p>
        </w:tc>
        <w:tc>
          <w:tcPr>
            <w:tcW w:w="1180" w:type="dxa"/>
            <w:vAlign w:val="bottom"/>
          </w:tcPr>
          <w:p>
            <w:pPr>
              <w:jc w:val="right"/>
              <w:ind w:right="175"/>
              <w:spacing w:after="0" w:line="146" w:lineRule="exact"/>
              <w:rPr>
                <w:sz w:val="20"/>
                <w:szCs w:val="20"/>
                <w:color w:val="auto"/>
              </w:rPr>
            </w:pPr>
            <w:r>
              <w:rPr>
                <w:rFonts w:ascii="Arial" w:cs="Arial" w:eastAsia="Arial" w:hAnsi="Arial"/>
                <w:sz w:val="13"/>
                <w:szCs w:val="13"/>
                <w:color w:val="auto"/>
              </w:rPr>
              <w:t>6,600</w:t>
            </w:r>
          </w:p>
        </w:tc>
        <w:tc>
          <w:tcPr>
            <w:tcW w:w="1040" w:type="dxa"/>
            <w:vAlign w:val="bottom"/>
          </w:tcPr>
          <w:p>
            <w:pPr>
              <w:ind w:left="380"/>
              <w:spacing w:after="0" w:line="146" w:lineRule="exact"/>
              <w:rPr>
                <w:sz w:val="20"/>
                <w:szCs w:val="20"/>
                <w:color w:val="auto"/>
              </w:rPr>
            </w:pPr>
            <w:r>
              <w:rPr>
                <w:rFonts w:ascii="Arial" w:cs="Arial" w:eastAsia="Arial" w:hAnsi="Arial"/>
                <w:sz w:val="13"/>
                <w:szCs w:val="13"/>
                <w:color w:val="auto"/>
                <w:w w:val="98"/>
              </w:rPr>
              <w:t>12/08/2027</w:t>
            </w:r>
          </w:p>
        </w:tc>
      </w:tr>
      <w:tr>
        <w:trPr>
          <w:trHeight w:val="159"/>
        </w:trPr>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Mr. Dordell</w:t>
            </w:r>
          </w:p>
        </w:tc>
        <w:tc>
          <w:tcPr>
            <w:tcW w:w="124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12/04/2015</w:t>
            </w:r>
          </w:p>
        </w:tc>
        <w:tc>
          <w:tcPr>
            <w:tcW w:w="10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7,800</w:t>
            </w: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spacing w:after="0"/>
              <w:rPr>
                <w:sz w:val="13"/>
                <w:szCs w:val="13"/>
                <w:color w:val="auto"/>
              </w:rPr>
            </w:pPr>
          </w:p>
        </w:tc>
        <w:tc>
          <w:tcPr>
            <w:tcW w:w="1180" w:type="dxa"/>
            <w:vAlign w:val="bottom"/>
            <w:shd w:val="clear" w:color="auto" w:fill="D9D9D9"/>
          </w:tcPr>
          <w:p>
            <w:pPr>
              <w:spacing w:after="0"/>
              <w:rPr>
                <w:sz w:val="13"/>
                <w:szCs w:val="13"/>
                <w:color w:val="auto"/>
              </w:rPr>
            </w:pPr>
          </w:p>
        </w:tc>
        <w:tc>
          <w:tcPr>
            <w:tcW w:w="104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8"/>
              </w:rPr>
              <w:t>12/04/2025</w:t>
            </w:r>
          </w:p>
        </w:tc>
      </w:tr>
      <w:tr>
        <w:trPr>
          <w:trHeight w:val="159"/>
        </w:trPr>
        <w:tc>
          <w:tcPr>
            <w:tcW w:w="2020" w:type="dxa"/>
            <w:vAlign w:val="bottom"/>
            <w:shd w:val="clear" w:color="auto" w:fill="D9D9D9"/>
          </w:tcPr>
          <w:p>
            <w:pPr>
              <w:spacing w:after="0"/>
              <w:rPr>
                <w:sz w:val="13"/>
                <w:szCs w:val="13"/>
                <w:color w:val="auto"/>
              </w:rPr>
            </w:pPr>
          </w:p>
        </w:tc>
        <w:tc>
          <w:tcPr>
            <w:tcW w:w="124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12/09/2016</w:t>
            </w:r>
          </w:p>
        </w:tc>
        <w:tc>
          <w:tcPr>
            <w:tcW w:w="1040" w:type="dxa"/>
            <w:vAlign w:val="bottom"/>
            <w:shd w:val="clear" w:color="auto" w:fill="D9D9D9"/>
          </w:tcPr>
          <w:p>
            <w:pPr>
              <w:spacing w:after="0"/>
              <w:rPr>
                <w:sz w:val="13"/>
                <w:szCs w:val="13"/>
                <w:color w:val="auto"/>
              </w:rPr>
            </w:pP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jc w:val="right"/>
              <w:ind w:right="115"/>
              <w:spacing w:after="0"/>
              <w:rPr>
                <w:sz w:val="20"/>
                <w:szCs w:val="20"/>
                <w:color w:val="auto"/>
              </w:rPr>
            </w:pPr>
            <w:r>
              <w:rPr>
                <w:rFonts w:ascii="Arial" w:cs="Arial" w:eastAsia="Arial" w:hAnsi="Arial"/>
                <w:sz w:val="13"/>
                <w:szCs w:val="13"/>
                <w:color w:val="auto"/>
              </w:rPr>
              <w:t>8,100</w:t>
            </w:r>
          </w:p>
        </w:tc>
        <w:tc>
          <w:tcPr>
            <w:tcW w:w="1100" w:type="dxa"/>
            <w:vAlign w:val="bottom"/>
            <w:shd w:val="clear" w:color="auto" w:fill="D9D9D9"/>
          </w:tcPr>
          <w:p>
            <w:pPr>
              <w:spacing w:after="0"/>
              <w:rPr>
                <w:sz w:val="13"/>
                <w:szCs w:val="13"/>
                <w:color w:val="auto"/>
              </w:rPr>
            </w:pPr>
          </w:p>
        </w:tc>
        <w:tc>
          <w:tcPr>
            <w:tcW w:w="1120" w:type="dxa"/>
            <w:vAlign w:val="bottom"/>
            <w:shd w:val="clear" w:color="auto" w:fill="D9D9D9"/>
          </w:tcPr>
          <w:p>
            <w:pPr>
              <w:jc w:val="right"/>
              <w:ind w:right="115"/>
              <w:spacing w:after="0"/>
              <w:rPr>
                <w:sz w:val="20"/>
                <w:szCs w:val="20"/>
                <w:color w:val="auto"/>
              </w:rPr>
            </w:pPr>
            <w:r>
              <w:rPr>
                <w:rFonts w:ascii="Arial" w:cs="Arial" w:eastAsia="Arial" w:hAnsi="Arial"/>
                <w:sz w:val="13"/>
                <w:szCs w:val="13"/>
                <w:color w:val="auto"/>
              </w:rPr>
              <w:t>8,100</w:t>
            </w:r>
          </w:p>
        </w:tc>
        <w:tc>
          <w:tcPr>
            <w:tcW w:w="1180" w:type="dxa"/>
            <w:vAlign w:val="bottom"/>
            <w:shd w:val="clear" w:color="auto" w:fill="D9D9D9"/>
          </w:tcPr>
          <w:p>
            <w:pPr>
              <w:spacing w:after="0"/>
              <w:rPr>
                <w:sz w:val="13"/>
                <w:szCs w:val="13"/>
                <w:color w:val="auto"/>
              </w:rPr>
            </w:pPr>
          </w:p>
        </w:tc>
        <w:tc>
          <w:tcPr>
            <w:tcW w:w="104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8"/>
              </w:rPr>
              <w:t>12/09/2026</w:t>
            </w:r>
          </w:p>
        </w:tc>
      </w:tr>
      <w:tr>
        <w:trPr>
          <w:trHeight w:val="159"/>
        </w:trPr>
        <w:tc>
          <w:tcPr>
            <w:tcW w:w="2020" w:type="dxa"/>
            <w:vAlign w:val="bottom"/>
            <w:shd w:val="clear" w:color="auto" w:fill="D9D9D9"/>
          </w:tcPr>
          <w:p>
            <w:pPr>
              <w:spacing w:after="0"/>
              <w:rPr>
                <w:sz w:val="13"/>
                <w:szCs w:val="13"/>
                <w:color w:val="auto"/>
              </w:rPr>
            </w:pPr>
          </w:p>
        </w:tc>
        <w:tc>
          <w:tcPr>
            <w:tcW w:w="124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12/08/2017</w:t>
            </w:r>
          </w:p>
        </w:tc>
        <w:tc>
          <w:tcPr>
            <w:tcW w:w="1040" w:type="dxa"/>
            <w:vAlign w:val="bottom"/>
            <w:shd w:val="clear" w:color="auto" w:fill="D9D9D9"/>
          </w:tcPr>
          <w:p>
            <w:pPr>
              <w:spacing w:after="0"/>
              <w:rPr>
                <w:sz w:val="13"/>
                <w:szCs w:val="13"/>
                <w:color w:val="auto"/>
              </w:rPr>
            </w:pPr>
          </w:p>
        </w:tc>
        <w:tc>
          <w:tcPr>
            <w:tcW w:w="110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6,333</w:t>
            </w:r>
          </w:p>
        </w:tc>
        <w:tc>
          <w:tcPr>
            <w:tcW w:w="1120" w:type="dxa"/>
            <w:vAlign w:val="bottom"/>
            <w:shd w:val="clear" w:color="auto" w:fill="D9D9D9"/>
          </w:tcPr>
          <w:p>
            <w:pPr>
              <w:spacing w:after="0"/>
              <w:rPr>
                <w:sz w:val="13"/>
                <w:szCs w:val="13"/>
                <w:color w:val="auto"/>
              </w:rPr>
            </w:pPr>
          </w:p>
        </w:tc>
        <w:tc>
          <w:tcPr>
            <w:tcW w:w="1100" w:type="dxa"/>
            <w:vAlign w:val="bottom"/>
            <w:shd w:val="clear" w:color="auto" w:fill="D9D9D9"/>
          </w:tcPr>
          <w:p>
            <w:pPr>
              <w:jc w:val="right"/>
              <w:ind w:right="115"/>
              <w:spacing w:after="0"/>
              <w:rPr>
                <w:sz w:val="20"/>
                <w:szCs w:val="20"/>
                <w:color w:val="auto"/>
              </w:rPr>
            </w:pPr>
            <w:r>
              <w:rPr>
                <w:rFonts w:ascii="Arial" w:cs="Arial" w:eastAsia="Arial" w:hAnsi="Arial"/>
                <w:sz w:val="13"/>
                <w:szCs w:val="13"/>
                <w:color w:val="auto"/>
              </w:rPr>
              <w:t>6,333</w:t>
            </w:r>
          </w:p>
        </w:tc>
        <w:tc>
          <w:tcPr>
            <w:tcW w:w="1120" w:type="dxa"/>
            <w:vAlign w:val="bottom"/>
            <w:shd w:val="clear" w:color="auto" w:fill="D9D9D9"/>
          </w:tcPr>
          <w:p>
            <w:pPr>
              <w:spacing w:after="0"/>
              <w:rPr>
                <w:sz w:val="13"/>
                <w:szCs w:val="13"/>
                <w:color w:val="auto"/>
              </w:rPr>
            </w:pPr>
          </w:p>
        </w:tc>
        <w:tc>
          <w:tcPr>
            <w:tcW w:w="1180" w:type="dxa"/>
            <w:vAlign w:val="bottom"/>
            <w:shd w:val="clear" w:color="auto" w:fill="D9D9D9"/>
          </w:tcPr>
          <w:p>
            <w:pPr>
              <w:jc w:val="right"/>
              <w:ind w:right="175"/>
              <w:spacing w:after="0"/>
              <w:rPr>
                <w:sz w:val="20"/>
                <w:szCs w:val="20"/>
                <w:color w:val="auto"/>
              </w:rPr>
            </w:pPr>
            <w:r>
              <w:rPr>
                <w:rFonts w:ascii="Arial" w:cs="Arial" w:eastAsia="Arial" w:hAnsi="Arial"/>
                <w:sz w:val="13"/>
                <w:szCs w:val="13"/>
                <w:color w:val="auto"/>
              </w:rPr>
              <w:t>6,334</w:t>
            </w:r>
          </w:p>
        </w:tc>
        <w:tc>
          <w:tcPr>
            <w:tcW w:w="1040" w:type="dxa"/>
            <w:vAlign w:val="bottom"/>
            <w:shd w:val="clear" w:color="auto" w:fill="D9D9D9"/>
          </w:tcPr>
          <w:p>
            <w:pPr>
              <w:ind w:left="380"/>
              <w:spacing w:after="0"/>
              <w:rPr>
                <w:sz w:val="20"/>
                <w:szCs w:val="20"/>
                <w:color w:val="auto"/>
              </w:rPr>
            </w:pPr>
            <w:r>
              <w:rPr>
                <w:rFonts w:ascii="Arial" w:cs="Arial" w:eastAsia="Arial" w:hAnsi="Arial"/>
                <w:sz w:val="13"/>
                <w:szCs w:val="13"/>
                <w:color w:val="auto"/>
                <w:w w:val="98"/>
              </w:rPr>
              <w:t>12/08/2027</w:t>
            </w:r>
          </w:p>
        </w:tc>
      </w:tr>
      <w:tr>
        <w:trPr>
          <w:trHeight w:val="173"/>
        </w:trPr>
        <w:tc>
          <w:tcPr>
            <w:tcW w:w="2020" w:type="dxa"/>
            <w:vAlign w:val="bottom"/>
          </w:tcPr>
          <w:p>
            <w:pPr>
              <w:spacing w:after="0"/>
              <w:rPr>
                <w:sz w:val="20"/>
                <w:szCs w:val="20"/>
                <w:color w:val="auto"/>
              </w:rPr>
            </w:pPr>
            <w:r>
              <w:rPr>
                <w:rFonts w:ascii="Arial" w:cs="Arial" w:eastAsia="Arial" w:hAnsi="Arial"/>
                <w:sz w:val="13"/>
                <w:szCs w:val="13"/>
                <w:color w:val="auto"/>
              </w:rPr>
              <w:t>Mr. Hamilton</w:t>
            </w:r>
          </w:p>
        </w:tc>
        <w:tc>
          <w:tcPr>
            <w:tcW w:w="1240" w:type="dxa"/>
            <w:vAlign w:val="bottom"/>
          </w:tcPr>
          <w:p>
            <w:pPr>
              <w:jc w:val="right"/>
              <w:ind w:right="75"/>
              <w:spacing w:after="0"/>
              <w:rPr>
                <w:sz w:val="20"/>
                <w:szCs w:val="20"/>
                <w:color w:val="auto"/>
              </w:rPr>
            </w:pPr>
            <w:r>
              <w:rPr>
                <w:rFonts w:ascii="Arial" w:cs="Arial" w:eastAsia="Arial" w:hAnsi="Arial"/>
                <w:sz w:val="13"/>
                <w:szCs w:val="13"/>
                <w:color w:val="auto"/>
              </w:rPr>
              <w:t>12/04/2015</w:t>
            </w:r>
          </w:p>
        </w:tc>
        <w:tc>
          <w:tcPr>
            <w:tcW w:w="1040" w:type="dxa"/>
            <w:vAlign w:val="bottom"/>
          </w:tcPr>
          <w:p>
            <w:pPr>
              <w:jc w:val="right"/>
              <w:ind w:right="95"/>
              <w:spacing w:after="0"/>
              <w:rPr>
                <w:sz w:val="20"/>
                <w:szCs w:val="20"/>
                <w:color w:val="auto"/>
              </w:rPr>
            </w:pPr>
            <w:r>
              <w:rPr>
                <w:rFonts w:ascii="Arial" w:cs="Arial" w:eastAsia="Arial" w:hAnsi="Arial"/>
                <w:sz w:val="13"/>
                <w:szCs w:val="13"/>
                <w:color w:val="auto"/>
              </w:rPr>
              <w:t>3,600</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Arial" w:cs="Arial" w:eastAsia="Arial" w:hAnsi="Arial"/>
                <w:sz w:val="13"/>
                <w:szCs w:val="13"/>
                <w:color w:val="auto"/>
                <w:w w:val="98"/>
              </w:rPr>
              <w:t>12/04/2025</w:t>
            </w:r>
          </w:p>
        </w:tc>
      </w:tr>
      <w:tr>
        <w:trPr>
          <w:trHeight w:val="159"/>
        </w:trPr>
        <w:tc>
          <w:tcPr>
            <w:tcW w:w="2020" w:type="dxa"/>
            <w:vAlign w:val="bottom"/>
          </w:tcPr>
          <w:p>
            <w:pPr>
              <w:spacing w:after="0"/>
              <w:rPr>
                <w:sz w:val="13"/>
                <w:szCs w:val="13"/>
                <w:color w:val="auto"/>
              </w:rPr>
            </w:pPr>
          </w:p>
        </w:tc>
        <w:tc>
          <w:tcPr>
            <w:tcW w:w="1240" w:type="dxa"/>
            <w:vAlign w:val="bottom"/>
          </w:tcPr>
          <w:p>
            <w:pPr>
              <w:jc w:val="right"/>
              <w:ind w:right="75"/>
              <w:spacing w:after="0"/>
              <w:rPr>
                <w:sz w:val="20"/>
                <w:szCs w:val="20"/>
                <w:color w:val="auto"/>
              </w:rPr>
            </w:pPr>
            <w:r>
              <w:rPr>
                <w:rFonts w:ascii="Arial" w:cs="Arial" w:eastAsia="Arial" w:hAnsi="Arial"/>
                <w:sz w:val="13"/>
                <w:szCs w:val="13"/>
                <w:color w:val="auto"/>
              </w:rPr>
              <w:t>12/09/2016</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jc w:val="right"/>
              <w:ind w:right="115"/>
              <w:spacing w:after="0"/>
              <w:rPr>
                <w:sz w:val="20"/>
                <w:szCs w:val="20"/>
                <w:color w:val="auto"/>
              </w:rPr>
            </w:pPr>
            <w:r>
              <w:rPr>
                <w:rFonts w:ascii="Arial" w:cs="Arial" w:eastAsia="Arial" w:hAnsi="Arial"/>
                <w:sz w:val="13"/>
                <w:szCs w:val="13"/>
                <w:color w:val="auto"/>
              </w:rPr>
              <w:t>3,400</w:t>
            </w:r>
          </w:p>
        </w:tc>
        <w:tc>
          <w:tcPr>
            <w:tcW w:w="1100" w:type="dxa"/>
            <w:vAlign w:val="bottom"/>
          </w:tcPr>
          <w:p>
            <w:pPr>
              <w:spacing w:after="0"/>
              <w:rPr>
                <w:sz w:val="13"/>
                <w:szCs w:val="13"/>
                <w:color w:val="auto"/>
              </w:rPr>
            </w:pPr>
          </w:p>
        </w:tc>
        <w:tc>
          <w:tcPr>
            <w:tcW w:w="1120" w:type="dxa"/>
            <w:vAlign w:val="bottom"/>
          </w:tcPr>
          <w:p>
            <w:pPr>
              <w:jc w:val="right"/>
              <w:ind w:right="115"/>
              <w:spacing w:after="0"/>
              <w:rPr>
                <w:sz w:val="20"/>
                <w:szCs w:val="20"/>
                <w:color w:val="auto"/>
              </w:rPr>
            </w:pPr>
            <w:r>
              <w:rPr>
                <w:rFonts w:ascii="Arial" w:cs="Arial" w:eastAsia="Arial" w:hAnsi="Arial"/>
                <w:sz w:val="13"/>
                <w:szCs w:val="13"/>
                <w:color w:val="auto"/>
              </w:rPr>
              <w:t>3,400</w:t>
            </w:r>
          </w:p>
        </w:tc>
        <w:tc>
          <w:tcPr>
            <w:tcW w:w="1180" w:type="dxa"/>
            <w:vAlign w:val="bottom"/>
          </w:tcPr>
          <w:p>
            <w:pPr>
              <w:spacing w:after="0"/>
              <w:rPr>
                <w:sz w:val="13"/>
                <w:szCs w:val="13"/>
                <w:color w:val="auto"/>
              </w:rPr>
            </w:pPr>
          </w:p>
        </w:tc>
        <w:tc>
          <w:tcPr>
            <w:tcW w:w="1040" w:type="dxa"/>
            <w:vAlign w:val="bottom"/>
          </w:tcPr>
          <w:p>
            <w:pPr>
              <w:ind w:left="380"/>
              <w:spacing w:after="0"/>
              <w:rPr>
                <w:sz w:val="20"/>
                <w:szCs w:val="20"/>
                <w:color w:val="auto"/>
              </w:rPr>
            </w:pPr>
            <w:r>
              <w:rPr>
                <w:rFonts w:ascii="Arial" w:cs="Arial" w:eastAsia="Arial" w:hAnsi="Arial"/>
                <w:sz w:val="13"/>
                <w:szCs w:val="13"/>
                <w:color w:val="auto"/>
                <w:w w:val="98"/>
              </w:rPr>
              <w:t>12/09/2026</w:t>
            </w:r>
          </w:p>
        </w:tc>
      </w:tr>
      <w:tr>
        <w:trPr>
          <w:trHeight w:val="159"/>
        </w:trPr>
        <w:tc>
          <w:tcPr>
            <w:tcW w:w="2020" w:type="dxa"/>
            <w:vAlign w:val="bottom"/>
          </w:tcPr>
          <w:p>
            <w:pPr>
              <w:spacing w:after="0"/>
              <w:rPr>
                <w:sz w:val="13"/>
                <w:szCs w:val="13"/>
                <w:color w:val="auto"/>
              </w:rPr>
            </w:pPr>
          </w:p>
        </w:tc>
        <w:tc>
          <w:tcPr>
            <w:tcW w:w="1240" w:type="dxa"/>
            <w:vAlign w:val="bottom"/>
          </w:tcPr>
          <w:p>
            <w:pPr>
              <w:jc w:val="right"/>
              <w:ind w:right="75"/>
              <w:spacing w:after="0"/>
              <w:rPr>
                <w:sz w:val="20"/>
                <w:szCs w:val="20"/>
                <w:color w:val="auto"/>
              </w:rPr>
            </w:pPr>
            <w:r>
              <w:rPr>
                <w:rFonts w:ascii="Arial" w:cs="Arial" w:eastAsia="Arial" w:hAnsi="Arial"/>
                <w:sz w:val="13"/>
                <w:szCs w:val="13"/>
                <w:color w:val="auto"/>
              </w:rPr>
              <w:t>12/08/2017</w:t>
            </w:r>
          </w:p>
        </w:tc>
        <w:tc>
          <w:tcPr>
            <w:tcW w:w="1040" w:type="dxa"/>
            <w:vAlign w:val="bottom"/>
          </w:tcPr>
          <w:p>
            <w:pPr>
              <w:spacing w:after="0"/>
              <w:rPr>
                <w:sz w:val="13"/>
                <w:szCs w:val="13"/>
                <w:color w:val="auto"/>
              </w:rPr>
            </w:pPr>
          </w:p>
        </w:tc>
        <w:tc>
          <w:tcPr>
            <w:tcW w:w="1100" w:type="dxa"/>
            <w:vAlign w:val="bottom"/>
          </w:tcPr>
          <w:p>
            <w:pPr>
              <w:jc w:val="right"/>
              <w:ind w:right="95"/>
              <w:spacing w:after="0"/>
              <w:rPr>
                <w:sz w:val="20"/>
                <w:szCs w:val="20"/>
                <w:color w:val="auto"/>
              </w:rPr>
            </w:pPr>
            <w:r>
              <w:rPr>
                <w:rFonts w:ascii="Arial" w:cs="Arial" w:eastAsia="Arial" w:hAnsi="Arial"/>
                <w:sz w:val="13"/>
                <w:szCs w:val="13"/>
                <w:color w:val="auto"/>
              </w:rPr>
              <w:t>4,733</w:t>
            </w:r>
          </w:p>
        </w:tc>
        <w:tc>
          <w:tcPr>
            <w:tcW w:w="1120" w:type="dxa"/>
            <w:vAlign w:val="bottom"/>
          </w:tcPr>
          <w:p>
            <w:pPr>
              <w:spacing w:after="0"/>
              <w:rPr>
                <w:sz w:val="13"/>
                <w:szCs w:val="13"/>
                <w:color w:val="auto"/>
              </w:rPr>
            </w:pP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4,733</w:t>
            </w:r>
          </w:p>
        </w:tc>
        <w:tc>
          <w:tcPr>
            <w:tcW w:w="1120" w:type="dxa"/>
            <w:vAlign w:val="bottom"/>
          </w:tcPr>
          <w:p>
            <w:pPr>
              <w:spacing w:after="0"/>
              <w:rPr>
                <w:sz w:val="13"/>
                <w:szCs w:val="13"/>
                <w:color w:val="auto"/>
              </w:rPr>
            </w:pPr>
          </w:p>
        </w:tc>
        <w:tc>
          <w:tcPr>
            <w:tcW w:w="1180" w:type="dxa"/>
            <w:vAlign w:val="bottom"/>
          </w:tcPr>
          <w:p>
            <w:pPr>
              <w:jc w:val="right"/>
              <w:ind w:right="175"/>
              <w:spacing w:after="0"/>
              <w:rPr>
                <w:sz w:val="20"/>
                <w:szCs w:val="20"/>
                <w:color w:val="auto"/>
              </w:rPr>
            </w:pPr>
            <w:r>
              <w:rPr>
                <w:rFonts w:ascii="Arial" w:cs="Arial" w:eastAsia="Arial" w:hAnsi="Arial"/>
                <w:sz w:val="13"/>
                <w:szCs w:val="13"/>
                <w:color w:val="auto"/>
              </w:rPr>
              <w:t>4,734</w:t>
            </w:r>
          </w:p>
        </w:tc>
        <w:tc>
          <w:tcPr>
            <w:tcW w:w="1040" w:type="dxa"/>
            <w:vAlign w:val="bottom"/>
          </w:tcPr>
          <w:p>
            <w:pPr>
              <w:ind w:left="380"/>
              <w:spacing w:after="0"/>
              <w:rPr>
                <w:sz w:val="20"/>
                <w:szCs w:val="20"/>
                <w:color w:val="auto"/>
              </w:rPr>
            </w:pPr>
            <w:r>
              <w:rPr>
                <w:rFonts w:ascii="Arial" w:cs="Arial" w:eastAsia="Arial" w:hAnsi="Arial"/>
                <w:sz w:val="13"/>
                <w:szCs w:val="13"/>
                <w:color w:val="auto"/>
                <w:w w:val="98"/>
              </w:rPr>
              <w:t>12/08/2027</w:t>
            </w:r>
          </w:p>
        </w:tc>
      </w:tr>
    </w:tbl>
    <w:p>
      <w:pPr>
        <w:spacing w:after="0" w:line="35" w:lineRule="exact"/>
        <w:rPr>
          <w:sz w:val="20"/>
          <w:szCs w:val="20"/>
          <w:color w:val="auto"/>
        </w:rPr>
      </w:pPr>
    </w:p>
    <w:p>
      <w:pPr>
        <w:ind w:left="402" w:right="60" w:hanging="402"/>
        <w:spacing w:after="0" w:line="243" w:lineRule="auto"/>
        <w:tabs>
          <w:tab w:leader="none" w:pos="40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Amounts reported represent the number of performance share awards that were in progress based on actual levels of performance for fiscal 2018 and financial plan levels of performance for fiscal 2019 and fiscal 2020. The fiscal 2017 to fiscal 2019 performance share awards will vest solely based on the accomplishment of the performance goals established for the three-year performance period, which will end on October 31, 2019. The fiscal 2018 to fiscal 2020 performance share awards will vest solely based on the accomplishment of the performance goals established for the three-year performance period, which will end on October 31, 2020.</w:t>
      </w:r>
    </w:p>
    <w:p>
      <w:pPr>
        <w:spacing w:after="0" w:line="36" w:lineRule="exact"/>
        <w:rPr>
          <w:rFonts w:ascii="Arial" w:cs="Arial" w:eastAsia="Arial" w:hAnsi="Arial"/>
          <w:sz w:val="16"/>
          <w:szCs w:val="16"/>
          <w:color w:val="auto"/>
        </w:rPr>
      </w:pPr>
    </w:p>
    <w:p>
      <w:pPr>
        <w:ind w:left="402" w:right="120" w:hanging="402"/>
        <w:spacing w:after="0" w:line="255" w:lineRule="auto"/>
        <w:tabs>
          <w:tab w:leader="none" w:pos="40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Amounts reported represent the value of performance share awards that were in progress based on the closing price of our common stock, as reported on the NYSE, on October 31, 2018, the last day of fiscal 2018, of $56.33 per share.</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Option Exercises and Stock Vested for Fiscal 2018</w:t>
      </w:r>
    </w:p>
    <w:p>
      <w:pPr>
        <w:spacing w:after="0" w:line="112" w:lineRule="exact"/>
        <w:rPr>
          <w:sz w:val="20"/>
          <w:szCs w:val="20"/>
          <w:color w:val="auto"/>
        </w:rPr>
      </w:pPr>
    </w:p>
    <w:p>
      <w:pPr>
        <w:ind w:left="2" w:right="440" w:firstLine="408"/>
        <w:spacing w:after="0" w:line="255" w:lineRule="auto"/>
        <w:rPr>
          <w:sz w:val="20"/>
          <w:szCs w:val="20"/>
          <w:color w:val="auto"/>
        </w:rPr>
      </w:pPr>
      <w:r>
        <w:rPr>
          <w:rFonts w:ascii="Arial" w:cs="Arial" w:eastAsia="Arial" w:hAnsi="Arial"/>
          <w:sz w:val="16"/>
          <w:szCs w:val="16"/>
          <w:color w:val="auto"/>
        </w:rPr>
        <w:t>The following table summarizes all of the stock options exercised during fiscal 2018, restricted stock unit awards that vested during fiscal 2018 and performance share awards that were paid out or deferred by our named executive officers for the fiscal 2016 to fiscal 2018 performance period.</w:t>
      </w:r>
    </w:p>
    <w:p>
      <w:pPr>
        <w:spacing w:after="0" w:line="31" w:lineRule="exact"/>
        <w:rPr>
          <w:sz w:val="20"/>
          <w:szCs w:val="20"/>
          <w:color w:val="auto"/>
        </w:rPr>
      </w:pPr>
    </w:p>
    <w:tbl>
      <w:tblPr>
        <w:tblLayout w:type="fixed"/>
        <w:tblInd w:w="2" w:type="dxa"/>
        <w:tblCellMar>
          <w:top w:w="0" w:type="dxa"/>
          <w:left w:w="0" w:type="dxa"/>
          <w:bottom w:w="0" w:type="dxa"/>
          <w:right w:w="0" w:type="dxa"/>
        </w:tblCellMar>
      </w:tblPr>
      <w:tr>
        <w:trPr>
          <w:trHeight w:val="253"/>
        </w:trPr>
        <w:tc>
          <w:tcPr>
            <w:tcW w:w="5760" w:type="dxa"/>
            <w:vAlign w:val="bottom"/>
            <w:shd w:val="clear" w:color="auto" w:fill="C00000"/>
          </w:tcPr>
          <w:p>
            <w:pPr>
              <w:spacing w:after="0"/>
              <w:rPr>
                <w:sz w:val="21"/>
                <w:szCs w:val="21"/>
                <w:color w:val="auto"/>
              </w:rPr>
            </w:pPr>
          </w:p>
        </w:tc>
        <w:tc>
          <w:tcPr>
            <w:tcW w:w="2960" w:type="dxa"/>
            <w:vAlign w:val="bottom"/>
            <w:gridSpan w:val="3"/>
            <w:shd w:val="clear" w:color="auto" w:fill="C00000"/>
          </w:tcPr>
          <w:p>
            <w:pPr>
              <w:jc w:val="right"/>
              <w:ind w:right="975"/>
              <w:spacing w:after="0"/>
              <w:rPr>
                <w:sz w:val="20"/>
                <w:szCs w:val="20"/>
                <w:color w:val="auto"/>
              </w:rPr>
            </w:pPr>
            <w:r>
              <w:rPr>
                <w:rFonts w:ascii="Arial" w:cs="Arial" w:eastAsia="Arial" w:hAnsi="Arial"/>
                <w:sz w:val="13"/>
                <w:szCs w:val="13"/>
                <w:color w:val="FFFFFF"/>
              </w:rPr>
              <w:t>Option Awards</w:t>
            </w:r>
            <w:r>
              <w:rPr>
                <w:rFonts w:ascii="Arial" w:cs="Arial" w:eastAsia="Arial" w:hAnsi="Arial"/>
                <w:sz w:val="22"/>
                <w:szCs w:val="22"/>
                <w:color w:val="FFFFFF"/>
                <w:vertAlign w:val="superscript"/>
              </w:rPr>
              <w:t>(1)</w:t>
            </w:r>
          </w:p>
        </w:tc>
        <w:tc>
          <w:tcPr>
            <w:tcW w:w="2700" w:type="dxa"/>
            <w:vAlign w:val="bottom"/>
            <w:gridSpan w:val="3"/>
            <w:shd w:val="clear" w:color="auto" w:fill="C00000"/>
          </w:tcPr>
          <w:p>
            <w:pPr>
              <w:jc w:val="right"/>
              <w:ind w:right="875"/>
              <w:spacing w:after="0"/>
              <w:rPr>
                <w:sz w:val="20"/>
                <w:szCs w:val="20"/>
                <w:color w:val="auto"/>
              </w:rPr>
            </w:pPr>
            <w:r>
              <w:rPr>
                <w:rFonts w:ascii="Arial" w:cs="Arial" w:eastAsia="Arial" w:hAnsi="Arial"/>
                <w:sz w:val="13"/>
                <w:szCs w:val="13"/>
                <w:color w:val="FFFFFF"/>
              </w:rPr>
              <w:t>Stock Awards</w:t>
            </w:r>
            <w:r>
              <w:rPr>
                <w:rFonts w:ascii="Arial" w:cs="Arial" w:eastAsia="Arial" w:hAnsi="Arial"/>
                <w:sz w:val="22"/>
                <w:szCs w:val="22"/>
                <w:color w:val="FFFFFF"/>
                <w:vertAlign w:val="superscript"/>
              </w:rPr>
              <w:t>(2)</w:t>
            </w:r>
          </w:p>
        </w:tc>
      </w:tr>
      <w:tr>
        <w:trPr>
          <w:trHeight w:val="176"/>
        </w:trPr>
        <w:tc>
          <w:tcPr>
            <w:tcW w:w="5760" w:type="dxa"/>
            <w:vAlign w:val="bottom"/>
            <w:shd w:val="clear" w:color="auto" w:fill="C00000"/>
          </w:tcPr>
          <w:p>
            <w:pPr>
              <w:spacing w:after="0"/>
              <w:rPr>
                <w:sz w:val="15"/>
                <w:szCs w:val="15"/>
                <w:color w:val="auto"/>
              </w:rPr>
            </w:pPr>
          </w:p>
        </w:tc>
        <w:tc>
          <w:tcPr>
            <w:tcW w:w="1420" w:type="dxa"/>
            <w:vAlign w:val="bottom"/>
            <w:shd w:val="clear" w:color="auto" w:fill="C00000"/>
          </w:tcPr>
          <w:p>
            <w:pPr>
              <w:jc w:val="center"/>
              <w:spacing w:after="0"/>
              <w:rPr>
                <w:sz w:val="20"/>
                <w:szCs w:val="20"/>
                <w:color w:val="auto"/>
              </w:rPr>
            </w:pPr>
            <w:r>
              <w:rPr>
                <w:rFonts w:ascii="Arial" w:cs="Arial" w:eastAsia="Arial" w:hAnsi="Arial"/>
                <w:sz w:val="13"/>
                <w:szCs w:val="13"/>
                <w:color w:val="FFFFFF"/>
                <w:w w:val="98"/>
              </w:rPr>
              <w:t>Number of</w:t>
            </w:r>
          </w:p>
        </w:tc>
        <w:tc>
          <w:tcPr>
            <w:tcW w:w="280" w:type="dxa"/>
            <w:vAlign w:val="bottom"/>
            <w:shd w:val="clear" w:color="auto" w:fill="C00000"/>
          </w:tcPr>
          <w:p>
            <w:pPr>
              <w:spacing w:after="0"/>
              <w:rPr>
                <w:sz w:val="15"/>
                <w:szCs w:val="15"/>
                <w:color w:val="auto"/>
              </w:rPr>
            </w:pPr>
          </w:p>
        </w:tc>
        <w:tc>
          <w:tcPr>
            <w:tcW w:w="1260" w:type="dxa"/>
            <w:vAlign w:val="bottom"/>
            <w:shd w:val="clear" w:color="auto" w:fill="C00000"/>
          </w:tcPr>
          <w:p>
            <w:pPr>
              <w:spacing w:after="0"/>
              <w:rPr>
                <w:sz w:val="15"/>
                <w:szCs w:val="15"/>
                <w:color w:val="auto"/>
              </w:rPr>
            </w:pPr>
          </w:p>
        </w:tc>
        <w:tc>
          <w:tcPr>
            <w:tcW w:w="1280" w:type="dxa"/>
            <w:vAlign w:val="bottom"/>
            <w:shd w:val="clear" w:color="auto" w:fill="C00000"/>
          </w:tcPr>
          <w:p>
            <w:pPr>
              <w:jc w:val="center"/>
              <w:ind w:right="55"/>
              <w:spacing w:after="0"/>
              <w:rPr>
                <w:sz w:val="20"/>
                <w:szCs w:val="20"/>
                <w:color w:val="auto"/>
              </w:rPr>
            </w:pPr>
            <w:r>
              <w:rPr>
                <w:rFonts w:ascii="Arial" w:cs="Arial" w:eastAsia="Arial" w:hAnsi="Arial"/>
                <w:sz w:val="13"/>
                <w:szCs w:val="13"/>
                <w:color w:val="FFFFFF"/>
                <w:w w:val="98"/>
              </w:rPr>
              <w:t>Number of</w:t>
            </w:r>
          </w:p>
        </w:tc>
        <w:tc>
          <w:tcPr>
            <w:tcW w:w="280" w:type="dxa"/>
            <w:vAlign w:val="bottom"/>
            <w:shd w:val="clear" w:color="auto" w:fill="C00000"/>
          </w:tcPr>
          <w:p>
            <w:pPr>
              <w:spacing w:after="0"/>
              <w:rPr>
                <w:sz w:val="15"/>
                <w:szCs w:val="15"/>
                <w:color w:val="auto"/>
              </w:rPr>
            </w:pPr>
          </w:p>
        </w:tc>
        <w:tc>
          <w:tcPr>
            <w:tcW w:w="1140" w:type="dxa"/>
            <w:vAlign w:val="bottom"/>
            <w:shd w:val="clear" w:color="auto" w:fill="C00000"/>
          </w:tcPr>
          <w:p>
            <w:pPr>
              <w:spacing w:after="0"/>
              <w:rPr>
                <w:sz w:val="15"/>
                <w:szCs w:val="15"/>
                <w:color w:val="auto"/>
              </w:rPr>
            </w:pPr>
          </w:p>
        </w:tc>
      </w:tr>
      <w:tr>
        <w:trPr>
          <w:trHeight w:val="147"/>
        </w:trPr>
        <w:tc>
          <w:tcPr>
            <w:tcW w:w="5760" w:type="dxa"/>
            <w:vAlign w:val="bottom"/>
            <w:shd w:val="clear" w:color="auto" w:fill="C00000"/>
          </w:tcPr>
          <w:p>
            <w:pPr>
              <w:spacing w:after="0"/>
              <w:rPr>
                <w:sz w:val="12"/>
                <w:szCs w:val="12"/>
                <w:color w:val="auto"/>
              </w:rPr>
            </w:pPr>
          </w:p>
        </w:tc>
        <w:tc>
          <w:tcPr>
            <w:tcW w:w="142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7"/>
              </w:rPr>
              <w:t>Shares</w:t>
            </w:r>
          </w:p>
        </w:tc>
        <w:tc>
          <w:tcPr>
            <w:tcW w:w="28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335"/>
              <w:spacing w:after="0" w:line="148" w:lineRule="exact"/>
              <w:rPr>
                <w:sz w:val="20"/>
                <w:szCs w:val="20"/>
                <w:color w:val="auto"/>
              </w:rPr>
            </w:pPr>
            <w:r>
              <w:rPr>
                <w:rFonts w:ascii="Arial" w:cs="Arial" w:eastAsia="Arial" w:hAnsi="Arial"/>
                <w:sz w:val="13"/>
                <w:szCs w:val="13"/>
                <w:color w:val="FFFFFF"/>
              </w:rPr>
              <w:t>Value</w:t>
            </w:r>
          </w:p>
        </w:tc>
        <w:tc>
          <w:tcPr>
            <w:tcW w:w="1280" w:type="dxa"/>
            <w:vAlign w:val="bottom"/>
            <w:shd w:val="clear" w:color="auto" w:fill="C00000"/>
          </w:tcPr>
          <w:p>
            <w:pPr>
              <w:jc w:val="center"/>
              <w:ind w:right="55"/>
              <w:spacing w:after="0" w:line="148" w:lineRule="exact"/>
              <w:rPr>
                <w:sz w:val="20"/>
                <w:szCs w:val="20"/>
                <w:color w:val="auto"/>
              </w:rPr>
            </w:pPr>
            <w:r>
              <w:rPr>
                <w:rFonts w:ascii="Arial" w:cs="Arial" w:eastAsia="Arial" w:hAnsi="Arial"/>
                <w:sz w:val="13"/>
                <w:szCs w:val="13"/>
                <w:color w:val="FFFFFF"/>
                <w:w w:val="97"/>
              </w:rPr>
              <w:t>Shares</w:t>
            </w:r>
          </w:p>
        </w:tc>
        <w:tc>
          <w:tcPr>
            <w:tcW w:w="280" w:type="dxa"/>
            <w:vAlign w:val="bottom"/>
            <w:shd w:val="clear" w:color="auto" w:fill="C00000"/>
          </w:tcPr>
          <w:p>
            <w:pPr>
              <w:spacing w:after="0"/>
              <w:rPr>
                <w:sz w:val="12"/>
                <w:szCs w:val="12"/>
                <w:color w:val="auto"/>
              </w:rPr>
            </w:pPr>
          </w:p>
        </w:tc>
        <w:tc>
          <w:tcPr>
            <w:tcW w:w="1140" w:type="dxa"/>
            <w:vAlign w:val="bottom"/>
            <w:shd w:val="clear" w:color="auto" w:fill="C00000"/>
          </w:tcPr>
          <w:p>
            <w:pPr>
              <w:jc w:val="center"/>
              <w:ind w:right="195"/>
              <w:spacing w:after="0" w:line="148" w:lineRule="exact"/>
              <w:rPr>
                <w:sz w:val="20"/>
                <w:szCs w:val="20"/>
                <w:color w:val="auto"/>
              </w:rPr>
            </w:pPr>
            <w:r>
              <w:rPr>
                <w:rFonts w:ascii="Arial" w:cs="Arial" w:eastAsia="Arial" w:hAnsi="Arial"/>
                <w:sz w:val="13"/>
                <w:szCs w:val="13"/>
                <w:color w:val="FFFFFF"/>
                <w:w w:val="96"/>
              </w:rPr>
              <w:t>Value</w:t>
            </w:r>
          </w:p>
        </w:tc>
      </w:tr>
      <w:tr>
        <w:trPr>
          <w:trHeight w:val="147"/>
        </w:trPr>
        <w:tc>
          <w:tcPr>
            <w:tcW w:w="5760" w:type="dxa"/>
            <w:vAlign w:val="bottom"/>
            <w:shd w:val="clear" w:color="auto" w:fill="C00000"/>
          </w:tcPr>
          <w:p>
            <w:pPr>
              <w:spacing w:after="0"/>
              <w:rPr>
                <w:sz w:val="12"/>
                <w:szCs w:val="12"/>
                <w:color w:val="auto"/>
              </w:rPr>
            </w:pPr>
          </w:p>
        </w:tc>
        <w:tc>
          <w:tcPr>
            <w:tcW w:w="142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rPr>
              <w:t>Acquired</w:t>
            </w:r>
          </w:p>
        </w:tc>
        <w:tc>
          <w:tcPr>
            <w:tcW w:w="28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335"/>
              <w:spacing w:after="0" w:line="148" w:lineRule="exact"/>
              <w:rPr>
                <w:sz w:val="20"/>
                <w:szCs w:val="20"/>
                <w:color w:val="auto"/>
              </w:rPr>
            </w:pPr>
            <w:r>
              <w:rPr>
                <w:rFonts w:ascii="Arial" w:cs="Arial" w:eastAsia="Arial" w:hAnsi="Arial"/>
                <w:sz w:val="13"/>
                <w:szCs w:val="13"/>
                <w:color w:val="FFFFFF"/>
                <w:w w:val="98"/>
              </w:rPr>
              <w:t>Realized</w:t>
            </w:r>
          </w:p>
        </w:tc>
        <w:tc>
          <w:tcPr>
            <w:tcW w:w="1280" w:type="dxa"/>
            <w:vAlign w:val="bottom"/>
            <w:shd w:val="clear" w:color="auto" w:fill="C00000"/>
          </w:tcPr>
          <w:p>
            <w:pPr>
              <w:jc w:val="center"/>
              <w:ind w:right="55"/>
              <w:spacing w:after="0" w:line="148" w:lineRule="exact"/>
              <w:rPr>
                <w:sz w:val="20"/>
                <w:szCs w:val="20"/>
                <w:color w:val="auto"/>
              </w:rPr>
            </w:pPr>
            <w:r>
              <w:rPr>
                <w:rFonts w:ascii="Arial" w:cs="Arial" w:eastAsia="Arial" w:hAnsi="Arial"/>
                <w:sz w:val="13"/>
                <w:szCs w:val="13"/>
                <w:color w:val="FFFFFF"/>
              </w:rPr>
              <w:t>Acquired</w:t>
            </w:r>
          </w:p>
        </w:tc>
        <w:tc>
          <w:tcPr>
            <w:tcW w:w="280" w:type="dxa"/>
            <w:vAlign w:val="bottom"/>
            <w:shd w:val="clear" w:color="auto" w:fill="C00000"/>
          </w:tcPr>
          <w:p>
            <w:pPr>
              <w:spacing w:after="0"/>
              <w:rPr>
                <w:sz w:val="12"/>
                <w:szCs w:val="12"/>
                <w:color w:val="auto"/>
              </w:rPr>
            </w:pPr>
          </w:p>
        </w:tc>
        <w:tc>
          <w:tcPr>
            <w:tcW w:w="1140" w:type="dxa"/>
            <w:vAlign w:val="bottom"/>
            <w:shd w:val="clear" w:color="auto" w:fill="C00000"/>
          </w:tcPr>
          <w:p>
            <w:pPr>
              <w:jc w:val="center"/>
              <w:ind w:right="215"/>
              <w:spacing w:after="0" w:line="148" w:lineRule="exact"/>
              <w:rPr>
                <w:sz w:val="20"/>
                <w:szCs w:val="20"/>
                <w:color w:val="auto"/>
              </w:rPr>
            </w:pPr>
            <w:r>
              <w:rPr>
                <w:rFonts w:ascii="Arial" w:cs="Arial" w:eastAsia="Arial" w:hAnsi="Arial"/>
                <w:sz w:val="13"/>
                <w:szCs w:val="13"/>
                <w:color w:val="FFFFFF"/>
              </w:rPr>
              <w:t>Realized on</w:t>
            </w:r>
          </w:p>
        </w:tc>
      </w:tr>
      <w:tr>
        <w:trPr>
          <w:trHeight w:val="147"/>
        </w:trPr>
        <w:tc>
          <w:tcPr>
            <w:tcW w:w="5760" w:type="dxa"/>
            <w:vAlign w:val="bottom"/>
            <w:shd w:val="clear" w:color="auto" w:fill="C00000"/>
          </w:tcPr>
          <w:p>
            <w:pPr>
              <w:spacing w:after="0"/>
              <w:rPr>
                <w:sz w:val="12"/>
                <w:szCs w:val="12"/>
                <w:color w:val="auto"/>
              </w:rPr>
            </w:pPr>
          </w:p>
        </w:tc>
        <w:tc>
          <w:tcPr>
            <w:tcW w:w="142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rPr>
              <w:t>On Exercise</w:t>
            </w:r>
          </w:p>
        </w:tc>
        <w:tc>
          <w:tcPr>
            <w:tcW w:w="28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335"/>
              <w:spacing w:after="0" w:line="148" w:lineRule="exact"/>
              <w:rPr>
                <w:sz w:val="20"/>
                <w:szCs w:val="20"/>
                <w:color w:val="auto"/>
              </w:rPr>
            </w:pPr>
            <w:r>
              <w:rPr>
                <w:rFonts w:ascii="Arial" w:cs="Arial" w:eastAsia="Arial" w:hAnsi="Arial"/>
                <w:sz w:val="13"/>
                <w:szCs w:val="13"/>
                <w:color w:val="FFFFFF"/>
                <w:w w:val="98"/>
              </w:rPr>
              <w:t>On Exercise</w:t>
            </w:r>
          </w:p>
        </w:tc>
        <w:tc>
          <w:tcPr>
            <w:tcW w:w="1280" w:type="dxa"/>
            <w:vAlign w:val="bottom"/>
            <w:shd w:val="clear" w:color="auto" w:fill="C00000"/>
          </w:tcPr>
          <w:p>
            <w:pPr>
              <w:jc w:val="center"/>
              <w:ind w:right="55"/>
              <w:spacing w:after="0" w:line="148" w:lineRule="exact"/>
              <w:rPr>
                <w:sz w:val="20"/>
                <w:szCs w:val="20"/>
                <w:color w:val="auto"/>
              </w:rPr>
            </w:pPr>
            <w:r>
              <w:rPr>
                <w:rFonts w:ascii="Arial" w:cs="Arial" w:eastAsia="Arial" w:hAnsi="Arial"/>
                <w:sz w:val="13"/>
                <w:szCs w:val="13"/>
                <w:color w:val="FFFFFF"/>
                <w:w w:val="97"/>
              </w:rPr>
              <w:t>on Vesting</w:t>
            </w:r>
          </w:p>
        </w:tc>
        <w:tc>
          <w:tcPr>
            <w:tcW w:w="280" w:type="dxa"/>
            <w:vAlign w:val="bottom"/>
            <w:shd w:val="clear" w:color="auto" w:fill="C00000"/>
          </w:tcPr>
          <w:p>
            <w:pPr>
              <w:spacing w:after="0"/>
              <w:rPr>
                <w:sz w:val="12"/>
                <w:szCs w:val="12"/>
                <w:color w:val="auto"/>
              </w:rPr>
            </w:pPr>
          </w:p>
        </w:tc>
        <w:tc>
          <w:tcPr>
            <w:tcW w:w="1140" w:type="dxa"/>
            <w:vAlign w:val="bottom"/>
            <w:shd w:val="clear" w:color="auto" w:fill="C00000"/>
          </w:tcPr>
          <w:p>
            <w:pPr>
              <w:jc w:val="center"/>
              <w:ind w:right="215"/>
              <w:spacing w:after="0" w:line="148" w:lineRule="exact"/>
              <w:rPr>
                <w:sz w:val="20"/>
                <w:szCs w:val="20"/>
                <w:color w:val="auto"/>
              </w:rPr>
            </w:pPr>
            <w:r>
              <w:rPr>
                <w:rFonts w:ascii="Arial" w:cs="Arial" w:eastAsia="Arial" w:hAnsi="Arial"/>
                <w:sz w:val="13"/>
                <w:szCs w:val="13"/>
                <w:color w:val="FFFFFF"/>
                <w:w w:val="96"/>
              </w:rPr>
              <w:t>Vesting</w:t>
            </w:r>
          </w:p>
        </w:tc>
      </w:tr>
      <w:tr>
        <w:trPr>
          <w:trHeight w:val="143"/>
        </w:trPr>
        <w:tc>
          <w:tcPr>
            <w:tcW w:w="5760" w:type="dxa"/>
            <w:vAlign w:val="bottom"/>
            <w:shd w:val="clear" w:color="auto" w:fill="C00000"/>
          </w:tcPr>
          <w:p>
            <w:pPr>
              <w:spacing w:after="0" w:line="143" w:lineRule="exact"/>
              <w:rPr>
                <w:sz w:val="20"/>
                <w:szCs w:val="20"/>
                <w:color w:val="auto"/>
              </w:rPr>
            </w:pPr>
            <w:r>
              <w:rPr>
                <w:rFonts w:ascii="Arial" w:cs="Arial" w:eastAsia="Arial" w:hAnsi="Arial"/>
                <w:sz w:val="13"/>
                <w:szCs w:val="13"/>
                <w:color w:val="FFFFFF"/>
              </w:rPr>
              <w:t>Name</w:t>
            </w:r>
          </w:p>
        </w:tc>
        <w:tc>
          <w:tcPr>
            <w:tcW w:w="1420" w:type="dxa"/>
            <w:vAlign w:val="bottom"/>
            <w:shd w:val="clear" w:color="auto" w:fill="C00000"/>
          </w:tcPr>
          <w:p>
            <w:pPr>
              <w:jc w:val="center"/>
              <w:spacing w:after="0" w:line="143" w:lineRule="exact"/>
              <w:rPr>
                <w:sz w:val="20"/>
                <w:szCs w:val="20"/>
                <w:color w:val="auto"/>
              </w:rPr>
            </w:pPr>
            <w:r>
              <w:rPr>
                <w:rFonts w:ascii="Arial" w:cs="Arial" w:eastAsia="Arial" w:hAnsi="Arial"/>
                <w:sz w:val="13"/>
                <w:szCs w:val="13"/>
                <w:color w:val="FFFFFF"/>
              </w:rPr>
              <w:t>(#)</w:t>
            </w:r>
          </w:p>
        </w:tc>
        <w:tc>
          <w:tcPr>
            <w:tcW w:w="28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355"/>
              <w:spacing w:after="0" w:line="143" w:lineRule="exact"/>
              <w:rPr>
                <w:sz w:val="20"/>
                <w:szCs w:val="20"/>
                <w:color w:val="auto"/>
              </w:rPr>
            </w:pPr>
            <w:r>
              <w:rPr>
                <w:rFonts w:ascii="Arial" w:cs="Arial" w:eastAsia="Arial" w:hAnsi="Arial"/>
                <w:sz w:val="13"/>
                <w:szCs w:val="13"/>
                <w:color w:val="FFFFFF"/>
              </w:rPr>
              <w:t>($)</w:t>
            </w:r>
          </w:p>
        </w:tc>
        <w:tc>
          <w:tcPr>
            <w:tcW w:w="1280" w:type="dxa"/>
            <w:vAlign w:val="bottom"/>
            <w:shd w:val="clear" w:color="auto" w:fill="C00000"/>
          </w:tcPr>
          <w:p>
            <w:pPr>
              <w:jc w:val="center"/>
              <w:ind w:right="55"/>
              <w:spacing w:after="0" w:line="143" w:lineRule="exact"/>
              <w:rPr>
                <w:sz w:val="20"/>
                <w:szCs w:val="20"/>
                <w:color w:val="auto"/>
              </w:rPr>
            </w:pPr>
            <w:r>
              <w:rPr>
                <w:rFonts w:ascii="Arial" w:cs="Arial" w:eastAsia="Arial" w:hAnsi="Arial"/>
                <w:sz w:val="13"/>
                <w:szCs w:val="13"/>
                <w:color w:val="FFFFFF"/>
              </w:rPr>
              <w:t>(#)</w:t>
            </w:r>
          </w:p>
        </w:tc>
        <w:tc>
          <w:tcPr>
            <w:tcW w:w="280" w:type="dxa"/>
            <w:vAlign w:val="bottom"/>
            <w:shd w:val="clear" w:color="auto" w:fill="C00000"/>
          </w:tcPr>
          <w:p>
            <w:pPr>
              <w:spacing w:after="0"/>
              <w:rPr>
                <w:sz w:val="12"/>
                <w:szCs w:val="12"/>
                <w:color w:val="auto"/>
              </w:rPr>
            </w:pPr>
          </w:p>
        </w:tc>
        <w:tc>
          <w:tcPr>
            <w:tcW w:w="1140" w:type="dxa"/>
            <w:vAlign w:val="bottom"/>
            <w:shd w:val="clear" w:color="auto" w:fill="C00000"/>
          </w:tcPr>
          <w:p>
            <w:pPr>
              <w:jc w:val="center"/>
              <w:ind w:right="195"/>
              <w:spacing w:after="0" w:line="143" w:lineRule="exact"/>
              <w:rPr>
                <w:sz w:val="20"/>
                <w:szCs w:val="20"/>
                <w:color w:val="auto"/>
              </w:rPr>
            </w:pPr>
            <w:r>
              <w:rPr>
                <w:rFonts w:ascii="Arial" w:cs="Arial" w:eastAsia="Arial" w:hAnsi="Arial"/>
                <w:sz w:val="13"/>
                <w:szCs w:val="13"/>
                <w:color w:val="FFFFFF"/>
              </w:rPr>
              <w:t>($)</w:t>
            </w:r>
          </w:p>
        </w:tc>
      </w:tr>
      <w:tr>
        <w:trPr>
          <w:trHeight w:val="173"/>
        </w:trPr>
        <w:tc>
          <w:tcPr>
            <w:tcW w:w="5760" w:type="dxa"/>
            <w:vAlign w:val="bottom"/>
          </w:tcPr>
          <w:p>
            <w:pPr>
              <w:spacing w:after="0"/>
              <w:rPr>
                <w:sz w:val="20"/>
                <w:szCs w:val="20"/>
                <w:color w:val="auto"/>
              </w:rPr>
            </w:pPr>
            <w:r>
              <w:rPr>
                <w:rFonts w:ascii="Arial" w:cs="Arial" w:eastAsia="Arial" w:hAnsi="Arial"/>
                <w:sz w:val="13"/>
                <w:szCs w:val="13"/>
                <w:color w:val="auto"/>
              </w:rPr>
              <w:t>Richard M. Olson</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46"/>
        </w:trPr>
        <w:tc>
          <w:tcPr>
            <w:tcW w:w="5760" w:type="dxa"/>
            <w:vAlign w:val="bottom"/>
          </w:tcPr>
          <w:p>
            <w:pPr>
              <w:ind w:left="220"/>
              <w:spacing w:after="0" w:line="146" w:lineRule="exact"/>
              <w:rPr>
                <w:sz w:val="20"/>
                <w:szCs w:val="20"/>
                <w:color w:val="auto"/>
              </w:rPr>
            </w:pPr>
            <w:r>
              <w:rPr>
                <w:rFonts w:ascii="Arial" w:cs="Arial" w:eastAsia="Arial" w:hAnsi="Arial"/>
                <w:sz w:val="13"/>
                <w:szCs w:val="13"/>
                <w:color w:val="auto"/>
              </w:rPr>
              <w:t>F’16-F’18 Performance Share Award Payout</w:t>
            </w: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14,871</w:t>
            </w:r>
          </w:p>
        </w:tc>
        <w:tc>
          <w:tcPr>
            <w:tcW w:w="2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6" w:lineRule="exact"/>
              <w:rPr>
                <w:sz w:val="20"/>
                <w:szCs w:val="20"/>
                <w:color w:val="auto"/>
              </w:rPr>
            </w:pPr>
            <w:r>
              <w:rPr>
                <w:rFonts w:ascii="Arial" w:cs="Arial" w:eastAsia="Arial" w:hAnsi="Arial"/>
                <w:sz w:val="13"/>
                <w:szCs w:val="13"/>
                <w:color w:val="auto"/>
              </w:rPr>
              <w:t>864,749</w:t>
            </w:r>
          </w:p>
        </w:tc>
      </w:tr>
      <w:tr>
        <w:trPr>
          <w:trHeight w:val="159"/>
        </w:trPr>
        <w:tc>
          <w:tcPr>
            <w:tcW w:w="576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142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128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140" w:type="dxa"/>
            <w:vAlign w:val="bottom"/>
            <w:shd w:val="clear" w:color="auto" w:fill="D9D9D9"/>
          </w:tcPr>
          <w:p>
            <w:pPr>
              <w:spacing w:after="0"/>
              <w:rPr>
                <w:sz w:val="13"/>
                <w:szCs w:val="13"/>
                <w:color w:val="auto"/>
              </w:rPr>
            </w:pPr>
          </w:p>
        </w:tc>
      </w:tr>
      <w:tr>
        <w:trPr>
          <w:trHeight w:val="159"/>
        </w:trPr>
        <w:tc>
          <w:tcPr>
            <w:tcW w:w="57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F’16-F’18 Performance Share Award Payout</w:t>
            </w:r>
          </w:p>
        </w:tc>
        <w:tc>
          <w:tcPr>
            <w:tcW w:w="142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128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13,219</w:t>
            </w:r>
          </w:p>
        </w:tc>
        <w:tc>
          <w:tcPr>
            <w:tcW w:w="280" w:type="dxa"/>
            <w:vAlign w:val="bottom"/>
            <w:shd w:val="clear" w:color="auto" w:fill="D9D9D9"/>
          </w:tcPr>
          <w:p>
            <w:pPr>
              <w:jc w:val="right"/>
              <w:ind w:right="15"/>
              <w:spacing w:after="0"/>
              <w:rPr>
                <w:sz w:val="20"/>
                <w:szCs w:val="20"/>
                <w:color w:val="auto"/>
              </w:rPr>
            </w:pPr>
            <w:r>
              <w:rPr>
                <w:rFonts w:ascii="Arial" w:cs="Arial" w:eastAsia="Arial" w:hAnsi="Arial"/>
                <w:sz w:val="13"/>
                <w:szCs w:val="13"/>
                <w:color w:val="auto"/>
              </w:rPr>
              <w:t>$</w:t>
            </w:r>
          </w:p>
        </w:tc>
        <w:tc>
          <w:tcPr>
            <w:tcW w:w="114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768,685</w:t>
            </w:r>
          </w:p>
        </w:tc>
      </w:tr>
      <w:tr>
        <w:trPr>
          <w:trHeight w:val="173"/>
        </w:trPr>
        <w:tc>
          <w:tcPr>
            <w:tcW w:w="5760" w:type="dxa"/>
            <w:vAlign w:val="bottom"/>
          </w:tcPr>
          <w:p>
            <w:pPr>
              <w:spacing w:after="0"/>
              <w:rPr>
                <w:sz w:val="20"/>
                <w:szCs w:val="20"/>
                <w:color w:val="auto"/>
              </w:rPr>
            </w:pPr>
            <w:r>
              <w:rPr>
                <w:rFonts w:ascii="Arial" w:cs="Arial" w:eastAsia="Arial" w:hAnsi="Arial"/>
                <w:sz w:val="13"/>
                <w:szCs w:val="13"/>
                <w:color w:val="auto"/>
              </w:rPr>
              <w:t>William E. Brown, Jr.</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5760" w:type="dxa"/>
            <w:vAlign w:val="bottom"/>
          </w:tcPr>
          <w:p>
            <w:pPr>
              <w:ind w:left="220"/>
              <w:spacing w:after="0"/>
              <w:rPr>
                <w:sz w:val="20"/>
                <w:szCs w:val="20"/>
                <w:color w:val="auto"/>
              </w:rPr>
            </w:pPr>
            <w:r>
              <w:rPr>
                <w:rFonts w:ascii="Arial" w:cs="Arial" w:eastAsia="Arial" w:hAnsi="Arial"/>
                <w:sz w:val="13"/>
                <w:szCs w:val="13"/>
                <w:color w:val="auto"/>
              </w:rPr>
              <w:t>Restricted Stock Unit Award</w:t>
            </w: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8,312</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518,586</w:t>
            </w:r>
          </w:p>
        </w:tc>
      </w:tr>
      <w:tr>
        <w:trPr>
          <w:trHeight w:val="146"/>
        </w:trPr>
        <w:tc>
          <w:tcPr>
            <w:tcW w:w="5760" w:type="dxa"/>
            <w:vAlign w:val="bottom"/>
          </w:tcPr>
          <w:p>
            <w:pPr>
              <w:ind w:left="220"/>
              <w:spacing w:after="0" w:line="146" w:lineRule="exact"/>
              <w:rPr>
                <w:sz w:val="20"/>
                <w:szCs w:val="20"/>
                <w:color w:val="auto"/>
              </w:rPr>
            </w:pPr>
            <w:r>
              <w:rPr>
                <w:rFonts w:ascii="Arial" w:cs="Arial" w:eastAsia="Arial" w:hAnsi="Arial"/>
                <w:sz w:val="13"/>
                <w:szCs w:val="13"/>
                <w:color w:val="auto"/>
              </w:rPr>
              <w:t>F’16-F’18 Performance Share Award Payout</w:t>
            </w: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8,262</w:t>
            </w:r>
          </w:p>
        </w:tc>
        <w:tc>
          <w:tcPr>
            <w:tcW w:w="2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6" w:lineRule="exact"/>
              <w:rPr>
                <w:sz w:val="20"/>
                <w:szCs w:val="20"/>
                <w:color w:val="auto"/>
              </w:rPr>
            </w:pPr>
            <w:r>
              <w:rPr>
                <w:rFonts w:ascii="Arial" w:cs="Arial" w:eastAsia="Arial" w:hAnsi="Arial"/>
                <w:sz w:val="13"/>
                <w:szCs w:val="13"/>
                <w:color w:val="auto"/>
              </w:rPr>
              <w:t>480,435</w:t>
            </w:r>
          </w:p>
        </w:tc>
      </w:tr>
      <w:tr>
        <w:trPr>
          <w:trHeight w:val="159"/>
        </w:trPr>
        <w:tc>
          <w:tcPr>
            <w:tcW w:w="5760" w:type="dxa"/>
            <w:vAlign w:val="bottom"/>
            <w:shd w:val="clear" w:color="auto" w:fill="D9D9D9"/>
          </w:tcPr>
          <w:p>
            <w:pPr>
              <w:spacing w:after="0"/>
              <w:rPr>
                <w:sz w:val="20"/>
                <w:szCs w:val="20"/>
                <w:color w:val="auto"/>
              </w:rPr>
            </w:pPr>
            <w:r>
              <w:rPr>
                <w:rFonts w:ascii="Arial" w:cs="Arial" w:eastAsia="Arial" w:hAnsi="Arial"/>
                <w:sz w:val="13"/>
                <w:szCs w:val="13"/>
                <w:color w:val="auto"/>
              </w:rPr>
              <w:t>Timothy P. Dordell</w:t>
            </w:r>
          </w:p>
        </w:tc>
        <w:tc>
          <w:tcPr>
            <w:tcW w:w="142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128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140" w:type="dxa"/>
            <w:vAlign w:val="bottom"/>
            <w:shd w:val="clear" w:color="auto" w:fill="D9D9D9"/>
          </w:tcPr>
          <w:p>
            <w:pPr>
              <w:spacing w:after="0"/>
              <w:rPr>
                <w:sz w:val="13"/>
                <w:szCs w:val="13"/>
                <w:color w:val="auto"/>
              </w:rPr>
            </w:pPr>
          </w:p>
        </w:tc>
      </w:tr>
      <w:tr>
        <w:trPr>
          <w:trHeight w:val="159"/>
        </w:trPr>
        <w:tc>
          <w:tcPr>
            <w:tcW w:w="57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Stock Option Exercises</w:t>
            </w:r>
          </w:p>
        </w:tc>
        <w:tc>
          <w:tcPr>
            <w:tcW w:w="142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90,800</w:t>
            </w:r>
          </w:p>
        </w:tc>
        <w:tc>
          <w:tcPr>
            <w:tcW w:w="280" w:type="dxa"/>
            <w:vAlign w:val="bottom"/>
            <w:shd w:val="clear" w:color="auto" w:fill="D9D9D9"/>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195"/>
              <w:spacing w:after="0"/>
              <w:rPr>
                <w:sz w:val="20"/>
                <w:szCs w:val="20"/>
                <w:color w:val="auto"/>
              </w:rPr>
            </w:pPr>
            <w:r>
              <w:rPr>
                <w:rFonts w:ascii="Arial" w:cs="Arial" w:eastAsia="Arial" w:hAnsi="Arial"/>
                <w:sz w:val="13"/>
                <w:szCs w:val="13"/>
                <w:color w:val="auto"/>
              </w:rPr>
              <w:t>4,410,236</w:t>
            </w:r>
          </w:p>
        </w:tc>
        <w:tc>
          <w:tcPr>
            <w:tcW w:w="128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140" w:type="dxa"/>
            <w:vAlign w:val="bottom"/>
            <w:shd w:val="clear" w:color="auto" w:fill="D9D9D9"/>
          </w:tcPr>
          <w:p>
            <w:pPr>
              <w:spacing w:after="0"/>
              <w:rPr>
                <w:sz w:val="13"/>
                <w:szCs w:val="13"/>
                <w:color w:val="auto"/>
              </w:rPr>
            </w:pPr>
          </w:p>
        </w:tc>
      </w:tr>
      <w:tr>
        <w:trPr>
          <w:trHeight w:val="159"/>
        </w:trPr>
        <w:tc>
          <w:tcPr>
            <w:tcW w:w="57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F’16-F’18 Performance Share Award Payout</w:t>
            </w:r>
          </w:p>
        </w:tc>
        <w:tc>
          <w:tcPr>
            <w:tcW w:w="1420" w:type="dxa"/>
            <w:vAlign w:val="bottom"/>
            <w:shd w:val="clear" w:color="auto" w:fill="D9D9D9"/>
          </w:tcPr>
          <w:p>
            <w:pPr>
              <w:spacing w:after="0"/>
              <w:rPr>
                <w:sz w:val="13"/>
                <w:szCs w:val="13"/>
                <w:color w:val="auto"/>
              </w:rPr>
            </w:pPr>
          </w:p>
        </w:tc>
        <w:tc>
          <w:tcPr>
            <w:tcW w:w="2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128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7,789</w:t>
            </w:r>
          </w:p>
        </w:tc>
        <w:tc>
          <w:tcPr>
            <w:tcW w:w="280" w:type="dxa"/>
            <w:vAlign w:val="bottom"/>
            <w:shd w:val="clear" w:color="auto" w:fill="D9D9D9"/>
          </w:tcPr>
          <w:p>
            <w:pPr>
              <w:jc w:val="right"/>
              <w:ind w:right="15"/>
              <w:spacing w:after="0"/>
              <w:rPr>
                <w:sz w:val="20"/>
                <w:szCs w:val="20"/>
                <w:color w:val="auto"/>
              </w:rPr>
            </w:pPr>
            <w:r>
              <w:rPr>
                <w:rFonts w:ascii="Arial" w:cs="Arial" w:eastAsia="Arial" w:hAnsi="Arial"/>
                <w:sz w:val="13"/>
                <w:szCs w:val="13"/>
                <w:color w:val="auto"/>
              </w:rPr>
              <w:t>$</w:t>
            </w:r>
          </w:p>
        </w:tc>
        <w:tc>
          <w:tcPr>
            <w:tcW w:w="114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452,930</w:t>
            </w:r>
          </w:p>
        </w:tc>
      </w:tr>
      <w:tr>
        <w:trPr>
          <w:trHeight w:val="173"/>
        </w:trPr>
        <w:tc>
          <w:tcPr>
            <w:tcW w:w="5760" w:type="dxa"/>
            <w:vAlign w:val="bottom"/>
          </w:tcPr>
          <w:p>
            <w:pPr>
              <w:spacing w:after="0"/>
              <w:rPr>
                <w:sz w:val="20"/>
                <w:szCs w:val="20"/>
                <w:color w:val="auto"/>
              </w:rPr>
            </w:pPr>
            <w:r>
              <w:rPr>
                <w:rFonts w:ascii="Arial" w:cs="Arial" w:eastAsia="Arial" w:hAnsi="Arial"/>
                <w:sz w:val="13"/>
                <w:szCs w:val="13"/>
                <w:color w:val="auto"/>
              </w:rPr>
              <w:t>Bradley A. Hamilton</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5760" w:type="dxa"/>
            <w:vAlign w:val="bottom"/>
          </w:tcPr>
          <w:p>
            <w:pPr>
              <w:ind w:left="220"/>
              <w:spacing w:after="0"/>
              <w:rPr>
                <w:sz w:val="20"/>
                <w:szCs w:val="20"/>
                <w:color w:val="auto"/>
              </w:rPr>
            </w:pPr>
            <w:r>
              <w:rPr>
                <w:rFonts w:ascii="Arial" w:cs="Arial" w:eastAsia="Arial" w:hAnsi="Arial"/>
                <w:sz w:val="13"/>
                <w:szCs w:val="13"/>
                <w:color w:val="auto"/>
              </w:rPr>
              <w:t>Stock Option Exercises</w:t>
            </w:r>
          </w:p>
        </w:tc>
        <w:tc>
          <w:tcPr>
            <w:tcW w:w="1420" w:type="dxa"/>
            <w:vAlign w:val="bottom"/>
          </w:tcPr>
          <w:p>
            <w:pPr>
              <w:jc w:val="right"/>
              <w:ind w:right="55"/>
              <w:spacing w:after="0"/>
              <w:rPr>
                <w:sz w:val="20"/>
                <w:szCs w:val="20"/>
                <w:color w:val="auto"/>
              </w:rPr>
            </w:pPr>
            <w:r>
              <w:rPr>
                <w:rFonts w:ascii="Arial" w:cs="Arial" w:eastAsia="Arial" w:hAnsi="Arial"/>
                <w:sz w:val="13"/>
                <w:szCs w:val="13"/>
                <w:color w:val="auto"/>
              </w:rPr>
              <w:t>12,240</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5"/>
              <w:spacing w:after="0"/>
              <w:rPr>
                <w:sz w:val="20"/>
                <w:szCs w:val="20"/>
                <w:color w:val="auto"/>
              </w:rPr>
            </w:pPr>
            <w:r>
              <w:rPr>
                <w:rFonts w:ascii="Arial" w:cs="Arial" w:eastAsia="Arial" w:hAnsi="Arial"/>
                <w:sz w:val="13"/>
                <w:szCs w:val="13"/>
                <w:color w:val="auto"/>
              </w:rPr>
              <w:t>679,614</w:t>
            </w: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5760" w:type="dxa"/>
            <w:vAlign w:val="bottom"/>
          </w:tcPr>
          <w:p>
            <w:pPr>
              <w:ind w:left="220"/>
              <w:spacing w:after="0"/>
              <w:rPr>
                <w:sz w:val="20"/>
                <w:szCs w:val="20"/>
                <w:color w:val="auto"/>
              </w:rPr>
            </w:pPr>
            <w:r>
              <w:rPr>
                <w:rFonts w:ascii="Arial" w:cs="Arial" w:eastAsia="Arial" w:hAnsi="Arial"/>
                <w:sz w:val="13"/>
                <w:szCs w:val="13"/>
                <w:color w:val="auto"/>
              </w:rPr>
              <w:t>F’16-F’18 Performance Share Award Payout</w:t>
            </w: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jc w:val="right"/>
              <w:ind w:right="55"/>
              <w:spacing w:after="0"/>
              <w:rPr>
                <w:sz w:val="20"/>
                <w:szCs w:val="20"/>
                <w:color w:val="auto"/>
              </w:rPr>
            </w:pPr>
            <w:r>
              <w:rPr>
                <w:rFonts w:ascii="Arial" w:cs="Arial" w:eastAsia="Arial" w:hAnsi="Arial"/>
                <w:sz w:val="13"/>
                <w:szCs w:val="13"/>
                <w:color w:val="auto"/>
              </w:rPr>
              <w:t>3,540</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205,851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-1805305</wp:posOffset>
            </wp:positionV>
            <wp:extent cx="343154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315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20777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25" w:lineRule="exact"/>
        <w:rPr>
          <w:sz w:val="20"/>
          <w:szCs w:val="20"/>
          <w:color w:val="auto"/>
        </w:rPr>
      </w:pPr>
    </w:p>
    <w:p>
      <w:pPr>
        <w:ind w:left="402" w:right="80" w:hanging="402"/>
        <w:spacing w:after="0" w:line="247" w:lineRule="auto"/>
        <w:tabs>
          <w:tab w:leader="none" w:pos="4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1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1" w:name="page62"/>
    <w:bookmarkEnd w:id="6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02" w:hanging="402"/>
        <w:spacing w:after="0" w:line="241"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as reported on the NYSE, on December 6, 2018 (the payout date for the fiscal 2016 to fiscal 2018 performance share awards) of $58.15 per share. Amounts are not reduced to reflect any elections by our named executive officers to defer receipt of performance share award payouts. Under the Deferred Plan for Officers, Messrs. Olson, Brown, Hamilton and Dordell deferred receipt of 100% of their fiscal 2016 to fiscal 2018 performance share award payout. The material terms of the Deferred Plan for Officers are described under “Nonqualified Deferred Compensation for Fiscal 2018” set forth below. The value realized on vesting of the restricted stock unit award for Mr. Brown represents the gross number of shares acquired, including share dividend equivalents, multiplied by the closing price of our common stock, as reported on the NYSE, on September 17, 2018 of $62.39 per share.</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Nonqualified Deferred Compensation for Fiscal 2018</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We maintain three nonqualified deferred compensation plans in which our named executive officers are eligible to participate.</w:t>
      </w:r>
    </w:p>
    <w:p>
      <w:pPr>
        <w:spacing w:after="0" w:line="78" w:lineRule="exact"/>
        <w:rPr>
          <w:sz w:val="20"/>
          <w:szCs w:val="20"/>
          <w:color w:val="auto"/>
        </w:rPr>
      </w:pPr>
    </w:p>
    <w:p>
      <w:pPr>
        <w:ind w:left="2" w:right="20" w:firstLine="408"/>
        <w:spacing w:after="0" w:line="246" w:lineRule="auto"/>
        <w:rPr>
          <w:sz w:val="20"/>
          <w:szCs w:val="20"/>
          <w:color w:val="auto"/>
        </w:rPr>
      </w:pPr>
      <w:r>
        <w:rPr>
          <w:rFonts w:ascii="Arial" w:cs="Arial" w:eastAsia="Arial" w:hAnsi="Arial"/>
          <w:sz w:val="16"/>
          <w:szCs w:val="16"/>
          <w:b w:val="1"/>
          <w:bCs w:val="1"/>
          <w:color w:val="auto"/>
        </w:rPr>
        <w:t xml:space="preserve">The Toro Company Deferred Compensation Plan. </w:t>
      </w:r>
      <w:r>
        <w:rPr>
          <w:rFonts w:ascii="Arial" w:cs="Arial" w:eastAsia="Arial" w:hAnsi="Arial"/>
          <w:sz w:val="16"/>
          <w:szCs w:val="16"/>
          <w:color w:val="auto"/>
        </w:rPr>
        <w:t>This plan allows a select group of management or highly compensated employees, including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placed into a participant’s account and the participant may invest such deferred amounts in an array of funds that are consistent with or comparable to funds provided in the IS&amp;ESOP.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Participants are always 100% vested in their accounts.</w:t>
      </w:r>
    </w:p>
    <w:p>
      <w:pPr>
        <w:spacing w:after="0" w:line="64" w:lineRule="exact"/>
        <w:rPr>
          <w:sz w:val="20"/>
          <w:szCs w:val="20"/>
          <w:color w:val="auto"/>
        </w:rPr>
      </w:pPr>
    </w:p>
    <w:p>
      <w:pPr>
        <w:ind w:left="2" w:right="40" w:firstLine="408"/>
        <w:spacing w:after="0" w:line="248" w:lineRule="auto"/>
        <w:rPr>
          <w:sz w:val="20"/>
          <w:szCs w:val="20"/>
          <w:color w:val="auto"/>
        </w:rPr>
      </w:pPr>
      <w:r>
        <w:rPr>
          <w:rFonts w:ascii="Arial" w:cs="Arial" w:eastAsia="Arial" w:hAnsi="Arial"/>
          <w:sz w:val="16"/>
          <w:szCs w:val="16"/>
          <w:b w:val="1"/>
          <w:bCs w:val="1"/>
          <w:color w:val="auto"/>
        </w:rPr>
        <w:t xml:space="preserve">The Toro Company Deferred Compensation Plan for Officers. </w:t>
      </w:r>
      <w:r>
        <w:rPr>
          <w:rFonts w:ascii="Arial" w:cs="Arial" w:eastAsia="Arial" w:hAnsi="Arial"/>
          <w:sz w:val="16"/>
          <w:szCs w:val="16"/>
          <w:color w:val="auto"/>
        </w:rPr>
        <w:t>This plan allows key employees that receive performance share awards,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 an opportunity to defer receipt of shares of our common stock paid out under such awards to a date in the future. Participants can defer up to 100% of the common stock payout. Each year, before the third fiscal year of the three-year performance period begins, participants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Participants are always 100% vested in their accounts.</w:t>
      </w:r>
    </w:p>
    <w:p>
      <w:pPr>
        <w:spacing w:after="0" w:line="60" w:lineRule="exact"/>
        <w:rPr>
          <w:sz w:val="20"/>
          <w:szCs w:val="20"/>
          <w:color w:val="auto"/>
        </w:rPr>
      </w:pPr>
    </w:p>
    <w:p>
      <w:pPr>
        <w:jc w:val="center"/>
        <w:ind w:right="38"/>
        <w:spacing w:after="0" w:line="252" w:lineRule="auto"/>
        <w:rPr>
          <w:sz w:val="20"/>
          <w:szCs w:val="20"/>
          <w:color w:val="auto"/>
        </w:rPr>
      </w:pPr>
      <w:r>
        <w:rPr>
          <w:rFonts w:ascii="Arial" w:cs="Arial" w:eastAsia="Arial" w:hAnsi="Arial"/>
          <w:sz w:val="16"/>
          <w:szCs w:val="16"/>
          <w:b w:val="1"/>
          <w:bCs w:val="1"/>
          <w:color w:val="auto"/>
        </w:rPr>
        <w:t xml:space="preserve">The Toro Company Supplemental Benefit Plan.  </w:t>
      </w:r>
      <w:r>
        <w:rPr>
          <w:rFonts w:ascii="Arial" w:cs="Arial" w:eastAsia="Arial" w:hAnsi="Arial"/>
          <w:sz w:val="16"/>
          <w:szCs w:val="16"/>
          <w:color w:val="auto"/>
        </w:rPr>
        <w:t>This plan is maintained for the purpose of providing to a select group of management or highly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compensated employees, including our executive officers, benefits in excess of the limitations on benefits and contributions imposed by Code Sections 401(a)</w:t>
      </w:r>
    </w:p>
    <w:p>
      <w:pPr>
        <w:spacing w:after="0" w:line="1" w:lineRule="exact"/>
        <w:rPr>
          <w:sz w:val="20"/>
          <w:szCs w:val="20"/>
          <w:color w:val="auto"/>
        </w:rPr>
      </w:pPr>
    </w:p>
    <w:p>
      <w:pPr>
        <w:ind w:left="2" w:right="20" w:hanging="2"/>
        <w:spacing w:after="0" w:line="242" w:lineRule="auto"/>
        <w:tabs>
          <w:tab w:leader="none" w:pos="338"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and 415. Our contributions to this plan are made on a calendar year basis, usually in the first calendar quarter following the end of the prior calendar year. For earnings above the compensation limit, we contribute the investment savings calculation and the ESOP fund calculation into this plan. Amounts contributed are placed into a participant’s account and the participant may invest such deferred amounts in an array of funds that are consistent with or comparable to funds provided in the IS&amp;ESOP. Participants elect the funds into which these contributions are allocated, as well as the frequency of payments and the number of payments to receive at the time of distribution. Participants are always 100% vested in their accounts. Based on changes announced in early fiscal 2019 to the IS&amp;ESOP, we expect to make changes to the Supplemental Benefit Plan for the 2019 Plan Year.</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2" w:name="page63"/>
    <w:bookmarkEnd w:id="62"/>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7" w:lineRule="exact"/>
        <w:rPr>
          <w:sz w:val="20"/>
          <w:szCs w:val="20"/>
          <w:color w:val="auto"/>
        </w:rPr>
      </w:pPr>
    </w:p>
    <w:p>
      <w:pPr>
        <w:ind w:left="2" w:right="220" w:firstLine="408"/>
        <w:spacing w:after="0" w:line="281" w:lineRule="auto"/>
        <w:rPr>
          <w:sz w:val="20"/>
          <w:szCs w:val="20"/>
          <w:color w:val="auto"/>
        </w:rPr>
      </w:pPr>
      <w:r>
        <w:rPr>
          <w:rFonts w:ascii="Arial" w:cs="Arial" w:eastAsia="Arial" w:hAnsi="Arial"/>
          <w:sz w:val="16"/>
          <w:szCs w:val="16"/>
          <w:b w:val="1"/>
          <w:bCs w:val="1"/>
          <w:color w:val="auto"/>
        </w:rPr>
        <w:t xml:space="preserve">Nonqualified Deferred Compensation for Fiscal 2018 Table. </w:t>
      </w:r>
      <w:r>
        <w:rPr>
          <w:rFonts w:ascii="Arial" w:cs="Arial" w:eastAsia="Arial" w:hAnsi="Arial"/>
          <w:sz w:val="16"/>
          <w:szCs w:val="16"/>
          <w:color w:val="auto"/>
        </w:rPr>
        <w:t>The following table reflects any named executive officer contributions and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for fiscal 2018 to our nonqualified deferred compensation plans.</w:t>
      </w:r>
    </w:p>
    <w:p>
      <w:pPr>
        <w:spacing w:after="0" w:line="56"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3440" w:type="dxa"/>
            <w:vAlign w:val="bottom"/>
            <w:shd w:val="clear" w:color="auto" w:fill="C00000"/>
          </w:tcPr>
          <w:p>
            <w:pPr>
              <w:spacing w:after="0"/>
              <w:rPr>
                <w:sz w:val="14"/>
                <w:szCs w:val="14"/>
                <w:color w:val="auto"/>
              </w:rPr>
            </w:pPr>
          </w:p>
        </w:tc>
        <w:tc>
          <w:tcPr>
            <w:tcW w:w="300" w:type="dxa"/>
            <w:vAlign w:val="bottom"/>
            <w:shd w:val="clear" w:color="auto" w:fill="C00000"/>
          </w:tcPr>
          <w:p>
            <w:pPr>
              <w:spacing w:after="0"/>
              <w:rPr>
                <w:sz w:val="14"/>
                <w:szCs w:val="14"/>
                <w:color w:val="auto"/>
              </w:rPr>
            </w:pPr>
          </w:p>
        </w:tc>
        <w:tc>
          <w:tcPr>
            <w:tcW w:w="1340" w:type="dxa"/>
            <w:vAlign w:val="bottom"/>
            <w:shd w:val="clear" w:color="auto" w:fill="C00000"/>
          </w:tcPr>
          <w:p>
            <w:pPr>
              <w:jc w:val="center"/>
              <w:ind w:right="195"/>
              <w:spacing w:after="0"/>
              <w:rPr>
                <w:sz w:val="20"/>
                <w:szCs w:val="20"/>
                <w:color w:val="auto"/>
              </w:rPr>
            </w:pPr>
            <w:r>
              <w:rPr>
                <w:rFonts w:ascii="Arial" w:cs="Arial" w:eastAsia="Arial" w:hAnsi="Arial"/>
                <w:sz w:val="13"/>
                <w:szCs w:val="13"/>
                <w:color w:val="FFFFFF"/>
                <w:w w:val="99"/>
              </w:rPr>
              <w:t>Executive</w:t>
            </w:r>
          </w:p>
        </w:tc>
        <w:tc>
          <w:tcPr>
            <w:tcW w:w="320" w:type="dxa"/>
            <w:vAlign w:val="bottom"/>
            <w:shd w:val="clear" w:color="auto" w:fill="C00000"/>
          </w:tcPr>
          <w:p>
            <w:pPr>
              <w:spacing w:after="0"/>
              <w:rPr>
                <w:sz w:val="14"/>
                <w:szCs w:val="14"/>
                <w:color w:val="auto"/>
              </w:rPr>
            </w:pPr>
          </w:p>
        </w:tc>
        <w:tc>
          <w:tcPr>
            <w:tcW w:w="1260" w:type="dxa"/>
            <w:vAlign w:val="bottom"/>
            <w:shd w:val="clear" w:color="auto" w:fill="C00000"/>
          </w:tcPr>
          <w:p>
            <w:pPr>
              <w:jc w:val="center"/>
              <w:ind w:right="275"/>
              <w:spacing w:after="0"/>
              <w:rPr>
                <w:sz w:val="20"/>
                <w:szCs w:val="20"/>
                <w:color w:val="auto"/>
              </w:rPr>
            </w:pPr>
            <w:r>
              <w:rPr>
                <w:rFonts w:ascii="Arial" w:cs="Arial" w:eastAsia="Arial" w:hAnsi="Arial"/>
                <w:sz w:val="13"/>
                <w:szCs w:val="13"/>
                <w:color w:val="FFFFFF"/>
              </w:rPr>
              <w:t>Registrant</w:t>
            </w:r>
          </w:p>
        </w:tc>
        <w:tc>
          <w:tcPr>
            <w:tcW w:w="360" w:type="dxa"/>
            <w:vAlign w:val="bottom"/>
            <w:shd w:val="clear" w:color="auto" w:fill="C00000"/>
          </w:tcPr>
          <w:p>
            <w:pPr>
              <w:spacing w:after="0"/>
              <w:rPr>
                <w:sz w:val="14"/>
                <w:szCs w:val="14"/>
                <w:color w:val="auto"/>
              </w:rPr>
            </w:pPr>
          </w:p>
        </w:tc>
        <w:tc>
          <w:tcPr>
            <w:tcW w:w="1260" w:type="dxa"/>
            <w:vAlign w:val="bottom"/>
            <w:shd w:val="clear" w:color="auto" w:fill="C00000"/>
          </w:tcPr>
          <w:p>
            <w:pPr>
              <w:jc w:val="center"/>
              <w:ind w:right="315"/>
              <w:spacing w:after="0"/>
              <w:rPr>
                <w:sz w:val="20"/>
                <w:szCs w:val="20"/>
                <w:color w:val="auto"/>
              </w:rPr>
            </w:pPr>
            <w:r>
              <w:rPr>
                <w:rFonts w:ascii="Arial" w:cs="Arial" w:eastAsia="Arial" w:hAnsi="Arial"/>
                <w:sz w:val="13"/>
                <w:szCs w:val="13"/>
                <w:color w:val="FFFFFF"/>
                <w:w w:val="99"/>
              </w:rPr>
              <w:t>Aggregate</w:t>
            </w:r>
          </w:p>
        </w:tc>
        <w:tc>
          <w:tcPr>
            <w:tcW w:w="300" w:type="dxa"/>
            <w:vAlign w:val="bottom"/>
            <w:shd w:val="clear" w:color="auto" w:fill="C00000"/>
          </w:tcPr>
          <w:p>
            <w:pPr>
              <w:spacing w:after="0"/>
              <w:rPr>
                <w:sz w:val="14"/>
                <w:szCs w:val="14"/>
                <w:color w:val="auto"/>
              </w:rPr>
            </w:pPr>
          </w:p>
        </w:tc>
        <w:tc>
          <w:tcPr>
            <w:tcW w:w="1260" w:type="dxa"/>
            <w:vAlign w:val="bottom"/>
            <w:shd w:val="clear" w:color="auto" w:fill="C00000"/>
          </w:tcPr>
          <w:p>
            <w:pPr>
              <w:jc w:val="center"/>
              <w:ind w:right="235"/>
              <w:spacing w:after="0"/>
              <w:rPr>
                <w:sz w:val="20"/>
                <w:szCs w:val="20"/>
                <w:color w:val="auto"/>
              </w:rPr>
            </w:pPr>
            <w:r>
              <w:rPr>
                <w:rFonts w:ascii="Arial" w:cs="Arial" w:eastAsia="Arial" w:hAnsi="Arial"/>
                <w:sz w:val="13"/>
                <w:szCs w:val="13"/>
                <w:color w:val="FFFFFF"/>
                <w:w w:val="99"/>
              </w:rPr>
              <w:t>Aggregate</w:t>
            </w:r>
          </w:p>
        </w:tc>
        <w:tc>
          <w:tcPr>
            <w:tcW w:w="360" w:type="dxa"/>
            <w:vAlign w:val="bottom"/>
            <w:shd w:val="clear" w:color="auto" w:fill="C00000"/>
          </w:tcPr>
          <w:p>
            <w:pPr>
              <w:spacing w:after="0"/>
              <w:rPr>
                <w:sz w:val="14"/>
                <w:szCs w:val="14"/>
                <w:color w:val="auto"/>
              </w:rPr>
            </w:pPr>
          </w:p>
        </w:tc>
        <w:tc>
          <w:tcPr>
            <w:tcW w:w="1220" w:type="dxa"/>
            <w:vAlign w:val="bottom"/>
            <w:shd w:val="clear" w:color="auto" w:fill="C00000"/>
          </w:tcPr>
          <w:p>
            <w:pPr>
              <w:jc w:val="center"/>
              <w:ind w:right="235"/>
              <w:spacing w:after="0"/>
              <w:rPr>
                <w:sz w:val="20"/>
                <w:szCs w:val="20"/>
                <w:color w:val="auto"/>
              </w:rPr>
            </w:pPr>
            <w:r>
              <w:rPr>
                <w:rFonts w:ascii="Arial" w:cs="Arial" w:eastAsia="Arial" w:hAnsi="Arial"/>
                <w:sz w:val="13"/>
                <w:szCs w:val="13"/>
                <w:color w:val="FFFFFF"/>
                <w:w w:val="99"/>
              </w:rPr>
              <w:t>Aggregate</w:t>
            </w:r>
          </w:p>
        </w:tc>
      </w:tr>
      <w:tr>
        <w:trPr>
          <w:trHeight w:val="140"/>
        </w:trPr>
        <w:tc>
          <w:tcPr>
            <w:tcW w:w="3440" w:type="dxa"/>
            <w:vAlign w:val="bottom"/>
            <w:shd w:val="clear" w:color="auto" w:fill="C00000"/>
          </w:tcPr>
          <w:p>
            <w:pPr>
              <w:spacing w:after="0"/>
              <w:rPr>
                <w:sz w:val="12"/>
                <w:szCs w:val="12"/>
                <w:color w:val="auto"/>
              </w:rPr>
            </w:pPr>
          </w:p>
        </w:tc>
        <w:tc>
          <w:tcPr>
            <w:tcW w:w="300" w:type="dxa"/>
            <w:vAlign w:val="bottom"/>
            <w:shd w:val="clear" w:color="auto" w:fill="C00000"/>
          </w:tcPr>
          <w:p>
            <w:pPr>
              <w:spacing w:after="0"/>
              <w:rPr>
                <w:sz w:val="12"/>
                <w:szCs w:val="12"/>
                <w:color w:val="auto"/>
              </w:rPr>
            </w:pPr>
          </w:p>
        </w:tc>
        <w:tc>
          <w:tcPr>
            <w:tcW w:w="1340" w:type="dxa"/>
            <w:vAlign w:val="bottom"/>
            <w:shd w:val="clear" w:color="auto" w:fill="C00000"/>
          </w:tcPr>
          <w:p>
            <w:pPr>
              <w:jc w:val="center"/>
              <w:ind w:right="215"/>
              <w:spacing w:after="0" w:line="141" w:lineRule="exact"/>
              <w:rPr>
                <w:sz w:val="20"/>
                <w:szCs w:val="20"/>
                <w:color w:val="auto"/>
              </w:rPr>
            </w:pPr>
            <w:r>
              <w:rPr>
                <w:rFonts w:ascii="Arial" w:cs="Arial" w:eastAsia="Arial" w:hAnsi="Arial"/>
                <w:sz w:val="13"/>
                <w:szCs w:val="13"/>
                <w:color w:val="FFFFFF"/>
              </w:rPr>
              <w:t>Contributions</w:t>
            </w:r>
          </w:p>
        </w:tc>
        <w:tc>
          <w:tcPr>
            <w:tcW w:w="32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255"/>
              <w:spacing w:after="0" w:line="141" w:lineRule="exact"/>
              <w:rPr>
                <w:sz w:val="20"/>
                <w:szCs w:val="20"/>
                <w:color w:val="auto"/>
              </w:rPr>
            </w:pPr>
            <w:r>
              <w:rPr>
                <w:rFonts w:ascii="Arial" w:cs="Arial" w:eastAsia="Arial" w:hAnsi="Arial"/>
                <w:sz w:val="13"/>
                <w:szCs w:val="13"/>
                <w:color w:val="FFFFFF"/>
              </w:rPr>
              <w:t>Contributions</w:t>
            </w:r>
          </w:p>
        </w:tc>
        <w:tc>
          <w:tcPr>
            <w:tcW w:w="36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315"/>
              <w:spacing w:after="0" w:line="141" w:lineRule="exact"/>
              <w:rPr>
                <w:sz w:val="20"/>
                <w:szCs w:val="20"/>
                <w:color w:val="auto"/>
              </w:rPr>
            </w:pPr>
            <w:r>
              <w:rPr>
                <w:rFonts w:ascii="Arial" w:cs="Arial" w:eastAsia="Arial" w:hAnsi="Arial"/>
                <w:sz w:val="13"/>
                <w:szCs w:val="13"/>
                <w:color w:val="FFFFFF"/>
                <w:w w:val="98"/>
              </w:rPr>
              <w:t>Earnings in</w:t>
            </w:r>
          </w:p>
        </w:tc>
        <w:tc>
          <w:tcPr>
            <w:tcW w:w="30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255"/>
              <w:spacing w:after="0" w:line="141" w:lineRule="exact"/>
              <w:rPr>
                <w:sz w:val="20"/>
                <w:szCs w:val="20"/>
                <w:color w:val="auto"/>
              </w:rPr>
            </w:pPr>
            <w:r>
              <w:rPr>
                <w:rFonts w:ascii="Arial" w:cs="Arial" w:eastAsia="Arial" w:hAnsi="Arial"/>
                <w:sz w:val="13"/>
                <w:szCs w:val="13"/>
                <w:color w:val="FFFFFF"/>
                <w:w w:val="99"/>
              </w:rPr>
              <w:t>Withdrawals/</w:t>
            </w:r>
          </w:p>
        </w:tc>
        <w:tc>
          <w:tcPr>
            <w:tcW w:w="360" w:type="dxa"/>
            <w:vAlign w:val="bottom"/>
            <w:shd w:val="clear" w:color="auto" w:fill="C00000"/>
          </w:tcPr>
          <w:p>
            <w:pPr>
              <w:spacing w:after="0"/>
              <w:rPr>
                <w:sz w:val="12"/>
                <w:szCs w:val="12"/>
                <w:color w:val="auto"/>
              </w:rPr>
            </w:pPr>
          </w:p>
        </w:tc>
        <w:tc>
          <w:tcPr>
            <w:tcW w:w="1220" w:type="dxa"/>
            <w:vAlign w:val="bottom"/>
            <w:shd w:val="clear" w:color="auto" w:fill="C00000"/>
          </w:tcPr>
          <w:p>
            <w:pPr>
              <w:jc w:val="center"/>
              <w:ind w:right="255"/>
              <w:spacing w:after="0" w:line="141" w:lineRule="exact"/>
              <w:rPr>
                <w:sz w:val="20"/>
                <w:szCs w:val="20"/>
                <w:color w:val="auto"/>
              </w:rPr>
            </w:pPr>
            <w:r>
              <w:rPr>
                <w:rFonts w:ascii="Arial" w:cs="Arial" w:eastAsia="Arial" w:hAnsi="Arial"/>
                <w:sz w:val="13"/>
                <w:szCs w:val="13"/>
                <w:color w:val="FFFFFF"/>
              </w:rPr>
              <w:t>Balance at</w:t>
            </w:r>
          </w:p>
        </w:tc>
      </w:tr>
      <w:tr>
        <w:trPr>
          <w:trHeight w:val="154"/>
        </w:trPr>
        <w:tc>
          <w:tcPr>
            <w:tcW w:w="3440" w:type="dxa"/>
            <w:vAlign w:val="bottom"/>
            <w:shd w:val="clear" w:color="auto" w:fill="C00000"/>
          </w:tcPr>
          <w:p>
            <w:pPr>
              <w:spacing w:after="0"/>
              <w:rPr>
                <w:sz w:val="13"/>
                <w:szCs w:val="13"/>
                <w:color w:val="auto"/>
              </w:rPr>
            </w:pPr>
          </w:p>
        </w:tc>
        <w:tc>
          <w:tcPr>
            <w:tcW w:w="300" w:type="dxa"/>
            <w:vAlign w:val="bottom"/>
            <w:shd w:val="clear" w:color="auto" w:fill="C00000"/>
          </w:tcPr>
          <w:p>
            <w:pPr>
              <w:spacing w:after="0"/>
              <w:rPr>
                <w:sz w:val="13"/>
                <w:szCs w:val="13"/>
                <w:color w:val="auto"/>
              </w:rPr>
            </w:pPr>
          </w:p>
        </w:tc>
        <w:tc>
          <w:tcPr>
            <w:tcW w:w="1340" w:type="dxa"/>
            <w:vAlign w:val="bottom"/>
            <w:shd w:val="clear" w:color="auto" w:fill="C00000"/>
          </w:tcPr>
          <w:p>
            <w:pPr>
              <w:jc w:val="center"/>
              <w:ind w:right="195"/>
              <w:spacing w:after="0" w:line="154" w:lineRule="exact"/>
              <w:rPr>
                <w:sz w:val="20"/>
                <w:szCs w:val="20"/>
                <w:color w:val="auto"/>
              </w:rPr>
            </w:pPr>
            <w:r>
              <w:rPr>
                <w:rFonts w:ascii="Arial" w:cs="Arial" w:eastAsia="Arial" w:hAnsi="Arial"/>
                <w:sz w:val="11"/>
                <w:szCs w:val="11"/>
                <w:color w:val="FFFFFF"/>
              </w:rPr>
              <w:t>in Last FY</w:t>
            </w:r>
            <w:r>
              <w:rPr>
                <w:rFonts w:ascii="Arial" w:cs="Arial" w:eastAsia="Arial" w:hAnsi="Arial"/>
                <w:sz w:val="17"/>
                <w:szCs w:val="17"/>
                <w:color w:val="FFFFFF"/>
                <w:vertAlign w:val="superscript"/>
              </w:rPr>
              <w:t>(1)</w:t>
            </w:r>
          </w:p>
        </w:tc>
        <w:tc>
          <w:tcPr>
            <w:tcW w:w="320" w:type="dxa"/>
            <w:vAlign w:val="bottom"/>
            <w:shd w:val="clear" w:color="auto" w:fill="C00000"/>
          </w:tcPr>
          <w:p>
            <w:pPr>
              <w:spacing w:after="0"/>
              <w:rPr>
                <w:sz w:val="13"/>
                <w:szCs w:val="13"/>
                <w:color w:val="auto"/>
              </w:rPr>
            </w:pPr>
          </w:p>
        </w:tc>
        <w:tc>
          <w:tcPr>
            <w:tcW w:w="1260" w:type="dxa"/>
            <w:vAlign w:val="bottom"/>
            <w:shd w:val="clear" w:color="auto" w:fill="C00000"/>
          </w:tcPr>
          <w:p>
            <w:pPr>
              <w:jc w:val="center"/>
              <w:ind w:right="275"/>
              <w:spacing w:after="0" w:line="154" w:lineRule="exact"/>
              <w:rPr>
                <w:sz w:val="20"/>
                <w:szCs w:val="20"/>
                <w:color w:val="auto"/>
              </w:rPr>
            </w:pPr>
            <w:r>
              <w:rPr>
                <w:rFonts w:ascii="Arial" w:cs="Arial" w:eastAsia="Arial" w:hAnsi="Arial"/>
                <w:sz w:val="11"/>
                <w:szCs w:val="11"/>
                <w:color w:val="FFFFFF"/>
              </w:rPr>
              <w:t>in Last FY</w:t>
            </w:r>
            <w:r>
              <w:rPr>
                <w:rFonts w:ascii="Arial" w:cs="Arial" w:eastAsia="Arial" w:hAnsi="Arial"/>
                <w:sz w:val="17"/>
                <w:szCs w:val="17"/>
                <w:color w:val="FFFFFF"/>
                <w:vertAlign w:val="superscript"/>
              </w:rPr>
              <w:t>(2)</w:t>
            </w:r>
          </w:p>
        </w:tc>
        <w:tc>
          <w:tcPr>
            <w:tcW w:w="360" w:type="dxa"/>
            <w:vAlign w:val="bottom"/>
            <w:shd w:val="clear" w:color="auto" w:fill="C00000"/>
          </w:tcPr>
          <w:p>
            <w:pPr>
              <w:spacing w:after="0"/>
              <w:rPr>
                <w:sz w:val="13"/>
                <w:szCs w:val="13"/>
                <w:color w:val="auto"/>
              </w:rPr>
            </w:pPr>
          </w:p>
        </w:tc>
        <w:tc>
          <w:tcPr>
            <w:tcW w:w="1260" w:type="dxa"/>
            <w:vAlign w:val="bottom"/>
            <w:shd w:val="clear" w:color="auto" w:fill="C00000"/>
          </w:tcPr>
          <w:p>
            <w:pPr>
              <w:jc w:val="center"/>
              <w:ind w:right="315"/>
              <w:spacing w:after="0" w:line="154" w:lineRule="exact"/>
              <w:rPr>
                <w:sz w:val="20"/>
                <w:szCs w:val="20"/>
                <w:color w:val="auto"/>
              </w:rPr>
            </w:pPr>
            <w:r>
              <w:rPr>
                <w:rFonts w:ascii="Arial" w:cs="Arial" w:eastAsia="Arial" w:hAnsi="Arial"/>
                <w:sz w:val="11"/>
                <w:szCs w:val="11"/>
                <w:color w:val="FFFFFF"/>
              </w:rPr>
              <w:t>Last FY</w:t>
            </w:r>
            <w:r>
              <w:rPr>
                <w:rFonts w:ascii="Arial" w:cs="Arial" w:eastAsia="Arial" w:hAnsi="Arial"/>
                <w:sz w:val="17"/>
                <w:szCs w:val="17"/>
                <w:color w:val="FFFFFF"/>
                <w:vertAlign w:val="superscript"/>
              </w:rPr>
              <w:t>(3)</w:t>
            </w:r>
          </w:p>
        </w:tc>
        <w:tc>
          <w:tcPr>
            <w:tcW w:w="300" w:type="dxa"/>
            <w:vAlign w:val="bottom"/>
            <w:shd w:val="clear" w:color="auto" w:fill="C00000"/>
          </w:tcPr>
          <w:p>
            <w:pPr>
              <w:spacing w:after="0"/>
              <w:rPr>
                <w:sz w:val="13"/>
                <w:szCs w:val="13"/>
                <w:color w:val="auto"/>
              </w:rPr>
            </w:pPr>
          </w:p>
        </w:tc>
        <w:tc>
          <w:tcPr>
            <w:tcW w:w="1260" w:type="dxa"/>
            <w:vAlign w:val="bottom"/>
            <w:shd w:val="clear" w:color="auto" w:fill="C00000"/>
          </w:tcPr>
          <w:p>
            <w:pPr>
              <w:jc w:val="center"/>
              <w:ind w:right="235"/>
              <w:spacing w:after="0"/>
              <w:rPr>
                <w:sz w:val="20"/>
                <w:szCs w:val="20"/>
                <w:color w:val="auto"/>
              </w:rPr>
            </w:pPr>
            <w:r>
              <w:rPr>
                <w:rFonts w:ascii="Arial" w:cs="Arial" w:eastAsia="Arial" w:hAnsi="Arial"/>
                <w:sz w:val="13"/>
                <w:szCs w:val="13"/>
                <w:color w:val="FFFFFF"/>
              </w:rPr>
              <w:t>Distributions</w:t>
            </w:r>
          </w:p>
        </w:tc>
        <w:tc>
          <w:tcPr>
            <w:tcW w:w="360" w:type="dxa"/>
            <w:vAlign w:val="bottom"/>
            <w:shd w:val="clear" w:color="auto" w:fill="C00000"/>
          </w:tcPr>
          <w:p>
            <w:pPr>
              <w:spacing w:after="0"/>
              <w:rPr>
                <w:sz w:val="13"/>
                <w:szCs w:val="13"/>
                <w:color w:val="auto"/>
              </w:rPr>
            </w:pPr>
          </w:p>
        </w:tc>
        <w:tc>
          <w:tcPr>
            <w:tcW w:w="1220" w:type="dxa"/>
            <w:vAlign w:val="bottom"/>
            <w:shd w:val="clear" w:color="auto" w:fill="C00000"/>
          </w:tcPr>
          <w:p>
            <w:pPr>
              <w:jc w:val="center"/>
              <w:ind w:right="255"/>
              <w:spacing w:after="0" w:line="154" w:lineRule="exact"/>
              <w:rPr>
                <w:sz w:val="20"/>
                <w:szCs w:val="20"/>
                <w:color w:val="auto"/>
              </w:rPr>
            </w:pPr>
            <w:r>
              <w:rPr>
                <w:rFonts w:ascii="Arial" w:cs="Arial" w:eastAsia="Arial" w:hAnsi="Arial"/>
                <w:sz w:val="11"/>
                <w:szCs w:val="11"/>
                <w:color w:val="FFFFFF"/>
              </w:rPr>
              <w:t>Last FYE</w:t>
            </w:r>
            <w:r>
              <w:rPr>
                <w:rFonts w:ascii="Arial" w:cs="Arial" w:eastAsia="Arial" w:hAnsi="Arial"/>
                <w:sz w:val="17"/>
                <w:szCs w:val="17"/>
                <w:color w:val="FFFFFF"/>
                <w:vertAlign w:val="superscript"/>
              </w:rPr>
              <w:t>(4)</w:t>
            </w:r>
          </w:p>
        </w:tc>
      </w:tr>
      <w:tr>
        <w:trPr>
          <w:trHeight w:val="143"/>
        </w:trPr>
        <w:tc>
          <w:tcPr>
            <w:tcW w:w="3440" w:type="dxa"/>
            <w:vAlign w:val="bottom"/>
            <w:shd w:val="clear" w:color="auto" w:fill="C00000"/>
          </w:tcPr>
          <w:p>
            <w:pPr>
              <w:spacing w:after="0" w:line="143" w:lineRule="exact"/>
              <w:rPr>
                <w:sz w:val="20"/>
                <w:szCs w:val="20"/>
                <w:color w:val="auto"/>
              </w:rPr>
            </w:pPr>
            <w:r>
              <w:rPr>
                <w:rFonts w:ascii="Arial" w:cs="Arial" w:eastAsia="Arial" w:hAnsi="Arial"/>
                <w:sz w:val="13"/>
                <w:szCs w:val="13"/>
                <w:color w:val="FFFFFF"/>
              </w:rPr>
              <w:t>Name</w:t>
            </w:r>
          </w:p>
        </w:tc>
        <w:tc>
          <w:tcPr>
            <w:tcW w:w="300" w:type="dxa"/>
            <w:vAlign w:val="bottom"/>
            <w:shd w:val="clear" w:color="auto" w:fill="C00000"/>
          </w:tcPr>
          <w:p>
            <w:pPr>
              <w:spacing w:after="0"/>
              <w:rPr>
                <w:sz w:val="12"/>
                <w:szCs w:val="12"/>
                <w:color w:val="auto"/>
              </w:rPr>
            </w:pPr>
          </w:p>
        </w:tc>
        <w:tc>
          <w:tcPr>
            <w:tcW w:w="1340" w:type="dxa"/>
            <w:vAlign w:val="bottom"/>
            <w:shd w:val="clear" w:color="auto" w:fill="C00000"/>
          </w:tcPr>
          <w:p>
            <w:pPr>
              <w:jc w:val="center"/>
              <w:ind w:right="195"/>
              <w:spacing w:after="0" w:line="143" w:lineRule="exact"/>
              <w:rPr>
                <w:sz w:val="20"/>
                <w:szCs w:val="20"/>
                <w:color w:val="auto"/>
              </w:rPr>
            </w:pPr>
            <w:r>
              <w:rPr>
                <w:rFonts w:ascii="Arial" w:cs="Arial" w:eastAsia="Arial" w:hAnsi="Arial"/>
                <w:sz w:val="13"/>
                <w:szCs w:val="13"/>
                <w:color w:val="FFFFFF"/>
              </w:rPr>
              <w:t>($)</w:t>
            </w:r>
          </w:p>
        </w:tc>
        <w:tc>
          <w:tcPr>
            <w:tcW w:w="32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275"/>
              <w:spacing w:after="0" w:line="143" w:lineRule="exact"/>
              <w:rPr>
                <w:sz w:val="20"/>
                <w:szCs w:val="20"/>
                <w:color w:val="auto"/>
              </w:rPr>
            </w:pPr>
            <w:r>
              <w:rPr>
                <w:rFonts w:ascii="Arial" w:cs="Arial" w:eastAsia="Arial" w:hAnsi="Arial"/>
                <w:sz w:val="13"/>
                <w:szCs w:val="13"/>
                <w:color w:val="FFFFFF"/>
              </w:rPr>
              <w:t>($)</w:t>
            </w:r>
          </w:p>
        </w:tc>
        <w:tc>
          <w:tcPr>
            <w:tcW w:w="36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315"/>
              <w:spacing w:after="0" w:line="143" w:lineRule="exact"/>
              <w:rPr>
                <w:sz w:val="20"/>
                <w:szCs w:val="20"/>
                <w:color w:val="auto"/>
              </w:rPr>
            </w:pPr>
            <w:r>
              <w:rPr>
                <w:rFonts w:ascii="Arial" w:cs="Arial" w:eastAsia="Arial" w:hAnsi="Arial"/>
                <w:sz w:val="13"/>
                <w:szCs w:val="13"/>
                <w:color w:val="FFFFFF"/>
              </w:rPr>
              <w:t>($)</w:t>
            </w:r>
          </w:p>
        </w:tc>
        <w:tc>
          <w:tcPr>
            <w:tcW w:w="300" w:type="dxa"/>
            <w:vAlign w:val="bottom"/>
            <w:shd w:val="clear" w:color="auto" w:fill="C00000"/>
          </w:tcPr>
          <w:p>
            <w:pPr>
              <w:spacing w:after="0"/>
              <w:rPr>
                <w:sz w:val="12"/>
                <w:szCs w:val="12"/>
                <w:color w:val="auto"/>
              </w:rPr>
            </w:pPr>
          </w:p>
        </w:tc>
        <w:tc>
          <w:tcPr>
            <w:tcW w:w="1260" w:type="dxa"/>
            <w:vAlign w:val="bottom"/>
            <w:shd w:val="clear" w:color="auto" w:fill="C00000"/>
          </w:tcPr>
          <w:p>
            <w:pPr>
              <w:jc w:val="center"/>
              <w:ind w:right="235"/>
              <w:spacing w:after="0" w:line="143" w:lineRule="exact"/>
              <w:rPr>
                <w:sz w:val="20"/>
                <w:szCs w:val="20"/>
                <w:color w:val="auto"/>
              </w:rPr>
            </w:pPr>
            <w:r>
              <w:rPr>
                <w:rFonts w:ascii="Arial" w:cs="Arial" w:eastAsia="Arial" w:hAnsi="Arial"/>
                <w:sz w:val="13"/>
                <w:szCs w:val="13"/>
                <w:color w:val="FFFFFF"/>
              </w:rPr>
              <w:t>($)</w:t>
            </w:r>
          </w:p>
        </w:tc>
        <w:tc>
          <w:tcPr>
            <w:tcW w:w="360" w:type="dxa"/>
            <w:vAlign w:val="bottom"/>
            <w:shd w:val="clear" w:color="auto" w:fill="C00000"/>
          </w:tcPr>
          <w:p>
            <w:pPr>
              <w:spacing w:after="0"/>
              <w:rPr>
                <w:sz w:val="12"/>
                <w:szCs w:val="12"/>
                <w:color w:val="auto"/>
              </w:rPr>
            </w:pPr>
          </w:p>
        </w:tc>
        <w:tc>
          <w:tcPr>
            <w:tcW w:w="1220" w:type="dxa"/>
            <w:vAlign w:val="bottom"/>
            <w:shd w:val="clear" w:color="auto" w:fill="C00000"/>
          </w:tcPr>
          <w:p>
            <w:pPr>
              <w:jc w:val="center"/>
              <w:ind w:right="235"/>
              <w:spacing w:after="0" w:line="143" w:lineRule="exact"/>
              <w:rPr>
                <w:sz w:val="20"/>
                <w:szCs w:val="20"/>
                <w:color w:val="auto"/>
              </w:rPr>
            </w:pPr>
            <w:r>
              <w:rPr>
                <w:rFonts w:ascii="Arial" w:cs="Arial" w:eastAsia="Arial" w:hAnsi="Arial"/>
                <w:sz w:val="13"/>
                <w:szCs w:val="13"/>
                <w:color w:val="FFFFFF"/>
              </w:rPr>
              <w:t>($)</w:t>
            </w:r>
          </w:p>
        </w:tc>
      </w:tr>
      <w:tr>
        <w:trPr>
          <w:trHeight w:val="173"/>
        </w:trPr>
        <w:tc>
          <w:tcPr>
            <w:tcW w:w="3440" w:type="dxa"/>
            <w:vAlign w:val="bottom"/>
          </w:tcPr>
          <w:p>
            <w:pPr>
              <w:spacing w:after="0"/>
              <w:rPr>
                <w:sz w:val="20"/>
                <w:szCs w:val="20"/>
                <w:color w:val="auto"/>
              </w:rPr>
            </w:pPr>
            <w:r>
              <w:rPr>
                <w:rFonts w:ascii="Arial" w:cs="Arial" w:eastAsia="Arial" w:hAnsi="Arial"/>
                <w:sz w:val="13"/>
                <w:szCs w:val="13"/>
                <w:color w:val="auto"/>
              </w:rPr>
              <w:t>Richard M. Olson</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9"/>
        </w:trPr>
        <w:tc>
          <w:tcPr>
            <w:tcW w:w="3440" w:type="dxa"/>
            <w:vAlign w:val="bottom"/>
          </w:tcPr>
          <w:p>
            <w:pPr>
              <w:ind w:left="220"/>
              <w:spacing w:after="0"/>
              <w:rPr>
                <w:sz w:val="20"/>
                <w:szCs w:val="20"/>
                <w:color w:val="auto"/>
              </w:rPr>
            </w:pPr>
            <w:r>
              <w:rPr>
                <w:rFonts w:ascii="Arial" w:cs="Arial" w:eastAsia="Arial" w:hAnsi="Arial"/>
                <w:sz w:val="13"/>
                <w:szCs w:val="13"/>
                <w:color w:val="auto"/>
              </w:rPr>
              <w:t>Deferred Plan</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183,761</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(10,316)</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553,430</w:t>
            </w:r>
          </w:p>
        </w:tc>
      </w:tr>
      <w:tr>
        <w:trPr>
          <w:trHeight w:val="159"/>
        </w:trPr>
        <w:tc>
          <w:tcPr>
            <w:tcW w:w="3440" w:type="dxa"/>
            <w:vAlign w:val="bottom"/>
          </w:tcPr>
          <w:p>
            <w:pPr>
              <w:ind w:left="220"/>
              <w:spacing w:after="0"/>
              <w:rPr>
                <w:sz w:val="20"/>
                <w:szCs w:val="20"/>
                <w:color w:val="auto"/>
              </w:rPr>
            </w:pPr>
            <w:r>
              <w:rPr>
                <w:rFonts w:ascii="Arial" w:cs="Arial" w:eastAsia="Arial" w:hAnsi="Arial"/>
                <w:sz w:val="13"/>
                <w:szCs w:val="13"/>
                <w:color w:val="auto"/>
              </w:rPr>
              <w:t>Deferred Plan for Officers</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864,749</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(200,922)</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2,637,411</w:t>
            </w:r>
          </w:p>
        </w:tc>
      </w:tr>
      <w:tr>
        <w:trPr>
          <w:trHeight w:val="146"/>
        </w:trPr>
        <w:tc>
          <w:tcPr>
            <w:tcW w:w="3440" w:type="dxa"/>
            <w:vAlign w:val="bottom"/>
          </w:tcPr>
          <w:p>
            <w:pPr>
              <w:ind w:left="220"/>
              <w:spacing w:after="0" w:line="146" w:lineRule="exact"/>
              <w:rPr>
                <w:sz w:val="20"/>
                <w:szCs w:val="20"/>
                <w:color w:val="auto"/>
              </w:rPr>
            </w:pPr>
            <w:r>
              <w:rPr>
                <w:rFonts w:ascii="Arial" w:cs="Arial" w:eastAsia="Arial" w:hAnsi="Arial"/>
                <w:sz w:val="13"/>
                <w:szCs w:val="13"/>
                <w:color w:val="auto"/>
              </w:rPr>
              <w:t>Supplemental Benefit Plan</w:t>
            </w:r>
          </w:p>
        </w:tc>
        <w:tc>
          <w:tcPr>
            <w:tcW w:w="3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0</w:t>
            </w:r>
          </w:p>
        </w:tc>
        <w:tc>
          <w:tcPr>
            <w:tcW w:w="320" w:type="dxa"/>
            <w:vAlign w:val="bottom"/>
          </w:tcPr>
          <w:p>
            <w:pPr>
              <w:jc w:val="right"/>
              <w:ind w:right="35"/>
              <w:spacing w:after="0" w:line="146"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129,609</w:t>
            </w:r>
          </w:p>
        </w:tc>
        <w:tc>
          <w:tcPr>
            <w:tcW w:w="3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(10,817)</w:t>
            </w:r>
          </w:p>
        </w:tc>
        <w:tc>
          <w:tcPr>
            <w:tcW w:w="300" w:type="dxa"/>
            <w:vAlign w:val="bottom"/>
          </w:tcPr>
          <w:p>
            <w:pPr>
              <w:jc w:val="right"/>
              <w:ind w:right="35"/>
              <w:spacing w:after="0" w:line="146"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line="146" w:lineRule="exact"/>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line="146" w:lineRule="exact"/>
              <w:rPr>
                <w:sz w:val="20"/>
                <w:szCs w:val="20"/>
                <w:color w:val="auto"/>
              </w:rPr>
            </w:pPr>
            <w:r>
              <w:rPr>
                <w:rFonts w:ascii="Arial" w:cs="Arial" w:eastAsia="Arial" w:hAnsi="Arial"/>
                <w:sz w:val="13"/>
                <w:szCs w:val="13"/>
                <w:color w:val="auto"/>
              </w:rPr>
              <w:t>440,259</w:t>
            </w:r>
          </w:p>
        </w:tc>
      </w:tr>
      <w:tr>
        <w:trPr>
          <w:trHeight w:val="159"/>
        </w:trPr>
        <w:tc>
          <w:tcPr>
            <w:tcW w:w="344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300" w:type="dxa"/>
            <w:vAlign w:val="bottom"/>
            <w:shd w:val="clear" w:color="auto" w:fill="D9D9D9"/>
          </w:tcPr>
          <w:p>
            <w:pPr>
              <w:spacing w:after="0"/>
              <w:rPr>
                <w:sz w:val="13"/>
                <w:szCs w:val="13"/>
                <w:color w:val="auto"/>
              </w:rPr>
            </w:pPr>
          </w:p>
        </w:tc>
        <w:tc>
          <w:tcPr>
            <w:tcW w:w="134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0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r>
      <w:tr>
        <w:trPr>
          <w:trHeight w:val="159"/>
        </w:trPr>
        <w:tc>
          <w:tcPr>
            <w:tcW w:w="34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304,881</w:t>
            </w:r>
          </w:p>
        </w:tc>
        <w:tc>
          <w:tcPr>
            <w:tcW w:w="32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(38,942)</w:t>
            </w:r>
          </w:p>
        </w:tc>
        <w:tc>
          <w:tcPr>
            <w:tcW w:w="30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2,016,518</w:t>
            </w:r>
          </w:p>
        </w:tc>
      </w:tr>
      <w:tr>
        <w:trPr>
          <w:trHeight w:val="159"/>
        </w:trPr>
        <w:tc>
          <w:tcPr>
            <w:tcW w:w="34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 for Officers</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0</w:t>
            </w:r>
          </w:p>
        </w:tc>
        <w:tc>
          <w:tcPr>
            <w:tcW w:w="32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(513,352)</w:t>
            </w:r>
          </w:p>
        </w:tc>
        <w:tc>
          <w:tcPr>
            <w:tcW w:w="30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4,659,790</w:t>
            </w:r>
          </w:p>
        </w:tc>
      </w:tr>
      <w:tr>
        <w:trPr>
          <w:trHeight w:val="159"/>
        </w:trPr>
        <w:tc>
          <w:tcPr>
            <w:tcW w:w="34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Supplemental Benefit Plan</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0</w:t>
            </w:r>
          </w:p>
        </w:tc>
        <w:tc>
          <w:tcPr>
            <w:tcW w:w="32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54,137</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(7,616)</w:t>
            </w:r>
          </w:p>
        </w:tc>
        <w:tc>
          <w:tcPr>
            <w:tcW w:w="30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388,004</w:t>
            </w:r>
          </w:p>
        </w:tc>
      </w:tr>
      <w:tr>
        <w:trPr>
          <w:trHeight w:val="173"/>
        </w:trPr>
        <w:tc>
          <w:tcPr>
            <w:tcW w:w="3440" w:type="dxa"/>
            <w:vAlign w:val="bottom"/>
          </w:tcPr>
          <w:p>
            <w:pPr>
              <w:spacing w:after="0"/>
              <w:rPr>
                <w:sz w:val="20"/>
                <w:szCs w:val="20"/>
                <w:color w:val="auto"/>
              </w:rPr>
            </w:pPr>
            <w:r>
              <w:rPr>
                <w:rFonts w:ascii="Arial" w:cs="Arial" w:eastAsia="Arial" w:hAnsi="Arial"/>
                <w:sz w:val="13"/>
                <w:szCs w:val="13"/>
                <w:color w:val="auto"/>
              </w:rPr>
              <w:t>William E. Brown, Jr.</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9"/>
        </w:trPr>
        <w:tc>
          <w:tcPr>
            <w:tcW w:w="3440" w:type="dxa"/>
            <w:vAlign w:val="bottom"/>
          </w:tcPr>
          <w:p>
            <w:pPr>
              <w:ind w:left="220"/>
              <w:spacing w:after="0"/>
              <w:rPr>
                <w:sz w:val="20"/>
                <w:szCs w:val="20"/>
                <w:color w:val="auto"/>
              </w:rPr>
            </w:pPr>
            <w:r>
              <w:rPr>
                <w:rFonts w:ascii="Arial" w:cs="Arial" w:eastAsia="Arial" w:hAnsi="Arial"/>
                <w:sz w:val="13"/>
                <w:szCs w:val="13"/>
                <w:color w:val="auto"/>
              </w:rPr>
              <w:t>Deferred Plan</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498,618</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rPr>
                <w:sz w:val="20"/>
                <w:szCs w:val="20"/>
                <w:color w:val="auto"/>
              </w:rPr>
            </w:pPr>
            <w:r>
              <w:rPr>
                <w:rFonts w:ascii="Arial" w:cs="Arial" w:eastAsia="Arial" w:hAnsi="Arial"/>
                <w:sz w:val="13"/>
                <w:szCs w:val="13"/>
                <w:color w:val="auto"/>
              </w:rPr>
              <w:t>5,071</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(712)</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3,548,932</w:t>
            </w:r>
          </w:p>
        </w:tc>
      </w:tr>
      <w:tr>
        <w:trPr>
          <w:trHeight w:val="159"/>
        </w:trPr>
        <w:tc>
          <w:tcPr>
            <w:tcW w:w="3440" w:type="dxa"/>
            <w:vAlign w:val="bottom"/>
          </w:tcPr>
          <w:p>
            <w:pPr>
              <w:ind w:left="220"/>
              <w:spacing w:after="0"/>
              <w:rPr>
                <w:sz w:val="20"/>
                <w:szCs w:val="20"/>
                <w:color w:val="auto"/>
              </w:rPr>
            </w:pPr>
            <w:r>
              <w:rPr>
                <w:rFonts w:ascii="Arial" w:cs="Arial" w:eastAsia="Arial" w:hAnsi="Arial"/>
                <w:sz w:val="13"/>
                <w:szCs w:val="13"/>
                <w:color w:val="auto"/>
              </w:rPr>
              <w:t>Deferred Plan for Officers</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480,435</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(76,744)</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999,938</w:t>
            </w:r>
          </w:p>
        </w:tc>
      </w:tr>
      <w:tr>
        <w:trPr>
          <w:trHeight w:val="146"/>
        </w:trPr>
        <w:tc>
          <w:tcPr>
            <w:tcW w:w="3440" w:type="dxa"/>
            <w:vAlign w:val="bottom"/>
          </w:tcPr>
          <w:p>
            <w:pPr>
              <w:ind w:left="220"/>
              <w:spacing w:after="0" w:line="146" w:lineRule="exact"/>
              <w:rPr>
                <w:sz w:val="20"/>
                <w:szCs w:val="20"/>
                <w:color w:val="auto"/>
              </w:rPr>
            </w:pPr>
            <w:r>
              <w:rPr>
                <w:rFonts w:ascii="Arial" w:cs="Arial" w:eastAsia="Arial" w:hAnsi="Arial"/>
                <w:sz w:val="13"/>
                <w:szCs w:val="13"/>
                <w:color w:val="auto"/>
              </w:rPr>
              <w:t>Supplemental Benefit Plan</w:t>
            </w:r>
          </w:p>
        </w:tc>
        <w:tc>
          <w:tcPr>
            <w:tcW w:w="3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line="146" w:lineRule="exact"/>
              <w:rPr>
                <w:sz w:val="20"/>
                <w:szCs w:val="20"/>
                <w:color w:val="auto"/>
              </w:rPr>
            </w:pPr>
            <w:r>
              <w:rPr>
                <w:rFonts w:ascii="Arial" w:cs="Arial" w:eastAsia="Arial" w:hAnsi="Arial"/>
                <w:sz w:val="13"/>
                <w:szCs w:val="13"/>
                <w:color w:val="auto"/>
              </w:rPr>
              <w:t>0</w:t>
            </w:r>
          </w:p>
        </w:tc>
        <w:tc>
          <w:tcPr>
            <w:tcW w:w="320" w:type="dxa"/>
            <w:vAlign w:val="bottom"/>
          </w:tcPr>
          <w:p>
            <w:pPr>
              <w:jc w:val="right"/>
              <w:ind w:right="35"/>
              <w:spacing w:after="0" w:line="146"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39,015</w:t>
            </w:r>
          </w:p>
        </w:tc>
        <w:tc>
          <w:tcPr>
            <w:tcW w:w="3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(3,560)</w:t>
            </w:r>
          </w:p>
        </w:tc>
        <w:tc>
          <w:tcPr>
            <w:tcW w:w="300" w:type="dxa"/>
            <w:vAlign w:val="bottom"/>
          </w:tcPr>
          <w:p>
            <w:pPr>
              <w:jc w:val="right"/>
              <w:ind w:right="35"/>
              <w:spacing w:after="0" w:line="146"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line="146" w:lineRule="exact"/>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line="146" w:lineRule="exact"/>
              <w:rPr>
                <w:sz w:val="20"/>
                <w:szCs w:val="20"/>
                <w:color w:val="auto"/>
              </w:rPr>
            </w:pPr>
            <w:r>
              <w:rPr>
                <w:rFonts w:ascii="Arial" w:cs="Arial" w:eastAsia="Arial" w:hAnsi="Arial"/>
                <w:sz w:val="13"/>
                <w:szCs w:val="13"/>
                <w:color w:val="auto"/>
              </w:rPr>
              <w:t>761,386</w:t>
            </w:r>
          </w:p>
        </w:tc>
      </w:tr>
      <w:tr>
        <w:trPr>
          <w:trHeight w:val="159"/>
        </w:trPr>
        <w:tc>
          <w:tcPr>
            <w:tcW w:w="3440" w:type="dxa"/>
            <w:vAlign w:val="bottom"/>
            <w:shd w:val="clear" w:color="auto" w:fill="D9D9D9"/>
          </w:tcPr>
          <w:p>
            <w:pPr>
              <w:spacing w:after="0"/>
              <w:rPr>
                <w:sz w:val="20"/>
                <w:szCs w:val="20"/>
                <w:color w:val="auto"/>
              </w:rPr>
            </w:pPr>
            <w:r>
              <w:rPr>
                <w:rFonts w:ascii="Arial" w:cs="Arial" w:eastAsia="Arial" w:hAnsi="Arial"/>
                <w:sz w:val="13"/>
                <w:szCs w:val="13"/>
                <w:color w:val="auto"/>
              </w:rPr>
              <w:t>Timothy P. Dordell</w:t>
            </w:r>
          </w:p>
        </w:tc>
        <w:tc>
          <w:tcPr>
            <w:tcW w:w="300" w:type="dxa"/>
            <w:vAlign w:val="bottom"/>
            <w:shd w:val="clear" w:color="auto" w:fill="D9D9D9"/>
          </w:tcPr>
          <w:p>
            <w:pPr>
              <w:spacing w:after="0"/>
              <w:rPr>
                <w:sz w:val="13"/>
                <w:szCs w:val="13"/>
                <w:color w:val="auto"/>
              </w:rPr>
            </w:pPr>
          </w:p>
        </w:tc>
        <w:tc>
          <w:tcPr>
            <w:tcW w:w="134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0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r>
      <w:tr>
        <w:trPr>
          <w:trHeight w:val="159"/>
        </w:trPr>
        <w:tc>
          <w:tcPr>
            <w:tcW w:w="34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444,319</w:t>
            </w:r>
          </w:p>
        </w:tc>
        <w:tc>
          <w:tcPr>
            <w:tcW w:w="32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2,525</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(37,513)</w:t>
            </w:r>
          </w:p>
        </w:tc>
        <w:tc>
          <w:tcPr>
            <w:tcW w:w="30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3,705,611</w:t>
            </w:r>
          </w:p>
        </w:tc>
      </w:tr>
      <w:tr>
        <w:trPr>
          <w:trHeight w:val="159"/>
        </w:trPr>
        <w:tc>
          <w:tcPr>
            <w:tcW w:w="34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 for Officers</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452,930</w:t>
            </w:r>
          </w:p>
        </w:tc>
        <w:tc>
          <w:tcPr>
            <w:tcW w:w="32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(599,912)</w:t>
            </w:r>
          </w:p>
        </w:tc>
        <w:tc>
          <w:tcPr>
            <w:tcW w:w="30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6,117,007</w:t>
            </w:r>
          </w:p>
        </w:tc>
      </w:tr>
      <w:tr>
        <w:trPr>
          <w:trHeight w:val="159"/>
        </w:trPr>
        <w:tc>
          <w:tcPr>
            <w:tcW w:w="34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Supplemental Benefit Plan</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0</w:t>
            </w:r>
          </w:p>
        </w:tc>
        <w:tc>
          <w:tcPr>
            <w:tcW w:w="32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36,318</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(2,125)</w:t>
            </w:r>
          </w:p>
        </w:tc>
        <w:tc>
          <w:tcPr>
            <w:tcW w:w="300" w:type="dxa"/>
            <w:vAlign w:val="bottom"/>
            <w:shd w:val="clear" w:color="auto" w:fill="D9D9D9"/>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389,551</w:t>
            </w:r>
          </w:p>
        </w:tc>
      </w:tr>
      <w:tr>
        <w:trPr>
          <w:trHeight w:val="173"/>
        </w:trPr>
        <w:tc>
          <w:tcPr>
            <w:tcW w:w="3440" w:type="dxa"/>
            <w:vAlign w:val="bottom"/>
          </w:tcPr>
          <w:p>
            <w:pPr>
              <w:spacing w:after="0"/>
              <w:rPr>
                <w:sz w:val="20"/>
                <w:szCs w:val="20"/>
                <w:color w:val="auto"/>
              </w:rPr>
            </w:pPr>
            <w:r>
              <w:rPr>
                <w:rFonts w:ascii="Arial" w:cs="Arial" w:eastAsia="Arial" w:hAnsi="Arial"/>
                <w:sz w:val="13"/>
                <w:szCs w:val="13"/>
                <w:color w:val="auto"/>
              </w:rPr>
              <w:t>Bradley A. Hamilton</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9"/>
        </w:trPr>
        <w:tc>
          <w:tcPr>
            <w:tcW w:w="3440" w:type="dxa"/>
            <w:vAlign w:val="bottom"/>
          </w:tcPr>
          <w:p>
            <w:pPr>
              <w:ind w:left="220"/>
              <w:spacing w:after="0"/>
              <w:rPr>
                <w:sz w:val="20"/>
                <w:szCs w:val="20"/>
                <w:color w:val="auto"/>
              </w:rPr>
            </w:pPr>
            <w:r>
              <w:rPr>
                <w:rFonts w:ascii="Arial" w:cs="Arial" w:eastAsia="Arial" w:hAnsi="Arial"/>
                <w:sz w:val="13"/>
                <w:szCs w:val="13"/>
                <w:color w:val="auto"/>
              </w:rPr>
              <w:t>Deferred Plan</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123,027</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(1,610)</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121,417</w:t>
            </w:r>
          </w:p>
        </w:tc>
      </w:tr>
      <w:tr>
        <w:trPr>
          <w:trHeight w:val="159"/>
        </w:trPr>
        <w:tc>
          <w:tcPr>
            <w:tcW w:w="3440" w:type="dxa"/>
            <w:vAlign w:val="bottom"/>
          </w:tcPr>
          <w:p>
            <w:pPr>
              <w:ind w:left="220"/>
              <w:spacing w:after="0"/>
              <w:rPr>
                <w:sz w:val="20"/>
                <w:szCs w:val="20"/>
                <w:color w:val="auto"/>
              </w:rPr>
            </w:pPr>
            <w:r>
              <w:rPr>
                <w:rFonts w:ascii="Arial" w:cs="Arial" w:eastAsia="Arial" w:hAnsi="Arial"/>
                <w:sz w:val="13"/>
                <w:szCs w:val="13"/>
                <w:color w:val="auto"/>
              </w:rPr>
              <w:t>Deferred Plan for Officers</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205,851</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15"/>
              <w:spacing w:after="0"/>
              <w:rPr>
                <w:sz w:val="20"/>
                <w:szCs w:val="20"/>
                <w:color w:val="auto"/>
              </w:rPr>
            </w:pPr>
            <w:r>
              <w:rPr>
                <w:rFonts w:ascii="Arial" w:cs="Arial" w:eastAsia="Arial" w:hAnsi="Arial"/>
                <w:sz w:val="13"/>
                <w:szCs w:val="13"/>
                <w:color w:val="auto"/>
              </w:rPr>
              <w:t>0</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205,851</w:t>
            </w:r>
          </w:p>
        </w:tc>
      </w:tr>
      <w:tr>
        <w:trPr>
          <w:trHeight w:val="159"/>
        </w:trPr>
        <w:tc>
          <w:tcPr>
            <w:tcW w:w="3440" w:type="dxa"/>
            <w:vAlign w:val="bottom"/>
          </w:tcPr>
          <w:p>
            <w:pPr>
              <w:ind w:left="220"/>
              <w:spacing w:after="0"/>
              <w:rPr>
                <w:sz w:val="20"/>
                <w:szCs w:val="20"/>
                <w:color w:val="auto"/>
              </w:rPr>
            </w:pPr>
            <w:r>
              <w:rPr>
                <w:rFonts w:ascii="Arial" w:cs="Arial" w:eastAsia="Arial" w:hAnsi="Arial"/>
                <w:sz w:val="13"/>
                <w:szCs w:val="13"/>
                <w:color w:val="auto"/>
              </w:rPr>
              <w:t>Supplemental Benefit Plan</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0</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5"/>
              <w:spacing w:after="0"/>
              <w:rPr>
                <w:sz w:val="20"/>
                <w:szCs w:val="20"/>
                <w:color w:val="auto"/>
              </w:rPr>
            </w:pPr>
            <w:r>
              <w:rPr>
                <w:rFonts w:ascii="Arial" w:cs="Arial" w:eastAsia="Arial" w:hAnsi="Arial"/>
                <w:sz w:val="13"/>
                <w:szCs w:val="13"/>
                <w:color w:val="auto"/>
              </w:rPr>
              <w:t>22,625</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5"/>
              <w:spacing w:after="0"/>
              <w:rPr>
                <w:sz w:val="20"/>
                <w:szCs w:val="20"/>
                <w:color w:val="auto"/>
              </w:rPr>
            </w:pPr>
            <w:r>
              <w:rPr>
                <w:rFonts w:ascii="Arial" w:cs="Arial" w:eastAsia="Arial" w:hAnsi="Arial"/>
                <w:sz w:val="13"/>
                <w:szCs w:val="13"/>
                <w:color w:val="auto"/>
              </w:rPr>
              <w:t>(322)</w:t>
            </w:r>
          </w:p>
        </w:tc>
        <w:tc>
          <w:tcPr>
            <w:tcW w:w="3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5"/>
              <w:spacing w:after="0"/>
              <w:rPr>
                <w:sz w:val="20"/>
                <w:szCs w:val="20"/>
                <w:color w:val="auto"/>
              </w:rPr>
            </w:pPr>
            <w:r>
              <w:rPr>
                <w:rFonts w:ascii="Arial" w:cs="Arial" w:eastAsia="Arial" w:hAnsi="Arial"/>
                <w:sz w:val="13"/>
                <w:szCs w:val="13"/>
                <w:color w:val="auto"/>
              </w:rPr>
              <w:t>75,087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207772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25" w:lineRule="exact"/>
        <w:rPr>
          <w:sz w:val="20"/>
          <w:szCs w:val="20"/>
          <w:color w:val="auto"/>
        </w:rPr>
      </w:pPr>
    </w:p>
    <w:p>
      <w:pPr>
        <w:ind w:left="402" w:right="100" w:hanging="402"/>
        <w:spacing w:after="0" w:line="239" w:lineRule="auto"/>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Executive contributions of base salary and annual cash incentive award payouts are included in the “Salary” column and the “Non-Equity Incentive Plan Compensation” column, respectively, of the “Summary Compensation Table” beginning on page 44. Executive contributions of the fiscal 2016 to fiscal 2018 performance share award payouts are included in the “Value Realized on Vesting” column of the “Option Exercises and Stock Vested for Fiscal 2018” table beginning on page 49, but are not included in the “Summary Compensation Table” as that table reflects the grant of the fiscal 2018 to fiscal</w:t>
      </w:r>
    </w:p>
    <w:p>
      <w:pPr>
        <w:spacing w:after="0" w:line="2" w:lineRule="exact"/>
        <w:rPr>
          <w:rFonts w:ascii="Arial" w:cs="Arial" w:eastAsia="Arial" w:hAnsi="Arial"/>
          <w:sz w:val="16"/>
          <w:szCs w:val="16"/>
          <w:color w:val="auto"/>
        </w:rPr>
      </w:pPr>
    </w:p>
    <w:p>
      <w:pPr>
        <w:ind w:left="402"/>
        <w:spacing w:after="0"/>
        <w:rPr>
          <w:rFonts w:ascii="Arial" w:cs="Arial" w:eastAsia="Arial" w:hAnsi="Arial"/>
          <w:sz w:val="16"/>
          <w:szCs w:val="16"/>
          <w:color w:val="auto"/>
        </w:rPr>
      </w:pPr>
      <w:r>
        <w:rPr>
          <w:rFonts w:ascii="Arial" w:cs="Arial" w:eastAsia="Arial" w:hAnsi="Arial"/>
          <w:sz w:val="16"/>
          <w:szCs w:val="16"/>
          <w:color w:val="auto"/>
        </w:rPr>
        <w:t>2020 performance share awards at target value. Our named executive officers deferred the following components of compensation during fiscal 2018:</w:t>
      </w:r>
    </w:p>
    <w:p>
      <w:pPr>
        <w:spacing w:after="0" w:line="111" w:lineRule="exact"/>
        <w:rPr>
          <w:sz w:val="20"/>
          <w:szCs w:val="20"/>
          <w:color w:val="auto"/>
        </w:rPr>
      </w:pPr>
    </w:p>
    <w:tbl>
      <w:tblPr>
        <w:tblLayout w:type="fixed"/>
        <w:tblInd w:w="402" w:type="dxa"/>
        <w:tblCellMar>
          <w:top w:w="0" w:type="dxa"/>
          <w:left w:w="0" w:type="dxa"/>
          <w:bottom w:w="0" w:type="dxa"/>
          <w:right w:w="0" w:type="dxa"/>
        </w:tblCellMar>
      </w:tblPr>
      <w:tr>
        <w:trPr>
          <w:trHeight w:val="184"/>
        </w:trPr>
        <w:tc>
          <w:tcPr>
            <w:tcW w:w="1920" w:type="dxa"/>
            <w:vAlign w:val="bottom"/>
            <w:shd w:val="clear" w:color="auto" w:fill="C00000"/>
          </w:tcPr>
          <w:p>
            <w:pPr>
              <w:spacing w:after="0"/>
              <w:rPr>
                <w:sz w:val="20"/>
                <w:szCs w:val="20"/>
                <w:color w:val="auto"/>
              </w:rPr>
            </w:pPr>
            <w:r>
              <w:rPr>
                <w:rFonts w:ascii="Arial" w:cs="Arial" w:eastAsia="Arial" w:hAnsi="Arial"/>
                <w:sz w:val="15"/>
                <w:szCs w:val="15"/>
                <w:color w:val="FFFFFF"/>
              </w:rPr>
              <w:t>Name</w:t>
            </w:r>
          </w:p>
        </w:tc>
        <w:tc>
          <w:tcPr>
            <w:tcW w:w="7100" w:type="dxa"/>
            <w:vAlign w:val="bottom"/>
            <w:shd w:val="clear" w:color="auto" w:fill="C00000"/>
          </w:tcPr>
          <w:p>
            <w:pPr>
              <w:ind w:left="100"/>
              <w:spacing w:after="0"/>
              <w:rPr>
                <w:sz w:val="20"/>
                <w:szCs w:val="20"/>
                <w:color w:val="auto"/>
              </w:rPr>
            </w:pPr>
            <w:r>
              <w:rPr>
                <w:rFonts w:ascii="Arial" w:cs="Arial" w:eastAsia="Arial" w:hAnsi="Arial"/>
                <w:sz w:val="15"/>
                <w:szCs w:val="15"/>
                <w:color w:val="FFFFFF"/>
              </w:rPr>
              <w:t>Deferrals</w:t>
            </w:r>
          </w:p>
        </w:tc>
        <w:tc>
          <w:tcPr>
            <w:tcW w:w="400" w:type="dxa"/>
            <w:vAlign w:val="bottom"/>
            <w:shd w:val="clear" w:color="auto" w:fill="C00000"/>
          </w:tcPr>
          <w:p>
            <w:pPr>
              <w:spacing w:after="0"/>
              <w:rPr>
                <w:sz w:val="15"/>
                <w:szCs w:val="15"/>
                <w:color w:val="auto"/>
              </w:rPr>
            </w:pPr>
          </w:p>
        </w:tc>
        <w:tc>
          <w:tcPr>
            <w:tcW w:w="1260" w:type="dxa"/>
            <w:vAlign w:val="bottom"/>
            <w:shd w:val="clear" w:color="auto" w:fill="C00000"/>
          </w:tcPr>
          <w:p>
            <w:pPr>
              <w:jc w:val="right"/>
              <w:ind w:right="346"/>
              <w:spacing w:after="0"/>
              <w:rPr>
                <w:sz w:val="20"/>
                <w:szCs w:val="20"/>
                <w:color w:val="auto"/>
              </w:rPr>
            </w:pPr>
            <w:r>
              <w:rPr>
                <w:rFonts w:ascii="Arial" w:cs="Arial" w:eastAsia="Arial" w:hAnsi="Arial"/>
                <w:sz w:val="15"/>
                <w:szCs w:val="15"/>
                <w:color w:val="FFFFFF"/>
              </w:rPr>
              <w:t>Amount ($)</w:t>
            </w:r>
          </w:p>
        </w:tc>
      </w:tr>
      <w:tr>
        <w:trPr>
          <w:trHeight w:val="191"/>
        </w:trPr>
        <w:tc>
          <w:tcPr>
            <w:tcW w:w="1920" w:type="dxa"/>
            <w:vAlign w:val="bottom"/>
          </w:tcPr>
          <w:p>
            <w:pPr>
              <w:spacing w:after="0"/>
              <w:rPr>
                <w:sz w:val="20"/>
                <w:szCs w:val="20"/>
                <w:color w:val="auto"/>
              </w:rPr>
            </w:pPr>
            <w:r>
              <w:rPr>
                <w:rFonts w:ascii="Arial" w:cs="Arial" w:eastAsia="Arial" w:hAnsi="Arial"/>
                <w:sz w:val="15"/>
                <w:szCs w:val="15"/>
                <w:color w:val="auto"/>
              </w:rPr>
              <w:t>Mr. Olson</w:t>
            </w:r>
          </w:p>
        </w:tc>
        <w:tc>
          <w:tcPr>
            <w:tcW w:w="7100" w:type="dxa"/>
            <w:vAlign w:val="bottom"/>
          </w:tcPr>
          <w:p>
            <w:pPr>
              <w:ind w:left="100"/>
              <w:spacing w:after="0"/>
              <w:rPr>
                <w:sz w:val="20"/>
                <w:szCs w:val="20"/>
                <w:color w:val="auto"/>
              </w:rPr>
            </w:pPr>
            <w:r>
              <w:rPr>
                <w:rFonts w:ascii="Arial" w:cs="Arial" w:eastAsia="Arial" w:hAnsi="Arial"/>
                <w:sz w:val="15"/>
                <w:szCs w:val="15"/>
                <w:color w:val="auto"/>
              </w:rPr>
              <w:t>20% of the fiscal 2018 annual cash incentive award</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183,761</w:t>
            </w:r>
          </w:p>
        </w:tc>
      </w:tr>
      <w:tr>
        <w:trPr>
          <w:trHeight w:val="177"/>
        </w:trPr>
        <w:tc>
          <w:tcPr>
            <w:tcW w:w="1920" w:type="dxa"/>
            <w:vAlign w:val="bottom"/>
          </w:tcPr>
          <w:p>
            <w:pPr>
              <w:spacing w:after="0"/>
              <w:rPr>
                <w:sz w:val="15"/>
                <w:szCs w:val="15"/>
                <w:color w:val="auto"/>
              </w:rPr>
            </w:pPr>
          </w:p>
        </w:tc>
        <w:tc>
          <w:tcPr>
            <w:tcW w:w="7100" w:type="dxa"/>
            <w:vAlign w:val="bottom"/>
          </w:tcPr>
          <w:p>
            <w:pPr>
              <w:ind w:left="100"/>
              <w:spacing w:after="0"/>
              <w:rPr>
                <w:sz w:val="20"/>
                <w:szCs w:val="20"/>
                <w:color w:val="auto"/>
              </w:rPr>
            </w:pPr>
            <w:r>
              <w:rPr>
                <w:rFonts w:ascii="Arial" w:cs="Arial" w:eastAsia="Arial" w:hAnsi="Arial"/>
                <w:sz w:val="15"/>
                <w:szCs w:val="15"/>
                <w:color w:val="auto"/>
              </w:rPr>
              <w:t>100% of the fiscal 2016 to 2018 performance share award</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864,749</w:t>
            </w:r>
          </w:p>
        </w:tc>
      </w:tr>
      <w:tr>
        <w:trPr>
          <w:trHeight w:val="184"/>
        </w:trPr>
        <w:tc>
          <w:tcPr>
            <w:tcW w:w="192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71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22% of base salary from November through December 2017</w:t>
            </w:r>
          </w:p>
        </w:tc>
        <w:tc>
          <w:tcPr>
            <w:tcW w:w="4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19,067</w:t>
            </w:r>
          </w:p>
        </w:tc>
      </w:tr>
      <w:tr>
        <w:trPr>
          <w:trHeight w:val="184"/>
        </w:trPr>
        <w:tc>
          <w:tcPr>
            <w:tcW w:w="1920" w:type="dxa"/>
            <w:vAlign w:val="bottom"/>
            <w:shd w:val="clear" w:color="auto" w:fill="D9D9D9"/>
          </w:tcPr>
          <w:p>
            <w:pPr>
              <w:spacing w:after="0"/>
              <w:rPr>
                <w:sz w:val="15"/>
                <w:szCs w:val="15"/>
                <w:color w:val="auto"/>
              </w:rPr>
            </w:pPr>
          </w:p>
        </w:tc>
        <w:tc>
          <w:tcPr>
            <w:tcW w:w="71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23% of base salary for January through October 2018</w:t>
            </w:r>
          </w:p>
        </w:tc>
        <w:tc>
          <w:tcPr>
            <w:tcW w:w="4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99,667</w:t>
            </w:r>
          </w:p>
        </w:tc>
      </w:tr>
      <w:tr>
        <w:trPr>
          <w:trHeight w:val="184"/>
        </w:trPr>
        <w:tc>
          <w:tcPr>
            <w:tcW w:w="1920" w:type="dxa"/>
            <w:vAlign w:val="bottom"/>
            <w:shd w:val="clear" w:color="auto" w:fill="D9D9D9"/>
          </w:tcPr>
          <w:p>
            <w:pPr>
              <w:spacing w:after="0"/>
              <w:rPr>
                <w:sz w:val="15"/>
                <w:szCs w:val="15"/>
                <w:color w:val="auto"/>
              </w:rPr>
            </w:pPr>
          </w:p>
        </w:tc>
        <w:tc>
          <w:tcPr>
            <w:tcW w:w="71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50% of the fiscal 2018 annual cash incentive award</w:t>
            </w:r>
          </w:p>
        </w:tc>
        <w:tc>
          <w:tcPr>
            <w:tcW w:w="4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186,147</w:t>
            </w:r>
          </w:p>
        </w:tc>
      </w:tr>
      <w:tr>
        <w:trPr>
          <w:trHeight w:val="191"/>
        </w:trPr>
        <w:tc>
          <w:tcPr>
            <w:tcW w:w="1920" w:type="dxa"/>
            <w:vAlign w:val="bottom"/>
          </w:tcPr>
          <w:p>
            <w:pPr>
              <w:spacing w:after="0"/>
              <w:rPr>
                <w:sz w:val="20"/>
                <w:szCs w:val="20"/>
                <w:color w:val="auto"/>
              </w:rPr>
            </w:pPr>
            <w:r>
              <w:rPr>
                <w:rFonts w:ascii="Arial" w:cs="Arial" w:eastAsia="Arial" w:hAnsi="Arial"/>
                <w:sz w:val="15"/>
                <w:szCs w:val="15"/>
                <w:color w:val="auto"/>
              </w:rPr>
              <w:t>Mr. Brown</w:t>
            </w:r>
          </w:p>
        </w:tc>
        <w:tc>
          <w:tcPr>
            <w:tcW w:w="7100" w:type="dxa"/>
            <w:vAlign w:val="bottom"/>
          </w:tcPr>
          <w:p>
            <w:pPr>
              <w:ind w:left="100"/>
              <w:spacing w:after="0"/>
              <w:rPr>
                <w:sz w:val="20"/>
                <w:szCs w:val="20"/>
                <w:color w:val="auto"/>
              </w:rPr>
            </w:pPr>
            <w:r>
              <w:rPr>
                <w:rFonts w:ascii="Arial" w:cs="Arial" w:eastAsia="Arial" w:hAnsi="Arial"/>
                <w:sz w:val="15"/>
                <w:szCs w:val="15"/>
                <w:color w:val="auto"/>
              </w:rPr>
              <w:t>50% of base salary from November 2017 through October 2018</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222,500</w:t>
            </w:r>
          </w:p>
        </w:tc>
      </w:tr>
      <w:tr>
        <w:trPr>
          <w:trHeight w:val="184"/>
        </w:trPr>
        <w:tc>
          <w:tcPr>
            <w:tcW w:w="1920" w:type="dxa"/>
            <w:vAlign w:val="bottom"/>
          </w:tcPr>
          <w:p>
            <w:pPr>
              <w:spacing w:after="0"/>
              <w:rPr>
                <w:sz w:val="15"/>
                <w:szCs w:val="15"/>
                <w:color w:val="auto"/>
              </w:rPr>
            </w:pPr>
          </w:p>
        </w:tc>
        <w:tc>
          <w:tcPr>
            <w:tcW w:w="7100" w:type="dxa"/>
            <w:vAlign w:val="bottom"/>
          </w:tcPr>
          <w:p>
            <w:pPr>
              <w:ind w:left="100"/>
              <w:spacing w:after="0"/>
              <w:rPr>
                <w:sz w:val="20"/>
                <w:szCs w:val="20"/>
                <w:color w:val="auto"/>
              </w:rPr>
            </w:pPr>
            <w:r>
              <w:rPr>
                <w:rFonts w:ascii="Arial" w:cs="Arial" w:eastAsia="Arial" w:hAnsi="Arial"/>
                <w:sz w:val="15"/>
                <w:szCs w:val="15"/>
                <w:color w:val="auto"/>
              </w:rPr>
              <w:t>100% of the fiscal 2018 annual cash incentive award</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276,118</w:t>
            </w:r>
          </w:p>
        </w:tc>
      </w:tr>
      <w:tr>
        <w:trPr>
          <w:trHeight w:val="177"/>
        </w:trPr>
        <w:tc>
          <w:tcPr>
            <w:tcW w:w="1920" w:type="dxa"/>
            <w:vAlign w:val="bottom"/>
          </w:tcPr>
          <w:p>
            <w:pPr>
              <w:spacing w:after="0"/>
              <w:rPr>
                <w:sz w:val="15"/>
                <w:szCs w:val="15"/>
                <w:color w:val="auto"/>
              </w:rPr>
            </w:pPr>
          </w:p>
        </w:tc>
        <w:tc>
          <w:tcPr>
            <w:tcW w:w="7100" w:type="dxa"/>
            <w:vAlign w:val="bottom"/>
          </w:tcPr>
          <w:p>
            <w:pPr>
              <w:ind w:left="100"/>
              <w:spacing w:after="0"/>
              <w:rPr>
                <w:sz w:val="20"/>
                <w:szCs w:val="20"/>
                <w:color w:val="auto"/>
              </w:rPr>
            </w:pPr>
            <w:r>
              <w:rPr>
                <w:rFonts w:ascii="Arial" w:cs="Arial" w:eastAsia="Arial" w:hAnsi="Arial"/>
                <w:sz w:val="15"/>
                <w:szCs w:val="15"/>
                <w:color w:val="auto"/>
              </w:rPr>
              <w:t>100% of the fiscal 2016 to 2018 performance share award</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480,435</w:t>
            </w:r>
          </w:p>
        </w:tc>
      </w:tr>
      <w:tr>
        <w:trPr>
          <w:trHeight w:val="184"/>
        </w:trPr>
        <w:tc>
          <w:tcPr>
            <w:tcW w:w="1920" w:type="dxa"/>
            <w:vAlign w:val="bottom"/>
            <w:shd w:val="clear" w:color="auto" w:fill="D9D9D9"/>
          </w:tcPr>
          <w:p>
            <w:pPr>
              <w:spacing w:after="0"/>
              <w:rPr>
                <w:sz w:val="20"/>
                <w:szCs w:val="20"/>
                <w:color w:val="auto"/>
              </w:rPr>
            </w:pPr>
            <w:r>
              <w:rPr>
                <w:rFonts w:ascii="Arial" w:cs="Arial" w:eastAsia="Arial" w:hAnsi="Arial"/>
                <w:sz w:val="15"/>
                <w:szCs w:val="15"/>
                <w:color w:val="auto"/>
              </w:rPr>
              <w:t>Mr. Dordell</w:t>
            </w:r>
          </w:p>
        </w:tc>
        <w:tc>
          <w:tcPr>
            <w:tcW w:w="71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40% of base salary from November through December 2017</w:t>
            </w:r>
          </w:p>
        </w:tc>
        <w:tc>
          <w:tcPr>
            <w:tcW w:w="4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29,200</w:t>
            </w:r>
          </w:p>
        </w:tc>
      </w:tr>
      <w:tr>
        <w:trPr>
          <w:trHeight w:val="184"/>
        </w:trPr>
        <w:tc>
          <w:tcPr>
            <w:tcW w:w="1920" w:type="dxa"/>
            <w:vAlign w:val="bottom"/>
            <w:shd w:val="clear" w:color="auto" w:fill="D9D9D9"/>
          </w:tcPr>
          <w:p>
            <w:pPr>
              <w:spacing w:after="0"/>
              <w:rPr>
                <w:sz w:val="15"/>
                <w:szCs w:val="15"/>
                <w:color w:val="auto"/>
              </w:rPr>
            </w:pPr>
          </w:p>
        </w:tc>
        <w:tc>
          <w:tcPr>
            <w:tcW w:w="71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45% of base salary from January through October 2018</w:t>
            </w:r>
          </w:p>
        </w:tc>
        <w:tc>
          <w:tcPr>
            <w:tcW w:w="4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164,250</w:t>
            </w:r>
          </w:p>
        </w:tc>
      </w:tr>
      <w:tr>
        <w:trPr>
          <w:trHeight w:val="184"/>
        </w:trPr>
        <w:tc>
          <w:tcPr>
            <w:tcW w:w="1920" w:type="dxa"/>
            <w:vAlign w:val="bottom"/>
            <w:shd w:val="clear" w:color="auto" w:fill="D9D9D9"/>
          </w:tcPr>
          <w:p>
            <w:pPr>
              <w:spacing w:after="0"/>
              <w:rPr>
                <w:sz w:val="15"/>
                <w:szCs w:val="15"/>
                <w:color w:val="auto"/>
              </w:rPr>
            </w:pPr>
          </w:p>
        </w:tc>
        <w:tc>
          <w:tcPr>
            <w:tcW w:w="71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100% of the fiscal 2018 annual cash incentive award</w:t>
            </w:r>
          </w:p>
        </w:tc>
        <w:tc>
          <w:tcPr>
            <w:tcW w:w="4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250,869</w:t>
            </w:r>
          </w:p>
        </w:tc>
      </w:tr>
      <w:tr>
        <w:trPr>
          <w:trHeight w:val="184"/>
        </w:trPr>
        <w:tc>
          <w:tcPr>
            <w:tcW w:w="1920" w:type="dxa"/>
            <w:vAlign w:val="bottom"/>
            <w:shd w:val="clear" w:color="auto" w:fill="D9D9D9"/>
          </w:tcPr>
          <w:p>
            <w:pPr>
              <w:spacing w:after="0"/>
              <w:rPr>
                <w:sz w:val="15"/>
                <w:szCs w:val="15"/>
                <w:color w:val="auto"/>
              </w:rPr>
            </w:pPr>
          </w:p>
        </w:tc>
        <w:tc>
          <w:tcPr>
            <w:tcW w:w="7100" w:type="dxa"/>
            <w:vAlign w:val="bottom"/>
            <w:shd w:val="clear" w:color="auto" w:fill="D9D9D9"/>
          </w:tcPr>
          <w:p>
            <w:pPr>
              <w:ind w:left="100"/>
              <w:spacing w:after="0"/>
              <w:rPr>
                <w:sz w:val="20"/>
                <w:szCs w:val="20"/>
                <w:color w:val="auto"/>
              </w:rPr>
            </w:pPr>
            <w:r>
              <w:rPr>
                <w:rFonts w:ascii="Arial" w:cs="Arial" w:eastAsia="Arial" w:hAnsi="Arial"/>
                <w:sz w:val="15"/>
                <w:szCs w:val="15"/>
                <w:color w:val="auto"/>
              </w:rPr>
              <w:t>100% of the fiscal 2016 to 2018 performance share award</w:t>
            </w:r>
          </w:p>
        </w:tc>
        <w:tc>
          <w:tcPr>
            <w:tcW w:w="400" w:type="dxa"/>
            <w:vAlign w:val="bottom"/>
            <w:shd w:val="clear" w:color="auto" w:fill="D9D9D9"/>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D9D9D9"/>
          </w:tcPr>
          <w:p>
            <w:pPr>
              <w:jc w:val="right"/>
              <w:ind w:right="46"/>
              <w:spacing w:after="0"/>
              <w:rPr>
                <w:sz w:val="20"/>
                <w:szCs w:val="20"/>
                <w:color w:val="auto"/>
              </w:rPr>
            </w:pPr>
            <w:r>
              <w:rPr>
                <w:rFonts w:ascii="Arial" w:cs="Arial" w:eastAsia="Arial" w:hAnsi="Arial"/>
                <w:sz w:val="15"/>
                <w:szCs w:val="15"/>
                <w:color w:val="auto"/>
              </w:rPr>
              <w:t>452,930</w:t>
            </w:r>
          </w:p>
        </w:tc>
      </w:tr>
      <w:tr>
        <w:trPr>
          <w:trHeight w:val="191"/>
        </w:trPr>
        <w:tc>
          <w:tcPr>
            <w:tcW w:w="1920" w:type="dxa"/>
            <w:vAlign w:val="bottom"/>
          </w:tcPr>
          <w:p>
            <w:pPr>
              <w:spacing w:after="0"/>
              <w:rPr>
                <w:sz w:val="20"/>
                <w:szCs w:val="20"/>
                <w:color w:val="auto"/>
              </w:rPr>
            </w:pPr>
            <w:r>
              <w:rPr>
                <w:rFonts w:ascii="Arial" w:cs="Arial" w:eastAsia="Arial" w:hAnsi="Arial"/>
                <w:sz w:val="15"/>
                <w:szCs w:val="15"/>
                <w:color w:val="auto"/>
              </w:rPr>
              <w:t>Mr. Hamilton</w:t>
            </w:r>
          </w:p>
        </w:tc>
        <w:tc>
          <w:tcPr>
            <w:tcW w:w="7100" w:type="dxa"/>
            <w:vAlign w:val="bottom"/>
          </w:tcPr>
          <w:p>
            <w:pPr>
              <w:ind w:left="100"/>
              <w:spacing w:after="0"/>
              <w:rPr>
                <w:sz w:val="20"/>
                <w:szCs w:val="20"/>
                <w:color w:val="auto"/>
              </w:rPr>
            </w:pPr>
            <w:r>
              <w:rPr>
                <w:rFonts w:ascii="Arial" w:cs="Arial" w:eastAsia="Arial" w:hAnsi="Arial"/>
                <w:sz w:val="15"/>
                <w:szCs w:val="15"/>
                <w:color w:val="auto"/>
              </w:rPr>
              <w:t>10% of base pay from January 2018 through October 2018</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29,166</w:t>
            </w:r>
          </w:p>
        </w:tc>
      </w:tr>
      <w:tr>
        <w:trPr>
          <w:trHeight w:val="196"/>
        </w:trPr>
        <w:tc>
          <w:tcPr>
            <w:tcW w:w="19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5"/>
                <w:szCs w:val="15"/>
                <w:color w:val="auto"/>
              </w:rPr>
              <w:t>50% of the fiscal 2018 annual cash incentive award</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93,861</w:t>
            </w:r>
          </w:p>
        </w:tc>
      </w:tr>
      <w:tr>
        <w:trPr>
          <w:trHeight w:val="208"/>
        </w:trPr>
        <w:tc>
          <w:tcPr>
            <w:tcW w:w="19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5"/>
                <w:szCs w:val="15"/>
                <w:color w:val="auto"/>
              </w:rPr>
              <w:t>100% of the fiscal 2016 to 2018 performance share award</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205,851</w:t>
            </w:r>
          </w:p>
        </w:tc>
      </w:tr>
    </w:tbl>
    <w:p>
      <w:pPr>
        <w:spacing w:after="0" w:line="41" w:lineRule="exact"/>
        <w:rPr>
          <w:sz w:val="20"/>
          <w:szCs w:val="20"/>
          <w:color w:val="auto"/>
        </w:rPr>
      </w:pPr>
    </w:p>
    <w:p>
      <w:pPr>
        <w:jc w:val="both"/>
        <w:ind w:left="402" w:right="140" w:hanging="402"/>
        <w:spacing w:after="0" w:line="247" w:lineRule="auto"/>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Amounts reported represent Company contributions to the Supplemental Benefit Plan in fiscal 2018 and Company contributions to the Deferred Plan in fiscal 2018. These amounts are included in the “All Other Compensation” column of the “Summary Compensation Table” beginning on page 44 and the related footnote.</w:t>
      </w:r>
    </w:p>
    <w:p>
      <w:pPr>
        <w:spacing w:after="0" w:line="1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3" w:name="page64"/>
    <w:bookmarkEnd w:id="6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both"/>
        <w:ind w:left="402" w:hanging="402"/>
        <w:spacing w:after="0" w:line="244" w:lineRule="auto"/>
        <w:tabs>
          <w:tab w:leader="none" w:pos="40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IS&amp;ESOP and do not include any preferential or above-market interest. The rates for fiscal 2018 are provided below:</w:t>
      </w:r>
    </w:p>
    <w:p>
      <w:pPr>
        <w:spacing w:after="0" w:line="86" w:lineRule="exact"/>
        <w:rPr>
          <w:sz w:val="20"/>
          <w:szCs w:val="20"/>
          <w:color w:val="auto"/>
        </w:rPr>
      </w:pPr>
    </w:p>
    <w:tbl>
      <w:tblPr>
        <w:tblLayout w:type="fixed"/>
        <w:tblInd w:w="482" w:type="dxa"/>
        <w:tblCellMar>
          <w:top w:w="0" w:type="dxa"/>
          <w:left w:w="0" w:type="dxa"/>
          <w:bottom w:w="0" w:type="dxa"/>
          <w:right w:w="0" w:type="dxa"/>
        </w:tblCellMar>
      </w:tblPr>
      <w:tr>
        <w:trPr>
          <w:trHeight w:val="208"/>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American Funds Europacific Growth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-10.58%</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Artisan Mid Cap Investor Fund</w:t>
            </w:r>
          </w:p>
        </w:tc>
        <w:tc>
          <w:tcPr>
            <w:tcW w:w="3660" w:type="dxa"/>
            <w:vAlign w:val="bottom"/>
          </w:tcPr>
          <w:p>
            <w:pPr>
              <w:jc w:val="right"/>
              <w:spacing w:after="0"/>
              <w:rPr>
                <w:sz w:val="20"/>
                <w:szCs w:val="20"/>
                <w:color w:val="auto"/>
              </w:rPr>
            </w:pPr>
            <w:r>
              <w:rPr>
                <w:rFonts w:ascii="Arial" w:cs="Arial" w:eastAsia="Arial" w:hAnsi="Arial"/>
                <w:sz w:val="15"/>
                <w:szCs w:val="15"/>
                <w:color w:val="auto"/>
              </w:rPr>
              <w:t>5.37%</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Fidelity Treasury Only Money Market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1.28%</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Goldman Sachs Small Cap Value Institutional Fund</w:t>
            </w:r>
          </w:p>
        </w:tc>
        <w:tc>
          <w:tcPr>
            <w:tcW w:w="3660" w:type="dxa"/>
            <w:vAlign w:val="bottom"/>
          </w:tcPr>
          <w:p>
            <w:pPr>
              <w:jc w:val="right"/>
              <w:spacing w:after="0"/>
              <w:rPr>
                <w:sz w:val="20"/>
                <w:szCs w:val="20"/>
                <w:color w:val="auto"/>
              </w:rPr>
            </w:pPr>
            <w:r>
              <w:rPr>
                <w:rFonts w:ascii="Arial" w:cs="Arial" w:eastAsia="Arial" w:hAnsi="Arial"/>
                <w:sz w:val="15"/>
                <w:szCs w:val="15"/>
                <w:color w:val="auto"/>
              </w:rPr>
              <w:t>-1.19%</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JPMorgan Mid Cap Value I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-0.47%</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JPMorgan Prime Money Market Fund</w:t>
            </w:r>
          </w:p>
        </w:tc>
        <w:tc>
          <w:tcPr>
            <w:tcW w:w="366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PIMCO International Bond Fund (Unhedged)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-2.53%</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T. Rowe Price International Discovery Fund</w:t>
            </w:r>
          </w:p>
        </w:tc>
        <w:tc>
          <w:tcPr>
            <w:tcW w:w="3660" w:type="dxa"/>
            <w:vAlign w:val="bottom"/>
          </w:tcPr>
          <w:p>
            <w:pPr>
              <w:jc w:val="right"/>
              <w:spacing w:after="0"/>
              <w:rPr>
                <w:sz w:val="20"/>
                <w:szCs w:val="20"/>
                <w:color w:val="auto"/>
              </w:rPr>
            </w:pPr>
            <w:r>
              <w:rPr>
                <w:rFonts w:ascii="Arial" w:cs="Arial" w:eastAsia="Arial" w:hAnsi="Arial"/>
                <w:sz w:val="15"/>
                <w:szCs w:val="15"/>
                <w:color w:val="auto"/>
              </w:rPr>
              <w:t>-8.28%</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The Toro Company</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-9.20%</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Explorer Fund Admiral Shares</w:t>
            </w:r>
          </w:p>
        </w:tc>
        <w:tc>
          <w:tcPr>
            <w:tcW w:w="3660" w:type="dxa"/>
            <w:vAlign w:val="bottom"/>
          </w:tcPr>
          <w:p>
            <w:pPr>
              <w:jc w:val="right"/>
              <w:spacing w:after="0"/>
              <w:rPr>
                <w:sz w:val="20"/>
                <w:szCs w:val="20"/>
                <w:color w:val="auto"/>
              </w:rPr>
            </w:pPr>
            <w:r>
              <w:rPr>
                <w:rFonts w:ascii="Arial" w:cs="Arial" w:eastAsia="Arial" w:hAnsi="Arial"/>
                <w:sz w:val="15"/>
                <w:szCs w:val="15"/>
                <w:color w:val="auto"/>
              </w:rPr>
              <w:t>12.24%</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Institutional Index Fund Institutional Shares</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7.30%</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Mid Cap Index Fund Admiral Shares</w:t>
            </w:r>
          </w:p>
        </w:tc>
        <w:tc>
          <w:tcPr>
            <w:tcW w:w="3660" w:type="dxa"/>
            <w:vAlign w:val="bottom"/>
          </w:tcPr>
          <w:p>
            <w:pPr>
              <w:jc w:val="right"/>
              <w:spacing w:after="0"/>
              <w:rPr>
                <w:sz w:val="20"/>
                <w:szCs w:val="20"/>
                <w:color w:val="auto"/>
              </w:rPr>
            </w:pPr>
            <w:r>
              <w:rPr>
                <w:rFonts w:ascii="Arial" w:cs="Arial" w:eastAsia="Arial" w:hAnsi="Arial"/>
                <w:sz w:val="15"/>
                <w:szCs w:val="15"/>
                <w:color w:val="auto"/>
              </w:rPr>
              <w:t>2.42%</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Small Cap Index Fund Admiral Shares</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3.34%</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Target Retirement 2015 Fund</w:t>
            </w:r>
          </w:p>
        </w:tc>
        <w:tc>
          <w:tcPr>
            <w:tcW w:w="3660" w:type="dxa"/>
            <w:vAlign w:val="bottom"/>
          </w:tcPr>
          <w:p>
            <w:pPr>
              <w:jc w:val="right"/>
              <w:spacing w:after="0"/>
              <w:rPr>
                <w:sz w:val="20"/>
                <w:szCs w:val="20"/>
                <w:color w:val="auto"/>
              </w:rPr>
            </w:pPr>
            <w:r>
              <w:rPr>
                <w:rFonts w:ascii="Arial" w:cs="Arial" w:eastAsia="Arial" w:hAnsi="Arial"/>
                <w:sz w:val="15"/>
                <w:szCs w:val="15"/>
                <w:color w:val="auto"/>
              </w:rPr>
              <w:t>-0.03%</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Target Retirement 2020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-0.03%</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Target Retirement 2025 Fund</w:t>
            </w:r>
          </w:p>
        </w:tc>
        <w:tc>
          <w:tcPr>
            <w:tcW w:w="3660" w:type="dxa"/>
            <w:vAlign w:val="bottom"/>
          </w:tcPr>
          <w:p>
            <w:pPr>
              <w:jc w:val="right"/>
              <w:spacing w:after="0"/>
              <w:rPr>
                <w:sz w:val="20"/>
                <w:szCs w:val="20"/>
                <w:color w:val="auto"/>
              </w:rPr>
            </w:pPr>
            <w:r>
              <w:rPr>
                <w:rFonts w:ascii="Arial" w:cs="Arial" w:eastAsia="Arial" w:hAnsi="Arial"/>
                <w:sz w:val="15"/>
                <w:szCs w:val="15"/>
                <w:color w:val="auto"/>
              </w:rPr>
              <w:t>-0.02%</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Target Retirement 2030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0.09%</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Target Retirement 2035 Fund</w:t>
            </w:r>
          </w:p>
        </w:tc>
        <w:tc>
          <w:tcPr>
            <w:tcW w:w="3660" w:type="dxa"/>
            <w:vAlign w:val="bottom"/>
          </w:tcPr>
          <w:p>
            <w:pPr>
              <w:jc w:val="right"/>
              <w:spacing w:after="0"/>
              <w:rPr>
                <w:sz w:val="20"/>
                <w:szCs w:val="20"/>
                <w:color w:val="auto"/>
              </w:rPr>
            </w:pPr>
            <w:r>
              <w:rPr>
                <w:rFonts w:ascii="Arial" w:cs="Arial" w:eastAsia="Arial" w:hAnsi="Arial"/>
                <w:sz w:val="15"/>
                <w:szCs w:val="15"/>
                <w:color w:val="auto"/>
              </w:rPr>
              <w:t>0.15%</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Target Retirement 2040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0.22%</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Target Retirement 2045 Fund</w:t>
            </w:r>
          </w:p>
        </w:tc>
        <w:tc>
          <w:tcPr>
            <w:tcW w:w="3660" w:type="dxa"/>
            <w:vAlign w:val="bottom"/>
          </w:tcPr>
          <w:p>
            <w:pPr>
              <w:jc w:val="right"/>
              <w:spacing w:after="0"/>
              <w:rPr>
                <w:sz w:val="20"/>
                <w:szCs w:val="20"/>
                <w:color w:val="auto"/>
              </w:rPr>
            </w:pPr>
            <w:r>
              <w:rPr>
                <w:rFonts w:ascii="Arial" w:cs="Arial" w:eastAsia="Arial" w:hAnsi="Arial"/>
                <w:sz w:val="15"/>
                <w:szCs w:val="15"/>
                <w:color w:val="auto"/>
              </w:rPr>
              <w:t>0.20%</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Target Retirement 2050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0.17%</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Target Retirement 2055 Fund</w:t>
            </w:r>
          </w:p>
        </w:tc>
        <w:tc>
          <w:tcPr>
            <w:tcW w:w="3660" w:type="dxa"/>
            <w:vAlign w:val="bottom"/>
          </w:tcPr>
          <w:p>
            <w:pPr>
              <w:jc w:val="right"/>
              <w:spacing w:after="0"/>
              <w:rPr>
                <w:sz w:val="20"/>
                <w:szCs w:val="20"/>
                <w:color w:val="auto"/>
              </w:rPr>
            </w:pPr>
            <w:r>
              <w:rPr>
                <w:rFonts w:ascii="Arial" w:cs="Arial" w:eastAsia="Arial" w:hAnsi="Arial"/>
                <w:sz w:val="15"/>
                <w:szCs w:val="15"/>
                <w:color w:val="auto"/>
              </w:rPr>
              <w:t>0.19%</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Target Retirement 2060 Fund</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0.19%</w:t>
            </w:r>
          </w:p>
        </w:tc>
      </w:tr>
      <w:tr>
        <w:trPr>
          <w:trHeight w:val="200"/>
        </w:trPr>
        <w:tc>
          <w:tcPr>
            <w:tcW w:w="6820" w:type="dxa"/>
            <w:vAlign w:val="bottom"/>
          </w:tcPr>
          <w:p>
            <w:pPr>
              <w:ind w:left="40"/>
              <w:spacing w:after="0"/>
              <w:rPr>
                <w:sz w:val="20"/>
                <w:szCs w:val="20"/>
                <w:color w:val="auto"/>
              </w:rPr>
            </w:pPr>
            <w:r>
              <w:rPr>
                <w:rFonts w:ascii="Arial" w:cs="Arial" w:eastAsia="Arial" w:hAnsi="Arial"/>
                <w:sz w:val="15"/>
                <w:szCs w:val="15"/>
                <w:color w:val="auto"/>
              </w:rPr>
              <w:t>Vanguard Target Retirement Income Fund</w:t>
            </w:r>
          </w:p>
        </w:tc>
        <w:tc>
          <w:tcPr>
            <w:tcW w:w="3660" w:type="dxa"/>
            <w:vAlign w:val="bottom"/>
          </w:tcPr>
          <w:p>
            <w:pPr>
              <w:jc w:val="right"/>
              <w:spacing w:after="0"/>
              <w:rPr>
                <w:sz w:val="20"/>
                <w:szCs w:val="20"/>
                <w:color w:val="auto"/>
              </w:rPr>
            </w:pPr>
            <w:r>
              <w:rPr>
                <w:rFonts w:ascii="Arial" w:cs="Arial" w:eastAsia="Arial" w:hAnsi="Arial"/>
                <w:sz w:val="15"/>
                <w:szCs w:val="15"/>
                <w:color w:val="auto"/>
              </w:rPr>
              <w:t>-0.25%</w:t>
            </w:r>
          </w:p>
        </w:tc>
      </w:tr>
      <w:tr>
        <w:trPr>
          <w:trHeight w:val="217"/>
        </w:trPr>
        <w:tc>
          <w:tcPr>
            <w:tcW w:w="6820" w:type="dxa"/>
            <w:vAlign w:val="bottom"/>
            <w:shd w:val="clear" w:color="auto" w:fill="D9D9D9"/>
          </w:tcPr>
          <w:p>
            <w:pPr>
              <w:ind w:left="40"/>
              <w:spacing w:after="0"/>
              <w:rPr>
                <w:sz w:val="20"/>
                <w:szCs w:val="20"/>
                <w:color w:val="auto"/>
              </w:rPr>
            </w:pPr>
            <w:r>
              <w:rPr>
                <w:rFonts w:ascii="Arial" w:cs="Arial" w:eastAsia="Arial" w:hAnsi="Arial"/>
                <w:sz w:val="15"/>
                <w:szCs w:val="15"/>
                <w:color w:val="auto"/>
              </w:rPr>
              <w:t>Vanguard Total Bond Market Index Fund Admiral Shares</w:t>
            </w:r>
          </w:p>
        </w:tc>
        <w:tc>
          <w:tcPr>
            <w:tcW w:w="36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-2.05%</w:t>
            </w:r>
          </w:p>
        </w:tc>
      </w:tr>
    </w:tbl>
    <w:p>
      <w:pPr>
        <w:spacing w:after="0" w:line="48" w:lineRule="exact"/>
        <w:rPr>
          <w:sz w:val="20"/>
          <w:szCs w:val="20"/>
          <w:color w:val="auto"/>
        </w:rPr>
      </w:pPr>
    </w:p>
    <w:p>
      <w:pPr>
        <w:ind w:left="402" w:right="180" w:hanging="402"/>
        <w:spacing w:after="0" w:line="247" w:lineRule="auto"/>
        <w:tabs>
          <w:tab w:leader="none" w:pos="4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reported represent the total balance at October 31, 2018, the last day of fiscal 2018, plus any named executive officer’s or Company contributions for fiscal 2018 that were paid, or expected to be paid, after October 31, 2018. Includes the following amounts reported in the “Summary Compensation Table” in the “Base Salary” or “Non-Equity Incentive Plan Compensation” column for fiscal years 2016 and 2017:</w:t>
      </w:r>
    </w:p>
    <w:p>
      <w:pPr>
        <w:spacing w:after="0" w:line="33" w:lineRule="exact"/>
        <w:rPr>
          <w:sz w:val="20"/>
          <w:szCs w:val="20"/>
          <w:color w:val="auto"/>
        </w:rPr>
      </w:pPr>
    </w:p>
    <w:tbl>
      <w:tblPr>
        <w:tblLayout w:type="fixed"/>
        <w:tblInd w:w="482" w:type="dxa"/>
        <w:tblCellMar>
          <w:top w:w="0" w:type="dxa"/>
          <w:left w:w="0" w:type="dxa"/>
          <w:bottom w:w="0" w:type="dxa"/>
          <w:right w:w="0" w:type="dxa"/>
        </w:tblCellMar>
      </w:tblPr>
      <w:tr>
        <w:trPr>
          <w:trHeight w:val="208"/>
        </w:trPr>
        <w:tc>
          <w:tcPr>
            <w:tcW w:w="5120" w:type="dxa"/>
            <w:vAlign w:val="bottom"/>
            <w:shd w:val="clear" w:color="auto" w:fill="D9D9D9"/>
          </w:tcPr>
          <w:p>
            <w:pPr>
              <w:spacing w:after="0"/>
              <w:rPr>
                <w:sz w:val="20"/>
                <w:szCs w:val="20"/>
                <w:color w:val="auto"/>
              </w:rPr>
            </w:pPr>
            <w:r>
              <w:rPr>
                <w:rFonts w:ascii="Arial" w:cs="Arial" w:eastAsia="Arial" w:hAnsi="Arial"/>
                <w:sz w:val="15"/>
                <w:szCs w:val="15"/>
                <w:color w:val="auto"/>
              </w:rPr>
              <w:t>Mr. Olson</w:t>
            </w:r>
          </w:p>
        </w:tc>
        <w:tc>
          <w:tcPr>
            <w:tcW w:w="4520" w:type="dxa"/>
            <w:vAlign w:val="bottom"/>
            <w:shd w:val="clear" w:color="auto" w:fill="D9D9D9"/>
          </w:tcPr>
          <w:p>
            <w:pPr>
              <w:jc w:val="right"/>
              <w:ind w:right="106"/>
              <w:spacing w:after="0"/>
              <w:rPr>
                <w:sz w:val="20"/>
                <w:szCs w:val="20"/>
                <w:color w:val="auto"/>
              </w:rPr>
            </w:pPr>
            <w:r>
              <w:rPr>
                <w:rFonts w:ascii="Arial" w:cs="Arial" w:eastAsia="Arial" w:hAnsi="Arial"/>
                <w:sz w:val="15"/>
                <w:szCs w:val="15"/>
                <w:color w:val="auto"/>
              </w:rPr>
              <w:t>$</w:t>
            </w:r>
          </w:p>
        </w:tc>
        <w:tc>
          <w:tcPr>
            <w:tcW w:w="8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264,475</w:t>
            </w:r>
          </w:p>
        </w:tc>
      </w:tr>
      <w:tr>
        <w:trPr>
          <w:trHeight w:val="200"/>
        </w:trPr>
        <w:tc>
          <w:tcPr>
            <w:tcW w:w="5120" w:type="dxa"/>
            <w:vAlign w:val="bottom"/>
          </w:tcPr>
          <w:p>
            <w:pPr>
              <w:spacing w:after="0"/>
              <w:rPr>
                <w:sz w:val="20"/>
                <w:szCs w:val="20"/>
                <w:color w:val="auto"/>
              </w:rPr>
            </w:pPr>
            <w:r>
              <w:rPr>
                <w:rFonts w:ascii="Arial" w:cs="Arial" w:eastAsia="Arial" w:hAnsi="Arial"/>
                <w:sz w:val="15"/>
                <w:szCs w:val="15"/>
                <w:color w:val="auto"/>
              </w:rPr>
              <w:t>Ms. Peterson</w:t>
            </w:r>
          </w:p>
        </w:tc>
        <w:tc>
          <w:tcPr>
            <w:tcW w:w="45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523,108</w:t>
            </w:r>
          </w:p>
        </w:tc>
      </w:tr>
      <w:tr>
        <w:trPr>
          <w:trHeight w:val="217"/>
        </w:trPr>
        <w:tc>
          <w:tcPr>
            <w:tcW w:w="5120" w:type="dxa"/>
            <w:vAlign w:val="bottom"/>
            <w:shd w:val="clear" w:color="auto" w:fill="D9D9D9"/>
          </w:tcPr>
          <w:p>
            <w:pPr>
              <w:spacing w:after="0"/>
              <w:rPr>
                <w:sz w:val="20"/>
                <w:szCs w:val="20"/>
                <w:color w:val="auto"/>
              </w:rPr>
            </w:pPr>
            <w:r>
              <w:rPr>
                <w:rFonts w:ascii="Arial" w:cs="Arial" w:eastAsia="Arial" w:hAnsi="Arial"/>
                <w:sz w:val="15"/>
                <w:szCs w:val="15"/>
                <w:color w:val="auto"/>
              </w:rPr>
              <w:t>Mr. Brown</w:t>
            </w:r>
          </w:p>
        </w:tc>
        <w:tc>
          <w:tcPr>
            <w:tcW w:w="4520" w:type="dxa"/>
            <w:vAlign w:val="bottom"/>
            <w:shd w:val="clear" w:color="auto" w:fill="D9D9D9"/>
          </w:tcPr>
          <w:p>
            <w:pPr>
              <w:jc w:val="right"/>
              <w:ind w:right="106"/>
              <w:spacing w:after="0"/>
              <w:rPr>
                <w:sz w:val="20"/>
                <w:szCs w:val="20"/>
                <w:color w:val="auto"/>
              </w:rPr>
            </w:pPr>
            <w:r>
              <w:rPr>
                <w:rFonts w:ascii="Arial" w:cs="Arial" w:eastAsia="Arial" w:hAnsi="Arial"/>
                <w:sz w:val="15"/>
                <w:szCs w:val="15"/>
                <w:color w:val="auto"/>
              </w:rPr>
              <w:t>$</w:t>
            </w:r>
          </w:p>
        </w:tc>
        <w:tc>
          <w:tcPr>
            <w:tcW w:w="8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1,017,230</w:t>
            </w:r>
          </w:p>
        </w:tc>
      </w:tr>
      <w:tr>
        <w:trPr>
          <w:trHeight w:val="191"/>
        </w:trPr>
        <w:tc>
          <w:tcPr>
            <w:tcW w:w="5120" w:type="dxa"/>
            <w:vAlign w:val="bottom"/>
          </w:tcPr>
          <w:p>
            <w:pPr>
              <w:spacing w:after="0"/>
              <w:rPr>
                <w:sz w:val="20"/>
                <w:szCs w:val="20"/>
                <w:color w:val="auto"/>
              </w:rPr>
            </w:pPr>
            <w:r>
              <w:rPr>
                <w:rFonts w:ascii="Arial" w:cs="Arial" w:eastAsia="Arial" w:hAnsi="Arial"/>
                <w:sz w:val="15"/>
                <w:szCs w:val="15"/>
                <w:color w:val="auto"/>
              </w:rPr>
              <w:t>Mr. Dordell</w:t>
            </w:r>
          </w:p>
        </w:tc>
        <w:tc>
          <w:tcPr>
            <w:tcW w:w="45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853,592</w:t>
            </w:r>
          </w:p>
        </w:tc>
      </w:tr>
    </w:tbl>
    <w:p>
      <w:pPr>
        <w:spacing w:after="0" w:line="65"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Includes the following amounts reported in the “Summary Compensation Table” in the “All Other Compensation” column for fiscal years 2016 and 2017.</w:t>
      </w:r>
    </w:p>
    <w:p>
      <w:pPr>
        <w:spacing w:after="0" w:line="50" w:lineRule="exact"/>
        <w:rPr>
          <w:sz w:val="20"/>
          <w:szCs w:val="20"/>
          <w:color w:val="auto"/>
        </w:rPr>
      </w:pPr>
    </w:p>
    <w:tbl>
      <w:tblPr>
        <w:tblLayout w:type="fixed"/>
        <w:tblInd w:w="482" w:type="dxa"/>
        <w:tblCellMar>
          <w:top w:w="0" w:type="dxa"/>
          <w:left w:w="0" w:type="dxa"/>
          <w:bottom w:w="0" w:type="dxa"/>
          <w:right w:w="0" w:type="dxa"/>
        </w:tblCellMar>
      </w:tblPr>
      <w:tr>
        <w:trPr>
          <w:trHeight w:val="208"/>
        </w:trPr>
        <w:tc>
          <w:tcPr>
            <w:tcW w:w="5120" w:type="dxa"/>
            <w:vAlign w:val="bottom"/>
            <w:shd w:val="clear" w:color="auto" w:fill="D9D9D9"/>
          </w:tcPr>
          <w:p>
            <w:pPr>
              <w:spacing w:after="0"/>
              <w:rPr>
                <w:sz w:val="20"/>
                <w:szCs w:val="20"/>
                <w:color w:val="auto"/>
              </w:rPr>
            </w:pPr>
            <w:r>
              <w:rPr>
                <w:rFonts w:ascii="Arial" w:cs="Arial" w:eastAsia="Arial" w:hAnsi="Arial"/>
                <w:sz w:val="15"/>
                <w:szCs w:val="15"/>
                <w:color w:val="auto"/>
              </w:rPr>
              <w:t>Mr. Olson</w:t>
            </w:r>
          </w:p>
        </w:tc>
        <w:tc>
          <w:tcPr>
            <w:tcW w:w="4580" w:type="dxa"/>
            <w:vAlign w:val="bottom"/>
            <w:shd w:val="clear" w:color="auto" w:fill="D9D9D9"/>
          </w:tcPr>
          <w:p>
            <w:pPr>
              <w:jc w:val="right"/>
              <w:ind w:right="166"/>
              <w:spacing w:after="0"/>
              <w:rPr>
                <w:sz w:val="20"/>
                <w:szCs w:val="20"/>
                <w:color w:val="auto"/>
              </w:rPr>
            </w:pPr>
            <w:r>
              <w:rPr>
                <w:rFonts w:ascii="Arial" w:cs="Arial" w:eastAsia="Arial" w:hAnsi="Arial"/>
                <w:sz w:val="15"/>
                <w:szCs w:val="15"/>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162,225</w:t>
            </w:r>
          </w:p>
        </w:tc>
      </w:tr>
      <w:tr>
        <w:trPr>
          <w:trHeight w:val="200"/>
        </w:trPr>
        <w:tc>
          <w:tcPr>
            <w:tcW w:w="5120" w:type="dxa"/>
            <w:vAlign w:val="bottom"/>
          </w:tcPr>
          <w:p>
            <w:pPr>
              <w:spacing w:after="0"/>
              <w:rPr>
                <w:sz w:val="20"/>
                <w:szCs w:val="20"/>
                <w:color w:val="auto"/>
              </w:rPr>
            </w:pPr>
            <w:r>
              <w:rPr>
                <w:rFonts w:ascii="Arial" w:cs="Arial" w:eastAsia="Arial" w:hAnsi="Arial"/>
                <w:sz w:val="15"/>
                <w:szCs w:val="15"/>
                <w:color w:val="auto"/>
              </w:rPr>
              <w:t>Ms. Peterson</w:t>
            </w:r>
          </w:p>
        </w:tc>
        <w:tc>
          <w:tcPr>
            <w:tcW w:w="45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102,253</w:t>
            </w:r>
          </w:p>
        </w:tc>
      </w:tr>
      <w:tr>
        <w:trPr>
          <w:trHeight w:val="217"/>
        </w:trPr>
        <w:tc>
          <w:tcPr>
            <w:tcW w:w="5120" w:type="dxa"/>
            <w:vAlign w:val="bottom"/>
            <w:shd w:val="clear" w:color="auto" w:fill="D9D9D9"/>
          </w:tcPr>
          <w:p>
            <w:pPr>
              <w:spacing w:after="0"/>
              <w:rPr>
                <w:sz w:val="20"/>
                <w:szCs w:val="20"/>
                <w:color w:val="auto"/>
              </w:rPr>
            </w:pPr>
            <w:r>
              <w:rPr>
                <w:rFonts w:ascii="Arial" w:cs="Arial" w:eastAsia="Arial" w:hAnsi="Arial"/>
                <w:sz w:val="15"/>
                <w:szCs w:val="15"/>
                <w:color w:val="auto"/>
              </w:rPr>
              <w:t>Mr. Brown</w:t>
            </w:r>
          </w:p>
        </w:tc>
        <w:tc>
          <w:tcPr>
            <w:tcW w:w="4580" w:type="dxa"/>
            <w:vAlign w:val="bottom"/>
            <w:shd w:val="clear" w:color="auto" w:fill="D9D9D9"/>
          </w:tcPr>
          <w:p>
            <w:pPr>
              <w:jc w:val="right"/>
              <w:ind w:right="166"/>
              <w:spacing w:after="0"/>
              <w:rPr>
                <w:sz w:val="20"/>
                <w:szCs w:val="20"/>
                <w:color w:val="auto"/>
              </w:rPr>
            </w:pPr>
            <w:r>
              <w:rPr>
                <w:rFonts w:ascii="Arial" w:cs="Arial" w:eastAsia="Arial" w:hAnsi="Arial"/>
                <w:sz w:val="15"/>
                <w:szCs w:val="15"/>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83,991</w:t>
            </w:r>
          </w:p>
        </w:tc>
      </w:tr>
      <w:tr>
        <w:trPr>
          <w:trHeight w:val="191"/>
        </w:trPr>
        <w:tc>
          <w:tcPr>
            <w:tcW w:w="5120" w:type="dxa"/>
            <w:vAlign w:val="bottom"/>
          </w:tcPr>
          <w:p>
            <w:pPr>
              <w:spacing w:after="0"/>
              <w:rPr>
                <w:sz w:val="20"/>
                <w:szCs w:val="20"/>
                <w:color w:val="auto"/>
              </w:rPr>
            </w:pPr>
            <w:r>
              <w:rPr>
                <w:rFonts w:ascii="Arial" w:cs="Arial" w:eastAsia="Arial" w:hAnsi="Arial"/>
                <w:sz w:val="15"/>
                <w:szCs w:val="15"/>
                <w:color w:val="auto"/>
              </w:rPr>
              <w:t>Mr. Dordell</w:t>
            </w:r>
          </w:p>
        </w:tc>
        <w:tc>
          <w:tcPr>
            <w:tcW w:w="45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70,680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1"/>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02"/>
          </w:cols>
          <w:pgMar w:left="238" w:top="140" w:right="3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Potential Payments Upon Termination or Change In Control</w:t>
      </w:r>
    </w:p>
    <w:p>
      <w:pPr>
        <w:spacing w:after="0" w:line="92" w:lineRule="exact"/>
        <w:rPr>
          <w:sz w:val="20"/>
          <w:szCs w:val="20"/>
          <w:color w:val="auto"/>
        </w:rPr>
      </w:pPr>
    </w:p>
    <w:p>
      <w:pPr>
        <w:ind w:right="40" w:firstLine="408"/>
        <w:spacing w:after="0" w:line="250"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following discussion describes the payments and benefits to which our named executive officers are entitled in various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and change in control situations. The intent of this discussion is to describe those payments and benefits for which the amount, vesting or time of payment is altered by the termination of employment or change in control situation. Therefore, this discussion does not describe all payments and benefits a named executive officer may receive following a termination or change in control, such as the following accrued, vested or non-forfeitable compensation and benefits:</w:t>
      </w:r>
    </w:p>
    <w:p>
      <w:pPr>
        <w:spacing w:after="0" w:line="79" w:lineRule="exact"/>
        <w:rPr>
          <w:sz w:val="20"/>
          <w:szCs w:val="20"/>
          <w:color w:val="auto"/>
        </w:rPr>
      </w:pPr>
    </w:p>
    <w:p>
      <w:pPr>
        <w:ind w:left="800" w:right="60" w:hanging="398"/>
        <w:spacing w:after="0" w:line="255" w:lineRule="auto"/>
        <w:tabs>
          <w:tab w:leader="none" w:pos="800" w:val="left"/>
        </w:tabs>
        <w:numPr>
          <w:ilvl w:val="0"/>
          <w:numId w:val="80"/>
        </w:numPr>
        <w:rPr>
          <w:rFonts w:ascii="Arial" w:cs="Arial" w:eastAsia="Arial" w:hAnsi="Arial"/>
          <w:sz w:val="15"/>
          <w:szCs w:val="15"/>
          <w:color w:val="auto"/>
        </w:rPr>
      </w:pPr>
      <w:r>
        <w:rPr>
          <w:rFonts w:ascii="Arial" w:cs="Arial" w:eastAsia="Arial" w:hAnsi="Arial"/>
          <w:sz w:val="16"/>
          <w:szCs w:val="16"/>
          <w:color w:val="auto"/>
        </w:rPr>
        <w:t>Payment of individual contributions to our Deferred Plan and Deferred Plan for Officers in accordance with prior distribution elections, as described under “Nonqualified Deferred Compensation for Fiscal 2018” beginning on page 50;</w:t>
      </w:r>
    </w:p>
    <w:p>
      <w:pPr>
        <w:spacing w:after="0" w:line="74" w:lineRule="exact"/>
        <w:rPr>
          <w:rFonts w:ascii="Arial" w:cs="Arial" w:eastAsia="Arial" w:hAnsi="Arial"/>
          <w:sz w:val="15"/>
          <w:szCs w:val="15"/>
          <w:color w:val="auto"/>
        </w:rPr>
      </w:pPr>
    </w:p>
    <w:p>
      <w:pPr>
        <w:ind w:left="800" w:right="940" w:hanging="398"/>
        <w:spacing w:after="0" w:line="255" w:lineRule="auto"/>
        <w:tabs>
          <w:tab w:leader="none" w:pos="800" w:val="left"/>
        </w:tabs>
        <w:numPr>
          <w:ilvl w:val="0"/>
          <w:numId w:val="80"/>
        </w:numPr>
        <w:rPr>
          <w:rFonts w:ascii="Arial" w:cs="Arial" w:eastAsia="Arial" w:hAnsi="Arial"/>
          <w:sz w:val="15"/>
          <w:szCs w:val="15"/>
          <w:color w:val="auto"/>
        </w:rPr>
      </w:pPr>
      <w:r>
        <w:rPr>
          <w:rFonts w:ascii="Arial" w:cs="Arial" w:eastAsia="Arial" w:hAnsi="Arial"/>
          <w:sz w:val="16"/>
          <w:szCs w:val="16"/>
          <w:color w:val="auto"/>
        </w:rPr>
        <w:t>Payment of Company contributions on behalf of the named executive officer under our Supplemental Benefit Plan, as described under “Nonqualified Deferred Compensation for Fiscal 2018” beginning on page 50;</w:t>
      </w:r>
    </w:p>
    <w:p>
      <w:pPr>
        <w:spacing w:after="0" w:line="74" w:lineRule="exact"/>
        <w:rPr>
          <w:rFonts w:ascii="Arial" w:cs="Arial" w:eastAsia="Arial" w:hAnsi="Arial"/>
          <w:sz w:val="15"/>
          <w:szCs w:val="15"/>
          <w:color w:val="auto"/>
        </w:rPr>
      </w:pPr>
    </w:p>
    <w:p>
      <w:pPr>
        <w:ind w:left="800" w:hanging="398"/>
        <w:spacing w:after="0" w:line="249" w:lineRule="auto"/>
        <w:tabs>
          <w:tab w:leader="none" w:pos="800" w:val="left"/>
        </w:tabs>
        <w:numPr>
          <w:ilvl w:val="0"/>
          <w:numId w:val="80"/>
        </w:numPr>
        <w:rPr>
          <w:rFonts w:ascii="Arial" w:cs="Arial" w:eastAsia="Arial" w:hAnsi="Arial"/>
          <w:sz w:val="15"/>
          <w:szCs w:val="15"/>
          <w:color w:val="auto"/>
        </w:rPr>
      </w:pPr>
      <w:r>
        <w:rPr>
          <w:rFonts w:ascii="Arial" w:cs="Arial" w:eastAsia="Arial" w:hAnsi="Arial"/>
          <w:sz w:val="16"/>
          <w:szCs w:val="16"/>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beginning on page 41;</w:t>
      </w:r>
    </w:p>
    <w:p>
      <w:pPr>
        <w:spacing w:after="0" w:line="267" w:lineRule="exact"/>
        <w:rPr>
          <w:rFonts w:ascii="Arial" w:cs="Arial" w:eastAsia="Arial" w:hAnsi="Arial"/>
          <w:sz w:val="15"/>
          <w:szCs w:val="15"/>
          <w:color w:val="auto"/>
        </w:rPr>
      </w:pPr>
    </w:p>
    <w:p>
      <w:pPr>
        <w:ind w:left="800" w:right="60" w:hanging="398"/>
        <w:spacing w:after="0" w:line="255" w:lineRule="auto"/>
        <w:tabs>
          <w:tab w:leader="none" w:pos="800" w:val="left"/>
        </w:tabs>
        <w:numPr>
          <w:ilvl w:val="0"/>
          <w:numId w:val="80"/>
        </w:numPr>
        <w:rPr>
          <w:rFonts w:ascii="Arial" w:cs="Arial" w:eastAsia="Arial" w:hAnsi="Arial"/>
          <w:sz w:val="15"/>
          <w:szCs w:val="15"/>
          <w:color w:val="auto"/>
        </w:rPr>
      </w:pPr>
      <w:r>
        <w:rPr>
          <w:rFonts w:ascii="Arial" w:cs="Arial" w:eastAsia="Arial" w:hAnsi="Arial"/>
          <w:sz w:val="16"/>
          <w:szCs w:val="16"/>
          <w:color w:val="auto"/>
        </w:rPr>
        <w:t>Payment of annual cash incentive awards if employed on the last day of the fiscal year and if threshold levels are met and at the percentage of the target achieved, as described under “Annual Cash Incentives” beginning on page 34;</w:t>
      </w:r>
    </w:p>
    <w:p>
      <w:pPr>
        <w:spacing w:after="0" w:line="74" w:lineRule="exact"/>
        <w:rPr>
          <w:rFonts w:ascii="Arial" w:cs="Arial" w:eastAsia="Arial" w:hAnsi="Arial"/>
          <w:sz w:val="15"/>
          <w:szCs w:val="15"/>
          <w:color w:val="auto"/>
        </w:rPr>
      </w:pPr>
    </w:p>
    <w:p>
      <w:pPr>
        <w:ind w:left="800" w:right="120" w:hanging="398"/>
        <w:spacing w:after="0" w:line="255" w:lineRule="auto"/>
        <w:tabs>
          <w:tab w:leader="none" w:pos="800" w:val="left"/>
        </w:tabs>
        <w:numPr>
          <w:ilvl w:val="0"/>
          <w:numId w:val="80"/>
        </w:numPr>
        <w:rPr>
          <w:rFonts w:ascii="Arial" w:cs="Arial" w:eastAsia="Arial" w:hAnsi="Arial"/>
          <w:sz w:val="15"/>
          <w:szCs w:val="15"/>
          <w:color w:val="auto"/>
        </w:rPr>
      </w:pPr>
      <w:r>
        <w:rPr>
          <w:rFonts w:ascii="Arial" w:cs="Arial" w:eastAsia="Arial" w:hAnsi="Arial"/>
          <w:sz w:val="16"/>
          <w:szCs w:val="16"/>
          <w:color w:val="auto"/>
        </w:rPr>
        <w:t>Payout for performance share awards if employed on the last day of the performance period and if threshold levels are met and at the percentage of the target achieved, as described under “Long-Term Incentives—Performance Share Awards” on page 39;</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80"/>
        </w:numPr>
        <w:rPr>
          <w:rFonts w:ascii="Arial" w:cs="Arial" w:eastAsia="Arial" w:hAnsi="Arial"/>
          <w:sz w:val="15"/>
          <w:szCs w:val="15"/>
          <w:color w:val="auto"/>
        </w:rPr>
      </w:pPr>
      <w:r>
        <w:rPr>
          <w:rFonts w:ascii="Arial" w:cs="Arial" w:eastAsia="Arial" w:hAnsi="Arial"/>
          <w:sz w:val="16"/>
          <w:szCs w:val="16"/>
          <w:color w:val="auto"/>
        </w:rPr>
        <w:t>Exercise of stock options that had vested prior to the date of termination;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80"/>
        </w:numPr>
        <w:rPr>
          <w:rFonts w:ascii="Arial" w:cs="Arial" w:eastAsia="Arial" w:hAnsi="Arial"/>
          <w:sz w:val="15"/>
          <w:szCs w:val="15"/>
          <w:color w:val="auto"/>
        </w:rPr>
      </w:pPr>
      <w:r>
        <w:rPr>
          <w:rFonts w:ascii="Arial" w:cs="Arial" w:eastAsia="Arial" w:hAnsi="Arial"/>
          <w:sz w:val="16"/>
          <w:szCs w:val="16"/>
          <w:color w:val="auto"/>
        </w:rPr>
        <w:t>Payouts under, and continuation of, health and welfare benefits under plans generally applicable to our U.S.-based office salaried employees.</w:t>
      </w:r>
    </w:p>
    <w:p>
      <w:pPr>
        <w:spacing w:after="0" w:line="98" w:lineRule="exact"/>
        <w:rPr>
          <w:sz w:val="20"/>
          <w:szCs w:val="20"/>
          <w:color w:val="auto"/>
        </w:rPr>
      </w:pPr>
    </w:p>
    <w:p>
      <w:pPr>
        <w:ind w:right="180" w:firstLine="408"/>
        <w:spacing w:after="0" w:line="243" w:lineRule="auto"/>
        <w:rPr>
          <w:sz w:val="20"/>
          <w:szCs w:val="20"/>
          <w:color w:val="auto"/>
        </w:rPr>
      </w:pPr>
      <w:r>
        <w:rPr>
          <w:rFonts w:ascii="Arial" w:cs="Arial" w:eastAsia="Arial" w:hAnsi="Arial"/>
          <w:sz w:val="16"/>
          <w:szCs w:val="16"/>
          <w:color w:val="auto"/>
        </w:rPr>
        <w:t>Our executive officers do not have any employment or severance agreements or arrangements other than as provided for in our CIC policy and other than certain change in control provisions in our equity plans. Accordingly, our named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55. Each of our executive officers is a party to our standard confidentiality, invention and non-compete agreement.</w:t>
      </w:r>
    </w:p>
    <w:p>
      <w:pPr>
        <w:spacing w:after="0" w:line="66" w:lineRule="exact"/>
        <w:rPr>
          <w:sz w:val="20"/>
          <w:szCs w:val="20"/>
          <w:color w:val="auto"/>
        </w:rPr>
      </w:pPr>
    </w:p>
    <w:p>
      <w:pPr>
        <w:ind w:right="80" w:firstLine="408"/>
        <w:spacing w:after="0" w:line="253" w:lineRule="auto"/>
        <w:rPr>
          <w:sz w:val="20"/>
          <w:szCs w:val="20"/>
          <w:color w:val="auto"/>
        </w:rPr>
      </w:pPr>
      <w:r>
        <w:rPr>
          <w:rFonts w:ascii="Arial" w:cs="Arial" w:eastAsia="Arial" w:hAnsi="Arial"/>
          <w:sz w:val="16"/>
          <w:szCs w:val="16"/>
          <w:b w:val="1"/>
          <w:bCs w:val="1"/>
          <w:color w:val="auto"/>
        </w:rPr>
        <w:t xml:space="preserve">Voluntary Resignation and Retirement. </w:t>
      </w:r>
      <w:r>
        <w:rPr>
          <w:rFonts w:ascii="Arial" w:cs="Arial" w:eastAsia="Arial" w:hAnsi="Arial"/>
          <w:sz w:val="16"/>
          <w:szCs w:val="16"/>
          <w:color w:val="auto"/>
        </w:rPr>
        <w:t>In the event of a named executive officer’s voluntary resignation or retirement, we would not be obligated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pay or provide any additional payments or benefits, unless the named executive officer meets the criteria for “retirement” in connection with his or her voluntary resignation. For purposes of our compensation arrangements, “retirement” generally means the voluntary termination of employment at or after the age of 55 and with a number of years of service that, when added together with the named executive officer’s age, equals at least 65.</w:t>
      </w:r>
    </w:p>
    <w:p>
      <w:pPr>
        <w:spacing w:after="0" w:line="77" w:lineRule="exact"/>
        <w:rPr>
          <w:sz w:val="20"/>
          <w:szCs w:val="20"/>
          <w:color w:val="auto"/>
        </w:rPr>
      </w:pPr>
    </w:p>
    <w:p>
      <w:pPr>
        <w:ind w:right="180" w:firstLine="408"/>
        <w:spacing w:after="0" w:line="247" w:lineRule="auto"/>
        <w:rPr>
          <w:sz w:val="20"/>
          <w:szCs w:val="20"/>
          <w:color w:val="auto"/>
        </w:rPr>
      </w:pPr>
      <w:r>
        <w:rPr>
          <w:rFonts w:ascii="Arial" w:cs="Arial" w:eastAsia="Arial" w:hAnsi="Arial"/>
          <w:sz w:val="16"/>
          <w:szCs w:val="16"/>
          <w:color w:val="auto"/>
        </w:rPr>
        <w:t>If a named executive officer meets the criteria for “retirement” in connection with his or her voluntary resignation, the named executive officer generally would be entitled to or, in the case of annual cash incentive awards and performance share awards, may receive upon approval by the Compensation &amp; Human Resources Committee, the following additional payments and benefits:</w:t>
      </w:r>
    </w:p>
    <w:p>
      <w:pPr>
        <w:spacing w:after="0" w:line="81" w:lineRule="exact"/>
        <w:rPr>
          <w:sz w:val="20"/>
          <w:szCs w:val="20"/>
          <w:color w:val="auto"/>
        </w:rPr>
      </w:pPr>
    </w:p>
    <w:p>
      <w:pPr>
        <w:ind w:left="800" w:right="220" w:hanging="398"/>
        <w:spacing w:after="0" w:line="255" w:lineRule="auto"/>
        <w:tabs>
          <w:tab w:leader="none" w:pos="800" w:val="left"/>
        </w:tabs>
        <w:numPr>
          <w:ilvl w:val="0"/>
          <w:numId w:val="81"/>
        </w:numPr>
        <w:rPr>
          <w:rFonts w:ascii="Arial" w:cs="Arial" w:eastAsia="Arial" w:hAnsi="Arial"/>
          <w:sz w:val="15"/>
          <w:szCs w:val="15"/>
          <w:color w:val="auto"/>
        </w:rPr>
      </w:pPr>
      <w:r>
        <w:rPr>
          <w:rFonts w:ascii="Arial" w:cs="Arial" w:eastAsia="Arial" w:hAnsi="Arial"/>
          <w:sz w:val="16"/>
          <w:szCs w:val="16"/>
          <w:color w:val="070707"/>
        </w:rPr>
        <w:t xml:space="preserve">Extended </w:t>
      </w:r>
      <w:r>
        <w:rPr>
          <w:rFonts w:ascii="Arial" w:cs="Arial" w:eastAsia="Arial" w:hAnsi="Arial"/>
          <w:sz w:val="16"/>
          <w:szCs w:val="16"/>
          <w:color w:val="000000"/>
        </w:rPr>
        <w:t>vesting and exercise period of four additional years (or the remaining term of the option, whichever is shorter) after the retirement date</w:t>
      </w:r>
      <w:r>
        <w:rPr>
          <w:rFonts w:ascii="Arial" w:cs="Arial" w:eastAsia="Arial" w:hAnsi="Arial"/>
          <w:sz w:val="16"/>
          <w:szCs w:val="16"/>
          <w:color w:val="070707"/>
        </w:rPr>
        <w:t xml:space="preserve"> </w:t>
      </w:r>
      <w:r>
        <w:rPr>
          <w:rFonts w:ascii="Arial" w:cs="Arial" w:eastAsia="Arial" w:hAnsi="Arial"/>
          <w:sz w:val="16"/>
          <w:szCs w:val="16"/>
          <w:color w:val="000000"/>
        </w:rPr>
        <w:t>for all outstanding stock options held on the retirement date;</w:t>
      </w:r>
    </w:p>
    <w:p>
      <w:pPr>
        <w:spacing w:after="0" w:line="74" w:lineRule="exact"/>
        <w:rPr>
          <w:rFonts w:ascii="Arial" w:cs="Arial" w:eastAsia="Arial" w:hAnsi="Arial"/>
          <w:sz w:val="15"/>
          <w:szCs w:val="15"/>
          <w:color w:val="auto"/>
        </w:rPr>
      </w:pPr>
    </w:p>
    <w:p>
      <w:pPr>
        <w:ind w:left="800" w:hanging="398"/>
        <w:spacing w:after="0" w:line="244" w:lineRule="auto"/>
        <w:tabs>
          <w:tab w:leader="none" w:pos="800" w:val="left"/>
        </w:tabs>
        <w:numPr>
          <w:ilvl w:val="0"/>
          <w:numId w:val="81"/>
        </w:numPr>
        <w:rPr>
          <w:rFonts w:ascii="Arial" w:cs="Arial" w:eastAsia="Arial" w:hAnsi="Arial"/>
          <w:sz w:val="15"/>
          <w:szCs w:val="15"/>
          <w:color w:val="auto"/>
        </w:rPr>
      </w:pPr>
      <w:r>
        <w:rPr>
          <w:rFonts w:ascii="Arial" w:cs="Arial" w:eastAsia="Arial" w:hAnsi="Arial"/>
          <w:sz w:val="16"/>
          <w:szCs w:val="16"/>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named executive officer’s retirement; provided, however, that the named executive officer is responsible for payment of applicable taxes attributed to the value of such products;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800" w:right="40" w:hanging="398"/>
        <w:spacing w:after="0" w:line="244" w:lineRule="auto"/>
        <w:tabs>
          <w:tab w:leader="none" w:pos="800" w:val="left"/>
        </w:tabs>
        <w:numPr>
          <w:ilvl w:val="0"/>
          <w:numId w:val="82"/>
        </w:numPr>
        <w:rPr>
          <w:rFonts w:ascii="Arial" w:cs="Arial" w:eastAsia="Arial" w:hAnsi="Arial"/>
          <w:sz w:val="15"/>
          <w:szCs w:val="15"/>
          <w:color w:val="auto"/>
        </w:rPr>
      </w:pPr>
      <w:r>
        <w:rPr>
          <w:rFonts w:ascii="Arial" w:cs="Arial" w:eastAsia="Arial" w:hAnsi="Arial"/>
          <w:sz w:val="16"/>
          <w:szCs w:val="16"/>
          <w:color w:val="auto"/>
        </w:rPr>
        <w:t>Prorated payment of an outstanding annual cash incentive award if the named executive officer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84" w:lineRule="exact"/>
        <w:rPr>
          <w:rFonts w:ascii="Arial" w:cs="Arial" w:eastAsia="Arial" w:hAnsi="Arial"/>
          <w:sz w:val="15"/>
          <w:szCs w:val="15"/>
          <w:color w:val="auto"/>
        </w:rPr>
      </w:pPr>
    </w:p>
    <w:p>
      <w:pPr>
        <w:ind w:left="800" w:right="40" w:hanging="398"/>
        <w:spacing w:after="0" w:line="244" w:lineRule="auto"/>
        <w:tabs>
          <w:tab w:leader="none" w:pos="800" w:val="left"/>
        </w:tabs>
        <w:numPr>
          <w:ilvl w:val="0"/>
          <w:numId w:val="82"/>
        </w:numPr>
        <w:rPr>
          <w:rFonts w:ascii="Arial" w:cs="Arial" w:eastAsia="Arial" w:hAnsi="Arial"/>
          <w:sz w:val="15"/>
          <w:szCs w:val="15"/>
          <w:color w:val="auto"/>
        </w:rPr>
      </w:pPr>
      <w:r>
        <w:rPr>
          <w:rFonts w:ascii="Arial" w:cs="Arial" w:eastAsia="Arial" w:hAnsi="Arial"/>
          <w:sz w:val="16"/>
          <w:szCs w:val="16"/>
          <w:color w:val="auto"/>
        </w:rPr>
        <w:t>Prorated payment of outstanding performance share awards if the named executive officer retires after completion of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retirement date.</w:t>
      </w:r>
    </w:p>
    <w:p>
      <w:pPr>
        <w:spacing w:after="0" w:line="85" w:lineRule="exact"/>
        <w:rPr>
          <w:sz w:val="20"/>
          <w:szCs w:val="20"/>
          <w:color w:val="auto"/>
        </w:rPr>
      </w:pPr>
    </w:p>
    <w:p>
      <w:pPr>
        <w:jc w:val="both"/>
        <w:ind w:right="300" w:firstLine="408"/>
        <w:spacing w:after="0" w:line="247" w:lineRule="auto"/>
        <w:rPr>
          <w:sz w:val="20"/>
          <w:szCs w:val="20"/>
          <w:color w:val="auto"/>
        </w:rPr>
      </w:pPr>
      <w:r>
        <w:rPr>
          <w:rFonts w:ascii="Arial" w:cs="Arial" w:eastAsia="Arial" w:hAnsi="Arial"/>
          <w:sz w:val="16"/>
          <w:szCs w:val="16"/>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61" w:lineRule="exact"/>
        <w:rPr>
          <w:sz w:val="20"/>
          <w:szCs w:val="20"/>
          <w:color w:val="auto"/>
        </w:rPr>
      </w:pPr>
    </w:p>
    <w:p>
      <w:pPr>
        <w:ind w:right="120" w:firstLine="408"/>
        <w:spacing w:after="0" w:line="260" w:lineRule="auto"/>
        <w:rPr>
          <w:sz w:val="20"/>
          <w:szCs w:val="20"/>
          <w:color w:val="auto"/>
        </w:rPr>
      </w:pPr>
      <w:r>
        <w:rPr>
          <w:rFonts w:ascii="Arial" w:cs="Arial" w:eastAsia="Arial" w:hAnsi="Arial"/>
          <w:sz w:val="16"/>
          <w:szCs w:val="16"/>
          <w:b w:val="1"/>
          <w:bCs w:val="1"/>
          <w:color w:val="auto"/>
        </w:rPr>
        <w:t xml:space="preserve">Disability or Death. </w:t>
      </w:r>
      <w:r>
        <w:rPr>
          <w:rFonts w:ascii="Arial" w:cs="Arial" w:eastAsia="Arial" w:hAnsi="Arial"/>
          <w:sz w:val="16"/>
          <w:szCs w:val="16"/>
          <w:color w:val="auto"/>
        </w:rPr>
        <w:t>In the event of a termination as the result of the disability or death of a named executive officer, the named executive officer, or</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beneficiary, would be entitled to or, in the case of annual cash incentive awards and performance share awards, may receive upon approval by the Compensation &amp; Human Resources Committee, the following additional payments and benefits:</w:t>
      </w:r>
    </w:p>
    <w:p>
      <w:pPr>
        <w:spacing w:after="0" w:line="71" w:lineRule="exact"/>
        <w:rPr>
          <w:sz w:val="20"/>
          <w:szCs w:val="20"/>
          <w:color w:val="auto"/>
        </w:rPr>
      </w:pPr>
    </w:p>
    <w:p>
      <w:pPr>
        <w:ind w:left="800" w:right="320" w:hanging="398"/>
        <w:spacing w:after="0" w:line="255" w:lineRule="auto"/>
        <w:tabs>
          <w:tab w:leader="none" w:pos="800" w:val="left"/>
        </w:tabs>
        <w:numPr>
          <w:ilvl w:val="0"/>
          <w:numId w:val="83"/>
        </w:numPr>
        <w:rPr>
          <w:rFonts w:ascii="Arial" w:cs="Arial" w:eastAsia="Arial" w:hAnsi="Arial"/>
          <w:sz w:val="15"/>
          <w:szCs w:val="15"/>
          <w:color w:val="auto"/>
        </w:rPr>
      </w:pPr>
      <w:r>
        <w:rPr>
          <w:rFonts w:ascii="Arial" w:cs="Arial" w:eastAsia="Arial" w:hAnsi="Arial"/>
          <w:sz w:val="16"/>
          <w:szCs w:val="16"/>
          <w:color w:val="auto"/>
        </w:rPr>
        <w:t>Immediate vesting of all outstanding stock options held as of the termination date and stock options may be exercised for a period of up to one year (or the remaining term of the option, whichever is shorter) after the termination date;</w:t>
      </w:r>
    </w:p>
    <w:p>
      <w:pPr>
        <w:spacing w:after="0" w:line="74" w:lineRule="exact"/>
        <w:rPr>
          <w:rFonts w:ascii="Arial" w:cs="Arial" w:eastAsia="Arial" w:hAnsi="Arial"/>
          <w:sz w:val="15"/>
          <w:szCs w:val="15"/>
          <w:color w:val="auto"/>
        </w:rPr>
      </w:pPr>
    </w:p>
    <w:p>
      <w:pPr>
        <w:jc w:val="both"/>
        <w:ind w:left="800" w:right="220" w:hanging="398"/>
        <w:spacing w:after="0" w:line="247" w:lineRule="auto"/>
        <w:tabs>
          <w:tab w:leader="none" w:pos="800" w:val="left"/>
        </w:tabs>
        <w:numPr>
          <w:ilvl w:val="0"/>
          <w:numId w:val="83"/>
        </w:numPr>
        <w:rPr>
          <w:rFonts w:ascii="Arial" w:cs="Arial" w:eastAsia="Arial" w:hAnsi="Arial"/>
          <w:sz w:val="15"/>
          <w:szCs w:val="15"/>
          <w:color w:val="auto"/>
        </w:rPr>
      </w:pPr>
      <w:r>
        <w:rPr>
          <w:rFonts w:ascii="Arial" w:cs="Arial" w:eastAsia="Arial" w:hAnsi="Arial"/>
          <w:sz w:val="16"/>
          <w:szCs w:val="16"/>
          <w:color w:val="auto"/>
        </w:rPr>
        <w:t>Prorated payment of an outstanding annual cash incentive award if the termination of the named executive officer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81" w:lineRule="exact"/>
        <w:rPr>
          <w:rFonts w:ascii="Arial" w:cs="Arial" w:eastAsia="Arial" w:hAnsi="Arial"/>
          <w:sz w:val="15"/>
          <w:szCs w:val="15"/>
          <w:color w:val="auto"/>
        </w:rPr>
      </w:pPr>
    </w:p>
    <w:p>
      <w:pPr>
        <w:jc w:val="both"/>
        <w:ind w:left="800" w:right="60" w:hanging="398"/>
        <w:spacing w:after="0" w:line="244" w:lineRule="auto"/>
        <w:tabs>
          <w:tab w:leader="none" w:pos="800" w:val="left"/>
        </w:tabs>
        <w:numPr>
          <w:ilvl w:val="0"/>
          <w:numId w:val="83"/>
        </w:numPr>
        <w:rPr>
          <w:rFonts w:ascii="Arial" w:cs="Arial" w:eastAsia="Arial" w:hAnsi="Arial"/>
          <w:sz w:val="15"/>
          <w:szCs w:val="15"/>
          <w:color w:val="auto"/>
        </w:rPr>
      </w:pPr>
      <w:r>
        <w:rPr>
          <w:rFonts w:ascii="Arial" w:cs="Arial" w:eastAsia="Arial" w:hAnsi="Arial"/>
          <w:sz w:val="16"/>
          <w:szCs w:val="16"/>
          <w:color w:val="auto"/>
        </w:rPr>
        <w:t>Prorated payment of outstanding performance share awards if the named executive officer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termination date.</w:t>
      </w:r>
    </w:p>
    <w:p>
      <w:pPr>
        <w:spacing w:after="0" w:line="85" w:lineRule="exact"/>
        <w:rPr>
          <w:sz w:val="20"/>
          <w:szCs w:val="20"/>
          <w:color w:val="auto"/>
        </w:rPr>
      </w:pPr>
    </w:p>
    <w:p>
      <w:pPr>
        <w:jc w:val="both"/>
        <w:ind w:right="300" w:firstLine="408"/>
        <w:spacing w:after="0" w:line="247" w:lineRule="auto"/>
        <w:rPr>
          <w:sz w:val="20"/>
          <w:szCs w:val="20"/>
          <w:color w:val="auto"/>
        </w:rPr>
      </w:pPr>
      <w:r>
        <w:rPr>
          <w:rFonts w:ascii="Arial" w:cs="Arial" w:eastAsia="Arial" w:hAnsi="Arial"/>
          <w:sz w:val="16"/>
          <w:szCs w:val="16"/>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61" w:lineRule="exact"/>
        <w:rPr>
          <w:sz w:val="20"/>
          <w:szCs w:val="20"/>
          <w:color w:val="auto"/>
        </w:rPr>
      </w:pPr>
    </w:p>
    <w:p>
      <w:pPr>
        <w:ind w:firstLine="408"/>
        <w:spacing w:after="0" w:line="253" w:lineRule="auto"/>
        <w:rPr>
          <w:sz w:val="20"/>
          <w:szCs w:val="20"/>
          <w:color w:val="auto"/>
        </w:rPr>
      </w:pPr>
      <w:r>
        <w:rPr>
          <w:rFonts w:ascii="Arial" w:cs="Arial" w:eastAsia="Arial" w:hAnsi="Arial"/>
          <w:sz w:val="16"/>
          <w:szCs w:val="16"/>
          <w:b w:val="1"/>
          <w:bCs w:val="1"/>
          <w:color w:val="auto"/>
        </w:rPr>
        <w:t xml:space="preserve">Involuntary Termination by Toro. </w:t>
      </w:r>
      <w:r>
        <w:rPr>
          <w:rFonts w:ascii="Arial" w:cs="Arial" w:eastAsia="Arial" w:hAnsi="Arial"/>
          <w:sz w:val="16"/>
          <w:szCs w:val="16"/>
          <w:color w:val="auto"/>
        </w:rPr>
        <w:t>Since our named executive officers do not have employment or severance agreements or arrangements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as provided for in our CIC policy, we would not be obligated to provide any additional payments or benefits to our named executive officers in the event of an involuntary termination of employment by us. Any negotiated separation arrangement typically requires that the named executive officer sign a release and waiver of claims and comply with confidentiality and non-compete restrictions.</w:t>
      </w:r>
    </w:p>
    <w:p>
      <w:pPr>
        <w:spacing w:after="0" w:line="57" w:lineRule="exact"/>
        <w:rPr>
          <w:sz w:val="20"/>
          <w:szCs w:val="20"/>
          <w:color w:val="auto"/>
        </w:rPr>
      </w:pPr>
    </w:p>
    <w:p>
      <w:pPr>
        <w:ind w:right="120" w:firstLine="408"/>
        <w:spacing w:after="0" w:line="260" w:lineRule="auto"/>
        <w:rPr>
          <w:sz w:val="20"/>
          <w:szCs w:val="20"/>
          <w:color w:val="auto"/>
        </w:rPr>
      </w:pPr>
      <w:r>
        <w:rPr>
          <w:rFonts w:ascii="Arial" w:cs="Arial" w:eastAsia="Arial" w:hAnsi="Arial"/>
          <w:sz w:val="16"/>
          <w:szCs w:val="16"/>
          <w:b w:val="1"/>
          <w:bCs w:val="1"/>
          <w:color w:val="auto"/>
        </w:rPr>
        <w:t xml:space="preserve">Termination by Toro for Cause. </w:t>
      </w:r>
      <w:r>
        <w:rPr>
          <w:rFonts w:ascii="Arial" w:cs="Arial" w:eastAsia="Arial" w:hAnsi="Arial"/>
          <w:sz w:val="16"/>
          <w:szCs w:val="16"/>
          <w:color w:val="auto"/>
        </w:rPr>
        <w:t>In the event of a termination of a named executive officer’s employment by us for cause, we would not be obligated</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any additional payments or benefits to the executive. In addition, we may have certain clawback rights, as described below under “Clawback Provisions.”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7" w:lineRule="exact"/>
        <w:rPr>
          <w:sz w:val="20"/>
          <w:szCs w:val="20"/>
          <w:color w:val="auto"/>
        </w:rPr>
      </w:pPr>
    </w:p>
    <w:p>
      <w:pPr>
        <w:ind w:firstLine="408"/>
        <w:spacing w:after="0" w:line="250"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We have a CIC policy generally applicable to our executive officers. Our CIC policy incorporates a “double trigger” mechanism</w:t>
      </w:r>
      <w:r>
        <w:rPr>
          <w:rFonts w:ascii="Arial" w:cs="Arial" w:eastAsia="Arial" w:hAnsi="Arial"/>
          <w:sz w:val="16"/>
          <w:szCs w:val="16"/>
          <w:b w:val="1"/>
          <w:bCs w:val="1"/>
          <w:color w:val="auto"/>
        </w:rPr>
        <w:t xml:space="preserve"> </w:t>
      </w:r>
      <w:r>
        <w:rPr>
          <w:rFonts w:ascii="Arial" w:cs="Arial" w:eastAsia="Arial" w:hAnsi="Arial"/>
          <w:sz w:val="16"/>
          <w:szCs w:val="16"/>
          <w:color w:val="auto"/>
        </w:rPr>
        <w:t>and provides for a cash severance payment and certain other benefits if within three years after a change in control the named executive officer’s employment is terminated by us without just cause or the named executive officer terminates his or her employment for good reason, or if such termination occurs at the request of a third party who had taken steps reasonably calculated to effect the change in control. The payments and benefits the named executive officer would be entitled to receive include:</w:t>
      </w:r>
    </w:p>
    <w:p>
      <w:pPr>
        <w:spacing w:after="0" w:line="66" w:lineRule="exact"/>
        <w:rPr>
          <w:sz w:val="20"/>
          <w:szCs w:val="20"/>
          <w:color w:val="auto"/>
        </w:rPr>
      </w:pPr>
    </w:p>
    <w:p>
      <w:pPr>
        <w:ind w:left="800" w:right="40" w:hanging="398"/>
        <w:spacing w:after="0" w:line="255" w:lineRule="auto"/>
        <w:tabs>
          <w:tab w:leader="none" w:pos="800" w:val="left"/>
        </w:tabs>
        <w:numPr>
          <w:ilvl w:val="0"/>
          <w:numId w:val="84"/>
        </w:numPr>
        <w:rPr>
          <w:rFonts w:ascii="Arial" w:cs="Arial" w:eastAsia="Arial" w:hAnsi="Arial"/>
          <w:sz w:val="15"/>
          <w:szCs w:val="15"/>
          <w:color w:val="auto"/>
        </w:rPr>
      </w:pPr>
      <w:r>
        <w:rPr>
          <w:rFonts w:ascii="Arial" w:cs="Arial" w:eastAsia="Arial" w:hAnsi="Arial"/>
          <w:sz w:val="16"/>
          <w:szCs w:val="16"/>
          <w:color w:val="auto"/>
        </w:rPr>
        <w:t>a lump sum cash severance payment equal to two times (or three times for the CEO) the sum of the named executive officer’s then current annual base salary and target annual cash incentive award;</w:t>
      </w:r>
    </w:p>
    <w:p>
      <w:pPr>
        <w:spacing w:after="0" w:line="62" w:lineRule="exact"/>
        <w:rPr>
          <w:rFonts w:ascii="Arial" w:cs="Arial" w:eastAsia="Arial" w:hAnsi="Arial"/>
          <w:sz w:val="15"/>
          <w:szCs w:val="15"/>
          <w:color w:val="auto"/>
        </w:rPr>
      </w:pPr>
    </w:p>
    <w:p>
      <w:pPr>
        <w:ind w:left="800" w:right="40" w:hanging="398"/>
        <w:spacing w:after="0" w:line="247" w:lineRule="auto"/>
        <w:tabs>
          <w:tab w:leader="none" w:pos="800" w:val="left"/>
        </w:tabs>
        <w:numPr>
          <w:ilvl w:val="0"/>
          <w:numId w:val="84"/>
        </w:numPr>
        <w:rPr>
          <w:rFonts w:ascii="Arial" w:cs="Arial" w:eastAsia="Arial" w:hAnsi="Arial"/>
          <w:sz w:val="15"/>
          <w:szCs w:val="15"/>
          <w:color w:val="auto"/>
        </w:rPr>
      </w:pPr>
      <w:r>
        <w:rPr>
          <w:rFonts w:ascii="Arial" w:cs="Arial" w:eastAsia="Arial" w:hAnsi="Arial"/>
          <w:sz w:val="16"/>
          <w:szCs w:val="16"/>
          <w:color w:val="auto"/>
        </w:rPr>
        <w:t>a lump sum cash payment in an amount equal to the named executive officer’s pro-rated target annual cash incentive award for the fiscal year in which the termination date occurs, reduced by any amounts paid under the terms of the applicable equity compensation policy for the same period of time;</w:t>
      </w:r>
    </w:p>
    <w:p>
      <w:pPr>
        <w:spacing w:after="0" w:line="69" w:lineRule="exact"/>
        <w:rPr>
          <w:rFonts w:ascii="Arial" w:cs="Arial" w:eastAsia="Arial" w:hAnsi="Arial"/>
          <w:sz w:val="15"/>
          <w:szCs w:val="15"/>
          <w:color w:val="auto"/>
        </w:rPr>
      </w:pPr>
    </w:p>
    <w:p>
      <w:pPr>
        <w:jc w:val="both"/>
        <w:ind w:left="800" w:hanging="398"/>
        <w:spacing w:after="0" w:line="247" w:lineRule="auto"/>
        <w:tabs>
          <w:tab w:leader="none" w:pos="800" w:val="left"/>
        </w:tabs>
        <w:numPr>
          <w:ilvl w:val="0"/>
          <w:numId w:val="84"/>
        </w:numPr>
        <w:rPr>
          <w:rFonts w:ascii="Arial" w:cs="Arial" w:eastAsia="Arial" w:hAnsi="Arial"/>
          <w:sz w:val="15"/>
          <w:szCs w:val="15"/>
          <w:color w:val="auto"/>
        </w:rPr>
      </w:pPr>
      <w:r>
        <w:rPr>
          <w:rFonts w:ascii="Arial" w:cs="Arial" w:eastAsia="Arial" w:hAnsi="Arial"/>
          <w:sz w:val="16"/>
          <w:szCs w:val="16"/>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named executive officer immediately prior to his or her termination date to obtain such coverage; and</w:t>
      </w:r>
    </w:p>
    <w:p>
      <w:pPr>
        <w:spacing w:after="0" w:line="69" w:lineRule="exact"/>
        <w:rPr>
          <w:rFonts w:ascii="Arial" w:cs="Arial" w:eastAsia="Arial" w:hAnsi="Arial"/>
          <w:sz w:val="15"/>
          <w:szCs w:val="15"/>
          <w:color w:val="auto"/>
        </w:rPr>
      </w:pPr>
    </w:p>
    <w:p>
      <w:pPr>
        <w:ind w:left="800" w:hanging="398"/>
        <w:spacing w:after="0"/>
        <w:tabs>
          <w:tab w:leader="none" w:pos="800" w:val="left"/>
        </w:tabs>
        <w:numPr>
          <w:ilvl w:val="0"/>
          <w:numId w:val="84"/>
        </w:numPr>
        <w:rPr>
          <w:rFonts w:ascii="Arial" w:cs="Arial" w:eastAsia="Arial" w:hAnsi="Arial"/>
          <w:sz w:val="15"/>
          <w:szCs w:val="15"/>
          <w:color w:val="auto"/>
        </w:rPr>
      </w:pPr>
      <w:r>
        <w:rPr>
          <w:rFonts w:ascii="Arial" w:cs="Arial" w:eastAsia="Arial" w:hAnsi="Arial"/>
          <w:sz w:val="16"/>
          <w:szCs w:val="16"/>
          <w:color w:val="auto"/>
        </w:rPr>
        <w:t>two years of outplacement services.</w:t>
      </w:r>
    </w:p>
    <w:p>
      <w:pPr>
        <w:spacing w:after="0" w:line="86" w:lineRule="exact"/>
        <w:rPr>
          <w:sz w:val="20"/>
          <w:szCs w:val="20"/>
          <w:color w:val="auto"/>
        </w:rPr>
      </w:pPr>
    </w:p>
    <w:p>
      <w:pPr>
        <w:ind w:right="200" w:firstLine="408"/>
        <w:spacing w:after="0" w:line="247" w:lineRule="auto"/>
        <w:rPr>
          <w:sz w:val="20"/>
          <w:szCs w:val="20"/>
          <w:color w:val="auto"/>
        </w:rPr>
      </w:pPr>
      <w:r>
        <w:rPr>
          <w:rFonts w:ascii="Arial" w:cs="Arial" w:eastAsia="Arial" w:hAnsi="Arial"/>
          <w:sz w:val="16"/>
          <w:szCs w:val="16"/>
          <w:color w:val="auto"/>
        </w:rPr>
        <w:t>Our CIC policy does not provide a “gross-up” for 280G excise tax and, as a condition to the payment of any severance payment, the named executive officer must execute a release of claims against us. If a change in control, as generally defined below, has not occurred, our Board may terminate our CIC policy after two years’ advance notice of such termination.</w:t>
      </w:r>
    </w:p>
    <w:p>
      <w:pPr>
        <w:spacing w:after="0" w:line="57" w:lineRule="exact"/>
        <w:rPr>
          <w:sz w:val="20"/>
          <w:szCs w:val="20"/>
          <w:color w:val="auto"/>
        </w:rPr>
      </w:pPr>
    </w:p>
    <w:p>
      <w:pPr>
        <w:ind w:right="360" w:firstLine="408"/>
        <w:spacing w:after="0" w:line="255" w:lineRule="auto"/>
        <w:rPr>
          <w:sz w:val="20"/>
          <w:szCs w:val="20"/>
          <w:color w:val="auto"/>
        </w:rPr>
      </w:pPr>
      <w:r>
        <w:rPr>
          <w:rFonts w:ascii="Arial" w:cs="Arial" w:eastAsia="Arial" w:hAnsi="Arial"/>
          <w:sz w:val="16"/>
          <w:szCs w:val="16"/>
          <w:color w:val="auto"/>
        </w:rPr>
        <w:t>In addition to our CIC policy, our Amended and Restated 2010 Plan and The Toro Company 2000 Stock Option Plan, as amended, or 2000 Plan, as applicable, provide that if we experience a change in control, as generally defined below, whether or not there is a qualifying termination of employment:</w:t>
      </w:r>
    </w:p>
    <w:p>
      <w:pPr>
        <w:spacing w:after="0" w:line="62" w:lineRule="exact"/>
        <w:rPr>
          <w:sz w:val="20"/>
          <w:szCs w:val="20"/>
          <w:color w:val="auto"/>
        </w:rPr>
      </w:pPr>
    </w:p>
    <w:p>
      <w:pPr>
        <w:ind w:left="800" w:right="120" w:hanging="398"/>
        <w:spacing w:after="0" w:line="247" w:lineRule="auto"/>
        <w:tabs>
          <w:tab w:leader="none" w:pos="800" w:val="left"/>
        </w:tabs>
        <w:numPr>
          <w:ilvl w:val="0"/>
          <w:numId w:val="85"/>
        </w:numPr>
        <w:rPr>
          <w:rFonts w:ascii="Arial" w:cs="Arial" w:eastAsia="Arial" w:hAnsi="Arial"/>
          <w:sz w:val="15"/>
          <w:szCs w:val="15"/>
          <w:color w:val="auto"/>
        </w:rPr>
      </w:pPr>
      <w:r>
        <w:rPr>
          <w:rFonts w:ascii="Arial" w:cs="Arial" w:eastAsia="Arial" w:hAnsi="Arial"/>
          <w:sz w:val="16"/>
          <w:szCs w:val="16"/>
          <w:color w:val="auto"/>
        </w:rPr>
        <w:t>all stock options immediately vest, become exercisable in full and, pursuant to the Amended and Restated 2010 Plan, remain exercisable for their remaining term following the change in control, or, pursuant to the 2000 Plan, remain exercisable for three years (provided that in no event will three years extend beyond the remaining term of the option);</w:t>
      </w:r>
    </w:p>
    <w:p>
      <w:pPr>
        <w:spacing w:after="0" w:line="69" w:lineRule="exact"/>
        <w:rPr>
          <w:rFonts w:ascii="Arial" w:cs="Arial" w:eastAsia="Arial" w:hAnsi="Arial"/>
          <w:sz w:val="15"/>
          <w:szCs w:val="15"/>
          <w:color w:val="auto"/>
        </w:rPr>
      </w:pPr>
    </w:p>
    <w:p>
      <w:pPr>
        <w:ind w:left="800" w:right="580" w:hanging="398"/>
        <w:spacing w:after="0" w:line="255" w:lineRule="auto"/>
        <w:tabs>
          <w:tab w:leader="none" w:pos="800" w:val="left"/>
        </w:tabs>
        <w:numPr>
          <w:ilvl w:val="0"/>
          <w:numId w:val="85"/>
        </w:numPr>
        <w:rPr>
          <w:rFonts w:ascii="Arial" w:cs="Arial" w:eastAsia="Arial" w:hAnsi="Arial"/>
          <w:sz w:val="15"/>
          <w:szCs w:val="15"/>
          <w:color w:val="auto"/>
        </w:rPr>
      </w:pPr>
      <w:r>
        <w:rPr>
          <w:rFonts w:ascii="Arial" w:cs="Arial" w:eastAsia="Arial" w:hAnsi="Arial"/>
          <w:sz w:val="16"/>
          <w:szCs w:val="16"/>
          <w:color w:val="auto"/>
        </w:rPr>
        <w:t>all outstanding annual cash incentive awards for performance periods in progress at the time of the change in control immediately vest and become immediately payable at target in cash;</w:t>
      </w:r>
    </w:p>
    <w:p>
      <w:pPr>
        <w:spacing w:after="0" w:line="62" w:lineRule="exact"/>
        <w:rPr>
          <w:rFonts w:ascii="Arial" w:cs="Arial" w:eastAsia="Arial" w:hAnsi="Arial"/>
          <w:sz w:val="15"/>
          <w:szCs w:val="15"/>
          <w:color w:val="auto"/>
        </w:rPr>
      </w:pPr>
    </w:p>
    <w:p>
      <w:pPr>
        <w:ind w:left="800" w:right="160" w:hanging="398"/>
        <w:spacing w:after="0" w:line="247" w:lineRule="auto"/>
        <w:tabs>
          <w:tab w:leader="none" w:pos="800" w:val="left"/>
        </w:tabs>
        <w:numPr>
          <w:ilvl w:val="0"/>
          <w:numId w:val="85"/>
        </w:numPr>
        <w:rPr>
          <w:rFonts w:ascii="Arial" w:cs="Arial" w:eastAsia="Arial" w:hAnsi="Arial"/>
          <w:sz w:val="15"/>
          <w:szCs w:val="15"/>
          <w:color w:val="auto"/>
        </w:rPr>
      </w:pPr>
      <w:r>
        <w:rPr>
          <w:rFonts w:ascii="Arial" w:cs="Arial" w:eastAsia="Arial" w:hAnsi="Arial"/>
          <w:sz w:val="16"/>
          <w:szCs w:val="16"/>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spacing w:after="0" w:line="69" w:lineRule="exact"/>
        <w:rPr>
          <w:rFonts w:ascii="Arial" w:cs="Arial" w:eastAsia="Arial" w:hAnsi="Arial"/>
          <w:sz w:val="15"/>
          <w:szCs w:val="15"/>
          <w:color w:val="auto"/>
        </w:rPr>
      </w:pPr>
    </w:p>
    <w:p>
      <w:pPr>
        <w:ind w:left="800" w:right="280" w:hanging="398"/>
        <w:spacing w:after="0" w:line="255" w:lineRule="auto"/>
        <w:tabs>
          <w:tab w:leader="none" w:pos="800" w:val="left"/>
        </w:tabs>
        <w:numPr>
          <w:ilvl w:val="0"/>
          <w:numId w:val="85"/>
        </w:numPr>
        <w:rPr>
          <w:rFonts w:ascii="Arial" w:cs="Arial" w:eastAsia="Arial" w:hAnsi="Arial"/>
          <w:sz w:val="15"/>
          <w:szCs w:val="15"/>
          <w:color w:val="auto"/>
        </w:rPr>
      </w:pPr>
      <w:r>
        <w:rPr>
          <w:rFonts w:ascii="Arial" w:cs="Arial" w:eastAsia="Arial" w:hAnsi="Arial"/>
          <w:sz w:val="16"/>
          <w:szCs w:val="16"/>
          <w:color w:val="auto"/>
        </w:rPr>
        <w:t>all outstanding shares of restricted stock and restricted stock unit awards immediately vest and become non-forfeitable or issuable, as the case may be.</w:t>
      </w:r>
    </w:p>
    <w:p>
      <w:pPr>
        <w:spacing w:after="0" w:line="62" w:lineRule="exact"/>
        <w:rPr>
          <w:sz w:val="20"/>
          <w:szCs w:val="20"/>
          <w:color w:val="auto"/>
        </w:rPr>
      </w:pPr>
    </w:p>
    <w:p>
      <w:pPr>
        <w:ind w:right="20" w:firstLine="408"/>
        <w:spacing w:after="0" w:line="242" w:lineRule="auto"/>
        <w:rPr>
          <w:sz w:val="20"/>
          <w:szCs w:val="20"/>
          <w:color w:val="auto"/>
        </w:rPr>
      </w:pPr>
      <w:r>
        <w:rPr>
          <w:rFonts w:ascii="Arial" w:cs="Arial" w:eastAsia="Arial" w:hAnsi="Arial"/>
          <w:sz w:val="16"/>
          <w:szCs w:val="16"/>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 performance share award in an amount equal to 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 Our Amended and Restated 2010 Plan and 2000 Plan do not provide a “gross-up” for 280G excise tax, but do provide for a reduction of payments if such payments would result in lower after-tax income taking into consideration the 280G excise tax.</w:t>
      </w:r>
    </w:p>
    <w:p>
      <w:pPr>
        <w:spacing w:after="0" w:line="75" w:lineRule="exact"/>
        <w:rPr>
          <w:sz w:val="20"/>
          <w:szCs w:val="20"/>
          <w:color w:val="auto"/>
        </w:rPr>
      </w:pPr>
    </w:p>
    <w:p>
      <w:pPr>
        <w:ind w:right="500" w:firstLine="408"/>
        <w:spacing w:after="0" w:line="255" w:lineRule="auto"/>
        <w:rPr>
          <w:sz w:val="20"/>
          <w:szCs w:val="20"/>
          <w:color w:val="auto"/>
        </w:rPr>
      </w:pPr>
      <w:r>
        <w:rPr>
          <w:rFonts w:ascii="Arial" w:cs="Arial" w:eastAsia="Arial" w:hAnsi="Arial"/>
          <w:sz w:val="16"/>
          <w:szCs w:val="16"/>
          <w:color w:val="auto"/>
        </w:rPr>
        <w:t>For purposes of our CIC policy, Amended and Restated 2010 Plan, 2000 Plan and 2000 Directors Stock Plan, and subject to limited exceptions, a “change in control” occurs if:</w:t>
      </w:r>
    </w:p>
    <w:p>
      <w:pPr>
        <w:spacing w:after="0" w:line="50" w:lineRule="exact"/>
        <w:rPr>
          <w:sz w:val="20"/>
          <w:szCs w:val="20"/>
          <w:color w:val="auto"/>
        </w:rPr>
      </w:pPr>
    </w:p>
    <w:p>
      <w:pPr>
        <w:jc w:val="both"/>
        <w:ind w:left="800" w:right="220" w:hanging="398"/>
        <w:spacing w:after="0" w:line="247" w:lineRule="auto"/>
        <w:tabs>
          <w:tab w:leader="none" w:pos="800" w:val="left"/>
        </w:tabs>
        <w:numPr>
          <w:ilvl w:val="0"/>
          <w:numId w:val="86"/>
        </w:numPr>
        <w:rPr>
          <w:rFonts w:ascii="Arial" w:cs="Arial" w:eastAsia="Arial" w:hAnsi="Arial"/>
          <w:sz w:val="15"/>
          <w:szCs w:val="15"/>
          <w:color w:val="auto"/>
        </w:rPr>
      </w:pPr>
      <w:r>
        <w:rPr>
          <w:rFonts w:ascii="Arial" w:cs="Arial" w:eastAsia="Arial" w:hAnsi="Arial"/>
          <w:sz w:val="16"/>
          <w:szCs w:val="16"/>
          <w:color w:val="auto"/>
        </w:rPr>
        <w:t>another person becomes the beneficial owner of a specified percentage of our then-outstanding common stock or the combined voting power of our then-outstanding voting stock, which is 20% under the Amended and Restated 2010 Plan and CIC policy and 15% under the 2000 Plan and 2000 Directors Stock Plan;</w:t>
      </w:r>
    </w:p>
    <w:p>
      <w:pPr>
        <w:spacing w:after="0" w:line="69" w:lineRule="exact"/>
        <w:rPr>
          <w:rFonts w:ascii="Arial" w:cs="Arial" w:eastAsia="Arial" w:hAnsi="Arial"/>
          <w:sz w:val="15"/>
          <w:szCs w:val="15"/>
          <w:color w:val="auto"/>
        </w:rPr>
      </w:pPr>
    </w:p>
    <w:p>
      <w:pPr>
        <w:ind w:left="800" w:hanging="398"/>
        <w:spacing w:after="0"/>
        <w:tabs>
          <w:tab w:leader="none" w:pos="800" w:val="left"/>
        </w:tabs>
        <w:numPr>
          <w:ilvl w:val="0"/>
          <w:numId w:val="86"/>
        </w:numPr>
        <w:rPr>
          <w:rFonts w:ascii="Arial" w:cs="Arial" w:eastAsia="Arial" w:hAnsi="Arial"/>
          <w:sz w:val="15"/>
          <w:szCs w:val="15"/>
          <w:color w:val="auto"/>
        </w:rPr>
      </w:pPr>
      <w:r>
        <w:rPr>
          <w:rFonts w:ascii="Arial" w:cs="Arial" w:eastAsia="Arial" w:hAnsi="Arial"/>
          <w:sz w:val="16"/>
          <w:szCs w:val="16"/>
          <w:color w:val="auto"/>
        </w:rPr>
        <w:t>a majority of our Board becomes comprised of persons other than those for whom election proxies have been solicited by our Board;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7" w:name="page68"/>
    <w:bookmarkEnd w:id="67"/>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ind w:left="802" w:right="160" w:hanging="398"/>
        <w:spacing w:after="0" w:line="247" w:lineRule="auto"/>
        <w:tabs>
          <w:tab w:leader="none" w:pos="802" w:val="left"/>
        </w:tabs>
        <w:numPr>
          <w:ilvl w:val="0"/>
          <w:numId w:val="87"/>
        </w:numPr>
        <w:rPr>
          <w:rFonts w:ascii="Arial" w:cs="Arial" w:eastAsia="Arial" w:hAnsi="Arial"/>
          <w:sz w:val="15"/>
          <w:szCs w:val="15"/>
          <w:color w:val="auto"/>
        </w:rPr>
      </w:pPr>
      <w:r>
        <w:rPr>
          <w:rFonts w:ascii="Arial" w:cs="Arial" w:eastAsia="Arial" w:hAnsi="Arial"/>
          <w:sz w:val="16"/>
          <w:szCs w:val="16"/>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69" w:lineRule="exact"/>
        <w:rPr>
          <w:rFonts w:ascii="Arial" w:cs="Arial" w:eastAsia="Arial" w:hAnsi="Arial"/>
          <w:sz w:val="15"/>
          <w:szCs w:val="15"/>
          <w:color w:val="auto"/>
        </w:rPr>
      </w:pPr>
    </w:p>
    <w:p>
      <w:pPr>
        <w:ind w:left="802" w:hanging="398"/>
        <w:spacing w:after="0"/>
        <w:tabs>
          <w:tab w:leader="none" w:pos="802" w:val="left"/>
        </w:tabs>
        <w:numPr>
          <w:ilvl w:val="0"/>
          <w:numId w:val="87"/>
        </w:numPr>
        <w:rPr>
          <w:rFonts w:ascii="Arial" w:cs="Arial" w:eastAsia="Arial" w:hAnsi="Arial"/>
          <w:sz w:val="15"/>
          <w:szCs w:val="15"/>
          <w:color w:val="auto"/>
        </w:rPr>
      </w:pPr>
      <w:r>
        <w:rPr>
          <w:rFonts w:ascii="Arial" w:cs="Arial" w:eastAsia="Arial" w:hAnsi="Arial"/>
          <w:sz w:val="16"/>
          <w:szCs w:val="16"/>
          <w:color w:val="auto"/>
        </w:rPr>
        <w:t>our shareholders approve a complete liquidation or dissolution of our Company.</w:t>
      </w:r>
    </w:p>
    <w:p>
      <w:pPr>
        <w:spacing w:after="0" w:line="98" w:lineRule="exact"/>
        <w:rPr>
          <w:sz w:val="20"/>
          <w:szCs w:val="20"/>
          <w:color w:val="auto"/>
        </w:rPr>
      </w:pPr>
    </w:p>
    <w:p>
      <w:pPr>
        <w:jc w:val="both"/>
        <w:ind w:left="2" w:right="160" w:firstLine="408"/>
        <w:spacing w:after="0" w:line="247" w:lineRule="auto"/>
        <w:rPr>
          <w:sz w:val="20"/>
          <w:szCs w:val="20"/>
          <w:color w:val="auto"/>
        </w:rPr>
      </w:pPr>
      <w:r>
        <w:rPr>
          <w:rFonts w:ascii="Arial" w:cs="Arial" w:eastAsia="Arial" w:hAnsi="Arial"/>
          <w:sz w:val="16"/>
          <w:szCs w:val="16"/>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61" w:lineRule="exact"/>
        <w:rPr>
          <w:sz w:val="20"/>
          <w:szCs w:val="20"/>
          <w:color w:val="auto"/>
        </w:rPr>
      </w:pPr>
    </w:p>
    <w:p>
      <w:pPr>
        <w:ind w:left="2" w:firstLine="408"/>
        <w:spacing w:after="0" w:line="250" w:lineRule="auto"/>
        <w:rPr>
          <w:sz w:val="20"/>
          <w:szCs w:val="20"/>
          <w:color w:val="auto"/>
        </w:rPr>
      </w:pPr>
      <w:r>
        <w:rPr>
          <w:rFonts w:ascii="Arial" w:cs="Arial" w:eastAsia="Arial" w:hAnsi="Arial"/>
          <w:sz w:val="16"/>
          <w:szCs w:val="16"/>
          <w:b w:val="1"/>
          <w:bCs w:val="1"/>
          <w:color w:val="auto"/>
        </w:rPr>
        <w:t xml:space="preserve">Potential Payments Upon Termination or Change In Control. </w:t>
      </w:r>
      <w:r>
        <w:rPr>
          <w:rFonts w:ascii="Arial" w:cs="Arial" w:eastAsia="Arial" w:hAnsi="Arial"/>
          <w:sz w:val="16"/>
          <w:szCs w:val="16"/>
          <w:color w:val="auto"/>
        </w:rPr>
        <w:t>The following table quantifies the payments and benefits for which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or time of payment is altered by each of the foregoing termination of employment or change in control situations. For purposes of quantifying payments and benefits, amounts are calculated (i) for each named executive officer as if the termination or change in control occurred on October 31, 2018, the last business day of our 2018 fiscal year; and (ii) using a per share value of $56.33, which represents the closing price of our common stock, as reported on the NYSE, on October 31, 2018. Material assumptions used in calculating the estimated payments and benefits are described in footnotes to the table.</w:t>
      </w:r>
    </w:p>
    <w:p>
      <w:pPr>
        <w:spacing w:after="0" w:line="80"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800" w:type="dxa"/>
            <w:vAlign w:val="bottom"/>
            <w:shd w:val="clear" w:color="auto" w:fill="C00000"/>
          </w:tcPr>
          <w:p>
            <w:pPr>
              <w:spacing w:after="0"/>
              <w:rPr>
                <w:sz w:val="17"/>
                <w:szCs w:val="17"/>
                <w:color w:val="auto"/>
              </w:rPr>
            </w:pPr>
          </w:p>
        </w:tc>
        <w:tc>
          <w:tcPr>
            <w:tcW w:w="120" w:type="dxa"/>
            <w:vAlign w:val="bottom"/>
            <w:shd w:val="clear" w:color="auto" w:fill="C00000"/>
          </w:tcPr>
          <w:p>
            <w:pPr>
              <w:spacing w:after="0"/>
              <w:rPr>
                <w:sz w:val="17"/>
                <w:szCs w:val="17"/>
                <w:color w:val="auto"/>
              </w:rPr>
            </w:pPr>
          </w:p>
        </w:tc>
        <w:tc>
          <w:tcPr>
            <w:tcW w:w="80" w:type="dxa"/>
            <w:vAlign w:val="bottom"/>
            <w:shd w:val="clear" w:color="auto" w:fill="C00000"/>
          </w:tcPr>
          <w:p>
            <w:pPr>
              <w:spacing w:after="0"/>
              <w:rPr>
                <w:sz w:val="17"/>
                <w:szCs w:val="17"/>
                <w:color w:val="auto"/>
              </w:rPr>
            </w:pPr>
          </w:p>
        </w:tc>
        <w:tc>
          <w:tcPr>
            <w:tcW w:w="820" w:type="dxa"/>
            <w:vAlign w:val="bottom"/>
            <w:shd w:val="clear" w:color="auto" w:fill="C00000"/>
          </w:tcPr>
          <w:p>
            <w:pPr>
              <w:spacing w:after="0"/>
              <w:rPr>
                <w:sz w:val="17"/>
                <w:szCs w:val="17"/>
                <w:color w:val="auto"/>
              </w:rPr>
            </w:pPr>
          </w:p>
        </w:tc>
        <w:tc>
          <w:tcPr>
            <w:tcW w:w="160" w:type="dxa"/>
            <w:vAlign w:val="bottom"/>
            <w:shd w:val="clear" w:color="auto" w:fill="C00000"/>
          </w:tcPr>
          <w:p>
            <w:pPr>
              <w:spacing w:after="0"/>
              <w:rPr>
                <w:sz w:val="17"/>
                <w:szCs w:val="17"/>
                <w:color w:val="auto"/>
              </w:rPr>
            </w:pPr>
          </w:p>
        </w:tc>
        <w:tc>
          <w:tcPr>
            <w:tcW w:w="120" w:type="dxa"/>
            <w:vAlign w:val="bottom"/>
            <w:shd w:val="clear" w:color="auto" w:fill="C00000"/>
          </w:tcPr>
          <w:p>
            <w:pPr>
              <w:spacing w:after="0"/>
              <w:rPr>
                <w:sz w:val="17"/>
                <w:szCs w:val="17"/>
                <w:color w:val="auto"/>
              </w:rPr>
            </w:pPr>
          </w:p>
        </w:tc>
        <w:tc>
          <w:tcPr>
            <w:tcW w:w="100" w:type="dxa"/>
            <w:vAlign w:val="bottom"/>
            <w:shd w:val="clear" w:color="auto" w:fill="C00000"/>
          </w:tcPr>
          <w:p>
            <w:pPr>
              <w:spacing w:after="0"/>
              <w:rPr>
                <w:sz w:val="17"/>
                <w:szCs w:val="17"/>
                <w:color w:val="auto"/>
              </w:rPr>
            </w:pPr>
          </w:p>
        </w:tc>
        <w:tc>
          <w:tcPr>
            <w:tcW w:w="820" w:type="dxa"/>
            <w:vAlign w:val="bottom"/>
            <w:shd w:val="clear" w:color="auto" w:fill="C00000"/>
          </w:tcPr>
          <w:p>
            <w:pPr>
              <w:spacing w:after="0"/>
              <w:rPr>
                <w:sz w:val="17"/>
                <w:szCs w:val="17"/>
                <w:color w:val="auto"/>
              </w:rPr>
            </w:pPr>
          </w:p>
        </w:tc>
        <w:tc>
          <w:tcPr>
            <w:tcW w:w="260" w:type="dxa"/>
            <w:vAlign w:val="bottom"/>
            <w:shd w:val="clear" w:color="auto" w:fill="C00000"/>
          </w:tcPr>
          <w:p>
            <w:pPr>
              <w:spacing w:after="0"/>
              <w:rPr>
                <w:sz w:val="17"/>
                <w:szCs w:val="17"/>
                <w:color w:val="auto"/>
              </w:rPr>
            </w:pPr>
          </w:p>
        </w:tc>
        <w:tc>
          <w:tcPr>
            <w:tcW w:w="220" w:type="dxa"/>
            <w:vAlign w:val="bottom"/>
            <w:shd w:val="clear" w:color="auto" w:fill="C00000"/>
          </w:tcPr>
          <w:p>
            <w:pPr>
              <w:spacing w:after="0"/>
              <w:rPr>
                <w:sz w:val="17"/>
                <w:szCs w:val="17"/>
                <w:color w:val="auto"/>
              </w:rPr>
            </w:pPr>
          </w:p>
        </w:tc>
        <w:tc>
          <w:tcPr>
            <w:tcW w:w="600" w:type="dxa"/>
            <w:vAlign w:val="bottom"/>
            <w:shd w:val="clear" w:color="auto" w:fill="C00000"/>
          </w:tcPr>
          <w:p>
            <w:pPr>
              <w:spacing w:after="0"/>
              <w:rPr>
                <w:sz w:val="17"/>
                <w:szCs w:val="17"/>
                <w:color w:val="auto"/>
              </w:rPr>
            </w:pPr>
          </w:p>
        </w:tc>
        <w:tc>
          <w:tcPr>
            <w:tcW w:w="560" w:type="dxa"/>
            <w:vAlign w:val="bottom"/>
            <w:shd w:val="clear" w:color="auto" w:fill="C00000"/>
          </w:tcPr>
          <w:p>
            <w:pPr>
              <w:spacing w:after="0"/>
              <w:rPr>
                <w:sz w:val="17"/>
                <w:szCs w:val="17"/>
                <w:color w:val="auto"/>
              </w:rPr>
            </w:pPr>
          </w:p>
        </w:tc>
        <w:tc>
          <w:tcPr>
            <w:tcW w:w="600" w:type="dxa"/>
            <w:vAlign w:val="bottom"/>
            <w:shd w:val="clear" w:color="auto" w:fill="C00000"/>
          </w:tcPr>
          <w:p>
            <w:pPr>
              <w:spacing w:after="0"/>
              <w:rPr>
                <w:sz w:val="17"/>
                <w:szCs w:val="17"/>
                <w:color w:val="auto"/>
              </w:rPr>
            </w:pPr>
          </w:p>
        </w:tc>
        <w:tc>
          <w:tcPr>
            <w:tcW w:w="380" w:type="dxa"/>
            <w:vAlign w:val="bottom"/>
            <w:shd w:val="clear" w:color="auto" w:fill="C00000"/>
          </w:tcPr>
          <w:p>
            <w:pPr>
              <w:spacing w:after="0"/>
              <w:rPr>
                <w:sz w:val="17"/>
                <w:szCs w:val="17"/>
                <w:color w:val="auto"/>
              </w:rPr>
            </w:pPr>
          </w:p>
        </w:tc>
        <w:tc>
          <w:tcPr>
            <w:tcW w:w="80" w:type="dxa"/>
            <w:vAlign w:val="bottom"/>
            <w:shd w:val="clear" w:color="auto" w:fill="C00000"/>
          </w:tcPr>
          <w:p>
            <w:pPr>
              <w:spacing w:after="0"/>
              <w:rPr>
                <w:sz w:val="17"/>
                <w:szCs w:val="17"/>
                <w:color w:val="auto"/>
              </w:rPr>
            </w:pPr>
          </w:p>
        </w:tc>
        <w:tc>
          <w:tcPr>
            <w:tcW w:w="860" w:type="dxa"/>
            <w:vAlign w:val="bottom"/>
            <w:shd w:val="clear" w:color="auto" w:fill="C00000"/>
          </w:tcPr>
          <w:p>
            <w:pPr>
              <w:spacing w:after="0"/>
              <w:rPr>
                <w:sz w:val="17"/>
                <w:szCs w:val="17"/>
                <w:color w:val="auto"/>
              </w:rPr>
            </w:pPr>
          </w:p>
        </w:tc>
        <w:tc>
          <w:tcPr>
            <w:tcW w:w="1700" w:type="dxa"/>
            <w:vAlign w:val="bottom"/>
            <w:tcBorders>
              <w:right w:val="single" w:sz="8" w:color="C00000"/>
            </w:tcBorders>
            <w:gridSpan w:val="3"/>
            <w:shd w:val="clear" w:color="auto" w:fill="C00000"/>
          </w:tcPr>
          <w:p>
            <w:pPr>
              <w:spacing w:after="0"/>
              <w:rPr>
                <w:sz w:val="20"/>
                <w:szCs w:val="20"/>
                <w:color w:val="auto"/>
              </w:rPr>
            </w:pPr>
            <w:r>
              <w:rPr>
                <w:rFonts w:ascii="Arial" w:cs="Arial" w:eastAsia="Arial" w:hAnsi="Arial"/>
                <w:sz w:val="11"/>
                <w:szCs w:val="11"/>
                <w:color w:val="FFFFFF"/>
              </w:rPr>
              <w:t>Change in Control</w:t>
            </w:r>
          </w:p>
        </w:tc>
        <w:tc>
          <w:tcPr>
            <w:tcW w:w="140" w:type="dxa"/>
            <w:vAlign w:val="bottom"/>
            <w:shd w:val="clear" w:color="auto" w:fill="C00000"/>
          </w:tcPr>
          <w:p>
            <w:pPr>
              <w:spacing w:after="0"/>
              <w:rPr>
                <w:sz w:val="17"/>
                <w:szCs w:val="17"/>
                <w:color w:val="auto"/>
              </w:rPr>
            </w:pPr>
          </w:p>
        </w:tc>
      </w:tr>
      <w:tr>
        <w:trPr>
          <w:trHeight w:val="142"/>
        </w:trPr>
        <w:tc>
          <w:tcPr>
            <w:tcW w:w="380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80" w:type="dxa"/>
            <w:vAlign w:val="bottom"/>
            <w:shd w:val="clear" w:color="auto" w:fill="C00000"/>
          </w:tcPr>
          <w:p>
            <w:pPr>
              <w:spacing w:after="0"/>
              <w:rPr>
                <w:sz w:val="12"/>
                <w:szCs w:val="12"/>
                <w:color w:val="auto"/>
              </w:rPr>
            </w:pPr>
          </w:p>
        </w:tc>
        <w:tc>
          <w:tcPr>
            <w:tcW w:w="820" w:type="dxa"/>
            <w:vAlign w:val="bottom"/>
            <w:shd w:val="clear" w:color="auto" w:fill="C00000"/>
          </w:tcPr>
          <w:p>
            <w:pPr>
              <w:spacing w:after="0"/>
              <w:rPr>
                <w:sz w:val="12"/>
                <w:szCs w:val="12"/>
                <w:color w:val="auto"/>
              </w:rPr>
            </w:pPr>
          </w:p>
        </w:tc>
        <w:tc>
          <w:tcPr>
            <w:tcW w:w="16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0" w:type="dxa"/>
            <w:vAlign w:val="bottom"/>
            <w:shd w:val="clear" w:color="auto" w:fill="C00000"/>
          </w:tcPr>
          <w:p>
            <w:pPr>
              <w:spacing w:after="0"/>
              <w:rPr>
                <w:sz w:val="12"/>
                <w:szCs w:val="12"/>
                <w:color w:val="auto"/>
              </w:rPr>
            </w:pPr>
          </w:p>
        </w:tc>
        <w:tc>
          <w:tcPr>
            <w:tcW w:w="820" w:type="dxa"/>
            <w:vAlign w:val="bottom"/>
            <w:shd w:val="clear" w:color="auto" w:fill="C00000"/>
          </w:tcPr>
          <w:p>
            <w:pPr>
              <w:spacing w:after="0"/>
              <w:rPr>
                <w:sz w:val="12"/>
                <w:szCs w:val="12"/>
                <w:color w:val="auto"/>
              </w:rPr>
            </w:pPr>
          </w:p>
        </w:tc>
        <w:tc>
          <w:tcPr>
            <w:tcW w:w="260" w:type="dxa"/>
            <w:vAlign w:val="bottom"/>
            <w:shd w:val="clear" w:color="auto" w:fill="C00000"/>
          </w:tcPr>
          <w:p>
            <w:pPr>
              <w:spacing w:after="0"/>
              <w:rPr>
                <w:sz w:val="12"/>
                <w:szCs w:val="12"/>
                <w:color w:val="auto"/>
              </w:rPr>
            </w:pPr>
          </w:p>
        </w:tc>
        <w:tc>
          <w:tcPr>
            <w:tcW w:w="220" w:type="dxa"/>
            <w:vAlign w:val="bottom"/>
            <w:shd w:val="clear" w:color="auto" w:fill="C00000"/>
          </w:tcPr>
          <w:p>
            <w:pPr>
              <w:spacing w:after="0"/>
              <w:rPr>
                <w:sz w:val="12"/>
                <w:szCs w:val="12"/>
                <w:color w:val="auto"/>
              </w:rPr>
            </w:pPr>
          </w:p>
        </w:tc>
        <w:tc>
          <w:tcPr>
            <w:tcW w:w="600" w:type="dxa"/>
            <w:vAlign w:val="bottom"/>
            <w:shd w:val="clear" w:color="auto" w:fill="C00000"/>
          </w:tcPr>
          <w:p>
            <w:pPr>
              <w:spacing w:after="0"/>
              <w:rPr>
                <w:sz w:val="12"/>
                <w:szCs w:val="12"/>
                <w:color w:val="auto"/>
              </w:rPr>
            </w:pPr>
          </w:p>
        </w:tc>
        <w:tc>
          <w:tcPr>
            <w:tcW w:w="560" w:type="dxa"/>
            <w:vAlign w:val="bottom"/>
            <w:shd w:val="clear" w:color="auto" w:fill="C00000"/>
          </w:tcPr>
          <w:p>
            <w:pPr>
              <w:spacing w:after="0"/>
              <w:rPr>
                <w:sz w:val="12"/>
                <w:szCs w:val="12"/>
                <w:color w:val="auto"/>
              </w:rPr>
            </w:pPr>
          </w:p>
        </w:tc>
        <w:tc>
          <w:tcPr>
            <w:tcW w:w="600" w:type="dxa"/>
            <w:vAlign w:val="bottom"/>
            <w:shd w:val="clear" w:color="auto" w:fill="C00000"/>
          </w:tcPr>
          <w:p>
            <w:pPr>
              <w:spacing w:after="0"/>
              <w:rPr>
                <w:sz w:val="12"/>
                <w:szCs w:val="12"/>
                <w:color w:val="auto"/>
              </w:rPr>
            </w:pPr>
          </w:p>
        </w:tc>
        <w:tc>
          <w:tcPr>
            <w:tcW w:w="380" w:type="dxa"/>
            <w:vAlign w:val="bottom"/>
            <w:shd w:val="clear" w:color="auto" w:fill="C00000"/>
          </w:tcPr>
          <w:p>
            <w:pPr>
              <w:spacing w:after="0"/>
              <w:rPr>
                <w:sz w:val="12"/>
                <w:szCs w:val="12"/>
                <w:color w:val="auto"/>
              </w:rPr>
            </w:pPr>
          </w:p>
        </w:tc>
        <w:tc>
          <w:tcPr>
            <w:tcW w:w="80" w:type="dxa"/>
            <w:vAlign w:val="bottom"/>
            <w:shd w:val="clear" w:color="auto" w:fill="C00000"/>
          </w:tcPr>
          <w:p>
            <w:pPr>
              <w:spacing w:after="0"/>
              <w:rPr>
                <w:sz w:val="12"/>
                <w:szCs w:val="12"/>
                <w:color w:val="auto"/>
              </w:rPr>
            </w:pPr>
          </w:p>
        </w:tc>
        <w:tc>
          <w:tcPr>
            <w:tcW w:w="860" w:type="dxa"/>
            <w:vAlign w:val="bottom"/>
            <w:shd w:val="clear" w:color="auto" w:fill="C00000"/>
          </w:tcPr>
          <w:p>
            <w:pPr>
              <w:spacing w:after="0"/>
              <w:rPr>
                <w:sz w:val="12"/>
                <w:szCs w:val="12"/>
                <w:color w:val="auto"/>
              </w:rPr>
            </w:pPr>
          </w:p>
        </w:tc>
        <w:tc>
          <w:tcPr>
            <w:tcW w:w="420" w:type="dxa"/>
            <w:vAlign w:val="bottom"/>
            <w:shd w:val="clear" w:color="auto" w:fill="C00000"/>
          </w:tcPr>
          <w:p>
            <w:pPr>
              <w:spacing w:after="0"/>
              <w:rPr>
                <w:sz w:val="12"/>
                <w:szCs w:val="12"/>
                <w:color w:val="auto"/>
              </w:rPr>
            </w:pPr>
          </w:p>
        </w:tc>
        <w:tc>
          <w:tcPr>
            <w:tcW w:w="80" w:type="dxa"/>
            <w:vAlign w:val="bottom"/>
            <w:shd w:val="clear" w:color="auto" w:fill="C00000"/>
          </w:tcPr>
          <w:p>
            <w:pPr>
              <w:spacing w:after="0"/>
              <w:rPr>
                <w:sz w:val="12"/>
                <w:szCs w:val="12"/>
                <w:color w:val="auto"/>
              </w:rPr>
            </w:pPr>
          </w:p>
        </w:tc>
        <w:tc>
          <w:tcPr>
            <w:tcW w:w="1200" w:type="dxa"/>
            <w:vAlign w:val="bottom"/>
            <w:tcBorders>
              <w:right w:val="single" w:sz="8" w:color="C00000"/>
            </w:tcBorders>
            <w:shd w:val="clear" w:color="auto" w:fill="C00000"/>
          </w:tcPr>
          <w:p>
            <w:pPr>
              <w:jc w:val="center"/>
              <w:ind w:right="56"/>
              <w:spacing w:after="0"/>
              <w:rPr>
                <w:sz w:val="20"/>
                <w:szCs w:val="20"/>
                <w:color w:val="auto"/>
              </w:rPr>
            </w:pPr>
            <w:r>
              <w:rPr>
                <w:rFonts w:ascii="Arial" w:cs="Arial" w:eastAsia="Arial" w:hAnsi="Arial"/>
                <w:sz w:val="11"/>
                <w:szCs w:val="11"/>
                <w:color w:val="FFFFFF"/>
              </w:rPr>
              <w:t>Termination Without</w:t>
            </w:r>
          </w:p>
        </w:tc>
        <w:tc>
          <w:tcPr>
            <w:tcW w:w="140" w:type="dxa"/>
            <w:vAlign w:val="bottom"/>
            <w:shd w:val="clear" w:color="auto" w:fill="C00000"/>
          </w:tcPr>
          <w:p>
            <w:pPr>
              <w:spacing w:after="0"/>
              <w:rPr>
                <w:sz w:val="12"/>
                <w:szCs w:val="12"/>
                <w:color w:val="auto"/>
              </w:rPr>
            </w:pPr>
          </w:p>
        </w:tc>
      </w:tr>
      <w:tr>
        <w:trPr>
          <w:trHeight w:val="123"/>
        </w:trPr>
        <w:tc>
          <w:tcPr>
            <w:tcW w:w="380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820" w:type="dxa"/>
            <w:vAlign w:val="bottom"/>
            <w:shd w:val="clear" w:color="auto" w:fill="C00000"/>
          </w:tcPr>
          <w:p>
            <w:pPr>
              <w:jc w:val="center"/>
              <w:ind w:right="36"/>
              <w:spacing w:after="0" w:line="123" w:lineRule="exact"/>
              <w:rPr>
                <w:sz w:val="20"/>
                <w:szCs w:val="20"/>
                <w:color w:val="auto"/>
              </w:rPr>
            </w:pPr>
            <w:r>
              <w:rPr>
                <w:rFonts w:ascii="Arial" w:cs="Arial" w:eastAsia="Arial" w:hAnsi="Arial"/>
                <w:sz w:val="11"/>
                <w:szCs w:val="11"/>
                <w:color w:val="FFFFFF"/>
              </w:rPr>
              <w:t>Voluntary</w:t>
            </w:r>
          </w:p>
        </w:tc>
        <w:tc>
          <w:tcPr>
            <w:tcW w:w="16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820" w:type="dxa"/>
            <w:vAlign w:val="bottom"/>
            <w:shd w:val="clear" w:color="auto" w:fill="C00000"/>
          </w:tcPr>
          <w:p>
            <w:pPr>
              <w:spacing w:after="0"/>
              <w:rPr>
                <w:sz w:val="10"/>
                <w:szCs w:val="10"/>
                <w:color w:val="auto"/>
              </w:rPr>
            </w:pPr>
          </w:p>
        </w:tc>
        <w:tc>
          <w:tcPr>
            <w:tcW w:w="260" w:type="dxa"/>
            <w:vAlign w:val="bottom"/>
            <w:shd w:val="clear" w:color="auto" w:fill="C00000"/>
          </w:tcPr>
          <w:p>
            <w:pPr>
              <w:spacing w:after="0"/>
              <w:rPr>
                <w:sz w:val="10"/>
                <w:szCs w:val="10"/>
                <w:color w:val="auto"/>
              </w:rPr>
            </w:pPr>
          </w:p>
        </w:tc>
        <w:tc>
          <w:tcPr>
            <w:tcW w:w="220" w:type="dxa"/>
            <w:vAlign w:val="bottom"/>
            <w:shd w:val="clear" w:color="auto" w:fill="C00000"/>
          </w:tcPr>
          <w:p>
            <w:pPr>
              <w:spacing w:after="0"/>
              <w:rPr>
                <w:sz w:val="10"/>
                <w:szCs w:val="10"/>
                <w:color w:val="auto"/>
              </w:rPr>
            </w:pPr>
          </w:p>
        </w:tc>
        <w:tc>
          <w:tcPr>
            <w:tcW w:w="1160" w:type="dxa"/>
            <w:vAlign w:val="bottom"/>
            <w:gridSpan w:val="2"/>
            <w:shd w:val="clear" w:color="auto" w:fill="C00000"/>
          </w:tcPr>
          <w:p>
            <w:pPr>
              <w:jc w:val="center"/>
              <w:ind w:right="600"/>
              <w:spacing w:after="0" w:line="123" w:lineRule="exact"/>
              <w:rPr>
                <w:sz w:val="20"/>
                <w:szCs w:val="20"/>
                <w:color w:val="auto"/>
              </w:rPr>
            </w:pPr>
            <w:r>
              <w:rPr>
                <w:rFonts w:ascii="Arial" w:cs="Arial" w:eastAsia="Arial" w:hAnsi="Arial"/>
                <w:sz w:val="11"/>
                <w:szCs w:val="11"/>
                <w:color w:val="FFFFFF"/>
              </w:rPr>
              <w:t>Involuntary</w:t>
            </w:r>
          </w:p>
        </w:tc>
        <w:tc>
          <w:tcPr>
            <w:tcW w:w="980" w:type="dxa"/>
            <w:vAlign w:val="bottom"/>
            <w:gridSpan w:val="2"/>
            <w:shd w:val="clear" w:color="auto" w:fill="C00000"/>
          </w:tcPr>
          <w:p>
            <w:pPr>
              <w:jc w:val="center"/>
              <w:ind w:right="380"/>
              <w:spacing w:after="0" w:line="123" w:lineRule="exact"/>
              <w:rPr>
                <w:sz w:val="20"/>
                <w:szCs w:val="20"/>
                <w:color w:val="auto"/>
              </w:rPr>
            </w:pPr>
            <w:r>
              <w:rPr>
                <w:rFonts w:ascii="Arial" w:cs="Arial" w:eastAsia="Arial" w:hAnsi="Arial"/>
                <w:sz w:val="11"/>
                <w:szCs w:val="11"/>
                <w:color w:val="FFFFFF"/>
              </w:rPr>
              <w:t>Termination</w:t>
            </w:r>
          </w:p>
        </w:tc>
        <w:tc>
          <w:tcPr>
            <w:tcW w:w="80" w:type="dxa"/>
            <w:vAlign w:val="bottom"/>
            <w:shd w:val="clear" w:color="auto" w:fill="C00000"/>
          </w:tcPr>
          <w:p>
            <w:pPr>
              <w:spacing w:after="0"/>
              <w:rPr>
                <w:sz w:val="10"/>
                <w:szCs w:val="10"/>
                <w:color w:val="auto"/>
              </w:rPr>
            </w:pPr>
          </w:p>
        </w:tc>
        <w:tc>
          <w:tcPr>
            <w:tcW w:w="860" w:type="dxa"/>
            <w:vAlign w:val="bottom"/>
            <w:shd w:val="clear" w:color="auto" w:fill="C00000"/>
          </w:tcPr>
          <w:p>
            <w:pPr>
              <w:spacing w:after="0"/>
              <w:rPr>
                <w:sz w:val="10"/>
                <w:szCs w:val="10"/>
                <w:color w:val="auto"/>
              </w:rPr>
            </w:pPr>
          </w:p>
        </w:tc>
        <w:tc>
          <w:tcPr>
            <w:tcW w:w="42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1200" w:type="dxa"/>
            <w:vAlign w:val="bottom"/>
            <w:tcBorders>
              <w:right w:val="single" w:sz="8" w:color="C00000"/>
            </w:tcBorders>
            <w:shd w:val="clear" w:color="auto" w:fill="C00000"/>
          </w:tcPr>
          <w:p>
            <w:pPr>
              <w:jc w:val="center"/>
              <w:ind w:right="36"/>
              <w:spacing w:after="0" w:line="123" w:lineRule="exact"/>
              <w:rPr>
                <w:sz w:val="20"/>
                <w:szCs w:val="20"/>
                <w:color w:val="auto"/>
              </w:rPr>
            </w:pPr>
            <w:r>
              <w:rPr>
                <w:rFonts w:ascii="Arial" w:cs="Arial" w:eastAsia="Arial" w:hAnsi="Arial"/>
                <w:sz w:val="11"/>
                <w:szCs w:val="11"/>
                <w:color w:val="FFFFFF"/>
              </w:rPr>
              <w:t>Cause by Toro or by</w:t>
            </w:r>
          </w:p>
        </w:tc>
        <w:tc>
          <w:tcPr>
            <w:tcW w:w="140" w:type="dxa"/>
            <w:vAlign w:val="bottom"/>
            <w:shd w:val="clear" w:color="auto" w:fill="C00000"/>
          </w:tcPr>
          <w:p>
            <w:pPr>
              <w:spacing w:after="0"/>
              <w:rPr>
                <w:sz w:val="10"/>
                <w:szCs w:val="10"/>
                <w:color w:val="auto"/>
              </w:rPr>
            </w:pPr>
          </w:p>
        </w:tc>
      </w:tr>
      <w:tr>
        <w:trPr>
          <w:trHeight w:val="123"/>
        </w:trPr>
        <w:tc>
          <w:tcPr>
            <w:tcW w:w="380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820" w:type="dxa"/>
            <w:vAlign w:val="bottom"/>
            <w:shd w:val="clear" w:color="auto" w:fill="C00000"/>
          </w:tcPr>
          <w:p>
            <w:pPr>
              <w:jc w:val="center"/>
              <w:ind w:right="36"/>
              <w:spacing w:after="0" w:line="123" w:lineRule="exact"/>
              <w:rPr>
                <w:sz w:val="20"/>
                <w:szCs w:val="20"/>
                <w:color w:val="auto"/>
              </w:rPr>
            </w:pPr>
            <w:r>
              <w:rPr>
                <w:rFonts w:ascii="Arial" w:cs="Arial" w:eastAsia="Arial" w:hAnsi="Arial"/>
                <w:sz w:val="11"/>
                <w:szCs w:val="11"/>
                <w:color w:val="FFFFFF"/>
              </w:rPr>
              <w:t>Resignation/</w:t>
            </w:r>
          </w:p>
        </w:tc>
        <w:tc>
          <w:tcPr>
            <w:tcW w:w="16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820" w:type="dxa"/>
            <w:vAlign w:val="bottom"/>
            <w:shd w:val="clear" w:color="auto" w:fill="C00000"/>
          </w:tcPr>
          <w:p>
            <w:pPr>
              <w:jc w:val="center"/>
              <w:ind w:right="35"/>
              <w:spacing w:after="0" w:line="123" w:lineRule="exact"/>
              <w:rPr>
                <w:sz w:val="20"/>
                <w:szCs w:val="20"/>
                <w:color w:val="auto"/>
              </w:rPr>
            </w:pPr>
            <w:r>
              <w:rPr>
                <w:rFonts w:ascii="Arial" w:cs="Arial" w:eastAsia="Arial" w:hAnsi="Arial"/>
                <w:sz w:val="11"/>
                <w:szCs w:val="11"/>
                <w:color w:val="FFFFFF"/>
              </w:rPr>
              <w:t>Disability or</w:t>
            </w:r>
          </w:p>
        </w:tc>
        <w:tc>
          <w:tcPr>
            <w:tcW w:w="260" w:type="dxa"/>
            <w:vAlign w:val="bottom"/>
            <w:shd w:val="clear" w:color="auto" w:fill="C00000"/>
          </w:tcPr>
          <w:p>
            <w:pPr>
              <w:spacing w:after="0"/>
              <w:rPr>
                <w:sz w:val="10"/>
                <w:szCs w:val="10"/>
                <w:color w:val="auto"/>
              </w:rPr>
            </w:pPr>
          </w:p>
        </w:tc>
        <w:tc>
          <w:tcPr>
            <w:tcW w:w="1380" w:type="dxa"/>
            <w:vAlign w:val="bottom"/>
            <w:gridSpan w:val="3"/>
            <w:shd w:val="clear" w:color="auto" w:fill="C00000"/>
          </w:tcPr>
          <w:p>
            <w:pPr>
              <w:jc w:val="center"/>
              <w:ind w:right="400"/>
              <w:spacing w:after="0" w:line="123" w:lineRule="exact"/>
              <w:rPr>
                <w:sz w:val="20"/>
                <w:szCs w:val="20"/>
                <w:color w:val="auto"/>
              </w:rPr>
            </w:pPr>
            <w:r>
              <w:rPr>
                <w:rFonts w:ascii="Arial" w:cs="Arial" w:eastAsia="Arial" w:hAnsi="Arial"/>
                <w:sz w:val="11"/>
                <w:szCs w:val="11"/>
                <w:color w:val="FFFFFF"/>
              </w:rPr>
              <w:t>Termination by</w:t>
            </w:r>
          </w:p>
        </w:tc>
        <w:tc>
          <w:tcPr>
            <w:tcW w:w="980" w:type="dxa"/>
            <w:vAlign w:val="bottom"/>
            <w:gridSpan w:val="2"/>
            <w:shd w:val="clear" w:color="auto" w:fill="C00000"/>
          </w:tcPr>
          <w:p>
            <w:pPr>
              <w:jc w:val="center"/>
              <w:ind w:right="360"/>
              <w:spacing w:after="0" w:line="123" w:lineRule="exact"/>
              <w:rPr>
                <w:sz w:val="20"/>
                <w:szCs w:val="20"/>
                <w:color w:val="auto"/>
              </w:rPr>
            </w:pPr>
            <w:r>
              <w:rPr>
                <w:rFonts w:ascii="Arial" w:cs="Arial" w:eastAsia="Arial" w:hAnsi="Arial"/>
                <w:sz w:val="11"/>
                <w:szCs w:val="11"/>
                <w:color w:val="FFFFFF"/>
              </w:rPr>
              <w:t>by Toro for</w:t>
            </w:r>
          </w:p>
        </w:tc>
        <w:tc>
          <w:tcPr>
            <w:tcW w:w="80" w:type="dxa"/>
            <w:vAlign w:val="bottom"/>
            <w:shd w:val="clear" w:color="auto" w:fill="C00000"/>
          </w:tcPr>
          <w:p>
            <w:pPr>
              <w:spacing w:after="0"/>
              <w:rPr>
                <w:sz w:val="10"/>
                <w:szCs w:val="10"/>
                <w:color w:val="auto"/>
              </w:rPr>
            </w:pPr>
          </w:p>
        </w:tc>
        <w:tc>
          <w:tcPr>
            <w:tcW w:w="860" w:type="dxa"/>
            <w:vAlign w:val="bottom"/>
            <w:shd w:val="clear" w:color="auto" w:fill="C00000"/>
          </w:tcPr>
          <w:p>
            <w:pPr>
              <w:jc w:val="center"/>
              <w:ind w:right="15"/>
              <w:spacing w:after="0" w:line="123" w:lineRule="exact"/>
              <w:rPr>
                <w:sz w:val="20"/>
                <w:szCs w:val="20"/>
                <w:color w:val="auto"/>
              </w:rPr>
            </w:pPr>
            <w:r>
              <w:rPr>
                <w:rFonts w:ascii="Arial" w:cs="Arial" w:eastAsia="Arial" w:hAnsi="Arial"/>
                <w:sz w:val="11"/>
                <w:szCs w:val="11"/>
                <w:color w:val="FFFFFF"/>
              </w:rPr>
              <w:t>No Termination</w:t>
            </w:r>
          </w:p>
        </w:tc>
        <w:tc>
          <w:tcPr>
            <w:tcW w:w="42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1200" w:type="dxa"/>
            <w:vAlign w:val="bottom"/>
            <w:tcBorders>
              <w:right w:val="single" w:sz="8" w:color="C00000"/>
            </w:tcBorders>
            <w:shd w:val="clear" w:color="auto" w:fill="C00000"/>
          </w:tcPr>
          <w:p>
            <w:pPr>
              <w:jc w:val="center"/>
              <w:ind w:right="56"/>
              <w:spacing w:after="0" w:line="123" w:lineRule="exact"/>
              <w:rPr>
                <w:sz w:val="20"/>
                <w:szCs w:val="20"/>
                <w:color w:val="auto"/>
              </w:rPr>
            </w:pPr>
            <w:r>
              <w:rPr>
                <w:rFonts w:ascii="Arial" w:cs="Arial" w:eastAsia="Arial" w:hAnsi="Arial"/>
                <w:sz w:val="11"/>
                <w:szCs w:val="11"/>
                <w:color w:val="FFFFFF"/>
              </w:rPr>
              <w:t>Executive for Good</w:t>
            </w:r>
          </w:p>
        </w:tc>
        <w:tc>
          <w:tcPr>
            <w:tcW w:w="140" w:type="dxa"/>
            <w:vAlign w:val="bottom"/>
            <w:shd w:val="clear" w:color="auto" w:fill="C00000"/>
          </w:tcPr>
          <w:p>
            <w:pPr>
              <w:spacing w:after="0"/>
              <w:rPr>
                <w:sz w:val="10"/>
                <w:szCs w:val="10"/>
                <w:color w:val="auto"/>
              </w:rPr>
            </w:pPr>
          </w:p>
        </w:tc>
      </w:tr>
      <w:tr>
        <w:trPr>
          <w:trHeight w:val="123"/>
        </w:trPr>
        <w:tc>
          <w:tcPr>
            <w:tcW w:w="380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820" w:type="dxa"/>
            <w:vAlign w:val="bottom"/>
            <w:shd w:val="clear" w:color="auto" w:fill="C00000"/>
          </w:tcPr>
          <w:p>
            <w:pPr>
              <w:jc w:val="center"/>
              <w:ind w:right="36"/>
              <w:spacing w:after="0" w:line="123" w:lineRule="exact"/>
              <w:rPr>
                <w:sz w:val="20"/>
                <w:szCs w:val="20"/>
                <w:color w:val="auto"/>
              </w:rPr>
            </w:pPr>
            <w:r>
              <w:rPr>
                <w:rFonts w:ascii="Arial" w:cs="Arial" w:eastAsia="Arial" w:hAnsi="Arial"/>
                <w:sz w:val="11"/>
                <w:szCs w:val="11"/>
                <w:color w:val="FFFFFF"/>
              </w:rPr>
              <w:t>Retirement</w:t>
            </w:r>
            <w:r>
              <w:rPr>
                <w:rFonts w:ascii="Arial" w:cs="Arial" w:eastAsia="Arial" w:hAnsi="Arial"/>
                <w:sz w:val="9"/>
                <w:szCs w:val="9"/>
                <w:color w:val="FFFFFF"/>
              </w:rPr>
              <w:t>(1)</w:t>
            </w:r>
          </w:p>
        </w:tc>
        <w:tc>
          <w:tcPr>
            <w:tcW w:w="16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100" w:type="dxa"/>
            <w:vAlign w:val="bottom"/>
            <w:shd w:val="clear" w:color="auto" w:fill="C00000"/>
          </w:tcPr>
          <w:p>
            <w:pPr>
              <w:spacing w:after="0"/>
              <w:rPr>
                <w:sz w:val="10"/>
                <w:szCs w:val="10"/>
                <w:color w:val="auto"/>
              </w:rPr>
            </w:pPr>
          </w:p>
        </w:tc>
        <w:tc>
          <w:tcPr>
            <w:tcW w:w="820" w:type="dxa"/>
            <w:vAlign w:val="bottom"/>
            <w:shd w:val="clear" w:color="auto" w:fill="C00000"/>
          </w:tcPr>
          <w:p>
            <w:pPr>
              <w:jc w:val="center"/>
              <w:ind w:right="55"/>
              <w:spacing w:after="0" w:line="123" w:lineRule="exact"/>
              <w:rPr>
                <w:sz w:val="20"/>
                <w:szCs w:val="20"/>
                <w:color w:val="auto"/>
              </w:rPr>
            </w:pPr>
            <w:r>
              <w:rPr>
                <w:rFonts w:ascii="Arial" w:cs="Arial" w:eastAsia="Arial" w:hAnsi="Arial"/>
                <w:sz w:val="11"/>
                <w:szCs w:val="11"/>
                <w:color w:val="FFFFFF"/>
              </w:rPr>
              <w:t>Death</w:t>
            </w:r>
          </w:p>
        </w:tc>
        <w:tc>
          <w:tcPr>
            <w:tcW w:w="260" w:type="dxa"/>
            <w:vAlign w:val="bottom"/>
            <w:shd w:val="clear" w:color="auto" w:fill="C00000"/>
          </w:tcPr>
          <w:p>
            <w:pPr>
              <w:spacing w:after="0"/>
              <w:rPr>
                <w:sz w:val="10"/>
                <w:szCs w:val="10"/>
                <w:color w:val="auto"/>
              </w:rPr>
            </w:pPr>
          </w:p>
        </w:tc>
        <w:tc>
          <w:tcPr>
            <w:tcW w:w="220" w:type="dxa"/>
            <w:vAlign w:val="bottom"/>
            <w:shd w:val="clear" w:color="auto" w:fill="C00000"/>
          </w:tcPr>
          <w:p>
            <w:pPr>
              <w:spacing w:after="0"/>
              <w:rPr>
                <w:sz w:val="10"/>
                <w:szCs w:val="10"/>
                <w:color w:val="auto"/>
              </w:rPr>
            </w:pPr>
          </w:p>
        </w:tc>
        <w:tc>
          <w:tcPr>
            <w:tcW w:w="1160" w:type="dxa"/>
            <w:vAlign w:val="bottom"/>
            <w:gridSpan w:val="2"/>
            <w:shd w:val="clear" w:color="auto" w:fill="C00000"/>
          </w:tcPr>
          <w:p>
            <w:pPr>
              <w:jc w:val="center"/>
              <w:ind w:right="620"/>
              <w:spacing w:after="0" w:line="123" w:lineRule="exact"/>
              <w:rPr>
                <w:sz w:val="20"/>
                <w:szCs w:val="20"/>
                <w:color w:val="auto"/>
              </w:rPr>
            </w:pPr>
            <w:r>
              <w:rPr>
                <w:rFonts w:ascii="Arial" w:cs="Arial" w:eastAsia="Arial" w:hAnsi="Arial"/>
                <w:sz w:val="11"/>
                <w:szCs w:val="11"/>
                <w:color w:val="FFFFFF"/>
                <w:w w:val="97"/>
              </w:rPr>
              <w:t>Toro</w:t>
            </w:r>
          </w:p>
        </w:tc>
        <w:tc>
          <w:tcPr>
            <w:tcW w:w="980" w:type="dxa"/>
            <w:vAlign w:val="bottom"/>
            <w:gridSpan w:val="2"/>
            <w:shd w:val="clear" w:color="auto" w:fill="C00000"/>
          </w:tcPr>
          <w:p>
            <w:pPr>
              <w:jc w:val="center"/>
              <w:ind w:right="380"/>
              <w:spacing w:after="0" w:line="123" w:lineRule="exact"/>
              <w:rPr>
                <w:sz w:val="20"/>
                <w:szCs w:val="20"/>
                <w:color w:val="auto"/>
              </w:rPr>
            </w:pPr>
            <w:r>
              <w:rPr>
                <w:rFonts w:ascii="Arial" w:cs="Arial" w:eastAsia="Arial" w:hAnsi="Arial"/>
                <w:sz w:val="11"/>
                <w:szCs w:val="11"/>
                <w:color w:val="FFFFFF"/>
              </w:rPr>
              <w:t>Cause</w:t>
            </w:r>
          </w:p>
        </w:tc>
        <w:tc>
          <w:tcPr>
            <w:tcW w:w="80" w:type="dxa"/>
            <w:vAlign w:val="bottom"/>
            <w:shd w:val="clear" w:color="auto" w:fill="C00000"/>
          </w:tcPr>
          <w:p>
            <w:pPr>
              <w:spacing w:after="0"/>
              <w:rPr>
                <w:sz w:val="10"/>
                <w:szCs w:val="10"/>
                <w:color w:val="auto"/>
              </w:rPr>
            </w:pPr>
          </w:p>
        </w:tc>
        <w:tc>
          <w:tcPr>
            <w:tcW w:w="860" w:type="dxa"/>
            <w:vAlign w:val="bottom"/>
            <w:shd w:val="clear" w:color="auto" w:fill="C00000"/>
          </w:tcPr>
          <w:p>
            <w:pPr>
              <w:jc w:val="center"/>
              <w:ind w:right="15"/>
              <w:spacing w:after="0" w:line="123" w:lineRule="exact"/>
              <w:rPr>
                <w:sz w:val="20"/>
                <w:szCs w:val="20"/>
                <w:color w:val="auto"/>
              </w:rPr>
            </w:pPr>
            <w:r>
              <w:rPr>
                <w:rFonts w:ascii="Arial" w:cs="Arial" w:eastAsia="Arial" w:hAnsi="Arial"/>
                <w:sz w:val="11"/>
                <w:szCs w:val="11"/>
                <w:color w:val="FFFFFF"/>
              </w:rPr>
              <w:t>Event</w:t>
            </w:r>
          </w:p>
        </w:tc>
        <w:tc>
          <w:tcPr>
            <w:tcW w:w="420" w:type="dxa"/>
            <w:vAlign w:val="bottom"/>
            <w:shd w:val="clear" w:color="auto" w:fill="C00000"/>
          </w:tcPr>
          <w:p>
            <w:pPr>
              <w:spacing w:after="0"/>
              <w:rPr>
                <w:sz w:val="10"/>
                <w:szCs w:val="10"/>
                <w:color w:val="auto"/>
              </w:rPr>
            </w:pPr>
          </w:p>
        </w:tc>
        <w:tc>
          <w:tcPr>
            <w:tcW w:w="80" w:type="dxa"/>
            <w:vAlign w:val="bottom"/>
            <w:shd w:val="clear" w:color="auto" w:fill="C00000"/>
          </w:tcPr>
          <w:p>
            <w:pPr>
              <w:spacing w:after="0"/>
              <w:rPr>
                <w:sz w:val="10"/>
                <w:szCs w:val="10"/>
                <w:color w:val="auto"/>
              </w:rPr>
            </w:pPr>
          </w:p>
        </w:tc>
        <w:tc>
          <w:tcPr>
            <w:tcW w:w="1200" w:type="dxa"/>
            <w:vAlign w:val="bottom"/>
            <w:tcBorders>
              <w:right w:val="single" w:sz="8" w:color="C00000"/>
            </w:tcBorders>
            <w:shd w:val="clear" w:color="auto" w:fill="C00000"/>
          </w:tcPr>
          <w:p>
            <w:pPr>
              <w:jc w:val="center"/>
              <w:ind w:right="56"/>
              <w:spacing w:after="0" w:line="123" w:lineRule="exact"/>
              <w:rPr>
                <w:sz w:val="20"/>
                <w:szCs w:val="20"/>
                <w:color w:val="auto"/>
              </w:rPr>
            </w:pPr>
            <w:r>
              <w:rPr>
                <w:rFonts w:ascii="Arial" w:cs="Arial" w:eastAsia="Arial" w:hAnsi="Arial"/>
                <w:sz w:val="11"/>
                <w:szCs w:val="11"/>
                <w:color w:val="FFFFFF"/>
              </w:rPr>
              <w:t>Reason</w:t>
            </w:r>
          </w:p>
        </w:tc>
        <w:tc>
          <w:tcPr>
            <w:tcW w:w="140" w:type="dxa"/>
            <w:vAlign w:val="bottom"/>
            <w:shd w:val="clear" w:color="auto" w:fill="C00000"/>
          </w:tcPr>
          <w:p>
            <w:pPr>
              <w:spacing w:after="0"/>
              <w:rPr>
                <w:sz w:val="10"/>
                <w:szCs w:val="10"/>
                <w:color w:val="auto"/>
              </w:rPr>
            </w:pPr>
          </w:p>
        </w:tc>
      </w:tr>
      <w:tr>
        <w:trPr>
          <w:trHeight w:val="128"/>
        </w:trPr>
        <w:tc>
          <w:tcPr>
            <w:tcW w:w="3800" w:type="dxa"/>
            <w:vAlign w:val="bottom"/>
            <w:shd w:val="clear" w:color="auto" w:fill="C00000"/>
          </w:tcPr>
          <w:p>
            <w:pPr>
              <w:ind w:left="1360"/>
              <w:spacing w:after="0"/>
              <w:rPr>
                <w:sz w:val="20"/>
                <w:szCs w:val="20"/>
                <w:color w:val="auto"/>
              </w:rPr>
            </w:pPr>
            <w:r>
              <w:rPr>
                <w:rFonts w:ascii="Arial" w:cs="Arial" w:eastAsia="Arial" w:hAnsi="Arial"/>
                <w:sz w:val="11"/>
                <w:szCs w:val="11"/>
                <w:color w:val="FFFFFF"/>
              </w:rPr>
              <w:t>Name/Payment Type</w:t>
            </w:r>
          </w:p>
        </w:tc>
        <w:tc>
          <w:tcPr>
            <w:tcW w:w="12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820" w:type="dxa"/>
            <w:vAlign w:val="bottom"/>
            <w:shd w:val="clear" w:color="auto" w:fill="C00000"/>
          </w:tcPr>
          <w:p>
            <w:pPr>
              <w:jc w:val="center"/>
              <w:ind w:right="16"/>
              <w:spacing w:after="0"/>
              <w:rPr>
                <w:sz w:val="20"/>
                <w:szCs w:val="20"/>
                <w:color w:val="auto"/>
              </w:rPr>
            </w:pPr>
            <w:r>
              <w:rPr>
                <w:rFonts w:ascii="Arial" w:cs="Arial" w:eastAsia="Arial" w:hAnsi="Arial"/>
                <w:sz w:val="11"/>
                <w:szCs w:val="11"/>
                <w:color w:val="FFFFFF"/>
              </w:rPr>
              <w:t>($)</w:t>
            </w:r>
          </w:p>
        </w:tc>
        <w:tc>
          <w:tcPr>
            <w:tcW w:w="16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 w:type="dxa"/>
            <w:vAlign w:val="bottom"/>
            <w:shd w:val="clear" w:color="auto" w:fill="C00000"/>
          </w:tcPr>
          <w:p>
            <w:pPr>
              <w:spacing w:after="0"/>
              <w:rPr>
                <w:sz w:val="11"/>
                <w:szCs w:val="11"/>
                <w:color w:val="auto"/>
              </w:rPr>
            </w:pPr>
          </w:p>
        </w:tc>
        <w:tc>
          <w:tcPr>
            <w:tcW w:w="820" w:type="dxa"/>
            <w:vAlign w:val="bottom"/>
            <w:shd w:val="clear" w:color="auto" w:fill="C00000"/>
          </w:tcPr>
          <w:p>
            <w:pPr>
              <w:jc w:val="center"/>
              <w:ind w:right="55"/>
              <w:spacing w:after="0"/>
              <w:rPr>
                <w:sz w:val="20"/>
                <w:szCs w:val="20"/>
                <w:color w:val="auto"/>
              </w:rPr>
            </w:pPr>
            <w:r>
              <w:rPr>
                <w:rFonts w:ascii="Arial" w:cs="Arial" w:eastAsia="Arial" w:hAnsi="Arial"/>
                <w:sz w:val="11"/>
                <w:szCs w:val="11"/>
                <w:color w:val="FFFFFF"/>
              </w:rPr>
              <w:t>($)</w:t>
            </w:r>
          </w:p>
        </w:tc>
        <w:tc>
          <w:tcPr>
            <w:tcW w:w="260" w:type="dxa"/>
            <w:vAlign w:val="bottom"/>
            <w:shd w:val="clear" w:color="auto" w:fill="C00000"/>
          </w:tcPr>
          <w:p>
            <w:pPr>
              <w:spacing w:after="0"/>
              <w:rPr>
                <w:sz w:val="11"/>
                <w:szCs w:val="11"/>
                <w:color w:val="auto"/>
              </w:rPr>
            </w:pPr>
          </w:p>
        </w:tc>
        <w:tc>
          <w:tcPr>
            <w:tcW w:w="820" w:type="dxa"/>
            <w:vAlign w:val="bottom"/>
            <w:gridSpan w:val="2"/>
            <w:shd w:val="clear" w:color="auto" w:fill="C00000"/>
          </w:tcPr>
          <w:p>
            <w:pPr>
              <w:jc w:val="center"/>
              <w:ind w:left="95"/>
              <w:spacing w:after="0"/>
              <w:rPr>
                <w:sz w:val="20"/>
                <w:szCs w:val="20"/>
                <w:color w:val="auto"/>
              </w:rPr>
            </w:pPr>
            <w:r>
              <w:rPr>
                <w:rFonts w:ascii="Arial" w:cs="Arial" w:eastAsia="Arial" w:hAnsi="Arial"/>
                <w:sz w:val="11"/>
                <w:szCs w:val="11"/>
                <w:color w:val="FFFFFF"/>
              </w:rPr>
              <w:t>($)</w:t>
            </w:r>
          </w:p>
        </w:tc>
        <w:tc>
          <w:tcPr>
            <w:tcW w:w="560" w:type="dxa"/>
            <w:vAlign w:val="bottom"/>
            <w:shd w:val="clear" w:color="auto" w:fill="C00000"/>
          </w:tcPr>
          <w:p>
            <w:pPr>
              <w:spacing w:after="0"/>
              <w:rPr>
                <w:sz w:val="11"/>
                <w:szCs w:val="11"/>
                <w:color w:val="auto"/>
              </w:rPr>
            </w:pPr>
          </w:p>
        </w:tc>
        <w:tc>
          <w:tcPr>
            <w:tcW w:w="600" w:type="dxa"/>
            <w:vAlign w:val="bottom"/>
            <w:shd w:val="clear" w:color="auto" w:fill="C00000"/>
          </w:tcPr>
          <w:p>
            <w:pPr>
              <w:jc w:val="right"/>
              <w:ind w:right="156"/>
              <w:spacing w:after="0"/>
              <w:rPr>
                <w:sz w:val="20"/>
                <w:szCs w:val="20"/>
                <w:color w:val="auto"/>
              </w:rPr>
            </w:pPr>
            <w:r>
              <w:rPr>
                <w:rFonts w:ascii="Arial" w:cs="Arial" w:eastAsia="Arial" w:hAnsi="Arial"/>
                <w:sz w:val="11"/>
                <w:szCs w:val="11"/>
                <w:color w:val="FFFFFF"/>
              </w:rPr>
              <w:t>($)</w:t>
            </w:r>
          </w:p>
        </w:tc>
        <w:tc>
          <w:tcPr>
            <w:tcW w:w="3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860" w:type="dxa"/>
            <w:vAlign w:val="bottom"/>
            <w:shd w:val="clear" w:color="auto" w:fill="C00000"/>
          </w:tcPr>
          <w:p>
            <w:pPr>
              <w:jc w:val="center"/>
              <w:ind w:right="15"/>
              <w:spacing w:after="0"/>
              <w:rPr>
                <w:sz w:val="20"/>
                <w:szCs w:val="20"/>
                <w:color w:val="auto"/>
              </w:rPr>
            </w:pPr>
            <w:r>
              <w:rPr>
                <w:rFonts w:ascii="Arial" w:cs="Arial" w:eastAsia="Arial" w:hAnsi="Arial"/>
                <w:sz w:val="11"/>
                <w:szCs w:val="11"/>
                <w:color w:val="FFFFFF"/>
              </w:rPr>
              <w:t>($)</w:t>
            </w:r>
          </w:p>
        </w:tc>
        <w:tc>
          <w:tcPr>
            <w:tcW w:w="42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1200" w:type="dxa"/>
            <w:vAlign w:val="bottom"/>
            <w:tcBorders>
              <w:right w:val="single" w:sz="8" w:color="C00000"/>
            </w:tcBorders>
            <w:shd w:val="clear" w:color="auto" w:fill="C00000"/>
          </w:tcPr>
          <w:p>
            <w:pPr>
              <w:jc w:val="center"/>
              <w:ind w:right="36"/>
              <w:spacing w:after="0"/>
              <w:rPr>
                <w:sz w:val="20"/>
                <w:szCs w:val="20"/>
                <w:color w:val="auto"/>
              </w:rPr>
            </w:pPr>
            <w:r>
              <w:rPr>
                <w:rFonts w:ascii="Arial" w:cs="Arial" w:eastAsia="Arial" w:hAnsi="Arial"/>
                <w:sz w:val="11"/>
                <w:szCs w:val="11"/>
                <w:color w:val="FFFFFF"/>
              </w:rPr>
              <w:t>($)</w:t>
            </w:r>
          </w:p>
        </w:tc>
        <w:tc>
          <w:tcPr>
            <w:tcW w:w="140" w:type="dxa"/>
            <w:vAlign w:val="bottom"/>
            <w:shd w:val="clear" w:color="auto" w:fill="C00000"/>
          </w:tcPr>
          <w:p>
            <w:pPr>
              <w:spacing w:after="0"/>
              <w:rPr>
                <w:sz w:val="11"/>
                <w:szCs w:val="11"/>
                <w:color w:val="auto"/>
              </w:rPr>
            </w:pPr>
          </w:p>
        </w:tc>
      </w:tr>
      <w:tr>
        <w:trPr>
          <w:trHeight w:val="169"/>
        </w:trPr>
        <w:tc>
          <w:tcPr>
            <w:tcW w:w="3800" w:type="dxa"/>
            <w:vAlign w:val="bottom"/>
          </w:tcPr>
          <w:p>
            <w:pPr>
              <w:spacing w:after="0"/>
              <w:rPr>
                <w:sz w:val="20"/>
                <w:szCs w:val="20"/>
                <w:color w:val="auto"/>
              </w:rPr>
            </w:pPr>
            <w:r>
              <w:rPr>
                <w:rFonts w:ascii="Arial" w:cs="Arial" w:eastAsia="Arial" w:hAnsi="Arial"/>
                <w:sz w:val="13"/>
                <w:szCs w:val="13"/>
                <w:color w:val="auto"/>
              </w:rPr>
              <w:t>Richard M. Olson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3800" w:type="dxa"/>
            <w:vAlign w:val="bottom"/>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5,512,500</w:t>
            </w:r>
          </w:p>
        </w:tc>
        <w:tc>
          <w:tcPr>
            <w:tcW w:w="140" w:type="dxa"/>
            <w:vAlign w:val="bottom"/>
          </w:tcPr>
          <w:p>
            <w:pPr>
              <w:spacing w:after="0"/>
              <w:rPr>
                <w:sz w:val="13"/>
                <w:szCs w:val="13"/>
                <w:color w:val="auto"/>
              </w:rPr>
            </w:pPr>
          </w:p>
        </w:tc>
      </w:tr>
      <w:tr>
        <w:trPr>
          <w:trHeight w:val="166"/>
        </w:trPr>
        <w:tc>
          <w:tcPr>
            <w:tcW w:w="3800" w:type="dxa"/>
            <w:vAlign w:val="bottom"/>
          </w:tcPr>
          <w:p>
            <w:pPr>
              <w:ind w:left="220"/>
              <w:spacing w:after="0" w:line="16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259,148</w:t>
            </w:r>
          </w:p>
        </w:tc>
        <w:tc>
          <w:tcPr>
            <w:tcW w:w="260" w:type="dxa"/>
            <w:vAlign w:val="bottom"/>
          </w:tcPr>
          <w:p>
            <w:pPr>
              <w:spacing w:after="0"/>
              <w:rPr>
                <w:sz w:val="14"/>
                <w:szCs w:val="14"/>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259,148</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259,148</w:t>
            </w:r>
          </w:p>
        </w:tc>
        <w:tc>
          <w:tcPr>
            <w:tcW w:w="140" w:type="dxa"/>
            <w:vAlign w:val="bottom"/>
          </w:tcPr>
          <w:p>
            <w:pPr>
              <w:spacing w:after="0"/>
              <w:rPr>
                <w:sz w:val="14"/>
                <w:szCs w:val="14"/>
                <w:color w:val="auto"/>
              </w:rPr>
            </w:pPr>
          </w:p>
        </w:tc>
      </w:tr>
      <w:tr>
        <w:trPr>
          <w:trHeight w:val="153"/>
        </w:trPr>
        <w:tc>
          <w:tcPr>
            <w:tcW w:w="3800" w:type="dxa"/>
            <w:vAlign w:val="bottom"/>
          </w:tcPr>
          <w:p>
            <w:pPr>
              <w:ind w:left="220"/>
              <w:spacing w:after="0"/>
              <w:rPr>
                <w:sz w:val="20"/>
                <w:szCs w:val="20"/>
                <w:color w:val="auto"/>
              </w:rPr>
            </w:pPr>
            <w:r>
              <w:rPr>
                <w:rFonts w:ascii="Arial" w:cs="Arial" w:eastAsia="Arial" w:hAnsi="Arial"/>
                <w:sz w:val="13"/>
                <w:szCs w:val="13"/>
                <w:color w:val="auto"/>
              </w:rPr>
              <w:t>Performance Share Award Payouts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1,869,762</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(4)</w:t>
            </w: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1,522,769</w:t>
            </w:r>
          </w:p>
        </w:tc>
        <w:tc>
          <w:tcPr>
            <w:tcW w:w="420" w:type="dxa"/>
            <w:vAlign w:val="bottom"/>
          </w:tcPr>
          <w:p>
            <w:pPr>
              <w:spacing w:after="0"/>
              <w:rPr>
                <w:sz w:val="20"/>
                <w:szCs w:val="20"/>
                <w:color w:val="auto"/>
              </w:rPr>
            </w:pPr>
            <w:r>
              <w:rPr>
                <w:rFonts w:ascii="Arial" w:cs="Arial" w:eastAsia="Arial" w:hAnsi="Arial"/>
                <w:sz w:val="11"/>
                <w:szCs w:val="11"/>
                <w:color w:val="auto"/>
              </w:rPr>
              <w:t>(5)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1,522,769</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(5)</w:t>
            </w:r>
          </w:p>
        </w:tc>
      </w:tr>
      <w:tr>
        <w:trPr>
          <w:trHeight w:val="159"/>
        </w:trPr>
        <w:tc>
          <w:tcPr>
            <w:tcW w:w="3800" w:type="dxa"/>
            <w:vAlign w:val="bottom"/>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62,112</w:t>
            </w:r>
          </w:p>
        </w:tc>
        <w:tc>
          <w:tcPr>
            <w:tcW w:w="140" w:type="dxa"/>
            <w:vAlign w:val="bottom"/>
          </w:tcPr>
          <w:p>
            <w:pPr>
              <w:spacing w:after="0"/>
              <w:rPr>
                <w:sz w:val="13"/>
                <w:szCs w:val="13"/>
                <w:color w:val="auto"/>
              </w:rPr>
            </w:pPr>
          </w:p>
        </w:tc>
      </w:tr>
      <w:tr>
        <w:trPr>
          <w:trHeight w:val="149"/>
        </w:trPr>
        <w:tc>
          <w:tcPr>
            <w:tcW w:w="3800" w:type="dxa"/>
            <w:vAlign w:val="bottom"/>
          </w:tcPr>
          <w:p>
            <w:pPr>
              <w:ind w:left="220"/>
              <w:spacing w:after="0" w:line="150"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7"/>
                <w:szCs w:val="17"/>
                <w:color w:val="auto"/>
                <w:vertAlign w:val="superscript"/>
              </w:rPr>
              <w:t>(7)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2"/>
                <w:szCs w:val="12"/>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2"/>
                <w:szCs w:val="12"/>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2"/>
        </w:trPr>
        <w:tc>
          <w:tcPr>
            <w:tcW w:w="380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2,128,910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1,781,917</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7,386,529</w:t>
            </w:r>
          </w:p>
        </w:tc>
        <w:tc>
          <w:tcPr>
            <w:tcW w:w="140" w:type="dxa"/>
            <w:vAlign w:val="bottom"/>
          </w:tcPr>
          <w:p>
            <w:pPr>
              <w:spacing w:after="0"/>
              <w:rPr>
                <w:sz w:val="13"/>
                <w:szCs w:val="13"/>
                <w:color w:val="auto"/>
              </w:rPr>
            </w:pPr>
          </w:p>
        </w:tc>
      </w:tr>
      <w:tr>
        <w:trPr>
          <w:trHeight w:val="159"/>
        </w:trPr>
        <w:tc>
          <w:tcPr>
            <w:tcW w:w="380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600" w:type="dxa"/>
            <w:vAlign w:val="bottom"/>
            <w:shd w:val="clear" w:color="auto" w:fill="D9D9D9"/>
          </w:tcPr>
          <w:p>
            <w:pPr>
              <w:spacing w:after="0"/>
              <w:rPr>
                <w:sz w:val="13"/>
                <w:szCs w:val="13"/>
                <w:color w:val="auto"/>
              </w:rPr>
            </w:pP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spacing w:after="0"/>
              <w:rPr>
                <w:sz w:val="13"/>
                <w:szCs w:val="13"/>
                <w:color w:val="auto"/>
              </w:rPr>
            </w:pP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200" w:type="dxa"/>
            <w:vAlign w:val="bottom"/>
            <w:tcBorders>
              <w:right w:val="single" w:sz="8" w:color="D9D9D9"/>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80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1,820,000</w:t>
            </w:r>
          </w:p>
        </w:tc>
        <w:tc>
          <w:tcPr>
            <w:tcW w:w="140" w:type="dxa"/>
            <w:vAlign w:val="bottom"/>
            <w:shd w:val="clear" w:color="auto" w:fill="D9D9D9"/>
          </w:tcPr>
          <w:p>
            <w:pPr>
              <w:spacing w:after="0"/>
              <w:rPr>
                <w:sz w:val="13"/>
                <w:szCs w:val="13"/>
                <w:color w:val="auto"/>
              </w:rPr>
            </w:pPr>
          </w:p>
        </w:tc>
      </w:tr>
      <w:tr>
        <w:trPr>
          <w:trHeight w:val="159"/>
        </w:trPr>
        <w:tc>
          <w:tcPr>
            <w:tcW w:w="380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229,976</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229,976</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229,976</w:t>
            </w:r>
          </w:p>
        </w:tc>
        <w:tc>
          <w:tcPr>
            <w:tcW w:w="140" w:type="dxa"/>
            <w:vAlign w:val="bottom"/>
            <w:shd w:val="clear" w:color="auto" w:fill="D9D9D9"/>
          </w:tcPr>
          <w:p>
            <w:pPr>
              <w:spacing w:after="0"/>
              <w:rPr>
                <w:sz w:val="13"/>
                <w:szCs w:val="13"/>
                <w:color w:val="auto"/>
              </w:rPr>
            </w:pPr>
          </w:p>
        </w:tc>
      </w:tr>
      <w:tr>
        <w:trPr>
          <w:trHeight w:val="159"/>
        </w:trPr>
        <w:tc>
          <w:tcPr>
            <w:tcW w:w="3800" w:type="dxa"/>
            <w:vAlign w:val="bottom"/>
            <w:shd w:val="clear" w:color="auto" w:fill="D9D9D9"/>
          </w:tcPr>
          <w:p>
            <w:pPr>
              <w:ind w:left="220"/>
              <w:spacing w:after="0"/>
              <w:rPr>
                <w:sz w:val="20"/>
                <w:szCs w:val="20"/>
                <w:color w:val="auto"/>
              </w:rPr>
            </w:pPr>
            <w:r>
              <w:rPr>
                <w:rFonts w:ascii="Arial" w:cs="Arial" w:eastAsia="Arial" w:hAnsi="Arial"/>
                <w:sz w:val="13"/>
                <w:szCs w:val="13"/>
                <w:color w:val="auto"/>
              </w:rPr>
              <w:t>Performance Share Award Payouts</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558,512</w:t>
            </w:r>
          </w:p>
        </w:tc>
        <w:tc>
          <w:tcPr>
            <w:tcW w:w="260" w:type="dxa"/>
            <w:vAlign w:val="bottom"/>
            <w:shd w:val="clear" w:color="auto" w:fill="D9D9D9"/>
          </w:tcPr>
          <w:p>
            <w:pPr>
              <w:jc w:val="right"/>
              <w:ind w:right="64"/>
              <w:spacing w:after="0"/>
              <w:rPr>
                <w:sz w:val="20"/>
                <w:szCs w:val="20"/>
                <w:color w:val="auto"/>
              </w:rPr>
            </w:pPr>
            <w:r>
              <w:rPr>
                <w:rFonts w:ascii="Arial" w:cs="Arial" w:eastAsia="Arial" w:hAnsi="Arial"/>
                <w:sz w:val="11"/>
                <w:szCs w:val="11"/>
                <w:color w:val="auto"/>
                <w:w w:val="88"/>
              </w:rPr>
              <w:t>(4)</w:t>
            </w: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452,499</w:t>
            </w:r>
          </w:p>
        </w:tc>
        <w:tc>
          <w:tcPr>
            <w:tcW w:w="420" w:type="dxa"/>
            <w:vAlign w:val="bottom"/>
            <w:shd w:val="clear" w:color="auto" w:fill="D9D9D9"/>
          </w:tcPr>
          <w:p>
            <w:pPr>
              <w:spacing w:after="0"/>
              <w:rPr>
                <w:sz w:val="20"/>
                <w:szCs w:val="20"/>
                <w:color w:val="auto"/>
              </w:rPr>
            </w:pPr>
            <w:r>
              <w:rPr>
                <w:rFonts w:ascii="Arial" w:cs="Arial" w:eastAsia="Arial" w:hAnsi="Arial"/>
                <w:sz w:val="11"/>
                <w:szCs w:val="11"/>
                <w:color w:val="auto"/>
              </w:rPr>
              <w:t>(5)</w:t>
            </w: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452,499</w:t>
            </w:r>
          </w:p>
        </w:tc>
        <w:tc>
          <w:tcPr>
            <w:tcW w:w="14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4"/>
              </w:rPr>
              <w:t>(5)</w:t>
            </w:r>
          </w:p>
        </w:tc>
      </w:tr>
      <w:tr>
        <w:trPr>
          <w:trHeight w:val="159"/>
        </w:trPr>
        <w:tc>
          <w:tcPr>
            <w:tcW w:w="380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60,705</w:t>
            </w:r>
          </w:p>
        </w:tc>
        <w:tc>
          <w:tcPr>
            <w:tcW w:w="140" w:type="dxa"/>
            <w:vAlign w:val="bottom"/>
            <w:shd w:val="clear" w:color="auto" w:fill="D9D9D9"/>
          </w:tcPr>
          <w:p>
            <w:pPr>
              <w:spacing w:after="0"/>
              <w:rPr>
                <w:sz w:val="13"/>
                <w:szCs w:val="13"/>
                <w:color w:val="auto"/>
              </w:rPr>
            </w:pPr>
          </w:p>
        </w:tc>
      </w:tr>
      <w:tr>
        <w:trPr>
          <w:trHeight w:val="152"/>
        </w:trPr>
        <w:tc>
          <w:tcPr>
            <w:tcW w:w="3800" w:type="dxa"/>
            <w:vAlign w:val="bottom"/>
            <w:tcBorders>
              <w:bottom w:val="single" w:sz="8" w:color="D9D9D9"/>
            </w:tcBorders>
            <w:shd w:val="clear" w:color="auto" w:fill="D9D9D9"/>
          </w:tcPr>
          <w:p>
            <w:pPr>
              <w:ind w:left="220"/>
              <w:spacing w:after="0" w:line="147"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7"/>
                <w:szCs w:val="17"/>
                <w:color w:val="auto"/>
                <w:vertAlign w:val="superscript"/>
              </w:rPr>
              <w:t>(7)</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D9D9D9"/>
          </w:tcPr>
          <w:p>
            <w:pPr>
              <w:jc w:val="right"/>
              <w:spacing w:after="0" w:line="148" w:lineRule="exact"/>
              <w:rPr>
                <w:sz w:val="20"/>
                <w:szCs w:val="20"/>
                <w:color w:val="auto"/>
              </w:rPr>
            </w:pPr>
            <w:r>
              <w:rPr>
                <w:rFonts w:ascii="Arial" w:cs="Arial" w:eastAsia="Arial" w:hAnsi="Arial"/>
                <w:sz w:val="13"/>
                <w:szCs w:val="13"/>
                <w:color w:val="auto"/>
              </w:rPr>
              <w:t>0</w:t>
            </w:r>
          </w:p>
        </w:tc>
        <w:tc>
          <w:tcPr>
            <w:tcW w:w="160" w:type="dxa"/>
            <w:vAlign w:val="bottom"/>
            <w:tcBorders>
              <w:bottom w:val="single" w:sz="8" w:color="D9D9D9"/>
            </w:tcBorders>
            <w:shd w:val="clear" w:color="auto" w:fill="D9D9D9"/>
          </w:tcPr>
          <w:p>
            <w:pPr>
              <w:spacing w:after="0"/>
              <w:rPr>
                <w:sz w:val="13"/>
                <w:szCs w:val="13"/>
                <w:color w:val="auto"/>
              </w:rPr>
            </w:pPr>
          </w:p>
        </w:tc>
        <w:tc>
          <w:tcPr>
            <w:tcW w:w="12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D9D9D9"/>
          </w:tcPr>
          <w:p>
            <w:pPr>
              <w:jc w:val="right"/>
              <w:spacing w:after="0" w:line="148" w:lineRule="exact"/>
              <w:rPr>
                <w:sz w:val="20"/>
                <w:szCs w:val="20"/>
                <w:color w:val="auto"/>
              </w:rPr>
            </w:pPr>
            <w:r>
              <w:rPr>
                <w:rFonts w:ascii="Arial" w:cs="Arial" w:eastAsia="Arial" w:hAnsi="Arial"/>
                <w:sz w:val="13"/>
                <w:szCs w:val="13"/>
                <w:color w:val="auto"/>
              </w:rPr>
              <w:t>0</w:t>
            </w:r>
          </w:p>
        </w:tc>
        <w:tc>
          <w:tcPr>
            <w:tcW w:w="260" w:type="dxa"/>
            <w:vAlign w:val="bottom"/>
            <w:tcBorders>
              <w:bottom w:val="single" w:sz="8" w:color="D9D9D9"/>
            </w:tcBorders>
            <w:shd w:val="clear" w:color="auto" w:fill="D9D9D9"/>
          </w:tcPr>
          <w:p>
            <w:pPr>
              <w:spacing w:after="0"/>
              <w:rPr>
                <w:sz w:val="13"/>
                <w:szCs w:val="13"/>
                <w:color w:val="auto"/>
              </w:rPr>
            </w:pPr>
          </w:p>
        </w:tc>
        <w:tc>
          <w:tcPr>
            <w:tcW w:w="220" w:type="dxa"/>
            <w:vAlign w:val="bottom"/>
            <w:tcBorders>
              <w:bottom w:val="single" w:sz="8" w:color="D9D9D9"/>
            </w:tcBorders>
            <w:shd w:val="clear" w:color="auto" w:fill="D9D9D9"/>
          </w:tcPr>
          <w:p>
            <w:pPr>
              <w:spacing w:after="0"/>
              <w:rPr>
                <w:sz w:val="13"/>
                <w:szCs w:val="13"/>
                <w:color w:val="auto"/>
              </w:rPr>
            </w:pPr>
          </w:p>
        </w:tc>
        <w:tc>
          <w:tcPr>
            <w:tcW w:w="600" w:type="dxa"/>
            <w:vAlign w:val="bottom"/>
            <w:tcBorders>
              <w:bottom w:val="single" w:sz="8" w:color="auto"/>
            </w:tcBorders>
            <w:shd w:val="clear" w:color="auto" w:fill="D9D9D9"/>
          </w:tcPr>
          <w:p>
            <w:pPr>
              <w:jc w:val="center"/>
              <w:spacing w:after="0" w:line="148" w:lineRule="exact"/>
              <w:rPr>
                <w:sz w:val="20"/>
                <w:szCs w:val="20"/>
                <w:color w:val="auto"/>
              </w:rPr>
            </w:pPr>
            <w:r>
              <w:rPr>
                <w:rFonts w:ascii="Arial" w:cs="Arial" w:eastAsia="Arial" w:hAnsi="Arial"/>
                <w:sz w:val="13"/>
                <w:szCs w:val="13"/>
                <w:color w:val="auto"/>
                <w:w w:val="96"/>
              </w:rPr>
              <w:t>$0</w:t>
            </w:r>
          </w:p>
        </w:tc>
        <w:tc>
          <w:tcPr>
            <w:tcW w:w="560" w:type="dxa"/>
            <w:vAlign w:val="bottom"/>
            <w:tcBorders>
              <w:bottom w:val="single" w:sz="8" w:color="D9D9D9"/>
            </w:tcBorders>
            <w:shd w:val="clear" w:color="auto" w:fill="D9D9D9"/>
          </w:tcPr>
          <w:p>
            <w:pPr>
              <w:spacing w:after="0"/>
              <w:rPr>
                <w:sz w:val="13"/>
                <w:szCs w:val="13"/>
                <w:color w:val="auto"/>
              </w:rPr>
            </w:pPr>
          </w:p>
        </w:tc>
        <w:tc>
          <w:tcPr>
            <w:tcW w:w="600" w:type="dxa"/>
            <w:vAlign w:val="bottom"/>
            <w:tcBorders>
              <w:bottom w:val="single" w:sz="8" w:color="auto"/>
            </w:tcBorders>
            <w:shd w:val="clear" w:color="auto" w:fill="D9D9D9"/>
          </w:tcPr>
          <w:p>
            <w:pPr>
              <w:jc w:val="right"/>
              <w:ind w:right="176"/>
              <w:spacing w:after="0" w:line="148" w:lineRule="exact"/>
              <w:rPr>
                <w:sz w:val="20"/>
                <w:szCs w:val="20"/>
                <w:color w:val="auto"/>
              </w:rPr>
            </w:pPr>
            <w:r>
              <w:rPr>
                <w:rFonts w:ascii="Arial" w:cs="Arial" w:eastAsia="Arial" w:hAnsi="Arial"/>
                <w:sz w:val="13"/>
                <w:szCs w:val="13"/>
                <w:color w:val="auto"/>
              </w:rPr>
              <w:t>$0</w:t>
            </w:r>
          </w:p>
        </w:tc>
        <w:tc>
          <w:tcPr>
            <w:tcW w:w="3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D9D9D9"/>
          </w:tcPr>
          <w:p>
            <w:pPr>
              <w:jc w:val="right"/>
              <w:spacing w:after="0" w:line="148" w:lineRule="exact"/>
              <w:rPr>
                <w:sz w:val="20"/>
                <w:szCs w:val="20"/>
                <w:color w:val="auto"/>
              </w:rPr>
            </w:pPr>
            <w:r>
              <w:rPr>
                <w:rFonts w:ascii="Arial" w:cs="Arial" w:eastAsia="Arial" w:hAnsi="Arial"/>
                <w:sz w:val="13"/>
                <w:szCs w:val="13"/>
                <w:color w:val="auto"/>
              </w:rPr>
              <w:t>0</w:t>
            </w:r>
          </w:p>
        </w:tc>
        <w:tc>
          <w:tcPr>
            <w:tcW w:w="4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right w:val="single" w:sz="8" w:color="D9D9D9"/>
            </w:tcBorders>
            <w:shd w:val="clear" w:color="auto" w:fill="D9D9D9"/>
          </w:tcPr>
          <w:p>
            <w:pPr>
              <w:jc w:val="right"/>
              <w:spacing w:after="0" w:line="148" w:lineRule="exact"/>
              <w:rPr>
                <w:sz w:val="20"/>
                <w:szCs w:val="20"/>
                <w:color w:val="auto"/>
              </w:rPr>
            </w:pPr>
            <w:r>
              <w:rPr>
                <w:rFonts w:ascii="Arial" w:cs="Arial" w:eastAsia="Arial" w:hAnsi="Arial"/>
                <w:sz w:val="13"/>
                <w:szCs w:val="13"/>
                <w:color w:val="auto"/>
              </w:rPr>
              <w:t>30,000</w:t>
            </w:r>
          </w:p>
        </w:tc>
        <w:tc>
          <w:tcPr>
            <w:tcW w:w="140" w:type="dxa"/>
            <w:vAlign w:val="bottom"/>
            <w:tcBorders>
              <w:bottom w:val="single" w:sz="8" w:color="D9D9D9"/>
            </w:tcBorders>
            <w:shd w:val="clear" w:color="auto" w:fill="D9D9D9"/>
          </w:tcPr>
          <w:p>
            <w:pPr>
              <w:spacing w:after="0"/>
              <w:rPr>
                <w:sz w:val="13"/>
                <w:szCs w:val="13"/>
                <w:color w:val="auto"/>
              </w:rPr>
            </w:pPr>
          </w:p>
        </w:tc>
      </w:tr>
      <w:tr>
        <w:trPr>
          <w:trHeight w:val="159"/>
        </w:trPr>
        <w:tc>
          <w:tcPr>
            <w:tcW w:w="3800" w:type="dxa"/>
            <w:vAlign w:val="bottom"/>
            <w:shd w:val="clear" w:color="auto" w:fill="D9D9D9"/>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788,488</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682,475</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2,593,180</w:t>
            </w:r>
          </w:p>
        </w:tc>
        <w:tc>
          <w:tcPr>
            <w:tcW w:w="140" w:type="dxa"/>
            <w:vAlign w:val="bottom"/>
            <w:shd w:val="clear" w:color="auto" w:fill="D9D9D9"/>
          </w:tcPr>
          <w:p>
            <w:pPr>
              <w:spacing w:after="0"/>
              <w:rPr>
                <w:sz w:val="13"/>
                <w:szCs w:val="13"/>
                <w:color w:val="auto"/>
              </w:rPr>
            </w:pPr>
          </w:p>
        </w:tc>
      </w:tr>
      <w:tr>
        <w:trPr>
          <w:trHeight w:val="169"/>
        </w:trPr>
        <w:tc>
          <w:tcPr>
            <w:tcW w:w="3800" w:type="dxa"/>
            <w:vAlign w:val="bottom"/>
          </w:tcPr>
          <w:p>
            <w:pPr>
              <w:spacing w:after="0"/>
              <w:rPr>
                <w:sz w:val="20"/>
                <w:szCs w:val="20"/>
                <w:color w:val="auto"/>
              </w:rPr>
            </w:pPr>
            <w:r>
              <w:rPr>
                <w:rFonts w:ascii="Arial" w:cs="Arial" w:eastAsia="Arial" w:hAnsi="Arial"/>
                <w:sz w:val="13"/>
                <w:szCs w:val="13"/>
                <w:color w:val="auto"/>
              </w:rPr>
              <w:t>William E. Brown, Jr.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3800" w:type="dxa"/>
            <w:vAlign w:val="bottom"/>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1,468,500</w:t>
            </w:r>
          </w:p>
        </w:tc>
        <w:tc>
          <w:tcPr>
            <w:tcW w:w="140" w:type="dxa"/>
            <w:vAlign w:val="bottom"/>
          </w:tcPr>
          <w:p>
            <w:pPr>
              <w:spacing w:after="0"/>
              <w:rPr>
                <w:sz w:val="13"/>
                <w:szCs w:val="13"/>
                <w:color w:val="auto"/>
              </w:rPr>
            </w:pPr>
          </w:p>
        </w:tc>
      </w:tr>
      <w:tr>
        <w:trPr>
          <w:trHeight w:val="166"/>
        </w:trPr>
        <w:tc>
          <w:tcPr>
            <w:tcW w:w="3800" w:type="dxa"/>
            <w:vAlign w:val="bottom"/>
          </w:tcPr>
          <w:p>
            <w:pPr>
              <w:ind w:left="220"/>
              <w:spacing w:after="0" w:line="16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143,582</w:t>
            </w:r>
          </w:p>
        </w:tc>
        <w:tc>
          <w:tcPr>
            <w:tcW w:w="260" w:type="dxa"/>
            <w:vAlign w:val="bottom"/>
          </w:tcPr>
          <w:p>
            <w:pPr>
              <w:spacing w:after="0"/>
              <w:rPr>
                <w:sz w:val="14"/>
                <w:szCs w:val="14"/>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143,582</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143,582</w:t>
            </w:r>
          </w:p>
        </w:tc>
        <w:tc>
          <w:tcPr>
            <w:tcW w:w="140" w:type="dxa"/>
            <w:vAlign w:val="bottom"/>
          </w:tcPr>
          <w:p>
            <w:pPr>
              <w:spacing w:after="0"/>
              <w:rPr>
                <w:sz w:val="14"/>
                <w:szCs w:val="14"/>
                <w:color w:val="auto"/>
              </w:rPr>
            </w:pPr>
          </w:p>
        </w:tc>
      </w:tr>
      <w:tr>
        <w:trPr>
          <w:trHeight w:val="153"/>
        </w:trPr>
        <w:tc>
          <w:tcPr>
            <w:tcW w:w="3800" w:type="dxa"/>
            <w:vAlign w:val="bottom"/>
          </w:tcPr>
          <w:p>
            <w:pPr>
              <w:ind w:left="220"/>
              <w:spacing w:after="0"/>
              <w:rPr>
                <w:sz w:val="20"/>
                <w:szCs w:val="20"/>
                <w:color w:val="auto"/>
              </w:rPr>
            </w:pPr>
            <w:r>
              <w:rPr>
                <w:rFonts w:ascii="Arial" w:cs="Arial" w:eastAsia="Arial" w:hAnsi="Arial"/>
                <w:sz w:val="13"/>
                <w:szCs w:val="13"/>
                <w:color w:val="auto"/>
              </w:rPr>
              <w:t>Performance Share Award Payouts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391,606</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391,606</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(4)</w:t>
            </w: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317,251</w:t>
            </w:r>
          </w:p>
        </w:tc>
        <w:tc>
          <w:tcPr>
            <w:tcW w:w="420" w:type="dxa"/>
            <w:vAlign w:val="bottom"/>
          </w:tcPr>
          <w:p>
            <w:pPr>
              <w:spacing w:after="0"/>
              <w:rPr>
                <w:sz w:val="20"/>
                <w:szCs w:val="20"/>
                <w:color w:val="auto"/>
              </w:rPr>
            </w:pPr>
            <w:r>
              <w:rPr>
                <w:rFonts w:ascii="Arial" w:cs="Arial" w:eastAsia="Arial" w:hAnsi="Arial"/>
                <w:sz w:val="11"/>
                <w:szCs w:val="11"/>
                <w:color w:val="auto"/>
              </w:rPr>
              <w:t>(5)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317,251</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(5)</w:t>
            </w:r>
          </w:p>
        </w:tc>
      </w:tr>
      <w:tr>
        <w:trPr>
          <w:trHeight w:val="159"/>
        </w:trPr>
        <w:tc>
          <w:tcPr>
            <w:tcW w:w="3800" w:type="dxa"/>
            <w:vAlign w:val="bottom"/>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60,408</w:t>
            </w:r>
          </w:p>
        </w:tc>
        <w:tc>
          <w:tcPr>
            <w:tcW w:w="140" w:type="dxa"/>
            <w:vAlign w:val="bottom"/>
          </w:tcPr>
          <w:p>
            <w:pPr>
              <w:spacing w:after="0"/>
              <w:rPr>
                <w:sz w:val="13"/>
                <w:szCs w:val="13"/>
                <w:color w:val="auto"/>
              </w:rPr>
            </w:pPr>
          </w:p>
        </w:tc>
      </w:tr>
      <w:tr>
        <w:trPr>
          <w:trHeight w:val="159"/>
        </w:trPr>
        <w:tc>
          <w:tcPr>
            <w:tcW w:w="3800" w:type="dxa"/>
            <w:vAlign w:val="bottom"/>
          </w:tcPr>
          <w:p>
            <w:pPr>
              <w:ind w:left="220"/>
              <w:spacing w:after="0" w:line="159"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tcPr>
          <w:p>
            <w:pPr>
              <w:spacing w:after="0"/>
              <w:rPr>
                <w:sz w:val="13"/>
                <w:szCs w:val="13"/>
                <w:color w:val="auto"/>
              </w:rPr>
            </w:pPr>
          </w:p>
        </w:tc>
      </w:tr>
      <w:tr>
        <w:trPr>
          <w:trHeight w:val="149"/>
        </w:trPr>
        <w:tc>
          <w:tcPr>
            <w:tcW w:w="3800" w:type="dxa"/>
            <w:vAlign w:val="bottom"/>
          </w:tcPr>
          <w:p>
            <w:pPr>
              <w:ind w:left="220"/>
              <w:spacing w:after="0" w:line="150" w:lineRule="exact"/>
              <w:rPr>
                <w:sz w:val="20"/>
                <w:szCs w:val="20"/>
                <w:color w:val="auto"/>
              </w:rPr>
            </w:pPr>
            <w:r>
              <w:rPr>
                <w:rFonts w:ascii="Arial" w:cs="Arial" w:eastAsia="Arial" w:hAnsi="Arial"/>
                <w:sz w:val="11"/>
                <w:szCs w:val="11"/>
                <w:color w:val="auto"/>
              </w:rPr>
              <w:t>Perquisites</w:t>
            </w:r>
            <w:r>
              <w:rPr>
                <w:rFonts w:ascii="Arial" w:cs="Arial" w:eastAsia="Arial" w:hAnsi="Arial"/>
                <w:sz w:val="17"/>
                <w:szCs w:val="17"/>
                <w:color w:val="auto"/>
                <w:vertAlign w:val="superscript"/>
              </w:rPr>
              <w:t>(8)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30,205</w:t>
            </w:r>
          </w:p>
        </w:tc>
        <w:tc>
          <w:tcPr>
            <w:tcW w:w="16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2"/>
                <w:szCs w:val="12"/>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2"/>
                <w:szCs w:val="12"/>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2"/>
        </w:trPr>
        <w:tc>
          <w:tcPr>
            <w:tcW w:w="380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421,811</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535,188</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460,833</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2,019,741</w:t>
            </w:r>
          </w:p>
        </w:tc>
        <w:tc>
          <w:tcPr>
            <w:tcW w:w="140" w:type="dxa"/>
            <w:vAlign w:val="bottom"/>
          </w:tcPr>
          <w:p>
            <w:pPr>
              <w:spacing w:after="0"/>
              <w:rPr>
                <w:sz w:val="13"/>
                <w:szCs w:val="13"/>
                <w:color w:val="auto"/>
              </w:rPr>
            </w:pPr>
          </w:p>
        </w:tc>
      </w:tr>
      <w:tr>
        <w:trPr>
          <w:trHeight w:val="159"/>
        </w:trPr>
        <w:tc>
          <w:tcPr>
            <w:tcW w:w="3800" w:type="dxa"/>
            <w:vAlign w:val="bottom"/>
            <w:shd w:val="clear" w:color="auto" w:fill="D9D9D9"/>
          </w:tcPr>
          <w:p>
            <w:pPr>
              <w:spacing w:after="0"/>
              <w:rPr>
                <w:sz w:val="20"/>
                <w:szCs w:val="20"/>
                <w:color w:val="auto"/>
              </w:rPr>
            </w:pPr>
            <w:r>
              <w:rPr>
                <w:rFonts w:ascii="Arial" w:cs="Arial" w:eastAsia="Arial" w:hAnsi="Arial"/>
                <w:sz w:val="13"/>
                <w:szCs w:val="13"/>
                <w:color w:val="auto"/>
              </w:rPr>
              <w:t>Timothy P. Dordell</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600" w:type="dxa"/>
            <w:vAlign w:val="bottom"/>
            <w:shd w:val="clear" w:color="auto" w:fill="D9D9D9"/>
          </w:tcPr>
          <w:p>
            <w:pPr>
              <w:spacing w:after="0"/>
              <w:rPr>
                <w:sz w:val="13"/>
                <w:szCs w:val="13"/>
                <w:color w:val="auto"/>
              </w:rPr>
            </w:pP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spacing w:after="0"/>
              <w:rPr>
                <w:sz w:val="13"/>
                <w:szCs w:val="13"/>
                <w:color w:val="auto"/>
              </w:rPr>
            </w:pP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200" w:type="dxa"/>
            <w:vAlign w:val="bottom"/>
            <w:tcBorders>
              <w:right w:val="single" w:sz="8" w:color="D9D9D9"/>
            </w:tcBorders>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80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1,401,600</w:t>
            </w:r>
          </w:p>
        </w:tc>
        <w:tc>
          <w:tcPr>
            <w:tcW w:w="140" w:type="dxa"/>
            <w:vAlign w:val="bottom"/>
            <w:shd w:val="clear" w:color="auto" w:fill="D9D9D9"/>
          </w:tcPr>
          <w:p>
            <w:pPr>
              <w:spacing w:after="0"/>
              <w:rPr>
                <w:sz w:val="13"/>
                <w:szCs w:val="13"/>
                <w:color w:val="auto"/>
              </w:rPr>
            </w:pPr>
          </w:p>
        </w:tc>
      </w:tr>
      <w:tr>
        <w:trPr>
          <w:trHeight w:val="159"/>
        </w:trPr>
        <w:tc>
          <w:tcPr>
            <w:tcW w:w="380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136,578</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136,578</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136,578</w:t>
            </w:r>
          </w:p>
        </w:tc>
        <w:tc>
          <w:tcPr>
            <w:tcW w:w="140" w:type="dxa"/>
            <w:vAlign w:val="bottom"/>
            <w:shd w:val="clear" w:color="auto" w:fill="D9D9D9"/>
          </w:tcPr>
          <w:p>
            <w:pPr>
              <w:spacing w:after="0"/>
              <w:rPr>
                <w:sz w:val="13"/>
                <w:szCs w:val="13"/>
                <w:color w:val="auto"/>
              </w:rPr>
            </w:pPr>
          </w:p>
        </w:tc>
      </w:tr>
      <w:tr>
        <w:trPr>
          <w:trHeight w:val="159"/>
        </w:trPr>
        <w:tc>
          <w:tcPr>
            <w:tcW w:w="3800" w:type="dxa"/>
            <w:vAlign w:val="bottom"/>
            <w:shd w:val="clear" w:color="auto" w:fill="D9D9D9"/>
          </w:tcPr>
          <w:p>
            <w:pPr>
              <w:ind w:left="220"/>
              <w:spacing w:after="0"/>
              <w:rPr>
                <w:sz w:val="20"/>
                <w:szCs w:val="20"/>
                <w:color w:val="auto"/>
              </w:rPr>
            </w:pPr>
            <w:r>
              <w:rPr>
                <w:rFonts w:ascii="Arial" w:cs="Arial" w:eastAsia="Arial" w:hAnsi="Arial"/>
                <w:sz w:val="13"/>
                <w:szCs w:val="13"/>
                <w:color w:val="auto"/>
              </w:rPr>
              <w:t>Performance Share Award Payouts</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372,905</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w w:val="88"/>
              </w:rPr>
              <w:t>(4)</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372,905</w:t>
            </w:r>
          </w:p>
        </w:tc>
        <w:tc>
          <w:tcPr>
            <w:tcW w:w="260" w:type="dxa"/>
            <w:vAlign w:val="bottom"/>
            <w:shd w:val="clear" w:color="auto" w:fill="D9D9D9"/>
          </w:tcPr>
          <w:p>
            <w:pPr>
              <w:jc w:val="right"/>
              <w:ind w:right="64"/>
              <w:spacing w:after="0"/>
              <w:rPr>
                <w:sz w:val="20"/>
                <w:szCs w:val="20"/>
                <w:color w:val="auto"/>
              </w:rPr>
            </w:pPr>
            <w:r>
              <w:rPr>
                <w:rFonts w:ascii="Arial" w:cs="Arial" w:eastAsia="Arial" w:hAnsi="Arial"/>
                <w:sz w:val="11"/>
                <w:szCs w:val="11"/>
                <w:color w:val="auto"/>
                <w:w w:val="88"/>
              </w:rPr>
              <w:t>(4)</w:t>
            </w: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302,267</w:t>
            </w:r>
          </w:p>
        </w:tc>
        <w:tc>
          <w:tcPr>
            <w:tcW w:w="420" w:type="dxa"/>
            <w:vAlign w:val="bottom"/>
            <w:shd w:val="clear" w:color="auto" w:fill="D9D9D9"/>
          </w:tcPr>
          <w:p>
            <w:pPr>
              <w:spacing w:after="0"/>
              <w:rPr>
                <w:sz w:val="20"/>
                <w:szCs w:val="20"/>
                <w:color w:val="auto"/>
              </w:rPr>
            </w:pPr>
            <w:r>
              <w:rPr>
                <w:rFonts w:ascii="Arial" w:cs="Arial" w:eastAsia="Arial" w:hAnsi="Arial"/>
                <w:sz w:val="11"/>
                <w:szCs w:val="11"/>
                <w:color w:val="auto"/>
              </w:rPr>
              <w:t>(5)</w:t>
            </w: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302,267</w:t>
            </w:r>
          </w:p>
        </w:tc>
        <w:tc>
          <w:tcPr>
            <w:tcW w:w="140" w:type="dxa"/>
            <w:vAlign w:val="bottom"/>
            <w:shd w:val="clear" w:color="auto" w:fill="D9D9D9"/>
          </w:tcPr>
          <w:p>
            <w:pPr>
              <w:jc w:val="right"/>
              <w:spacing w:after="0"/>
              <w:rPr>
                <w:sz w:val="20"/>
                <w:szCs w:val="20"/>
                <w:color w:val="auto"/>
              </w:rPr>
            </w:pPr>
            <w:r>
              <w:rPr>
                <w:rFonts w:ascii="Arial" w:cs="Arial" w:eastAsia="Arial" w:hAnsi="Arial"/>
                <w:sz w:val="11"/>
                <w:szCs w:val="11"/>
                <w:color w:val="auto"/>
                <w:w w:val="74"/>
              </w:rPr>
              <w:t>(5)</w:t>
            </w:r>
          </w:p>
        </w:tc>
      </w:tr>
      <w:tr>
        <w:trPr>
          <w:trHeight w:val="159"/>
        </w:trPr>
        <w:tc>
          <w:tcPr>
            <w:tcW w:w="380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42,717</w:t>
            </w:r>
          </w:p>
        </w:tc>
        <w:tc>
          <w:tcPr>
            <w:tcW w:w="140" w:type="dxa"/>
            <w:vAlign w:val="bottom"/>
            <w:shd w:val="clear" w:color="auto" w:fill="D9D9D9"/>
          </w:tcPr>
          <w:p>
            <w:pPr>
              <w:spacing w:after="0"/>
              <w:rPr>
                <w:sz w:val="13"/>
                <w:szCs w:val="13"/>
                <w:color w:val="auto"/>
              </w:rPr>
            </w:pPr>
          </w:p>
        </w:tc>
      </w:tr>
      <w:tr>
        <w:trPr>
          <w:trHeight w:val="159"/>
        </w:trPr>
        <w:tc>
          <w:tcPr>
            <w:tcW w:w="380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shd w:val="clear" w:color="auto" w:fill="D9D9D9"/>
          </w:tcPr>
          <w:p>
            <w:pPr>
              <w:spacing w:after="0"/>
              <w:rPr>
                <w:sz w:val="13"/>
                <w:szCs w:val="13"/>
                <w:color w:val="auto"/>
              </w:rPr>
            </w:pPr>
          </w:p>
        </w:tc>
      </w:tr>
      <w:tr>
        <w:trPr>
          <w:trHeight w:val="159"/>
        </w:trPr>
        <w:tc>
          <w:tcPr>
            <w:tcW w:w="3800" w:type="dxa"/>
            <w:vAlign w:val="bottom"/>
            <w:tcBorders>
              <w:bottom w:val="single" w:sz="8" w:color="D9D9D9"/>
            </w:tcBorders>
            <w:shd w:val="clear" w:color="auto" w:fill="D9D9D9"/>
          </w:tcPr>
          <w:p>
            <w:pPr>
              <w:ind w:left="220"/>
              <w:spacing w:after="0" w:line="159" w:lineRule="exact"/>
              <w:rPr>
                <w:sz w:val="20"/>
                <w:szCs w:val="20"/>
                <w:color w:val="auto"/>
              </w:rPr>
            </w:pPr>
            <w:r>
              <w:rPr>
                <w:rFonts w:ascii="Arial" w:cs="Arial" w:eastAsia="Arial" w:hAnsi="Arial"/>
                <w:sz w:val="11"/>
                <w:szCs w:val="11"/>
                <w:color w:val="auto"/>
              </w:rPr>
              <w:t>Perquisites</w:t>
            </w:r>
            <w:r>
              <w:rPr>
                <w:rFonts w:ascii="Arial" w:cs="Arial" w:eastAsia="Arial" w:hAnsi="Arial"/>
                <w:sz w:val="18"/>
                <w:szCs w:val="18"/>
                <w:color w:val="auto"/>
                <w:vertAlign w:val="superscript"/>
              </w:rPr>
              <w:t>(8)</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37,125</w:t>
            </w:r>
          </w:p>
        </w:tc>
        <w:tc>
          <w:tcPr>
            <w:tcW w:w="160" w:type="dxa"/>
            <w:vAlign w:val="bottom"/>
            <w:tcBorders>
              <w:bottom w:val="single" w:sz="8" w:color="D9D9D9"/>
            </w:tcBorders>
            <w:shd w:val="clear" w:color="auto" w:fill="D9D9D9"/>
          </w:tcPr>
          <w:p>
            <w:pPr>
              <w:spacing w:after="0"/>
              <w:rPr>
                <w:sz w:val="13"/>
                <w:szCs w:val="13"/>
                <w:color w:val="auto"/>
              </w:rPr>
            </w:pPr>
          </w:p>
        </w:tc>
        <w:tc>
          <w:tcPr>
            <w:tcW w:w="12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60" w:type="dxa"/>
            <w:vAlign w:val="bottom"/>
            <w:tcBorders>
              <w:bottom w:val="single" w:sz="8" w:color="D9D9D9"/>
            </w:tcBorders>
            <w:shd w:val="clear" w:color="auto" w:fill="D9D9D9"/>
          </w:tcPr>
          <w:p>
            <w:pPr>
              <w:spacing w:after="0"/>
              <w:rPr>
                <w:sz w:val="13"/>
                <w:szCs w:val="13"/>
                <w:color w:val="auto"/>
              </w:rPr>
            </w:pPr>
          </w:p>
        </w:tc>
        <w:tc>
          <w:tcPr>
            <w:tcW w:w="220" w:type="dxa"/>
            <w:vAlign w:val="bottom"/>
            <w:tcBorders>
              <w:bottom w:val="single" w:sz="8" w:color="D9D9D9"/>
            </w:tcBorders>
            <w:shd w:val="clear" w:color="auto" w:fill="D9D9D9"/>
          </w:tcPr>
          <w:p>
            <w:pPr>
              <w:spacing w:after="0"/>
              <w:rPr>
                <w:sz w:val="13"/>
                <w:szCs w:val="13"/>
                <w:color w:val="auto"/>
              </w:rPr>
            </w:pPr>
          </w:p>
        </w:tc>
        <w:tc>
          <w:tcPr>
            <w:tcW w:w="6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3"/>
                <w:szCs w:val="13"/>
                <w:color w:val="auto"/>
                <w:w w:val="96"/>
              </w:rPr>
              <w:t>$0</w:t>
            </w:r>
          </w:p>
        </w:tc>
        <w:tc>
          <w:tcPr>
            <w:tcW w:w="560" w:type="dxa"/>
            <w:vAlign w:val="bottom"/>
            <w:tcBorders>
              <w:bottom w:val="single" w:sz="8" w:color="D9D9D9"/>
            </w:tcBorders>
            <w:shd w:val="clear" w:color="auto" w:fill="D9D9D9"/>
          </w:tcPr>
          <w:p>
            <w:pPr>
              <w:spacing w:after="0"/>
              <w:rPr>
                <w:sz w:val="13"/>
                <w:szCs w:val="13"/>
                <w:color w:val="auto"/>
              </w:rPr>
            </w:pPr>
          </w:p>
        </w:tc>
        <w:tc>
          <w:tcPr>
            <w:tcW w:w="600" w:type="dxa"/>
            <w:vAlign w:val="bottom"/>
            <w:tcBorders>
              <w:bottom w:val="single" w:sz="8" w:color="auto"/>
            </w:tcBorders>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4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tcBorders>
              <w:bottom w:val="single" w:sz="8" w:color="D9D9D9"/>
            </w:tcBorders>
            <w:shd w:val="clear" w:color="auto" w:fill="D9D9D9"/>
          </w:tcPr>
          <w:p>
            <w:pPr>
              <w:spacing w:after="0"/>
              <w:rPr>
                <w:sz w:val="13"/>
                <w:szCs w:val="13"/>
                <w:color w:val="auto"/>
              </w:rPr>
            </w:pPr>
          </w:p>
        </w:tc>
      </w:tr>
      <w:tr>
        <w:trPr>
          <w:trHeight w:val="152"/>
        </w:trPr>
        <w:tc>
          <w:tcPr>
            <w:tcW w:w="3800" w:type="dxa"/>
            <w:vAlign w:val="bottom"/>
            <w:shd w:val="clear" w:color="auto" w:fill="D9D9D9"/>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410,030</w:t>
            </w:r>
          </w:p>
        </w:tc>
        <w:tc>
          <w:tcPr>
            <w:tcW w:w="1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509,483</w:t>
            </w:r>
          </w:p>
        </w:tc>
        <w:tc>
          <w:tcPr>
            <w:tcW w:w="260" w:type="dxa"/>
            <w:vAlign w:val="bottom"/>
            <w:shd w:val="clear" w:color="auto" w:fill="D9D9D9"/>
          </w:tcPr>
          <w:p>
            <w:pPr>
              <w:spacing w:after="0"/>
              <w:rPr>
                <w:sz w:val="13"/>
                <w:szCs w:val="13"/>
                <w:color w:val="auto"/>
              </w:rPr>
            </w:pPr>
          </w:p>
        </w:tc>
        <w:tc>
          <w:tcPr>
            <w:tcW w:w="820" w:type="dxa"/>
            <w:vAlign w:val="bottom"/>
            <w:gridSpan w:val="2"/>
            <w:shd w:val="clear" w:color="auto" w:fill="D9D9D9"/>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shd w:val="clear" w:color="auto" w:fill="D9D9D9"/>
          </w:tcPr>
          <w:p>
            <w:pPr>
              <w:spacing w:after="0"/>
              <w:rPr>
                <w:sz w:val="13"/>
                <w:szCs w:val="13"/>
                <w:color w:val="auto"/>
              </w:rPr>
            </w:pPr>
          </w:p>
        </w:tc>
        <w:tc>
          <w:tcPr>
            <w:tcW w:w="600" w:type="dxa"/>
            <w:vAlign w:val="bottom"/>
            <w:shd w:val="clear" w:color="auto" w:fill="D9D9D9"/>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438,845</w:t>
            </w:r>
          </w:p>
        </w:tc>
        <w:tc>
          <w:tcPr>
            <w:tcW w:w="4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3"/>
                <w:szCs w:val="13"/>
                <w:color w:val="auto"/>
              </w:rPr>
              <w:t>1,913,162</w:t>
            </w:r>
          </w:p>
        </w:tc>
        <w:tc>
          <w:tcPr>
            <w:tcW w:w="140" w:type="dxa"/>
            <w:vAlign w:val="bottom"/>
            <w:shd w:val="clear" w:color="auto" w:fill="D9D9D9"/>
          </w:tcPr>
          <w:p>
            <w:pPr>
              <w:spacing w:after="0"/>
              <w:rPr>
                <w:sz w:val="13"/>
                <w:szCs w:val="13"/>
                <w:color w:val="auto"/>
              </w:rPr>
            </w:pPr>
          </w:p>
        </w:tc>
      </w:tr>
      <w:tr>
        <w:trPr>
          <w:trHeight w:val="169"/>
        </w:trPr>
        <w:tc>
          <w:tcPr>
            <w:tcW w:w="3800" w:type="dxa"/>
            <w:vAlign w:val="bottom"/>
          </w:tcPr>
          <w:p>
            <w:pPr>
              <w:spacing w:after="0"/>
              <w:rPr>
                <w:sz w:val="20"/>
                <w:szCs w:val="20"/>
                <w:color w:val="auto"/>
              </w:rPr>
            </w:pPr>
            <w:r>
              <w:rPr>
                <w:rFonts w:ascii="Arial" w:cs="Arial" w:eastAsia="Arial" w:hAnsi="Arial"/>
                <w:sz w:val="13"/>
                <w:szCs w:val="13"/>
                <w:color w:val="auto"/>
              </w:rPr>
              <w:t>Bradley A. Hamilton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3800" w:type="dxa"/>
            <w:vAlign w:val="bottom"/>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1,085,000</w:t>
            </w:r>
          </w:p>
        </w:tc>
        <w:tc>
          <w:tcPr>
            <w:tcW w:w="140" w:type="dxa"/>
            <w:vAlign w:val="bottom"/>
          </w:tcPr>
          <w:p>
            <w:pPr>
              <w:spacing w:after="0"/>
              <w:rPr>
                <w:sz w:val="13"/>
                <w:szCs w:val="13"/>
                <w:color w:val="auto"/>
              </w:rPr>
            </w:pPr>
          </w:p>
        </w:tc>
      </w:tr>
      <w:tr>
        <w:trPr>
          <w:trHeight w:val="166"/>
        </w:trPr>
        <w:tc>
          <w:tcPr>
            <w:tcW w:w="3800" w:type="dxa"/>
            <w:vAlign w:val="bottom"/>
          </w:tcPr>
          <w:p>
            <w:pPr>
              <w:ind w:left="220"/>
              <w:spacing w:after="0" w:line="16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63,036</w:t>
            </w:r>
          </w:p>
        </w:tc>
        <w:tc>
          <w:tcPr>
            <w:tcW w:w="260" w:type="dxa"/>
            <w:vAlign w:val="bottom"/>
          </w:tcPr>
          <w:p>
            <w:pPr>
              <w:spacing w:after="0"/>
              <w:rPr>
                <w:sz w:val="14"/>
                <w:szCs w:val="14"/>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63,036</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63,036</w:t>
            </w:r>
          </w:p>
        </w:tc>
        <w:tc>
          <w:tcPr>
            <w:tcW w:w="140" w:type="dxa"/>
            <w:vAlign w:val="bottom"/>
          </w:tcPr>
          <w:p>
            <w:pPr>
              <w:spacing w:after="0"/>
              <w:rPr>
                <w:sz w:val="14"/>
                <w:szCs w:val="14"/>
                <w:color w:val="auto"/>
              </w:rPr>
            </w:pPr>
          </w:p>
        </w:tc>
      </w:tr>
      <w:tr>
        <w:trPr>
          <w:trHeight w:val="153"/>
        </w:trPr>
        <w:tc>
          <w:tcPr>
            <w:tcW w:w="3800" w:type="dxa"/>
            <w:vAlign w:val="bottom"/>
          </w:tcPr>
          <w:p>
            <w:pPr>
              <w:ind w:left="220"/>
              <w:spacing w:after="0"/>
              <w:rPr>
                <w:sz w:val="20"/>
                <w:szCs w:val="20"/>
                <w:color w:val="auto"/>
              </w:rPr>
            </w:pPr>
            <w:r>
              <w:rPr>
                <w:rFonts w:ascii="Arial" w:cs="Arial" w:eastAsia="Arial" w:hAnsi="Arial"/>
                <w:sz w:val="13"/>
                <w:szCs w:val="13"/>
                <w:color w:val="auto"/>
              </w:rPr>
              <w:t>Performance Share Award Payouts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181,045</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(4)</w:t>
            </w: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152,091</w:t>
            </w:r>
          </w:p>
        </w:tc>
        <w:tc>
          <w:tcPr>
            <w:tcW w:w="420" w:type="dxa"/>
            <w:vAlign w:val="bottom"/>
          </w:tcPr>
          <w:p>
            <w:pPr>
              <w:spacing w:after="0"/>
              <w:rPr>
                <w:sz w:val="20"/>
                <w:szCs w:val="20"/>
                <w:color w:val="auto"/>
              </w:rPr>
            </w:pPr>
            <w:r>
              <w:rPr>
                <w:rFonts w:ascii="Arial" w:cs="Arial" w:eastAsia="Arial" w:hAnsi="Arial"/>
                <w:sz w:val="11"/>
                <w:szCs w:val="11"/>
                <w:color w:val="auto"/>
              </w:rPr>
              <w:t>(5)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152,091</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(5)</w:t>
            </w:r>
          </w:p>
        </w:tc>
      </w:tr>
      <w:tr>
        <w:trPr>
          <w:trHeight w:val="159"/>
        </w:trPr>
        <w:tc>
          <w:tcPr>
            <w:tcW w:w="3800" w:type="dxa"/>
            <w:vAlign w:val="bottom"/>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3"/>
                <w:szCs w:val="13"/>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3"/>
                <w:szCs w:val="13"/>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60,033</w:t>
            </w:r>
          </w:p>
        </w:tc>
        <w:tc>
          <w:tcPr>
            <w:tcW w:w="140" w:type="dxa"/>
            <w:vAlign w:val="bottom"/>
          </w:tcPr>
          <w:p>
            <w:pPr>
              <w:spacing w:after="0"/>
              <w:rPr>
                <w:sz w:val="13"/>
                <w:szCs w:val="13"/>
                <w:color w:val="auto"/>
              </w:rPr>
            </w:pPr>
          </w:p>
        </w:tc>
      </w:tr>
      <w:tr>
        <w:trPr>
          <w:trHeight w:val="149"/>
        </w:trPr>
        <w:tc>
          <w:tcPr>
            <w:tcW w:w="3800" w:type="dxa"/>
            <w:vAlign w:val="bottom"/>
          </w:tcPr>
          <w:p>
            <w:pPr>
              <w:ind w:left="220"/>
              <w:spacing w:after="0" w:line="150"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7"/>
                <w:szCs w:val="17"/>
                <w:color w:val="auto"/>
                <w:vertAlign w:val="superscript"/>
              </w:rPr>
              <w:t>(7)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260" w:type="dxa"/>
            <w:vAlign w:val="bottom"/>
          </w:tcPr>
          <w:p>
            <w:pPr>
              <w:spacing w:after="0"/>
              <w:rPr>
                <w:sz w:val="12"/>
                <w:szCs w:val="12"/>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2"/>
                <w:szCs w:val="12"/>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5"/>
        </w:trPr>
        <w:tc>
          <w:tcPr>
            <w:tcW w:w="380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244,081</w:t>
            </w:r>
          </w:p>
        </w:tc>
        <w:tc>
          <w:tcPr>
            <w:tcW w:w="260" w:type="dxa"/>
            <w:vAlign w:val="bottom"/>
          </w:tcPr>
          <w:p>
            <w:pPr>
              <w:spacing w:after="0"/>
              <w:rPr>
                <w:sz w:val="14"/>
                <w:szCs w:val="14"/>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3"/>
                <w:szCs w:val="13"/>
                <w:color w:val="auto"/>
                <w:w w:val="96"/>
              </w:rPr>
              <w:t>$0</w:t>
            </w:r>
          </w:p>
        </w:tc>
        <w:tc>
          <w:tcPr>
            <w:tcW w:w="5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215,127</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1,390,160</w:t>
            </w:r>
          </w:p>
        </w:tc>
        <w:tc>
          <w:tcPr>
            <w:tcW w:w="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-4194175</wp:posOffset>
            </wp:positionV>
            <wp:extent cx="176593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659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207772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64" w:lineRule="exact"/>
        <w:rPr>
          <w:sz w:val="20"/>
          <w:szCs w:val="20"/>
          <w:color w:val="auto"/>
        </w:rPr>
      </w:pPr>
    </w:p>
    <w:p>
      <w:pPr>
        <w:ind w:left="402" w:right="540" w:hanging="402"/>
        <w:spacing w:after="0" w:line="255" w:lineRule="auto"/>
        <w:tabs>
          <w:tab w:leader="none" w:pos="402" w:val="left"/>
        </w:tabs>
        <w:numPr>
          <w:ilvl w:val="0"/>
          <w:numId w:val="88"/>
        </w:numPr>
        <w:rPr>
          <w:rFonts w:ascii="Arial" w:cs="Arial" w:eastAsia="Arial" w:hAnsi="Arial"/>
          <w:sz w:val="16"/>
          <w:szCs w:val="16"/>
          <w:color w:val="auto"/>
        </w:rPr>
      </w:pPr>
      <w:r>
        <w:rPr>
          <w:rFonts w:ascii="Arial" w:cs="Arial" w:eastAsia="Arial" w:hAnsi="Arial"/>
          <w:sz w:val="16"/>
          <w:szCs w:val="16"/>
          <w:color w:val="auto"/>
        </w:rPr>
        <w:t>Messrs. Brown and Dordell are the only named executive officers who met the retirement criteria on October 31, 2018. Mr. Brown retired from the Company on January 11, 2019.</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8" w:name="page69"/>
    <w:bookmarkEnd w:id="68"/>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02" w:right="40" w:hanging="402"/>
        <w:spacing w:after="0" w:line="247" w:lineRule="auto"/>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 reported represents two times (three times for Mr. Olson since he was CEO on October 31, 2018) the sum of the named executive officer’s (a) then current annual base salary (based on twelve times the highest monthly base salary paid to the named executive officer during the fiscal year ended October 31, 2018) and (b) then current target annual cash incentive award.</w:t>
      </w:r>
    </w:p>
    <w:p>
      <w:pPr>
        <w:spacing w:after="0" w:line="32" w:lineRule="exact"/>
        <w:rPr>
          <w:rFonts w:ascii="Arial" w:cs="Arial" w:eastAsia="Arial" w:hAnsi="Arial"/>
          <w:sz w:val="16"/>
          <w:szCs w:val="16"/>
          <w:color w:val="auto"/>
        </w:rPr>
      </w:pPr>
    </w:p>
    <w:p>
      <w:pPr>
        <w:ind w:left="402" w:right="40" w:hanging="402"/>
        <w:spacing w:after="0" w:line="243" w:lineRule="auto"/>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 reported represents the value of the automatic acceleration of vesting of unvested stock options. All amounts are based on the difference between: (a) the market price of our common stock underlying the unvested stock options as of October 31, 2018, and (b) the exercise price of the stock options. Because each of Messrs. Brown and Dordell meets the retirement criteria on October 31, 2018, upon such event any unvested stock options held would continue to vest for four additional years, but such extended vesting is not quantified in the above table, “Voluntary Resignation / Retirement” column.</w:t>
      </w:r>
    </w:p>
    <w:p>
      <w:pPr>
        <w:spacing w:after="0" w:line="222" w:lineRule="exact"/>
        <w:rPr>
          <w:rFonts w:ascii="Arial" w:cs="Arial" w:eastAsia="Arial" w:hAnsi="Arial"/>
          <w:sz w:val="16"/>
          <w:szCs w:val="16"/>
          <w:color w:val="auto"/>
        </w:rPr>
      </w:pPr>
    </w:p>
    <w:p>
      <w:pPr>
        <w:ind w:left="402" w:right="300" w:hanging="402"/>
        <w:spacing w:after="0" w:line="244" w:lineRule="auto"/>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 reported represents the value of the future payout of two-thirds of the named executive officer’s fiscal 2017 to fiscal 2019 performance share awards (based on two years of the three-year performance period completed as of October 31, 2018) and one-third of the named executive officer’s fiscal 2018 to fiscal 2020 performance share awards (based on the completion of one year of the three-year performance period completed as of October 31, 2018), assuming that the Compensation &amp; Human Resources Committee approves the payout at financial plan levels of performance.</w:t>
      </w:r>
    </w:p>
    <w:p>
      <w:pPr>
        <w:spacing w:after="0" w:line="35" w:lineRule="exact"/>
        <w:rPr>
          <w:rFonts w:ascii="Arial" w:cs="Arial" w:eastAsia="Arial" w:hAnsi="Arial"/>
          <w:sz w:val="16"/>
          <w:szCs w:val="16"/>
          <w:color w:val="auto"/>
        </w:rPr>
      </w:pPr>
    </w:p>
    <w:p>
      <w:pPr>
        <w:ind w:left="402" w:right="20" w:hanging="402"/>
        <w:spacing w:after="0" w:line="244" w:lineRule="auto"/>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Amounts reported represents the value of the immediate payout of the applicable number of shares of our common stock that the named executive officer would have been entitled to receive as payout for performance share awards for each of the fiscal 2017 to fiscal 2019 performance period and the fiscal 2018 to fiscal 2020 performance period. The value is based on: (a) the number of outstanding performance share awards at target as of October 31, 2018, multiplied by (b) the market price of our common stock on October 31, 2018.</w:t>
      </w:r>
    </w:p>
    <w:p>
      <w:pPr>
        <w:spacing w:after="0" w:line="35" w:lineRule="exact"/>
        <w:rPr>
          <w:rFonts w:ascii="Arial" w:cs="Arial" w:eastAsia="Arial" w:hAnsi="Arial"/>
          <w:sz w:val="16"/>
          <w:szCs w:val="16"/>
          <w:color w:val="auto"/>
        </w:rPr>
      </w:pPr>
    </w:p>
    <w:p>
      <w:pPr>
        <w:ind w:left="402" w:right="880" w:hanging="402"/>
        <w:spacing w:after="0" w:line="255" w:lineRule="auto"/>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 reported represents the estimated value of the welfare plan benefits for a three-year period based on our premium levels in effect on October 31, 2018.</w:t>
      </w:r>
    </w:p>
    <w:p>
      <w:pPr>
        <w:spacing w:after="0" w:line="25" w:lineRule="exact"/>
        <w:rPr>
          <w:rFonts w:ascii="Arial" w:cs="Arial" w:eastAsia="Arial" w:hAnsi="Arial"/>
          <w:sz w:val="16"/>
          <w:szCs w:val="16"/>
          <w:color w:val="auto"/>
        </w:rPr>
      </w:pPr>
    </w:p>
    <w:p>
      <w:pPr>
        <w:ind w:left="402" w:right="360" w:hanging="402"/>
        <w:spacing w:after="0" w:line="255" w:lineRule="auto"/>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 reported is based on the assumption that we would incur a $30,000 one-time cost for outplacement services to be provided for the two-year period.</w:t>
      </w:r>
    </w:p>
    <w:p>
      <w:pPr>
        <w:spacing w:after="0" w:line="25" w:lineRule="exact"/>
        <w:rPr>
          <w:rFonts w:ascii="Arial" w:cs="Arial" w:eastAsia="Arial" w:hAnsi="Arial"/>
          <w:sz w:val="16"/>
          <w:szCs w:val="16"/>
          <w:color w:val="auto"/>
        </w:rPr>
      </w:pPr>
    </w:p>
    <w:p>
      <w:pPr>
        <w:ind w:left="402" w:right="460" w:hanging="402"/>
        <w:spacing w:after="0" w:line="255" w:lineRule="auto"/>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 reported represents the value of (a) one additional year of financial planning services, (b) one additional executive physical, and (c) twelve additional months of automobile lease payments.</w:t>
      </w:r>
    </w:p>
    <w:p>
      <w:pPr>
        <w:spacing w:after="0" w:line="55" w:lineRule="exact"/>
        <w:rPr>
          <w:sz w:val="20"/>
          <w:szCs w:val="20"/>
          <w:color w:val="auto"/>
        </w:rPr>
      </w:pPr>
    </w:p>
    <w:p>
      <w:pPr>
        <w:ind w:left="2" w:firstLine="408"/>
        <w:spacing w:after="0" w:line="248" w:lineRule="auto"/>
        <w:rPr>
          <w:sz w:val="20"/>
          <w:szCs w:val="20"/>
          <w:color w:val="auto"/>
        </w:rPr>
      </w:pPr>
      <w:r>
        <w:rPr>
          <w:rFonts w:ascii="Arial" w:cs="Arial" w:eastAsia="Arial" w:hAnsi="Arial"/>
          <w:sz w:val="16"/>
          <w:szCs w:val="16"/>
          <w:b w:val="1"/>
          <w:bCs w:val="1"/>
          <w:color w:val="auto"/>
        </w:rPr>
        <w:t xml:space="preserve">Clawback Provisions. </w:t>
      </w:r>
      <w:r>
        <w:rPr>
          <w:rFonts w:ascii="Arial" w:cs="Arial" w:eastAsia="Arial" w:hAnsi="Arial"/>
          <w:sz w:val="16"/>
          <w:szCs w:val="16"/>
          <w:color w:val="auto"/>
        </w:rPr>
        <w:t>Our 2000 Plan and the related stock option agreements contain a “clawback” provision which provides that if, within one year</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termination of employment the participant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participant and granted under the 2000 Plan and demand the return of the economic value of any stock option which was realized or obtained by such participant during the period beginning on the date that is 12 months prior to the date of termination to the date of the last exercise.</w:t>
      </w:r>
    </w:p>
    <w:p>
      <w:pPr>
        <w:spacing w:after="0" w:line="80" w:lineRule="exact"/>
        <w:rPr>
          <w:sz w:val="20"/>
          <w:szCs w:val="20"/>
          <w:color w:val="auto"/>
        </w:rPr>
      </w:pPr>
    </w:p>
    <w:p>
      <w:pPr>
        <w:ind w:left="2" w:firstLine="408"/>
        <w:spacing w:after="0" w:line="241" w:lineRule="auto"/>
        <w:rPr>
          <w:sz w:val="20"/>
          <w:szCs w:val="20"/>
          <w:color w:val="auto"/>
        </w:rPr>
      </w:pPr>
      <w:r>
        <w:rPr>
          <w:rFonts w:ascii="Arial" w:cs="Arial" w:eastAsia="Arial" w:hAnsi="Arial"/>
          <w:sz w:val="16"/>
          <w:szCs w:val="16"/>
          <w:color w:val="auto"/>
        </w:rPr>
        <w:t>In addition, under the Amended and Restated 2010 Plan and related award agreements, if a participant is determined by the Compensation &amp; Human Resources Committee to have taken any adverse action similar to those actions described above, all rights of such participant under the Amended and Restated 2010 Plan and any agreements evidencing an award then held by the participant will terminate and be forfeited and the Committee may require the executive to 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 In addition, if we are required to prepare an accounting restatement due to our material noncompliance, as a result of misconduct, with any financial reporting requirement under the securities laws, then any participant who is one of the individuals subject to automatic forfeiture under Section 304 of the Sarbanes-Oxley Act of 2002 must reimburse us for the amount of any award received by such individual under the Amended and Restated 2010 Plan during the 12-month period following the first public issuance or filing with the SEC, as the case may be, of the financial document embodying such financial reporting requirement. These clawback provisions are in addition to any automatic clawback or forfeiture law, rule or regulation of which our named executive officers may be subject, including under the Sarbanes-Oxley Act of 2002 and the Dodd-Frank Act, as well as any policy that may be adopted by us.</w:t>
      </w:r>
    </w:p>
    <w:p>
      <w:pPr>
        <w:spacing w:after="0" w:line="18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Pay Ratio Disclosure</w:t>
      </w:r>
    </w:p>
    <w:p>
      <w:pPr>
        <w:spacing w:after="0" w:line="112"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In accordance with Item 402(u) of Regulation S-K, passed as part of the Dodd-Frank Wall Street Reform and Consumer Protection Act of 2010, we calculated the ratio of annual total compensation of Mr. Olson relative to the annual total compensation of our median employee. To determine the median employee, we identified that, as of August, 31, 2018, our total employee population was 6,011 employees. We identified our median employee from this population (excluding Mr. Olson) by using base salary as our consistently applied compensation measure. Once we identified our median employee, we calculated the annual total compensation of this median employee using the same methodology that we used to calculate the annual total compensation of our named executive officers, including Mr. Olson, in the Summary Compensation Table. Mr. Olson’s annual total compensation for fiscal 2018, as set forth in the Summary Compensation Table on page 44, was $5,073,126. Annual total compensation for our median employee for fiscal 2018 was $43,302. The ratio of annual total compensation of Mr. Olson to the annual total compensation of our median employee for fiscal 2018 is 117:1.</w:t>
      </w:r>
    </w:p>
    <w:p>
      <w:pPr>
        <w:spacing w:after="0" w:line="90" w:lineRule="exact"/>
        <w:rPr>
          <w:sz w:val="20"/>
          <w:szCs w:val="20"/>
          <w:color w:val="auto"/>
        </w:rPr>
      </w:pPr>
    </w:p>
    <w:p>
      <w:pPr>
        <w:jc w:val="both"/>
        <w:ind w:firstLine="408"/>
        <w:spacing w:after="0" w:line="244" w:lineRule="auto"/>
        <w:rPr>
          <w:sz w:val="20"/>
          <w:szCs w:val="20"/>
          <w:color w:val="auto"/>
        </w:rPr>
      </w:pPr>
      <w:r>
        <w:rPr>
          <w:rFonts w:ascii="Arial" w:cs="Arial" w:eastAsia="Arial" w:hAnsi="Arial"/>
          <w:sz w:val="16"/>
          <w:szCs w:val="16"/>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0" w:name="page71"/>
    <w:bookmarkEnd w:id="7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59320" cy="186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FFFFFF"/>
        </w:rPr>
        <w:t>STOCK OWNERSHIP</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Significant Beneficial Owners</w:t>
      </w:r>
    </w:p>
    <w:p>
      <w:pPr>
        <w:spacing w:after="0" w:line="112" w:lineRule="exact"/>
        <w:rPr>
          <w:sz w:val="20"/>
          <w:szCs w:val="20"/>
          <w:color w:val="auto"/>
        </w:rPr>
      </w:pPr>
    </w:p>
    <w:p>
      <w:pPr>
        <w:ind w:left="2" w:right="80" w:firstLine="408"/>
        <w:spacing w:after="0" w:line="255" w:lineRule="auto"/>
        <w:rPr>
          <w:sz w:val="20"/>
          <w:szCs w:val="20"/>
          <w:color w:val="auto"/>
        </w:rPr>
      </w:pPr>
      <w:r>
        <w:rPr>
          <w:rFonts w:ascii="Arial" w:cs="Arial" w:eastAsia="Arial" w:hAnsi="Arial"/>
          <w:sz w:val="16"/>
          <w:szCs w:val="16"/>
          <w:color w:val="auto"/>
        </w:rPr>
        <w:t>The following table sets forth information known to us as of January 22, 2019, as to entities that have reported to the SEC or have otherwise advised us that they are a beneficial owner, as defined by the SEC’s rules and regulations, of more than five percent of our outstanding common stock.</w:t>
      </w:r>
    </w:p>
    <w:p>
      <w:pPr>
        <w:spacing w:after="0" w:line="88"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1980" w:type="dxa"/>
            <w:vAlign w:val="bottom"/>
            <w:shd w:val="clear" w:color="auto" w:fill="C00000"/>
          </w:tcPr>
          <w:p>
            <w:pPr>
              <w:spacing w:after="0"/>
              <w:rPr>
                <w:sz w:val="13"/>
                <w:szCs w:val="13"/>
                <w:color w:val="auto"/>
              </w:rPr>
            </w:pPr>
          </w:p>
        </w:tc>
        <w:tc>
          <w:tcPr>
            <w:tcW w:w="4580" w:type="dxa"/>
            <w:vAlign w:val="bottom"/>
            <w:shd w:val="clear" w:color="auto" w:fill="C00000"/>
          </w:tcPr>
          <w:p>
            <w:pPr>
              <w:ind w:left="980"/>
              <w:spacing w:after="0"/>
              <w:rPr>
                <w:sz w:val="20"/>
                <w:szCs w:val="20"/>
                <w:color w:val="auto"/>
              </w:rPr>
            </w:pPr>
            <w:r>
              <w:rPr>
                <w:rFonts w:ascii="Arial" w:cs="Arial" w:eastAsia="Arial" w:hAnsi="Arial"/>
                <w:sz w:val="13"/>
                <w:szCs w:val="13"/>
                <w:color w:val="FFFFFF"/>
              </w:rPr>
              <w:t>Name and Address</w:t>
            </w:r>
          </w:p>
        </w:tc>
        <w:tc>
          <w:tcPr>
            <w:tcW w:w="3480" w:type="dxa"/>
            <w:vAlign w:val="bottom"/>
            <w:shd w:val="clear" w:color="auto" w:fill="C00000"/>
          </w:tcPr>
          <w:p>
            <w:pPr>
              <w:jc w:val="center"/>
              <w:ind w:left="1194"/>
              <w:spacing w:after="0"/>
              <w:rPr>
                <w:sz w:val="20"/>
                <w:szCs w:val="20"/>
                <w:color w:val="auto"/>
              </w:rPr>
            </w:pPr>
            <w:r>
              <w:rPr>
                <w:rFonts w:ascii="Arial" w:cs="Arial" w:eastAsia="Arial" w:hAnsi="Arial"/>
                <w:sz w:val="13"/>
                <w:szCs w:val="13"/>
                <w:color w:val="FFFFFF"/>
              </w:rPr>
              <w:t>Amount and Nature</w:t>
            </w:r>
          </w:p>
        </w:tc>
        <w:tc>
          <w:tcPr>
            <w:tcW w:w="1380" w:type="dxa"/>
            <w:vAlign w:val="bottom"/>
            <w:shd w:val="clear" w:color="auto" w:fill="C00000"/>
          </w:tcPr>
          <w:p>
            <w:pPr>
              <w:jc w:val="center"/>
              <w:ind w:left="32"/>
              <w:spacing w:after="0"/>
              <w:rPr>
                <w:sz w:val="20"/>
                <w:szCs w:val="20"/>
                <w:color w:val="auto"/>
              </w:rPr>
            </w:pPr>
            <w:r>
              <w:rPr>
                <w:rFonts w:ascii="Arial" w:cs="Arial" w:eastAsia="Arial" w:hAnsi="Arial"/>
                <w:sz w:val="13"/>
                <w:szCs w:val="13"/>
                <w:color w:val="FFFFFF"/>
                <w:w w:val="98"/>
              </w:rPr>
              <w:t>Percent</w:t>
            </w:r>
          </w:p>
        </w:tc>
      </w:tr>
      <w:tr>
        <w:trPr>
          <w:trHeight w:val="149"/>
        </w:trPr>
        <w:tc>
          <w:tcPr>
            <w:tcW w:w="1980" w:type="dxa"/>
            <w:vAlign w:val="bottom"/>
            <w:shd w:val="clear" w:color="auto" w:fill="C00000"/>
          </w:tcPr>
          <w:p>
            <w:pPr>
              <w:spacing w:after="0"/>
              <w:rPr>
                <w:sz w:val="20"/>
                <w:szCs w:val="20"/>
                <w:color w:val="auto"/>
              </w:rPr>
            </w:pPr>
            <w:r>
              <w:rPr>
                <w:rFonts w:ascii="Arial" w:cs="Arial" w:eastAsia="Arial" w:hAnsi="Arial"/>
                <w:sz w:val="13"/>
                <w:szCs w:val="13"/>
                <w:color w:val="FFFFFF"/>
              </w:rPr>
              <w:t>Title of Class</w:t>
            </w:r>
          </w:p>
        </w:tc>
        <w:tc>
          <w:tcPr>
            <w:tcW w:w="4580" w:type="dxa"/>
            <w:vAlign w:val="bottom"/>
            <w:shd w:val="clear" w:color="auto" w:fill="C00000"/>
          </w:tcPr>
          <w:p>
            <w:pPr>
              <w:ind w:left="980"/>
              <w:spacing w:after="0"/>
              <w:rPr>
                <w:sz w:val="20"/>
                <w:szCs w:val="20"/>
                <w:color w:val="auto"/>
              </w:rPr>
            </w:pPr>
            <w:r>
              <w:rPr>
                <w:rFonts w:ascii="Arial" w:cs="Arial" w:eastAsia="Arial" w:hAnsi="Arial"/>
                <w:sz w:val="13"/>
                <w:szCs w:val="13"/>
                <w:color w:val="FFFFFF"/>
              </w:rPr>
              <w:t>of Beneficial Owner</w:t>
            </w:r>
          </w:p>
        </w:tc>
        <w:tc>
          <w:tcPr>
            <w:tcW w:w="3480" w:type="dxa"/>
            <w:vAlign w:val="bottom"/>
            <w:shd w:val="clear" w:color="auto" w:fill="C00000"/>
          </w:tcPr>
          <w:p>
            <w:pPr>
              <w:jc w:val="center"/>
              <w:ind w:left="1194"/>
              <w:spacing w:after="0"/>
              <w:rPr>
                <w:sz w:val="20"/>
                <w:szCs w:val="20"/>
                <w:color w:val="auto"/>
              </w:rPr>
            </w:pPr>
            <w:r>
              <w:rPr>
                <w:rFonts w:ascii="Arial" w:cs="Arial" w:eastAsia="Arial" w:hAnsi="Arial"/>
                <w:sz w:val="13"/>
                <w:szCs w:val="13"/>
                <w:color w:val="FFFFFF"/>
              </w:rPr>
              <w:t>of Beneficial Ownership</w:t>
            </w:r>
          </w:p>
        </w:tc>
        <w:tc>
          <w:tcPr>
            <w:tcW w:w="1380" w:type="dxa"/>
            <w:vAlign w:val="bottom"/>
            <w:shd w:val="clear" w:color="auto" w:fill="C00000"/>
          </w:tcPr>
          <w:p>
            <w:pPr>
              <w:jc w:val="center"/>
              <w:ind w:left="32"/>
              <w:spacing w:after="0" w:line="150" w:lineRule="exact"/>
              <w:rPr>
                <w:sz w:val="20"/>
                <w:szCs w:val="20"/>
                <w:color w:val="auto"/>
              </w:rPr>
            </w:pPr>
            <w:r>
              <w:rPr>
                <w:rFonts w:ascii="Arial" w:cs="Arial" w:eastAsia="Arial" w:hAnsi="Arial"/>
                <w:sz w:val="11"/>
                <w:szCs w:val="11"/>
                <w:color w:val="FFFFFF"/>
              </w:rPr>
              <w:t>of Class</w:t>
            </w:r>
            <w:r>
              <w:rPr>
                <w:rFonts w:ascii="Arial" w:cs="Arial" w:eastAsia="Arial" w:hAnsi="Arial"/>
                <w:sz w:val="17"/>
                <w:szCs w:val="17"/>
                <w:color w:val="FFFFFF"/>
                <w:vertAlign w:val="superscript"/>
              </w:rPr>
              <w:t>(1)</w:t>
            </w:r>
          </w:p>
        </w:tc>
      </w:tr>
      <w:tr>
        <w:trPr>
          <w:trHeight w:val="186"/>
        </w:trPr>
        <w:tc>
          <w:tcPr>
            <w:tcW w:w="1980" w:type="dxa"/>
            <w:vAlign w:val="bottom"/>
          </w:tcPr>
          <w:p>
            <w:pPr>
              <w:spacing w:after="0"/>
              <w:rPr>
                <w:sz w:val="20"/>
                <w:szCs w:val="20"/>
                <w:color w:val="auto"/>
              </w:rPr>
            </w:pPr>
            <w:r>
              <w:rPr>
                <w:rFonts w:ascii="Arial" w:cs="Arial" w:eastAsia="Arial" w:hAnsi="Arial"/>
                <w:sz w:val="15"/>
                <w:szCs w:val="15"/>
                <w:color w:val="auto"/>
              </w:rPr>
              <w:t>Common Stock</w:t>
            </w:r>
          </w:p>
        </w:tc>
        <w:tc>
          <w:tcPr>
            <w:tcW w:w="4580" w:type="dxa"/>
            <w:vAlign w:val="bottom"/>
          </w:tcPr>
          <w:p>
            <w:pPr>
              <w:ind w:left="980"/>
              <w:spacing w:after="0"/>
              <w:rPr>
                <w:sz w:val="20"/>
                <w:szCs w:val="20"/>
                <w:color w:val="auto"/>
              </w:rPr>
            </w:pPr>
            <w:r>
              <w:rPr>
                <w:rFonts w:ascii="Arial" w:cs="Arial" w:eastAsia="Arial" w:hAnsi="Arial"/>
                <w:sz w:val="15"/>
                <w:szCs w:val="15"/>
                <w:color w:val="auto"/>
              </w:rPr>
              <w:t>The Vanguard Group, Inc.</w:t>
            </w:r>
          </w:p>
        </w:tc>
        <w:tc>
          <w:tcPr>
            <w:tcW w:w="3480" w:type="dxa"/>
            <w:vAlign w:val="bottom"/>
          </w:tcPr>
          <w:p>
            <w:pPr>
              <w:jc w:val="center"/>
              <w:ind w:left="1174"/>
              <w:spacing w:after="0" w:line="186" w:lineRule="exact"/>
              <w:rPr>
                <w:sz w:val="20"/>
                <w:szCs w:val="20"/>
                <w:color w:val="auto"/>
              </w:rPr>
            </w:pPr>
            <w:r>
              <w:rPr>
                <w:rFonts w:ascii="Arial" w:cs="Arial" w:eastAsia="Arial" w:hAnsi="Arial"/>
                <w:sz w:val="13"/>
                <w:szCs w:val="13"/>
                <w:color w:val="auto"/>
              </w:rPr>
              <w:t>9,813,887</w:t>
            </w:r>
            <w:r>
              <w:rPr>
                <w:rFonts w:ascii="Arial" w:cs="Arial" w:eastAsia="Arial" w:hAnsi="Arial"/>
                <w:sz w:val="21"/>
                <w:szCs w:val="21"/>
                <w:color w:val="auto"/>
                <w:vertAlign w:val="superscript"/>
              </w:rPr>
              <w:t>(2)</w:t>
            </w:r>
          </w:p>
        </w:tc>
        <w:tc>
          <w:tcPr>
            <w:tcW w:w="1380" w:type="dxa"/>
            <w:vAlign w:val="bottom"/>
          </w:tcPr>
          <w:p>
            <w:pPr>
              <w:jc w:val="center"/>
              <w:ind w:left="32"/>
              <w:spacing w:after="0"/>
              <w:rPr>
                <w:sz w:val="20"/>
                <w:szCs w:val="20"/>
                <w:color w:val="auto"/>
              </w:rPr>
            </w:pPr>
            <w:r>
              <w:rPr>
                <w:rFonts w:ascii="Arial" w:cs="Arial" w:eastAsia="Arial" w:hAnsi="Arial"/>
                <w:sz w:val="15"/>
                <w:szCs w:val="15"/>
                <w:color w:val="auto"/>
                <w:w w:val="93"/>
              </w:rPr>
              <w:t>9.25%</w:t>
            </w:r>
          </w:p>
        </w:tc>
      </w:tr>
      <w:tr>
        <w:trPr>
          <w:trHeight w:val="172"/>
        </w:trPr>
        <w:tc>
          <w:tcPr>
            <w:tcW w:w="1980" w:type="dxa"/>
            <w:vAlign w:val="bottom"/>
          </w:tcPr>
          <w:p>
            <w:pPr>
              <w:spacing w:after="0"/>
              <w:rPr>
                <w:sz w:val="14"/>
                <w:szCs w:val="14"/>
                <w:color w:val="auto"/>
              </w:rPr>
            </w:pPr>
          </w:p>
        </w:tc>
        <w:tc>
          <w:tcPr>
            <w:tcW w:w="4580" w:type="dxa"/>
            <w:vAlign w:val="bottom"/>
          </w:tcPr>
          <w:p>
            <w:pPr>
              <w:ind w:left="980"/>
              <w:spacing w:after="0"/>
              <w:rPr>
                <w:sz w:val="20"/>
                <w:szCs w:val="20"/>
                <w:color w:val="auto"/>
              </w:rPr>
            </w:pPr>
            <w:r>
              <w:rPr>
                <w:rFonts w:ascii="Arial" w:cs="Arial" w:eastAsia="Arial" w:hAnsi="Arial"/>
                <w:sz w:val="15"/>
                <w:szCs w:val="15"/>
                <w:color w:val="auto"/>
              </w:rPr>
              <w:t>100 Vanguard Blvd.</w:t>
            </w:r>
          </w:p>
        </w:tc>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4580" w:type="dxa"/>
            <w:vAlign w:val="bottom"/>
          </w:tcPr>
          <w:p>
            <w:pPr>
              <w:ind w:left="980"/>
              <w:spacing w:after="0" w:line="170" w:lineRule="exact"/>
              <w:rPr>
                <w:sz w:val="20"/>
                <w:szCs w:val="20"/>
                <w:color w:val="auto"/>
              </w:rPr>
            </w:pPr>
            <w:r>
              <w:rPr>
                <w:rFonts w:ascii="Arial" w:cs="Arial" w:eastAsia="Arial" w:hAnsi="Arial"/>
                <w:sz w:val="15"/>
                <w:szCs w:val="15"/>
                <w:color w:val="auto"/>
              </w:rPr>
              <w:t>Malvern, PA 19355</w:t>
            </w:r>
          </w:p>
        </w:tc>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198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580" w:type="dxa"/>
            <w:vAlign w:val="bottom"/>
            <w:shd w:val="clear" w:color="auto" w:fill="D9D9D9"/>
          </w:tcPr>
          <w:p>
            <w:pPr>
              <w:ind w:left="980"/>
              <w:spacing w:after="0"/>
              <w:rPr>
                <w:sz w:val="20"/>
                <w:szCs w:val="20"/>
                <w:color w:val="auto"/>
              </w:rPr>
            </w:pPr>
            <w:r>
              <w:rPr>
                <w:rFonts w:ascii="Arial" w:cs="Arial" w:eastAsia="Arial" w:hAnsi="Arial"/>
                <w:sz w:val="15"/>
                <w:szCs w:val="15"/>
                <w:color w:val="auto"/>
              </w:rPr>
              <w:t>BlackRock, Inc.</w:t>
            </w:r>
          </w:p>
        </w:tc>
        <w:tc>
          <w:tcPr>
            <w:tcW w:w="3480" w:type="dxa"/>
            <w:vAlign w:val="bottom"/>
            <w:shd w:val="clear" w:color="auto" w:fill="D9D9D9"/>
          </w:tcPr>
          <w:p>
            <w:pPr>
              <w:jc w:val="center"/>
              <w:ind w:left="1174"/>
              <w:spacing w:after="0" w:line="186" w:lineRule="exact"/>
              <w:rPr>
                <w:sz w:val="20"/>
                <w:szCs w:val="20"/>
                <w:color w:val="auto"/>
              </w:rPr>
            </w:pPr>
            <w:r>
              <w:rPr>
                <w:rFonts w:ascii="Arial" w:cs="Arial" w:eastAsia="Arial" w:hAnsi="Arial"/>
                <w:sz w:val="13"/>
                <w:szCs w:val="13"/>
                <w:color w:val="auto"/>
              </w:rPr>
              <w:t>9,445,965</w:t>
            </w:r>
            <w:r>
              <w:rPr>
                <w:rFonts w:ascii="Arial" w:cs="Arial" w:eastAsia="Arial" w:hAnsi="Arial"/>
                <w:sz w:val="21"/>
                <w:szCs w:val="21"/>
                <w:color w:val="auto"/>
                <w:vertAlign w:val="superscript"/>
              </w:rPr>
              <w:t>(3)</w:t>
            </w:r>
          </w:p>
        </w:tc>
        <w:tc>
          <w:tcPr>
            <w:tcW w:w="1380" w:type="dxa"/>
            <w:vAlign w:val="bottom"/>
            <w:shd w:val="clear" w:color="auto" w:fill="D9D9D9"/>
          </w:tcPr>
          <w:p>
            <w:pPr>
              <w:jc w:val="center"/>
              <w:ind w:left="32"/>
              <w:spacing w:after="0"/>
              <w:rPr>
                <w:sz w:val="20"/>
                <w:szCs w:val="20"/>
                <w:color w:val="auto"/>
              </w:rPr>
            </w:pPr>
            <w:r>
              <w:rPr>
                <w:rFonts w:ascii="Arial" w:cs="Arial" w:eastAsia="Arial" w:hAnsi="Arial"/>
                <w:sz w:val="15"/>
                <w:szCs w:val="15"/>
                <w:color w:val="auto"/>
                <w:w w:val="93"/>
              </w:rPr>
              <w:t>8.90%</w:t>
            </w:r>
          </w:p>
        </w:tc>
      </w:tr>
      <w:tr>
        <w:trPr>
          <w:trHeight w:val="172"/>
        </w:trPr>
        <w:tc>
          <w:tcPr>
            <w:tcW w:w="1980" w:type="dxa"/>
            <w:vAlign w:val="bottom"/>
            <w:shd w:val="clear" w:color="auto" w:fill="D9D9D9"/>
          </w:tcPr>
          <w:p>
            <w:pPr>
              <w:spacing w:after="0"/>
              <w:rPr>
                <w:sz w:val="14"/>
                <w:szCs w:val="14"/>
                <w:color w:val="auto"/>
              </w:rPr>
            </w:pPr>
          </w:p>
        </w:tc>
        <w:tc>
          <w:tcPr>
            <w:tcW w:w="4580" w:type="dxa"/>
            <w:vAlign w:val="bottom"/>
            <w:shd w:val="clear" w:color="auto" w:fill="D9D9D9"/>
          </w:tcPr>
          <w:p>
            <w:pPr>
              <w:ind w:left="980"/>
              <w:spacing w:after="0"/>
              <w:rPr>
                <w:sz w:val="20"/>
                <w:szCs w:val="20"/>
                <w:color w:val="auto"/>
              </w:rPr>
            </w:pPr>
            <w:r>
              <w:rPr>
                <w:rFonts w:ascii="Arial" w:cs="Arial" w:eastAsia="Arial" w:hAnsi="Arial"/>
                <w:sz w:val="15"/>
                <w:szCs w:val="15"/>
                <w:color w:val="auto"/>
              </w:rPr>
              <w:t>55 East 52nd St.</w:t>
            </w:r>
          </w:p>
        </w:tc>
        <w:tc>
          <w:tcPr>
            <w:tcW w:w="3480" w:type="dxa"/>
            <w:vAlign w:val="bottom"/>
            <w:shd w:val="clear" w:color="auto" w:fill="D9D9D9"/>
          </w:tcPr>
          <w:p>
            <w:pPr>
              <w:spacing w:after="0"/>
              <w:rPr>
                <w:sz w:val="14"/>
                <w:szCs w:val="14"/>
                <w:color w:val="auto"/>
              </w:rPr>
            </w:pPr>
          </w:p>
        </w:tc>
        <w:tc>
          <w:tcPr>
            <w:tcW w:w="1380" w:type="dxa"/>
            <w:vAlign w:val="bottom"/>
            <w:shd w:val="clear" w:color="auto" w:fill="D9D9D9"/>
          </w:tcPr>
          <w:p>
            <w:pPr>
              <w:spacing w:after="0"/>
              <w:rPr>
                <w:sz w:val="14"/>
                <w:szCs w:val="14"/>
                <w:color w:val="auto"/>
              </w:rPr>
            </w:pPr>
          </w:p>
        </w:tc>
      </w:tr>
      <w:tr>
        <w:trPr>
          <w:trHeight w:val="170"/>
        </w:trPr>
        <w:tc>
          <w:tcPr>
            <w:tcW w:w="1980" w:type="dxa"/>
            <w:vAlign w:val="bottom"/>
            <w:shd w:val="clear" w:color="auto" w:fill="D9D9D9"/>
          </w:tcPr>
          <w:p>
            <w:pPr>
              <w:spacing w:after="0"/>
              <w:rPr>
                <w:sz w:val="14"/>
                <w:szCs w:val="14"/>
                <w:color w:val="auto"/>
              </w:rPr>
            </w:pPr>
          </w:p>
        </w:tc>
        <w:tc>
          <w:tcPr>
            <w:tcW w:w="4580" w:type="dxa"/>
            <w:vAlign w:val="bottom"/>
            <w:shd w:val="clear" w:color="auto" w:fill="D9D9D9"/>
          </w:tcPr>
          <w:p>
            <w:pPr>
              <w:ind w:left="980"/>
              <w:spacing w:after="0" w:line="170" w:lineRule="exact"/>
              <w:rPr>
                <w:sz w:val="20"/>
                <w:szCs w:val="20"/>
                <w:color w:val="auto"/>
              </w:rPr>
            </w:pPr>
            <w:r>
              <w:rPr>
                <w:rFonts w:ascii="Arial" w:cs="Arial" w:eastAsia="Arial" w:hAnsi="Arial"/>
                <w:sz w:val="15"/>
                <w:szCs w:val="15"/>
                <w:color w:val="auto"/>
              </w:rPr>
              <w:t>New York, NY 10055</w:t>
            </w:r>
          </w:p>
        </w:tc>
        <w:tc>
          <w:tcPr>
            <w:tcW w:w="3480" w:type="dxa"/>
            <w:vAlign w:val="bottom"/>
            <w:shd w:val="clear" w:color="auto" w:fill="D9D9D9"/>
          </w:tcPr>
          <w:p>
            <w:pPr>
              <w:spacing w:after="0"/>
              <w:rPr>
                <w:sz w:val="14"/>
                <w:szCs w:val="14"/>
                <w:color w:val="auto"/>
              </w:rPr>
            </w:pPr>
          </w:p>
        </w:tc>
        <w:tc>
          <w:tcPr>
            <w:tcW w:w="1380" w:type="dxa"/>
            <w:vAlign w:val="bottom"/>
            <w:shd w:val="clear" w:color="auto" w:fill="D9D9D9"/>
          </w:tcPr>
          <w:p>
            <w:pPr>
              <w:spacing w:after="0"/>
              <w:rPr>
                <w:sz w:val="14"/>
                <w:szCs w:val="14"/>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5"/>
                <w:szCs w:val="15"/>
                <w:color w:val="auto"/>
              </w:rPr>
              <w:t>Common Stock</w:t>
            </w:r>
          </w:p>
        </w:tc>
        <w:tc>
          <w:tcPr>
            <w:tcW w:w="4580" w:type="dxa"/>
            <w:vAlign w:val="bottom"/>
          </w:tcPr>
          <w:p>
            <w:pPr>
              <w:ind w:left="980"/>
              <w:spacing w:after="0"/>
              <w:rPr>
                <w:sz w:val="20"/>
                <w:szCs w:val="20"/>
                <w:color w:val="auto"/>
              </w:rPr>
            </w:pPr>
            <w:r>
              <w:rPr>
                <w:rFonts w:ascii="Arial" w:cs="Arial" w:eastAsia="Arial" w:hAnsi="Arial"/>
                <w:sz w:val="15"/>
                <w:szCs w:val="15"/>
                <w:color w:val="auto"/>
              </w:rPr>
              <w:t>T Rowe Price Associates Inc.</w:t>
            </w:r>
          </w:p>
        </w:tc>
        <w:tc>
          <w:tcPr>
            <w:tcW w:w="3480" w:type="dxa"/>
            <w:vAlign w:val="bottom"/>
          </w:tcPr>
          <w:p>
            <w:pPr>
              <w:jc w:val="center"/>
              <w:ind w:left="1174"/>
              <w:spacing w:after="0" w:line="186" w:lineRule="exact"/>
              <w:rPr>
                <w:sz w:val="20"/>
                <w:szCs w:val="20"/>
                <w:color w:val="auto"/>
              </w:rPr>
            </w:pPr>
            <w:r>
              <w:rPr>
                <w:rFonts w:ascii="Arial" w:cs="Arial" w:eastAsia="Arial" w:hAnsi="Arial"/>
                <w:sz w:val="13"/>
                <w:szCs w:val="13"/>
                <w:color w:val="auto"/>
              </w:rPr>
              <w:t>8,977,830</w:t>
            </w:r>
            <w:r>
              <w:rPr>
                <w:rFonts w:ascii="Arial" w:cs="Arial" w:eastAsia="Arial" w:hAnsi="Arial"/>
                <w:sz w:val="21"/>
                <w:szCs w:val="21"/>
                <w:color w:val="auto"/>
                <w:vertAlign w:val="superscript"/>
              </w:rPr>
              <w:t>(4)</w:t>
            </w:r>
          </w:p>
        </w:tc>
        <w:tc>
          <w:tcPr>
            <w:tcW w:w="1380" w:type="dxa"/>
            <w:vAlign w:val="bottom"/>
          </w:tcPr>
          <w:p>
            <w:pPr>
              <w:jc w:val="center"/>
              <w:ind w:left="32"/>
              <w:spacing w:after="0"/>
              <w:rPr>
                <w:sz w:val="20"/>
                <w:szCs w:val="20"/>
                <w:color w:val="auto"/>
              </w:rPr>
            </w:pPr>
            <w:r>
              <w:rPr>
                <w:rFonts w:ascii="Arial" w:cs="Arial" w:eastAsia="Arial" w:hAnsi="Arial"/>
                <w:sz w:val="15"/>
                <w:szCs w:val="15"/>
                <w:color w:val="auto"/>
                <w:w w:val="93"/>
              </w:rPr>
              <w:t>8.46%</w:t>
            </w:r>
          </w:p>
        </w:tc>
      </w:tr>
      <w:tr>
        <w:trPr>
          <w:trHeight w:val="172"/>
        </w:trPr>
        <w:tc>
          <w:tcPr>
            <w:tcW w:w="1980" w:type="dxa"/>
            <w:vAlign w:val="bottom"/>
          </w:tcPr>
          <w:p>
            <w:pPr>
              <w:spacing w:after="0"/>
              <w:rPr>
                <w:sz w:val="14"/>
                <w:szCs w:val="14"/>
                <w:color w:val="auto"/>
              </w:rPr>
            </w:pPr>
          </w:p>
        </w:tc>
        <w:tc>
          <w:tcPr>
            <w:tcW w:w="4580" w:type="dxa"/>
            <w:vAlign w:val="bottom"/>
          </w:tcPr>
          <w:p>
            <w:pPr>
              <w:ind w:left="980"/>
              <w:spacing w:after="0"/>
              <w:rPr>
                <w:sz w:val="20"/>
                <w:szCs w:val="20"/>
                <w:color w:val="auto"/>
              </w:rPr>
            </w:pPr>
            <w:r>
              <w:rPr>
                <w:rFonts w:ascii="Arial" w:cs="Arial" w:eastAsia="Arial" w:hAnsi="Arial"/>
                <w:sz w:val="15"/>
                <w:szCs w:val="15"/>
                <w:color w:val="auto"/>
              </w:rPr>
              <w:t>100 East Pratt St.</w:t>
            </w:r>
          </w:p>
        </w:tc>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7"/>
        </w:trPr>
        <w:tc>
          <w:tcPr>
            <w:tcW w:w="1980" w:type="dxa"/>
            <w:vAlign w:val="bottom"/>
          </w:tcPr>
          <w:p>
            <w:pPr>
              <w:spacing w:after="0"/>
              <w:rPr>
                <w:sz w:val="15"/>
                <w:szCs w:val="15"/>
                <w:color w:val="auto"/>
              </w:rPr>
            </w:pPr>
          </w:p>
        </w:tc>
        <w:tc>
          <w:tcPr>
            <w:tcW w:w="4580" w:type="dxa"/>
            <w:vAlign w:val="bottom"/>
          </w:tcPr>
          <w:p>
            <w:pPr>
              <w:ind w:left="980"/>
              <w:spacing w:after="0"/>
              <w:rPr>
                <w:sz w:val="20"/>
                <w:szCs w:val="20"/>
                <w:color w:val="auto"/>
              </w:rPr>
            </w:pPr>
            <w:r>
              <w:rPr>
                <w:rFonts w:ascii="Arial" w:cs="Arial" w:eastAsia="Arial" w:hAnsi="Arial"/>
                <w:sz w:val="15"/>
                <w:szCs w:val="15"/>
                <w:color w:val="auto"/>
              </w:rPr>
              <w:t>Baltimore, MD 21202</w:t>
            </w:r>
          </w:p>
        </w:tc>
        <w:tc>
          <w:tcPr>
            <w:tcW w:w="348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20777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1" w:lineRule="exact"/>
        <w:rPr>
          <w:sz w:val="20"/>
          <w:szCs w:val="20"/>
          <w:color w:val="auto"/>
        </w:rPr>
      </w:pPr>
    </w:p>
    <w:p>
      <w:pPr>
        <w:ind w:left="402" w:hanging="402"/>
        <w:spacing w:after="0"/>
        <w:tabs>
          <w:tab w:leader="none" w:pos="4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Percent of class is based on 106,131,655 shares outstanding as of our record date.</w:t>
      </w:r>
    </w:p>
    <w:p>
      <w:pPr>
        <w:spacing w:after="0" w:line="48" w:lineRule="exact"/>
        <w:rPr>
          <w:rFonts w:ascii="Arial" w:cs="Arial" w:eastAsia="Arial" w:hAnsi="Arial"/>
          <w:sz w:val="16"/>
          <w:szCs w:val="16"/>
          <w:color w:val="auto"/>
        </w:rPr>
      </w:pPr>
    </w:p>
    <w:p>
      <w:pPr>
        <w:ind w:left="402" w:right="100" w:hanging="402"/>
        <w:spacing w:after="0" w:line="244" w:lineRule="auto"/>
        <w:tabs>
          <w:tab w:leader="none" w:pos="4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13F/A of The Vanguard Group, Inc., an investment adviser, filed with the SEC on December 13, 2018, reflecting beneficial ownership as of September 30, 2018, with sole investment discretion but no voting authority with respect to 9,745,028 shares, sole investment discretion and voting authority with respect to 9,722 shares, shared investment discretion but sole voting authority with respect to 46,300 shares and shared discretion and voting authority with respect to 12,837 shares.</w:t>
      </w:r>
    </w:p>
    <w:p>
      <w:pPr>
        <w:spacing w:after="0" w:line="35" w:lineRule="exact"/>
        <w:rPr>
          <w:rFonts w:ascii="Arial" w:cs="Arial" w:eastAsia="Arial" w:hAnsi="Arial"/>
          <w:sz w:val="16"/>
          <w:szCs w:val="16"/>
          <w:color w:val="auto"/>
        </w:rPr>
      </w:pPr>
    </w:p>
    <w:p>
      <w:pPr>
        <w:ind w:left="402" w:right="260" w:hanging="402"/>
        <w:spacing w:after="0" w:line="244" w:lineRule="auto"/>
        <w:tabs>
          <w:tab w:leader="none" w:pos="4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BlackRock, Inc., a parent holding company, filed with the SEC on November 9, 2018, reflecting beneficial ownership as of September 30, 2018, with sole investment discretion and voting authority with respect to 9,034,902 shares and sole investment discretion but no voting authority with respect 411,063 shares. BlackRock, Inc. does not have shared voting or dispositive power over any of the shares.</w:t>
      </w:r>
    </w:p>
    <w:p>
      <w:pPr>
        <w:spacing w:after="0" w:line="35" w:lineRule="exact"/>
        <w:rPr>
          <w:rFonts w:ascii="Arial" w:cs="Arial" w:eastAsia="Arial" w:hAnsi="Arial"/>
          <w:sz w:val="16"/>
          <w:szCs w:val="16"/>
          <w:color w:val="auto"/>
        </w:rPr>
      </w:pPr>
    </w:p>
    <w:p>
      <w:pPr>
        <w:ind w:left="402" w:hanging="402"/>
        <w:spacing w:after="0" w:line="247" w:lineRule="auto"/>
        <w:tabs>
          <w:tab w:leader="none" w:pos="4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T Rowe Price Associates Inc., an investment adviser, filed with the SEC on November 14, 2018, reflecting beneficial ownership as of September 30, 2018, with sole investment discretion with respect to all such shares, sole voting authority with respect to 1,837,491 shares and no voting authority with respect to 7,140,339 shares.</w:t>
      </w:r>
    </w:p>
    <w:p>
      <w:pPr>
        <w:spacing w:after="0" w:line="1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1" w:name="page72"/>
    <w:bookmarkEnd w:id="7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Directors and Executive Officers</w:t>
      </w:r>
    </w:p>
    <w:p>
      <w:pPr>
        <w:spacing w:after="0" w:line="112" w:lineRule="exact"/>
        <w:rPr>
          <w:sz w:val="20"/>
          <w:szCs w:val="20"/>
          <w:color w:val="auto"/>
        </w:rPr>
      </w:pPr>
    </w:p>
    <w:p>
      <w:pPr>
        <w:ind w:left="2" w:right="40" w:firstLine="408"/>
        <w:spacing w:after="0" w:line="244" w:lineRule="auto"/>
        <w:rPr>
          <w:sz w:val="20"/>
          <w:szCs w:val="20"/>
          <w:color w:val="auto"/>
        </w:rPr>
      </w:pPr>
      <w:r>
        <w:rPr>
          <w:rFonts w:ascii="Arial" w:cs="Arial" w:eastAsia="Arial" w:hAnsi="Arial"/>
          <w:sz w:val="16"/>
          <w:szCs w:val="16"/>
          <w:color w:val="auto"/>
        </w:rPr>
        <w:t>The following table sets forth information known to us regarding the beneficial ownership of our common stock as of January 22, 2019, by (i) each of our current non-employee directors and director nominees, (ii) individuals who served as our “principal executive officer” or “principal financial officer” during fiscal 2018 and the next three most highly compensated executive officers named in the “Summary Compensation Table” beginning on page 44, and (iii) all directors, director nominees and executive officers as a group.</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1660" w:type="dxa"/>
            <w:vAlign w:val="bottom"/>
            <w:shd w:val="clear" w:color="auto" w:fill="C00000"/>
          </w:tcPr>
          <w:p>
            <w:pPr>
              <w:spacing w:after="0"/>
              <w:rPr>
                <w:sz w:val="14"/>
                <w:szCs w:val="14"/>
                <w:color w:val="auto"/>
              </w:rPr>
            </w:pPr>
          </w:p>
        </w:tc>
        <w:tc>
          <w:tcPr>
            <w:tcW w:w="5940" w:type="dxa"/>
            <w:vAlign w:val="bottom"/>
            <w:shd w:val="clear" w:color="auto" w:fill="C00000"/>
          </w:tcPr>
          <w:p>
            <w:pPr>
              <w:spacing w:after="0"/>
              <w:rPr>
                <w:sz w:val="14"/>
                <w:szCs w:val="14"/>
                <w:color w:val="auto"/>
              </w:rPr>
            </w:pPr>
          </w:p>
        </w:tc>
        <w:tc>
          <w:tcPr>
            <w:tcW w:w="2320" w:type="dxa"/>
            <w:vAlign w:val="bottom"/>
            <w:shd w:val="clear" w:color="auto" w:fill="C00000"/>
          </w:tcPr>
          <w:p>
            <w:pPr>
              <w:jc w:val="center"/>
              <w:ind w:right="448"/>
              <w:spacing w:after="0"/>
              <w:rPr>
                <w:sz w:val="20"/>
                <w:szCs w:val="20"/>
                <w:color w:val="auto"/>
              </w:rPr>
            </w:pPr>
            <w:r>
              <w:rPr>
                <w:rFonts w:ascii="Arial" w:cs="Arial" w:eastAsia="Arial" w:hAnsi="Arial"/>
                <w:sz w:val="13"/>
                <w:szCs w:val="13"/>
                <w:color w:val="FFFFFF"/>
              </w:rPr>
              <w:t>Amount and Nature of</w:t>
            </w:r>
          </w:p>
        </w:tc>
        <w:tc>
          <w:tcPr>
            <w:tcW w:w="1500" w:type="dxa"/>
            <w:vAlign w:val="bottom"/>
            <w:vMerge w:val="restart"/>
            <w:shd w:val="clear" w:color="auto" w:fill="C00000"/>
          </w:tcPr>
          <w:p>
            <w:pPr>
              <w:jc w:val="center"/>
              <w:ind w:right="28"/>
              <w:spacing w:after="0"/>
              <w:rPr>
                <w:sz w:val="20"/>
                <w:szCs w:val="20"/>
                <w:color w:val="auto"/>
              </w:rPr>
            </w:pPr>
            <w:r>
              <w:rPr>
                <w:rFonts w:ascii="Arial" w:cs="Arial" w:eastAsia="Arial" w:hAnsi="Arial"/>
                <w:sz w:val="13"/>
                <w:szCs w:val="13"/>
                <w:color w:val="FFFFFF"/>
              </w:rPr>
              <w:t>Percent of</w:t>
            </w:r>
          </w:p>
        </w:tc>
        <w:tc>
          <w:tcPr>
            <w:tcW w:w="0" w:type="dxa"/>
            <w:vAlign w:val="bottom"/>
          </w:tcPr>
          <w:p>
            <w:pPr>
              <w:spacing w:after="0"/>
              <w:rPr>
                <w:sz w:val="1"/>
                <w:szCs w:val="1"/>
                <w:color w:val="auto"/>
              </w:rPr>
            </w:pPr>
          </w:p>
        </w:tc>
      </w:tr>
      <w:tr>
        <w:trPr>
          <w:trHeight w:val="118"/>
        </w:trPr>
        <w:tc>
          <w:tcPr>
            <w:tcW w:w="1660" w:type="dxa"/>
            <w:vAlign w:val="bottom"/>
            <w:vMerge w:val="restart"/>
            <w:shd w:val="clear" w:color="auto" w:fill="C00000"/>
          </w:tcPr>
          <w:p>
            <w:pPr>
              <w:spacing w:after="0"/>
              <w:rPr>
                <w:sz w:val="20"/>
                <w:szCs w:val="20"/>
                <w:color w:val="auto"/>
              </w:rPr>
            </w:pPr>
            <w:r>
              <w:rPr>
                <w:rFonts w:ascii="Arial" w:cs="Arial" w:eastAsia="Arial" w:hAnsi="Arial"/>
                <w:sz w:val="13"/>
                <w:szCs w:val="13"/>
                <w:color w:val="FFFFFF"/>
              </w:rPr>
              <w:t>Title of Class</w:t>
            </w:r>
          </w:p>
        </w:tc>
        <w:tc>
          <w:tcPr>
            <w:tcW w:w="5940" w:type="dxa"/>
            <w:vAlign w:val="bottom"/>
            <w:vMerge w:val="restart"/>
            <w:shd w:val="clear" w:color="auto" w:fill="C00000"/>
          </w:tcPr>
          <w:p>
            <w:pPr>
              <w:ind w:left="660"/>
              <w:spacing w:after="0"/>
              <w:rPr>
                <w:sz w:val="20"/>
                <w:szCs w:val="20"/>
                <w:color w:val="auto"/>
              </w:rPr>
            </w:pPr>
            <w:r>
              <w:rPr>
                <w:rFonts w:ascii="Arial" w:cs="Arial" w:eastAsia="Arial" w:hAnsi="Arial"/>
                <w:sz w:val="13"/>
                <w:szCs w:val="13"/>
                <w:color w:val="FFFFFF"/>
              </w:rPr>
              <w:t>Name of Beneficial Owner</w:t>
            </w:r>
          </w:p>
        </w:tc>
        <w:tc>
          <w:tcPr>
            <w:tcW w:w="2320" w:type="dxa"/>
            <w:vAlign w:val="bottom"/>
            <w:shd w:val="clear" w:color="auto" w:fill="C00000"/>
          </w:tcPr>
          <w:p>
            <w:pPr>
              <w:jc w:val="center"/>
              <w:ind w:right="428"/>
              <w:spacing w:after="0" w:line="118" w:lineRule="exact"/>
              <w:rPr>
                <w:sz w:val="20"/>
                <w:szCs w:val="20"/>
                <w:color w:val="auto"/>
              </w:rPr>
            </w:pPr>
            <w:r>
              <w:rPr>
                <w:rFonts w:ascii="Arial" w:cs="Arial" w:eastAsia="Arial" w:hAnsi="Arial"/>
                <w:sz w:val="13"/>
                <w:szCs w:val="13"/>
                <w:color w:val="FFFFFF"/>
                <w:w w:val="99"/>
              </w:rPr>
              <w:t>Beneficial Ownership</w:t>
            </w:r>
          </w:p>
        </w:tc>
        <w:tc>
          <w:tcPr>
            <w:tcW w:w="1500" w:type="dxa"/>
            <w:vAlign w:val="bottom"/>
            <w:vMerge w:val="continue"/>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60" w:type="dxa"/>
            <w:vAlign w:val="bottom"/>
            <w:vMerge w:val="continue"/>
            <w:shd w:val="clear" w:color="auto" w:fill="C00000"/>
          </w:tcPr>
          <w:p>
            <w:pPr>
              <w:spacing w:after="0"/>
              <w:rPr>
                <w:sz w:val="12"/>
                <w:szCs w:val="12"/>
                <w:color w:val="auto"/>
              </w:rPr>
            </w:pPr>
          </w:p>
        </w:tc>
        <w:tc>
          <w:tcPr>
            <w:tcW w:w="5940" w:type="dxa"/>
            <w:vAlign w:val="bottom"/>
            <w:vMerge w:val="continue"/>
            <w:shd w:val="clear" w:color="auto" w:fill="C00000"/>
          </w:tcPr>
          <w:p>
            <w:pPr>
              <w:spacing w:after="0"/>
              <w:rPr>
                <w:sz w:val="12"/>
                <w:szCs w:val="12"/>
                <w:color w:val="auto"/>
              </w:rPr>
            </w:pPr>
          </w:p>
        </w:tc>
        <w:tc>
          <w:tcPr>
            <w:tcW w:w="2320" w:type="dxa"/>
            <w:vAlign w:val="bottom"/>
            <w:shd w:val="clear" w:color="auto" w:fill="C00000"/>
          </w:tcPr>
          <w:p>
            <w:pPr>
              <w:jc w:val="center"/>
              <w:ind w:right="428"/>
              <w:spacing w:after="0"/>
              <w:rPr>
                <w:sz w:val="20"/>
                <w:szCs w:val="20"/>
                <w:color w:val="auto"/>
              </w:rPr>
            </w:pPr>
            <w:r>
              <w:rPr>
                <w:rFonts w:ascii="Arial" w:cs="Arial" w:eastAsia="Arial" w:hAnsi="Arial"/>
                <w:sz w:val="11"/>
                <w:szCs w:val="11"/>
                <w:color w:val="FFFFFF"/>
              </w:rPr>
              <w:t>(1)(2)(3)(4)</w:t>
            </w:r>
          </w:p>
        </w:tc>
        <w:tc>
          <w:tcPr>
            <w:tcW w:w="1500" w:type="dxa"/>
            <w:vAlign w:val="bottom"/>
            <w:shd w:val="clear" w:color="auto" w:fill="C00000"/>
          </w:tcPr>
          <w:p>
            <w:pPr>
              <w:jc w:val="center"/>
              <w:ind w:right="48"/>
              <w:spacing w:after="0" w:line="147" w:lineRule="exact"/>
              <w:rPr>
                <w:sz w:val="20"/>
                <w:szCs w:val="20"/>
                <w:color w:val="auto"/>
              </w:rPr>
            </w:pPr>
            <w:r>
              <w:rPr>
                <w:rFonts w:ascii="Arial" w:cs="Arial" w:eastAsia="Arial" w:hAnsi="Arial"/>
                <w:sz w:val="11"/>
                <w:szCs w:val="11"/>
                <w:color w:val="FFFFFF"/>
              </w:rPr>
              <w:t>Class</w:t>
            </w:r>
            <w:r>
              <w:rPr>
                <w:rFonts w:ascii="Arial" w:cs="Arial" w:eastAsia="Arial" w:hAnsi="Arial"/>
                <w:sz w:val="17"/>
                <w:szCs w:val="17"/>
                <w:color w:val="FFFFFF"/>
                <w:vertAlign w:val="superscript"/>
              </w:rPr>
              <w:t>(5)</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5940" w:type="dxa"/>
            <w:vAlign w:val="bottom"/>
          </w:tcPr>
          <w:p>
            <w:pPr>
              <w:ind w:left="660"/>
              <w:spacing w:after="0"/>
              <w:rPr>
                <w:sz w:val="20"/>
                <w:szCs w:val="20"/>
                <w:color w:val="auto"/>
              </w:rPr>
            </w:pPr>
            <w:r>
              <w:rPr>
                <w:rFonts w:ascii="Arial" w:cs="Arial" w:eastAsia="Arial" w:hAnsi="Arial"/>
                <w:sz w:val="15"/>
                <w:szCs w:val="15"/>
                <w:color w:val="auto"/>
              </w:rPr>
              <w:t>Non-Employee Directors and Director Nominees:</w:t>
            </w:r>
          </w:p>
        </w:tc>
        <w:tc>
          <w:tcPr>
            <w:tcW w:w="2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Robert C. Buhrmaster</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113,897</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Janet K. Cooper</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116,556</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Gary L. Ellis</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93,685</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Jeffrey M. Ettinger</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85,335</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Katherine J. Harless</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122,333</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Jeffrey L. Harmening</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0</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D. Christian Koch</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7,791</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Joyce A. Mullen</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0</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James C. O’Rourke</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30,341</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Gregg W. Steinhafel</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71,582</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Christopher A. Twomey</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95,148</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Michael G. Vale</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1,013</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15"/>
                <w:szCs w:val="15"/>
                <w:color w:val="auto"/>
              </w:rPr>
            </w:pPr>
          </w:p>
        </w:tc>
        <w:tc>
          <w:tcPr>
            <w:tcW w:w="5940" w:type="dxa"/>
            <w:vAlign w:val="bottom"/>
            <w:shd w:val="clear" w:color="auto" w:fill="D9D9D9"/>
          </w:tcPr>
          <w:p>
            <w:pPr>
              <w:ind w:left="660"/>
              <w:spacing w:after="0"/>
              <w:rPr>
                <w:sz w:val="20"/>
                <w:szCs w:val="20"/>
                <w:color w:val="auto"/>
              </w:rPr>
            </w:pPr>
            <w:r>
              <w:rPr>
                <w:rFonts w:ascii="Arial" w:cs="Arial" w:eastAsia="Arial" w:hAnsi="Arial"/>
                <w:sz w:val="15"/>
                <w:szCs w:val="15"/>
                <w:color w:val="auto"/>
              </w:rPr>
              <w:t>Named Executive Officers:</w:t>
            </w:r>
          </w:p>
        </w:tc>
        <w:tc>
          <w:tcPr>
            <w:tcW w:w="232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Richard M. Olson</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305,311</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Renee J. Peterson</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372,158</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William E. Brown, Jr.</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374,509</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5940" w:type="dxa"/>
            <w:vAlign w:val="bottom"/>
            <w:shd w:val="clear" w:color="auto" w:fill="D9D9D9"/>
          </w:tcPr>
          <w:p>
            <w:pPr>
              <w:ind w:left="880"/>
              <w:spacing w:after="0"/>
              <w:rPr>
                <w:sz w:val="20"/>
                <w:szCs w:val="20"/>
                <w:color w:val="auto"/>
              </w:rPr>
            </w:pPr>
            <w:r>
              <w:rPr>
                <w:rFonts w:ascii="Arial" w:cs="Arial" w:eastAsia="Arial" w:hAnsi="Arial"/>
                <w:sz w:val="15"/>
                <w:szCs w:val="15"/>
                <w:color w:val="auto"/>
              </w:rPr>
              <w:t>Timothy P. Dordell</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233,800</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5940" w:type="dxa"/>
            <w:vAlign w:val="bottom"/>
          </w:tcPr>
          <w:p>
            <w:pPr>
              <w:ind w:left="880"/>
              <w:spacing w:after="0"/>
              <w:rPr>
                <w:sz w:val="20"/>
                <w:szCs w:val="20"/>
                <w:color w:val="auto"/>
              </w:rPr>
            </w:pPr>
            <w:r>
              <w:rPr>
                <w:rFonts w:ascii="Arial" w:cs="Arial" w:eastAsia="Arial" w:hAnsi="Arial"/>
                <w:sz w:val="15"/>
                <w:szCs w:val="15"/>
                <w:color w:val="auto"/>
              </w:rPr>
              <w:t>Bradley A. Hamilton</w:t>
            </w:r>
          </w:p>
        </w:tc>
        <w:tc>
          <w:tcPr>
            <w:tcW w:w="2320" w:type="dxa"/>
            <w:vAlign w:val="bottom"/>
          </w:tcPr>
          <w:p>
            <w:pPr>
              <w:jc w:val="right"/>
              <w:ind w:right="348"/>
              <w:spacing w:after="0"/>
              <w:rPr>
                <w:sz w:val="20"/>
                <w:szCs w:val="20"/>
                <w:color w:val="auto"/>
              </w:rPr>
            </w:pPr>
            <w:r>
              <w:rPr>
                <w:rFonts w:ascii="Arial" w:cs="Arial" w:eastAsia="Arial" w:hAnsi="Arial"/>
                <w:sz w:val="15"/>
                <w:szCs w:val="15"/>
                <w:color w:val="auto"/>
              </w:rPr>
              <w:t>47,533</w:t>
            </w:r>
          </w:p>
        </w:tc>
        <w:tc>
          <w:tcPr>
            <w:tcW w:w="1500" w:type="dxa"/>
            <w:vAlign w:val="bottom"/>
          </w:tcPr>
          <w:p>
            <w:pPr>
              <w:jc w:val="center"/>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15"/>
                <w:szCs w:val="15"/>
                <w:color w:val="auto"/>
              </w:rPr>
            </w:pPr>
          </w:p>
        </w:tc>
        <w:tc>
          <w:tcPr>
            <w:tcW w:w="5940" w:type="dxa"/>
            <w:vAlign w:val="bottom"/>
            <w:shd w:val="clear" w:color="auto" w:fill="D9D9D9"/>
          </w:tcPr>
          <w:p>
            <w:pPr>
              <w:ind w:left="980"/>
              <w:spacing w:after="0"/>
              <w:rPr>
                <w:sz w:val="20"/>
                <w:szCs w:val="20"/>
                <w:color w:val="auto"/>
              </w:rPr>
            </w:pPr>
            <w:r>
              <w:rPr>
                <w:rFonts w:ascii="Arial" w:cs="Arial" w:eastAsia="Arial" w:hAnsi="Arial"/>
                <w:sz w:val="15"/>
                <w:szCs w:val="15"/>
                <w:color w:val="auto"/>
              </w:rPr>
              <w:t>All Directors, Director Nominees and Executive Officers as a Group (23)</w:t>
            </w:r>
          </w:p>
        </w:tc>
        <w:tc>
          <w:tcPr>
            <w:tcW w:w="2320" w:type="dxa"/>
            <w:vAlign w:val="bottom"/>
            <w:shd w:val="clear" w:color="auto" w:fill="D9D9D9"/>
          </w:tcPr>
          <w:p>
            <w:pPr>
              <w:jc w:val="right"/>
              <w:ind w:right="348"/>
              <w:spacing w:after="0"/>
              <w:rPr>
                <w:sz w:val="20"/>
                <w:szCs w:val="20"/>
                <w:color w:val="auto"/>
              </w:rPr>
            </w:pPr>
            <w:r>
              <w:rPr>
                <w:rFonts w:ascii="Arial" w:cs="Arial" w:eastAsia="Arial" w:hAnsi="Arial"/>
                <w:sz w:val="15"/>
                <w:szCs w:val="15"/>
                <w:color w:val="auto"/>
              </w:rPr>
              <w:t>2,537,264</w:t>
            </w:r>
          </w:p>
        </w:tc>
        <w:tc>
          <w:tcPr>
            <w:tcW w:w="150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w w:val="98"/>
              </w:rPr>
              <w:t>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207772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9" w:lineRule="exact"/>
        <w:rPr>
          <w:sz w:val="20"/>
          <w:szCs w:val="20"/>
          <w:color w:val="auto"/>
        </w:rPr>
      </w:pPr>
    </w:p>
    <w:p>
      <w:pPr>
        <w:ind w:left="402" w:hanging="402"/>
        <w:spacing w:after="0"/>
        <w:tabs>
          <w:tab w:leader="none" w:pos="4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Less than one percent of the outstanding shares of our common stock.</w:t>
      </w:r>
    </w:p>
    <w:p>
      <w:pPr>
        <w:spacing w:after="0" w:line="49" w:lineRule="exact"/>
        <w:rPr>
          <w:sz w:val="20"/>
          <w:szCs w:val="20"/>
          <w:color w:val="auto"/>
        </w:rPr>
      </w:pPr>
    </w:p>
    <w:p>
      <w:pPr>
        <w:ind w:left="402" w:hanging="402"/>
        <w:spacing w:after="0" w:line="244" w:lineRule="auto"/>
        <w:tabs>
          <w:tab w:leader="none" w:pos="4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18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2" w:name="page73"/>
    <w:bookmarkEnd w:id="72"/>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02" w:right="80" w:hanging="402"/>
        <w:spacing w:after="0" w:line="243" w:lineRule="auto"/>
        <w:tabs>
          <w:tab w:leader="none" w:pos="402"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“Beneficial ownership” also includes: (a) shares that a person has the right to acquire within 60 days of January 22, 2019, and, as such, includes shares that may be acquired upon exercise of stock options within 60 days of January 22, 2019; (b) shares allocated to executive officers under the IS&amp;ESOP; and (c) common stock units and performance share units, collectively referred to as units, credited under the Deferred Plan for Directors and Deferred Plan for Officers. The following table reflects the beneficial ownership by type of security held by our non-employee directors and director nominees, named executive officers, and all current directors, director nominees and executive officers as a group:</w:t>
      </w:r>
    </w:p>
    <w:p>
      <w:pPr>
        <w:spacing w:after="0" w:line="37" w:lineRule="exact"/>
        <w:rPr>
          <w:sz w:val="20"/>
          <w:szCs w:val="20"/>
          <w:color w:val="auto"/>
        </w:rPr>
      </w:pPr>
    </w:p>
    <w:tbl>
      <w:tblPr>
        <w:tblLayout w:type="fixed"/>
        <w:tblInd w:w="582" w:type="dxa"/>
        <w:tblCellMar>
          <w:top w:w="0" w:type="dxa"/>
          <w:left w:w="0" w:type="dxa"/>
          <w:bottom w:w="0" w:type="dxa"/>
          <w:right w:w="0" w:type="dxa"/>
        </w:tblCellMar>
      </w:tblPr>
      <w:tr>
        <w:trPr>
          <w:trHeight w:val="164"/>
        </w:trPr>
        <w:tc>
          <w:tcPr>
            <w:tcW w:w="4620" w:type="dxa"/>
            <w:vAlign w:val="bottom"/>
            <w:shd w:val="clear" w:color="auto" w:fill="C00000"/>
          </w:tcPr>
          <w:p>
            <w:pPr>
              <w:spacing w:after="0"/>
              <w:rPr>
                <w:sz w:val="14"/>
                <w:szCs w:val="14"/>
                <w:color w:val="auto"/>
              </w:rPr>
            </w:pPr>
          </w:p>
        </w:tc>
        <w:tc>
          <w:tcPr>
            <w:tcW w:w="1540" w:type="dxa"/>
            <w:vAlign w:val="bottom"/>
            <w:shd w:val="clear" w:color="auto" w:fill="C00000"/>
          </w:tcPr>
          <w:p>
            <w:pPr>
              <w:spacing w:after="0"/>
              <w:rPr>
                <w:sz w:val="14"/>
                <w:szCs w:val="14"/>
                <w:color w:val="auto"/>
              </w:rPr>
            </w:pPr>
          </w:p>
        </w:tc>
        <w:tc>
          <w:tcPr>
            <w:tcW w:w="1340" w:type="dxa"/>
            <w:vAlign w:val="bottom"/>
            <w:shd w:val="clear" w:color="auto" w:fill="C00000"/>
          </w:tcPr>
          <w:p>
            <w:pPr>
              <w:spacing w:after="0"/>
              <w:rPr>
                <w:sz w:val="14"/>
                <w:szCs w:val="14"/>
                <w:color w:val="auto"/>
              </w:rPr>
            </w:pPr>
          </w:p>
        </w:tc>
        <w:tc>
          <w:tcPr>
            <w:tcW w:w="1420" w:type="dxa"/>
            <w:vAlign w:val="bottom"/>
            <w:shd w:val="clear" w:color="auto" w:fill="C00000"/>
          </w:tcPr>
          <w:p>
            <w:pPr>
              <w:jc w:val="center"/>
              <w:ind w:right="68"/>
              <w:spacing w:after="0"/>
              <w:rPr>
                <w:sz w:val="20"/>
                <w:szCs w:val="20"/>
                <w:color w:val="auto"/>
              </w:rPr>
            </w:pPr>
            <w:r>
              <w:rPr>
                <w:rFonts w:ascii="Arial" w:cs="Arial" w:eastAsia="Arial" w:hAnsi="Arial"/>
                <w:sz w:val="13"/>
                <w:szCs w:val="13"/>
                <w:color w:val="FFFFFF"/>
                <w:w w:val="99"/>
              </w:rPr>
              <w:t>Units under the</w:t>
            </w:r>
          </w:p>
        </w:tc>
        <w:tc>
          <w:tcPr>
            <w:tcW w:w="1360" w:type="dxa"/>
            <w:vAlign w:val="bottom"/>
            <w:shd w:val="clear" w:color="auto" w:fill="C00000"/>
          </w:tcPr>
          <w:p>
            <w:pPr>
              <w:jc w:val="center"/>
              <w:ind w:right="8"/>
              <w:spacing w:after="0"/>
              <w:rPr>
                <w:sz w:val="20"/>
                <w:szCs w:val="20"/>
                <w:color w:val="auto"/>
              </w:rPr>
            </w:pPr>
            <w:r>
              <w:rPr>
                <w:rFonts w:ascii="Arial" w:cs="Arial" w:eastAsia="Arial" w:hAnsi="Arial"/>
                <w:sz w:val="13"/>
                <w:szCs w:val="13"/>
                <w:color w:val="FFFFFF"/>
                <w:w w:val="99"/>
              </w:rPr>
              <w:t>Units under the</w:t>
            </w:r>
          </w:p>
        </w:tc>
      </w:tr>
      <w:tr>
        <w:trPr>
          <w:trHeight w:val="147"/>
        </w:trPr>
        <w:tc>
          <w:tcPr>
            <w:tcW w:w="4620" w:type="dxa"/>
            <w:vAlign w:val="bottom"/>
            <w:shd w:val="clear" w:color="auto" w:fill="C00000"/>
          </w:tcPr>
          <w:p>
            <w:pPr>
              <w:spacing w:after="0"/>
              <w:rPr>
                <w:sz w:val="12"/>
                <w:szCs w:val="12"/>
                <w:color w:val="auto"/>
              </w:rPr>
            </w:pPr>
          </w:p>
        </w:tc>
        <w:tc>
          <w:tcPr>
            <w:tcW w:w="1540" w:type="dxa"/>
            <w:vAlign w:val="bottom"/>
            <w:shd w:val="clear" w:color="auto" w:fill="C00000"/>
          </w:tcPr>
          <w:p>
            <w:pPr>
              <w:spacing w:after="0"/>
              <w:rPr>
                <w:sz w:val="12"/>
                <w:szCs w:val="12"/>
                <w:color w:val="auto"/>
              </w:rPr>
            </w:pPr>
          </w:p>
        </w:tc>
        <w:tc>
          <w:tcPr>
            <w:tcW w:w="1340" w:type="dxa"/>
            <w:vAlign w:val="bottom"/>
            <w:shd w:val="clear" w:color="auto" w:fill="C00000"/>
          </w:tcPr>
          <w:p>
            <w:pPr>
              <w:spacing w:after="0"/>
              <w:rPr>
                <w:sz w:val="12"/>
                <w:szCs w:val="12"/>
                <w:color w:val="auto"/>
              </w:rPr>
            </w:pPr>
          </w:p>
        </w:tc>
        <w:tc>
          <w:tcPr>
            <w:tcW w:w="1420" w:type="dxa"/>
            <w:vAlign w:val="bottom"/>
            <w:shd w:val="clear" w:color="auto" w:fill="C00000"/>
          </w:tcPr>
          <w:p>
            <w:pPr>
              <w:jc w:val="center"/>
              <w:ind w:right="68"/>
              <w:spacing w:after="0" w:line="148" w:lineRule="exact"/>
              <w:rPr>
                <w:sz w:val="20"/>
                <w:szCs w:val="20"/>
                <w:color w:val="auto"/>
              </w:rPr>
            </w:pPr>
            <w:r>
              <w:rPr>
                <w:rFonts w:ascii="Arial" w:cs="Arial" w:eastAsia="Arial" w:hAnsi="Arial"/>
                <w:sz w:val="13"/>
                <w:szCs w:val="13"/>
                <w:color w:val="FFFFFF"/>
                <w:w w:val="99"/>
              </w:rPr>
              <w:t>Deferred Plan</w:t>
            </w:r>
          </w:p>
        </w:tc>
        <w:tc>
          <w:tcPr>
            <w:tcW w:w="1360" w:type="dxa"/>
            <w:vAlign w:val="bottom"/>
            <w:shd w:val="clear" w:color="auto" w:fill="C00000"/>
          </w:tcPr>
          <w:p>
            <w:pPr>
              <w:jc w:val="center"/>
              <w:ind w:right="8"/>
              <w:spacing w:after="0" w:line="148" w:lineRule="exact"/>
              <w:rPr>
                <w:sz w:val="20"/>
                <w:szCs w:val="20"/>
                <w:color w:val="auto"/>
              </w:rPr>
            </w:pPr>
            <w:r>
              <w:rPr>
                <w:rFonts w:ascii="Arial" w:cs="Arial" w:eastAsia="Arial" w:hAnsi="Arial"/>
                <w:sz w:val="13"/>
                <w:szCs w:val="13"/>
                <w:color w:val="FFFFFF"/>
                <w:w w:val="99"/>
              </w:rPr>
              <w:t>Deferred Plan</w:t>
            </w:r>
          </w:p>
        </w:tc>
      </w:tr>
      <w:tr>
        <w:trPr>
          <w:trHeight w:val="143"/>
        </w:trPr>
        <w:tc>
          <w:tcPr>
            <w:tcW w:w="4620" w:type="dxa"/>
            <w:vAlign w:val="bottom"/>
            <w:shd w:val="clear" w:color="auto" w:fill="C00000"/>
          </w:tcPr>
          <w:p>
            <w:pPr>
              <w:spacing w:after="0" w:line="143" w:lineRule="exact"/>
              <w:rPr>
                <w:sz w:val="20"/>
                <w:szCs w:val="20"/>
                <w:color w:val="auto"/>
              </w:rPr>
            </w:pPr>
            <w:r>
              <w:rPr>
                <w:rFonts w:ascii="Arial" w:cs="Arial" w:eastAsia="Arial" w:hAnsi="Arial"/>
                <w:sz w:val="13"/>
                <w:szCs w:val="13"/>
                <w:color w:val="FFFFFF"/>
              </w:rPr>
              <w:t>Name</w:t>
            </w:r>
          </w:p>
        </w:tc>
        <w:tc>
          <w:tcPr>
            <w:tcW w:w="1540" w:type="dxa"/>
            <w:vAlign w:val="bottom"/>
            <w:shd w:val="clear" w:color="auto" w:fill="C00000"/>
          </w:tcPr>
          <w:p>
            <w:pPr>
              <w:jc w:val="right"/>
              <w:ind w:right="387"/>
              <w:spacing w:after="0" w:line="143" w:lineRule="exact"/>
              <w:rPr>
                <w:sz w:val="20"/>
                <w:szCs w:val="20"/>
                <w:color w:val="auto"/>
              </w:rPr>
            </w:pPr>
            <w:r>
              <w:rPr>
                <w:rFonts w:ascii="Arial" w:cs="Arial" w:eastAsia="Arial" w:hAnsi="Arial"/>
                <w:sz w:val="13"/>
                <w:szCs w:val="13"/>
                <w:color w:val="FFFFFF"/>
              </w:rPr>
              <w:t>Stock Options</w:t>
            </w:r>
          </w:p>
        </w:tc>
        <w:tc>
          <w:tcPr>
            <w:tcW w:w="1340" w:type="dxa"/>
            <w:vAlign w:val="bottom"/>
            <w:shd w:val="clear" w:color="auto" w:fill="C00000"/>
          </w:tcPr>
          <w:p>
            <w:pPr>
              <w:jc w:val="right"/>
              <w:ind w:right="427"/>
              <w:spacing w:after="0" w:line="143" w:lineRule="exact"/>
              <w:rPr>
                <w:sz w:val="20"/>
                <w:szCs w:val="20"/>
                <w:color w:val="auto"/>
              </w:rPr>
            </w:pPr>
            <w:r>
              <w:rPr>
                <w:rFonts w:ascii="Arial" w:cs="Arial" w:eastAsia="Arial" w:hAnsi="Arial"/>
                <w:sz w:val="13"/>
                <w:szCs w:val="13"/>
                <w:color w:val="FFFFFF"/>
              </w:rPr>
              <w:t>IS&amp;ESOP</w:t>
            </w:r>
          </w:p>
        </w:tc>
        <w:tc>
          <w:tcPr>
            <w:tcW w:w="1420" w:type="dxa"/>
            <w:vAlign w:val="bottom"/>
            <w:shd w:val="clear" w:color="auto" w:fill="C00000"/>
          </w:tcPr>
          <w:p>
            <w:pPr>
              <w:jc w:val="center"/>
              <w:ind w:right="68"/>
              <w:spacing w:after="0" w:line="143" w:lineRule="exact"/>
              <w:rPr>
                <w:sz w:val="20"/>
                <w:szCs w:val="20"/>
                <w:color w:val="auto"/>
              </w:rPr>
            </w:pPr>
            <w:r>
              <w:rPr>
                <w:rFonts w:ascii="Arial" w:cs="Arial" w:eastAsia="Arial" w:hAnsi="Arial"/>
                <w:sz w:val="13"/>
                <w:szCs w:val="13"/>
                <w:color w:val="FFFFFF"/>
              </w:rPr>
              <w:t>for Directors</w:t>
            </w:r>
          </w:p>
        </w:tc>
        <w:tc>
          <w:tcPr>
            <w:tcW w:w="1360" w:type="dxa"/>
            <w:vAlign w:val="bottom"/>
            <w:shd w:val="clear" w:color="auto" w:fill="C00000"/>
          </w:tcPr>
          <w:p>
            <w:pPr>
              <w:jc w:val="center"/>
              <w:ind w:right="8"/>
              <w:spacing w:after="0" w:line="143" w:lineRule="exact"/>
              <w:rPr>
                <w:sz w:val="20"/>
                <w:szCs w:val="20"/>
                <w:color w:val="auto"/>
              </w:rPr>
            </w:pPr>
            <w:r>
              <w:rPr>
                <w:rFonts w:ascii="Arial" w:cs="Arial" w:eastAsia="Arial" w:hAnsi="Arial"/>
                <w:sz w:val="13"/>
                <w:szCs w:val="13"/>
                <w:color w:val="FFFFFF"/>
              </w:rPr>
              <w:t>for Officers</w:t>
            </w:r>
          </w:p>
        </w:tc>
      </w:tr>
      <w:tr>
        <w:trPr>
          <w:trHeight w:val="194"/>
        </w:trPr>
        <w:tc>
          <w:tcPr>
            <w:tcW w:w="4620" w:type="dxa"/>
            <w:vAlign w:val="bottom"/>
          </w:tcPr>
          <w:p>
            <w:pPr>
              <w:spacing w:after="0"/>
              <w:rPr>
                <w:sz w:val="20"/>
                <w:szCs w:val="20"/>
                <w:color w:val="auto"/>
              </w:rPr>
            </w:pPr>
            <w:r>
              <w:rPr>
                <w:rFonts w:ascii="Arial" w:cs="Arial" w:eastAsia="Arial" w:hAnsi="Arial"/>
                <w:sz w:val="15"/>
                <w:szCs w:val="15"/>
                <w:color w:val="auto"/>
              </w:rPr>
              <w:t>Non-Employee Directors and Director Nominees:</w:t>
            </w: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Robert C. Buhrmaster</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61,158</w:t>
            </w:r>
          </w:p>
        </w:tc>
        <w:tc>
          <w:tcPr>
            <w:tcW w:w="1340" w:type="dxa"/>
            <w:vAlign w:val="bottom"/>
            <w:shd w:val="clear" w:color="auto" w:fill="D9D9D9"/>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128"/>
              <w:spacing w:after="0"/>
              <w:rPr>
                <w:sz w:val="20"/>
                <w:szCs w:val="20"/>
                <w:color w:val="auto"/>
              </w:rPr>
            </w:pPr>
            <w:r>
              <w:rPr>
                <w:rFonts w:ascii="Arial" w:cs="Arial" w:eastAsia="Arial" w:hAnsi="Arial"/>
                <w:sz w:val="15"/>
                <w:szCs w:val="15"/>
                <w:color w:val="auto"/>
              </w:rPr>
              <w:t>18,336</w:t>
            </w:r>
          </w:p>
        </w:tc>
        <w:tc>
          <w:tcPr>
            <w:tcW w:w="1360" w:type="dxa"/>
            <w:vAlign w:val="bottom"/>
            <w:shd w:val="clear" w:color="auto" w:fill="D9D9D9"/>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Janet K. Cooper</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46,050</w:t>
            </w:r>
          </w:p>
        </w:tc>
        <w:tc>
          <w:tcPr>
            <w:tcW w:w="1340" w:type="dxa"/>
            <w:vAlign w:val="bottom"/>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8"/>
              <w:spacing w:after="0"/>
              <w:rPr>
                <w:sz w:val="20"/>
                <w:szCs w:val="20"/>
                <w:color w:val="auto"/>
              </w:rPr>
            </w:pPr>
            <w:r>
              <w:rPr>
                <w:rFonts w:ascii="Arial" w:cs="Arial" w:eastAsia="Arial" w:hAnsi="Arial"/>
                <w:sz w:val="15"/>
                <w:szCs w:val="15"/>
                <w:color w:val="auto"/>
              </w:rPr>
              <w:t>45,367</w:t>
            </w:r>
          </w:p>
        </w:tc>
        <w:tc>
          <w:tcPr>
            <w:tcW w:w="1360" w:type="dxa"/>
            <w:vAlign w:val="bottom"/>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Gary L. Ellis</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61,158</w:t>
            </w:r>
          </w:p>
        </w:tc>
        <w:tc>
          <w:tcPr>
            <w:tcW w:w="1340" w:type="dxa"/>
            <w:vAlign w:val="bottom"/>
            <w:shd w:val="clear" w:color="auto" w:fill="D9D9D9"/>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128"/>
              <w:spacing w:after="0"/>
              <w:rPr>
                <w:sz w:val="20"/>
                <w:szCs w:val="20"/>
                <w:color w:val="auto"/>
              </w:rPr>
            </w:pPr>
            <w:r>
              <w:rPr>
                <w:rFonts w:ascii="Arial" w:cs="Arial" w:eastAsia="Arial" w:hAnsi="Arial"/>
                <w:sz w:val="15"/>
                <w:szCs w:val="15"/>
                <w:color w:val="auto"/>
              </w:rPr>
              <w:t>3,774</w:t>
            </w:r>
          </w:p>
        </w:tc>
        <w:tc>
          <w:tcPr>
            <w:tcW w:w="1360" w:type="dxa"/>
            <w:vAlign w:val="bottom"/>
            <w:shd w:val="clear" w:color="auto" w:fill="D9D9D9"/>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Jeffrey M. Ettinger</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46,050</w:t>
            </w:r>
          </w:p>
        </w:tc>
        <w:tc>
          <w:tcPr>
            <w:tcW w:w="1340" w:type="dxa"/>
            <w:vAlign w:val="bottom"/>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8"/>
              <w:spacing w:after="0"/>
              <w:rPr>
                <w:sz w:val="20"/>
                <w:szCs w:val="20"/>
                <w:color w:val="auto"/>
              </w:rPr>
            </w:pPr>
            <w:r>
              <w:rPr>
                <w:rFonts w:ascii="Arial" w:cs="Arial" w:eastAsia="Arial" w:hAnsi="Arial"/>
                <w:sz w:val="15"/>
                <w:szCs w:val="15"/>
                <w:color w:val="auto"/>
              </w:rPr>
              <w:t>0</w:t>
            </w:r>
          </w:p>
        </w:tc>
        <w:tc>
          <w:tcPr>
            <w:tcW w:w="1360" w:type="dxa"/>
            <w:vAlign w:val="bottom"/>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Katherine J. Harless</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50,158</w:t>
            </w:r>
          </w:p>
        </w:tc>
        <w:tc>
          <w:tcPr>
            <w:tcW w:w="1340" w:type="dxa"/>
            <w:vAlign w:val="bottom"/>
            <w:shd w:val="clear" w:color="auto" w:fill="D9D9D9"/>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128"/>
              <w:spacing w:after="0"/>
              <w:rPr>
                <w:sz w:val="20"/>
                <w:szCs w:val="20"/>
                <w:color w:val="auto"/>
              </w:rPr>
            </w:pPr>
            <w:r>
              <w:rPr>
                <w:rFonts w:ascii="Arial" w:cs="Arial" w:eastAsia="Arial" w:hAnsi="Arial"/>
                <w:sz w:val="15"/>
                <w:szCs w:val="15"/>
                <w:color w:val="auto"/>
              </w:rPr>
              <w:t>4,871</w:t>
            </w:r>
          </w:p>
        </w:tc>
        <w:tc>
          <w:tcPr>
            <w:tcW w:w="1360" w:type="dxa"/>
            <w:vAlign w:val="bottom"/>
            <w:shd w:val="clear" w:color="auto" w:fill="D9D9D9"/>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Jeffrey L. Harmening</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0</w:t>
            </w:r>
          </w:p>
        </w:tc>
        <w:tc>
          <w:tcPr>
            <w:tcW w:w="1340" w:type="dxa"/>
            <w:vAlign w:val="bottom"/>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8"/>
              <w:spacing w:after="0"/>
              <w:rPr>
                <w:sz w:val="20"/>
                <w:szCs w:val="20"/>
                <w:color w:val="auto"/>
              </w:rPr>
            </w:pPr>
            <w:r>
              <w:rPr>
                <w:rFonts w:ascii="Arial" w:cs="Arial" w:eastAsia="Arial" w:hAnsi="Arial"/>
                <w:sz w:val="15"/>
                <w:szCs w:val="15"/>
                <w:color w:val="auto"/>
              </w:rPr>
              <w:t>0</w:t>
            </w:r>
          </w:p>
        </w:tc>
        <w:tc>
          <w:tcPr>
            <w:tcW w:w="1360" w:type="dxa"/>
            <w:vAlign w:val="bottom"/>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D. Christian Koch</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4,582</w:t>
            </w:r>
          </w:p>
        </w:tc>
        <w:tc>
          <w:tcPr>
            <w:tcW w:w="1340" w:type="dxa"/>
            <w:vAlign w:val="bottom"/>
            <w:shd w:val="clear" w:color="auto" w:fill="D9D9D9"/>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128"/>
              <w:spacing w:after="0"/>
              <w:rPr>
                <w:sz w:val="20"/>
                <w:szCs w:val="20"/>
                <w:color w:val="auto"/>
              </w:rPr>
            </w:pPr>
            <w:r>
              <w:rPr>
                <w:rFonts w:ascii="Arial" w:cs="Arial" w:eastAsia="Arial" w:hAnsi="Arial"/>
                <w:sz w:val="15"/>
                <w:szCs w:val="15"/>
                <w:color w:val="auto"/>
              </w:rPr>
              <w:t>0</w:t>
            </w:r>
          </w:p>
        </w:tc>
        <w:tc>
          <w:tcPr>
            <w:tcW w:w="1360" w:type="dxa"/>
            <w:vAlign w:val="bottom"/>
            <w:shd w:val="clear" w:color="auto" w:fill="D9D9D9"/>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Joyce A. Mullen</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0</w:t>
            </w:r>
          </w:p>
        </w:tc>
        <w:tc>
          <w:tcPr>
            <w:tcW w:w="1340" w:type="dxa"/>
            <w:vAlign w:val="bottom"/>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8"/>
              <w:spacing w:after="0"/>
              <w:rPr>
                <w:sz w:val="20"/>
                <w:szCs w:val="20"/>
                <w:color w:val="auto"/>
              </w:rPr>
            </w:pPr>
            <w:r>
              <w:rPr>
                <w:rFonts w:ascii="Arial" w:cs="Arial" w:eastAsia="Arial" w:hAnsi="Arial"/>
                <w:sz w:val="15"/>
                <w:szCs w:val="15"/>
                <w:color w:val="auto"/>
              </w:rPr>
              <w:t>0</w:t>
            </w:r>
          </w:p>
        </w:tc>
        <w:tc>
          <w:tcPr>
            <w:tcW w:w="1360" w:type="dxa"/>
            <w:vAlign w:val="bottom"/>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James C. O’Rourke</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19,916</w:t>
            </w:r>
          </w:p>
        </w:tc>
        <w:tc>
          <w:tcPr>
            <w:tcW w:w="1340" w:type="dxa"/>
            <w:vAlign w:val="bottom"/>
            <w:shd w:val="clear" w:color="auto" w:fill="D9D9D9"/>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128"/>
              <w:spacing w:after="0"/>
              <w:rPr>
                <w:sz w:val="20"/>
                <w:szCs w:val="20"/>
                <w:color w:val="auto"/>
              </w:rPr>
            </w:pPr>
            <w:r>
              <w:rPr>
                <w:rFonts w:ascii="Arial" w:cs="Arial" w:eastAsia="Arial" w:hAnsi="Arial"/>
                <w:sz w:val="15"/>
                <w:szCs w:val="15"/>
                <w:color w:val="auto"/>
              </w:rPr>
              <w:t>0</w:t>
            </w:r>
          </w:p>
        </w:tc>
        <w:tc>
          <w:tcPr>
            <w:tcW w:w="1360" w:type="dxa"/>
            <w:vAlign w:val="bottom"/>
            <w:shd w:val="clear" w:color="auto" w:fill="D9D9D9"/>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Gregg W. Steinhafel</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14,812</w:t>
            </w:r>
          </w:p>
        </w:tc>
        <w:tc>
          <w:tcPr>
            <w:tcW w:w="1340" w:type="dxa"/>
            <w:vAlign w:val="bottom"/>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8"/>
              <w:spacing w:after="0"/>
              <w:rPr>
                <w:sz w:val="20"/>
                <w:szCs w:val="20"/>
                <w:color w:val="auto"/>
              </w:rPr>
            </w:pPr>
            <w:r>
              <w:rPr>
                <w:rFonts w:ascii="Arial" w:cs="Arial" w:eastAsia="Arial" w:hAnsi="Arial"/>
                <w:sz w:val="15"/>
                <w:szCs w:val="15"/>
                <w:color w:val="auto"/>
              </w:rPr>
              <w:t>5,642</w:t>
            </w:r>
          </w:p>
        </w:tc>
        <w:tc>
          <w:tcPr>
            <w:tcW w:w="1360" w:type="dxa"/>
            <w:vAlign w:val="bottom"/>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Christopher A. Twomey</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26,758</w:t>
            </w:r>
          </w:p>
        </w:tc>
        <w:tc>
          <w:tcPr>
            <w:tcW w:w="1340" w:type="dxa"/>
            <w:vAlign w:val="bottom"/>
            <w:shd w:val="clear" w:color="auto" w:fill="D9D9D9"/>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shd w:val="clear" w:color="auto" w:fill="D9D9D9"/>
          </w:tcPr>
          <w:p>
            <w:pPr>
              <w:jc w:val="right"/>
              <w:ind w:right="128"/>
              <w:spacing w:after="0"/>
              <w:rPr>
                <w:sz w:val="20"/>
                <w:szCs w:val="20"/>
                <w:color w:val="auto"/>
              </w:rPr>
            </w:pPr>
            <w:r>
              <w:rPr>
                <w:rFonts w:ascii="Arial" w:cs="Arial" w:eastAsia="Arial" w:hAnsi="Arial"/>
                <w:sz w:val="15"/>
                <w:szCs w:val="15"/>
                <w:color w:val="auto"/>
              </w:rPr>
              <w:t>9,873</w:t>
            </w:r>
          </w:p>
        </w:tc>
        <w:tc>
          <w:tcPr>
            <w:tcW w:w="1360" w:type="dxa"/>
            <w:vAlign w:val="bottom"/>
            <w:shd w:val="clear" w:color="auto" w:fill="D9D9D9"/>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Michael G. Vale</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0</w:t>
            </w:r>
          </w:p>
        </w:tc>
        <w:tc>
          <w:tcPr>
            <w:tcW w:w="1340" w:type="dxa"/>
            <w:vAlign w:val="bottom"/>
          </w:tcPr>
          <w:p>
            <w:pPr>
              <w:jc w:val="right"/>
              <w:ind w:right="667"/>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8"/>
              <w:spacing w:after="0"/>
              <w:rPr>
                <w:sz w:val="20"/>
                <w:szCs w:val="20"/>
                <w:color w:val="auto"/>
              </w:rPr>
            </w:pPr>
            <w:r>
              <w:rPr>
                <w:rFonts w:ascii="Arial" w:cs="Arial" w:eastAsia="Arial" w:hAnsi="Arial"/>
                <w:sz w:val="15"/>
                <w:szCs w:val="15"/>
                <w:color w:val="auto"/>
              </w:rPr>
              <w:t>1,013</w:t>
            </w:r>
          </w:p>
        </w:tc>
        <w:tc>
          <w:tcPr>
            <w:tcW w:w="1360" w:type="dxa"/>
            <w:vAlign w:val="bottom"/>
          </w:tcPr>
          <w:p>
            <w:pPr>
              <w:jc w:val="center"/>
              <w:ind w:right="8"/>
              <w:spacing w:after="0"/>
              <w:rPr>
                <w:sz w:val="20"/>
                <w:szCs w:val="20"/>
                <w:color w:val="auto"/>
              </w:rPr>
            </w:pPr>
            <w:r>
              <w:rPr>
                <w:rFonts w:ascii="Arial" w:cs="Arial" w:eastAsia="Arial" w:hAnsi="Arial"/>
                <w:sz w:val="15"/>
                <w:szCs w:val="15"/>
                <w:color w:val="auto"/>
                <w:w w:val="95"/>
              </w:rPr>
              <w:t>‒</w:t>
            </w:r>
          </w:p>
        </w:tc>
      </w:tr>
      <w:tr>
        <w:trPr>
          <w:trHeight w:val="184"/>
        </w:trPr>
        <w:tc>
          <w:tcPr>
            <w:tcW w:w="4620" w:type="dxa"/>
            <w:vAlign w:val="bottom"/>
            <w:shd w:val="clear" w:color="auto" w:fill="D9D9D9"/>
          </w:tcPr>
          <w:p>
            <w:pPr>
              <w:spacing w:after="0"/>
              <w:rPr>
                <w:sz w:val="20"/>
                <w:szCs w:val="20"/>
                <w:color w:val="auto"/>
              </w:rPr>
            </w:pPr>
            <w:r>
              <w:rPr>
                <w:rFonts w:ascii="Arial" w:cs="Arial" w:eastAsia="Arial" w:hAnsi="Arial"/>
                <w:sz w:val="15"/>
                <w:szCs w:val="15"/>
                <w:color w:val="auto"/>
              </w:rPr>
              <w:t>Named Executive Officers:</w:t>
            </w:r>
          </w:p>
        </w:tc>
        <w:tc>
          <w:tcPr>
            <w:tcW w:w="1540" w:type="dxa"/>
            <w:vAlign w:val="bottom"/>
            <w:shd w:val="clear" w:color="auto" w:fill="D9D9D9"/>
          </w:tcPr>
          <w:p>
            <w:pPr>
              <w:spacing w:after="0"/>
              <w:rPr>
                <w:sz w:val="15"/>
                <w:szCs w:val="15"/>
                <w:color w:val="auto"/>
              </w:rPr>
            </w:pPr>
          </w:p>
        </w:tc>
        <w:tc>
          <w:tcPr>
            <w:tcW w:w="134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Richard M. Olson</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237,713</w:t>
            </w:r>
          </w:p>
        </w:tc>
        <w:tc>
          <w:tcPr>
            <w:tcW w:w="1340" w:type="dxa"/>
            <w:vAlign w:val="bottom"/>
          </w:tcPr>
          <w:p>
            <w:pPr>
              <w:jc w:val="right"/>
              <w:ind w:right="127"/>
              <w:spacing w:after="0"/>
              <w:rPr>
                <w:sz w:val="20"/>
                <w:szCs w:val="20"/>
                <w:color w:val="auto"/>
              </w:rPr>
            </w:pPr>
            <w:r>
              <w:rPr>
                <w:rFonts w:ascii="Arial" w:cs="Arial" w:eastAsia="Arial" w:hAnsi="Arial"/>
                <w:sz w:val="15"/>
                <w:szCs w:val="15"/>
                <w:color w:val="auto"/>
              </w:rPr>
              <w:t>16,040</w:t>
            </w:r>
          </w:p>
        </w:tc>
        <w:tc>
          <w:tcPr>
            <w:tcW w:w="1420" w:type="dxa"/>
            <w:vAlign w:val="bottom"/>
          </w:tcPr>
          <w:p>
            <w:pPr>
              <w:jc w:val="center"/>
              <w:ind w:right="88"/>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8"/>
              <w:spacing w:after="0"/>
              <w:rPr>
                <w:sz w:val="20"/>
                <w:szCs w:val="20"/>
                <w:color w:val="auto"/>
              </w:rPr>
            </w:pPr>
            <w:r>
              <w:rPr>
                <w:rFonts w:ascii="Arial" w:cs="Arial" w:eastAsia="Arial" w:hAnsi="Arial"/>
                <w:sz w:val="15"/>
                <w:szCs w:val="15"/>
                <w:color w:val="auto"/>
              </w:rPr>
              <w:t>46,520</w:t>
            </w:r>
          </w:p>
        </w:tc>
      </w:tr>
      <w:tr>
        <w:trPr>
          <w:trHeight w:val="184"/>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Renee J. Peterson</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227,866</w:t>
            </w:r>
          </w:p>
        </w:tc>
        <w:tc>
          <w:tcPr>
            <w:tcW w:w="1340" w:type="dxa"/>
            <w:vAlign w:val="bottom"/>
            <w:shd w:val="clear" w:color="auto" w:fill="D9D9D9"/>
          </w:tcPr>
          <w:p>
            <w:pPr>
              <w:jc w:val="right"/>
              <w:ind w:right="127"/>
              <w:spacing w:after="0"/>
              <w:rPr>
                <w:sz w:val="20"/>
                <w:szCs w:val="20"/>
                <w:color w:val="auto"/>
              </w:rPr>
            </w:pPr>
            <w:r>
              <w:rPr>
                <w:rFonts w:ascii="Arial" w:cs="Arial" w:eastAsia="Arial" w:hAnsi="Arial"/>
                <w:sz w:val="15"/>
                <w:szCs w:val="15"/>
                <w:color w:val="auto"/>
              </w:rPr>
              <w:t>649</w:t>
            </w:r>
          </w:p>
        </w:tc>
        <w:tc>
          <w:tcPr>
            <w:tcW w:w="1420" w:type="dxa"/>
            <w:vAlign w:val="bottom"/>
            <w:shd w:val="clear" w:color="auto" w:fill="D9D9D9"/>
          </w:tcPr>
          <w:p>
            <w:pPr>
              <w:jc w:val="center"/>
              <w:ind w:right="88"/>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83,044</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William E. Brown, Jr.</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176,733</w:t>
            </w:r>
          </w:p>
        </w:tc>
        <w:tc>
          <w:tcPr>
            <w:tcW w:w="1340" w:type="dxa"/>
            <w:vAlign w:val="bottom"/>
          </w:tcPr>
          <w:p>
            <w:pPr>
              <w:jc w:val="right"/>
              <w:ind w:right="127"/>
              <w:spacing w:after="0"/>
              <w:rPr>
                <w:sz w:val="20"/>
                <w:szCs w:val="20"/>
                <w:color w:val="auto"/>
              </w:rPr>
            </w:pPr>
            <w:r>
              <w:rPr>
                <w:rFonts w:ascii="Arial" w:cs="Arial" w:eastAsia="Arial" w:hAnsi="Arial"/>
                <w:sz w:val="15"/>
                <w:szCs w:val="15"/>
                <w:color w:val="auto"/>
              </w:rPr>
              <w:t>175</w:t>
            </w:r>
          </w:p>
        </w:tc>
        <w:tc>
          <w:tcPr>
            <w:tcW w:w="1420" w:type="dxa"/>
            <w:vAlign w:val="bottom"/>
          </w:tcPr>
          <w:p>
            <w:pPr>
              <w:jc w:val="center"/>
              <w:ind w:right="88"/>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8"/>
              <w:spacing w:after="0"/>
              <w:rPr>
                <w:sz w:val="20"/>
                <w:szCs w:val="20"/>
                <w:color w:val="auto"/>
              </w:rPr>
            </w:pPr>
            <w:r>
              <w:rPr>
                <w:rFonts w:ascii="Arial" w:cs="Arial" w:eastAsia="Arial" w:hAnsi="Arial"/>
                <w:sz w:val="15"/>
                <w:szCs w:val="15"/>
                <w:color w:val="auto"/>
              </w:rPr>
              <w:t>17,552</w:t>
            </w:r>
          </w:p>
        </w:tc>
      </w:tr>
      <w:tr>
        <w:trPr>
          <w:trHeight w:val="184"/>
        </w:trPr>
        <w:tc>
          <w:tcPr>
            <w:tcW w:w="4620" w:type="dxa"/>
            <w:vAlign w:val="bottom"/>
            <w:shd w:val="clear" w:color="auto" w:fill="D9D9D9"/>
          </w:tcPr>
          <w:p>
            <w:pPr>
              <w:ind w:left="220"/>
              <w:spacing w:after="0"/>
              <w:rPr>
                <w:sz w:val="20"/>
                <w:szCs w:val="20"/>
                <w:color w:val="auto"/>
              </w:rPr>
            </w:pPr>
            <w:r>
              <w:rPr>
                <w:rFonts w:ascii="Arial" w:cs="Arial" w:eastAsia="Arial" w:hAnsi="Arial"/>
                <w:sz w:val="15"/>
                <w:szCs w:val="15"/>
                <w:color w:val="auto"/>
              </w:rPr>
              <w:t>Timothy P. Dordell</w:t>
            </w:r>
          </w:p>
        </w:tc>
        <w:tc>
          <w:tcPr>
            <w:tcW w:w="154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124,733</w:t>
            </w:r>
          </w:p>
        </w:tc>
        <w:tc>
          <w:tcPr>
            <w:tcW w:w="1340" w:type="dxa"/>
            <w:vAlign w:val="bottom"/>
            <w:shd w:val="clear" w:color="auto" w:fill="D9D9D9"/>
          </w:tcPr>
          <w:p>
            <w:pPr>
              <w:jc w:val="right"/>
              <w:ind w:right="127"/>
              <w:spacing w:after="0"/>
              <w:rPr>
                <w:sz w:val="20"/>
                <w:szCs w:val="20"/>
                <w:color w:val="auto"/>
              </w:rPr>
            </w:pPr>
            <w:r>
              <w:rPr>
                <w:rFonts w:ascii="Arial" w:cs="Arial" w:eastAsia="Arial" w:hAnsi="Arial"/>
                <w:sz w:val="15"/>
                <w:szCs w:val="15"/>
                <w:color w:val="auto"/>
              </w:rPr>
              <w:t>0</w:t>
            </w:r>
          </w:p>
        </w:tc>
        <w:tc>
          <w:tcPr>
            <w:tcW w:w="1420" w:type="dxa"/>
            <w:vAlign w:val="bottom"/>
            <w:shd w:val="clear" w:color="auto" w:fill="D9D9D9"/>
          </w:tcPr>
          <w:p>
            <w:pPr>
              <w:jc w:val="center"/>
              <w:ind w:right="88"/>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108,760</w:t>
            </w:r>
          </w:p>
        </w:tc>
      </w:tr>
      <w:tr>
        <w:trPr>
          <w:trHeight w:val="184"/>
        </w:trPr>
        <w:tc>
          <w:tcPr>
            <w:tcW w:w="4620" w:type="dxa"/>
            <w:vAlign w:val="bottom"/>
          </w:tcPr>
          <w:p>
            <w:pPr>
              <w:ind w:left="220"/>
              <w:spacing w:after="0"/>
              <w:rPr>
                <w:sz w:val="20"/>
                <w:szCs w:val="20"/>
                <w:color w:val="auto"/>
              </w:rPr>
            </w:pPr>
            <w:r>
              <w:rPr>
                <w:rFonts w:ascii="Arial" w:cs="Arial" w:eastAsia="Arial" w:hAnsi="Arial"/>
                <w:sz w:val="15"/>
                <w:szCs w:val="15"/>
                <w:color w:val="auto"/>
              </w:rPr>
              <w:t>Bradley A. Hamilton</w:t>
            </w:r>
          </w:p>
        </w:tc>
        <w:tc>
          <w:tcPr>
            <w:tcW w:w="1540" w:type="dxa"/>
            <w:vAlign w:val="bottom"/>
          </w:tcPr>
          <w:p>
            <w:pPr>
              <w:jc w:val="right"/>
              <w:ind w:right="207"/>
              <w:spacing w:after="0"/>
              <w:rPr>
                <w:sz w:val="20"/>
                <w:szCs w:val="20"/>
                <w:color w:val="auto"/>
              </w:rPr>
            </w:pPr>
            <w:r>
              <w:rPr>
                <w:rFonts w:ascii="Arial" w:cs="Arial" w:eastAsia="Arial" w:hAnsi="Arial"/>
                <w:sz w:val="15"/>
                <w:szCs w:val="15"/>
                <w:color w:val="auto"/>
              </w:rPr>
              <w:t>41,203</w:t>
            </w:r>
          </w:p>
        </w:tc>
        <w:tc>
          <w:tcPr>
            <w:tcW w:w="1340" w:type="dxa"/>
            <w:vAlign w:val="bottom"/>
          </w:tcPr>
          <w:p>
            <w:pPr>
              <w:jc w:val="right"/>
              <w:ind w:right="127"/>
              <w:spacing w:after="0"/>
              <w:rPr>
                <w:sz w:val="20"/>
                <w:szCs w:val="20"/>
                <w:color w:val="auto"/>
              </w:rPr>
            </w:pPr>
            <w:r>
              <w:rPr>
                <w:rFonts w:ascii="Arial" w:cs="Arial" w:eastAsia="Arial" w:hAnsi="Arial"/>
                <w:sz w:val="15"/>
                <w:szCs w:val="15"/>
                <w:color w:val="auto"/>
              </w:rPr>
              <w:t>925</w:t>
            </w:r>
          </w:p>
        </w:tc>
        <w:tc>
          <w:tcPr>
            <w:tcW w:w="1420" w:type="dxa"/>
            <w:vAlign w:val="bottom"/>
          </w:tcPr>
          <w:p>
            <w:pPr>
              <w:jc w:val="center"/>
              <w:ind w:right="88"/>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8"/>
              <w:spacing w:after="0"/>
              <w:rPr>
                <w:sz w:val="20"/>
                <w:szCs w:val="20"/>
                <w:color w:val="auto"/>
              </w:rPr>
            </w:pPr>
            <w:r>
              <w:rPr>
                <w:rFonts w:ascii="Arial" w:cs="Arial" w:eastAsia="Arial" w:hAnsi="Arial"/>
                <w:sz w:val="15"/>
                <w:szCs w:val="15"/>
                <w:color w:val="auto"/>
              </w:rPr>
              <w:t>3,554</w:t>
            </w:r>
          </w:p>
        </w:tc>
      </w:tr>
      <w:tr>
        <w:trPr>
          <w:trHeight w:val="186"/>
        </w:trPr>
        <w:tc>
          <w:tcPr>
            <w:tcW w:w="4620" w:type="dxa"/>
            <w:vAlign w:val="bottom"/>
            <w:shd w:val="clear" w:color="auto" w:fill="D9D9D9"/>
          </w:tcPr>
          <w:p>
            <w:pPr>
              <w:spacing w:after="0"/>
              <w:rPr>
                <w:sz w:val="20"/>
                <w:szCs w:val="20"/>
                <w:color w:val="auto"/>
              </w:rPr>
            </w:pPr>
            <w:r>
              <w:rPr>
                <w:rFonts w:ascii="Arial" w:cs="Arial" w:eastAsia="Arial" w:hAnsi="Arial"/>
                <w:sz w:val="15"/>
                <w:szCs w:val="15"/>
                <w:color w:val="auto"/>
              </w:rPr>
              <w:t>All Directors, Director Nominees and Executive Officers as a Group</w:t>
            </w:r>
          </w:p>
        </w:tc>
        <w:tc>
          <w:tcPr>
            <w:tcW w:w="154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1360" w:type="dxa"/>
            <w:vAlign w:val="bottom"/>
            <w:shd w:val="clear" w:color="auto" w:fill="D9D9D9"/>
          </w:tcPr>
          <w:p>
            <w:pPr>
              <w:spacing w:after="0"/>
              <w:rPr>
                <w:sz w:val="16"/>
                <w:szCs w:val="16"/>
                <w:color w:val="auto"/>
              </w:rPr>
            </w:pPr>
          </w:p>
        </w:tc>
      </w:tr>
      <w:tr>
        <w:trPr>
          <w:trHeight w:val="170"/>
        </w:trPr>
        <w:tc>
          <w:tcPr>
            <w:tcW w:w="4620" w:type="dxa"/>
            <w:vAlign w:val="bottom"/>
            <w:shd w:val="clear" w:color="auto" w:fill="D9D9D9"/>
          </w:tcPr>
          <w:p>
            <w:pPr>
              <w:spacing w:after="0" w:line="170" w:lineRule="exact"/>
              <w:rPr>
                <w:sz w:val="20"/>
                <w:szCs w:val="20"/>
                <w:color w:val="auto"/>
              </w:rPr>
            </w:pPr>
            <w:r>
              <w:rPr>
                <w:rFonts w:ascii="Arial" w:cs="Arial" w:eastAsia="Arial" w:hAnsi="Arial"/>
                <w:sz w:val="15"/>
                <w:szCs w:val="15"/>
                <w:color w:val="auto"/>
              </w:rPr>
              <w:t>(23)</w:t>
            </w:r>
          </w:p>
        </w:tc>
        <w:tc>
          <w:tcPr>
            <w:tcW w:w="1540" w:type="dxa"/>
            <w:vAlign w:val="bottom"/>
            <w:shd w:val="clear" w:color="auto" w:fill="D9D9D9"/>
          </w:tcPr>
          <w:p>
            <w:pPr>
              <w:jc w:val="right"/>
              <w:ind w:right="207"/>
              <w:spacing w:after="0" w:line="170" w:lineRule="exact"/>
              <w:rPr>
                <w:sz w:val="20"/>
                <w:szCs w:val="20"/>
                <w:color w:val="auto"/>
              </w:rPr>
            </w:pPr>
            <w:r>
              <w:rPr>
                <w:rFonts w:ascii="Arial" w:cs="Arial" w:eastAsia="Arial" w:hAnsi="Arial"/>
                <w:sz w:val="15"/>
                <w:szCs w:val="15"/>
                <w:color w:val="auto"/>
              </w:rPr>
              <w:t>1,424,068</w:t>
            </w:r>
          </w:p>
        </w:tc>
        <w:tc>
          <w:tcPr>
            <w:tcW w:w="1340" w:type="dxa"/>
            <w:vAlign w:val="bottom"/>
            <w:shd w:val="clear" w:color="auto" w:fill="D9D9D9"/>
          </w:tcPr>
          <w:p>
            <w:pPr>
              <w:jc w:val="right"/>
              <w:ind w:right="127"/>
              <w:spacing w:after="0" w:line="170" w:lineRule="exact"/>
              <w:rPr>
                <w:sz w:val="20"/>
                <w:szCs w:val="20"/>
                <w:color w:val="auto"/>
              </w:rPr>
            </w:pPr>
            <w:r>
              <w:rPr>
                <w:rFonts w:ascii="Arial" w:cs="Arial" w:eastAsia="Arial" w:hAnsi="Arial"/>
                <w:sz w:val="15"/>
                <w:szCs w:val="15"/>
                <w:color w:val="auto"/>
              </w:rPr>
              <w:t>67,703</w:t>
            </w:r>
          </w:p>
        </w:tc>
        <w:tc>
          <w:tcPr>
            <w:tcW w:w="1420" w:type="dxa"/>
            <w:vAlign w:val="bottom"/>
            <w:shd w:val="clear" w:color="auto" w:fill="D9D9D9"/>
          </w:tcPr>
          <w:p>
            <w:pPr>
              <w:jc w:val="right"/>
              <w:ind w:right="128"/>
              <w:spacing w:after="0" w:line="170" w:lineRule="exact"/>
              <w:rPr>
                <w:sz w:val="20"/>
                <w:szCs w:val="20"/>
                <w:color w:val="auto"/>
              </w:rPr>
            </w:pPr>
            <w:r>
              <w:rPr>
                <w:rFonts w:ascii="Arial" w:cs="Arial" w:eastAsia="Arial" w:hAnsi="Arial"/>
                <w:sz w:val="15"/>
                <w:szCs w:val="15"/>
                <w:color w:val="auto"/>
              </w:rPr>
              <w:t>88,876</w:t>
            </w:r>
          </w:p>
        </w:tc>
        <w:tc>
          <w:tcPr>
            <w:tcW w:w="1360" w:type="dxa"/>
            <w:vAlign w:val="bottom"/>
            <w:shd w:val="clear" w:color="auto" w:fill="D9D9D9"/>
          </w:tcPr>
          <w:p>
            <w:pPr>
              <w:jc w:val="right"/>
              <w:ind w:right="48"/>
              <w:spacing w:after="0" w:line="170" w:lineRule="exact"/>
              <w:rPr>
                <w:sz w:val="20"/>
                <w:szCs w:val="20"/>
                <w:color w:val="auto"/>
              </w:rPr>
            </w:pPr>
            <w:r>
              <w:rPr>
                <w:rFonts w:ascii="Arial" w:cs="Arial" w:eastAsia="Arial" w:hAnsi="Arial"/>
                <w:sz w:val="15"/>
                <w:szCs w:val="15"/>
                <w:color w:val="auto"/>
              </w:rPr>
              <w:t>322,253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20777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9" w:lineRule="exact"/>
        <w:rPr>
          <w:sz w:val="20"/>
          <w:szCs w:val="20"/>
          <w:color w:val="auto"/>
        </w:rPr>
      </w:pPr>
    </w:p>
    <w:p>
      <w:pPr>
        <w:ind w:left="402" w:hanging="402"/>
        <w:spacing w:after="0" w:line="241" w:lineRule="auto"/>
        <w:tabs>
          <w:tab w:leader="none" w:pos="4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shares held in trust for estate planning purposes as follows: 18,311 shares for Mr. Buhrmaster, 21,930 shares for Ms. Cooper, 53,896 shares for Ms. Harless, 3,209 shares for Mr. Koch, 57,457 shares for Mr. Twomey, 307 shares for Mr. Dordell, 50,000 shares for Ms. Peterson and 213,406 shares for all directors, director nominees and executive officers as a group. Ms. Cooper’s spouse is sole trustee of the trust and has sole voting and investment power with respect to the shares held in trust; and accordingly, Ms. Cooper disclaims beneficial ownership of such shares. Ms. Harless has shared voting and investment power with her spouse with respect to the shares held in trust. Mr. Twomey has shared voting and investment power with respect to the shares held in trust. In addition, includes 2,312 shares for Mr. Buhrmaster that are held by a family foundation and Mr. Buhrmaster has shared voting and investment power with respect to the shares held by the family foundation; and 1,060 shares for Mr. Twomey that are held by a family foundation and Mr. Twomey has shared voting and investment power with respect to the shares held by the family foundation.</w:t>
      </w:r>
    </w:p>
    <w:p>
      <w:pPr>
        <w:spacing w:after="0" w:line="41" w:lineRule="exact"/>
        <w:rPr>
          <w:rFonts w:ascii="Arial" w:cs="Arial" w:eastAsia="Arial" w:hAnsi="Arial"/>
          <w:sz w:val="16"/>
          <w:szCs w:val="16"/>
          <w:color w:val="auto"/>
        </w:rPr>
      </w:pPr>
    </w:p>
    <w:p>
      <w:pPr>
        <w:ind w:left="402" w:right="800" w:hanging="402"/>
        <w:spacing w:after="0" w:line="255" w:lineRule="auto"/>
        <w:tabs>
          <w:tab w:leader="none" w:pos="4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shares held jointly with spouse for which the director or officer has shared voting and investment power as follows: 44,105 shares for Mr. Steinhafel, 47,413 shares for Mr. Brown and 91,518 shares for all directors, director nominees and executive officers as a group.</w:t>
      </w:r>
    </w:p>
    <w:p>
      <w:pPr>
        <w:spacing w:after="0" w:line="25" w:lineRule="exact"/>
        <w:rPr>
          <w:rFonts w:ascii="Arial" w:cs="Arial" w:eastAsia="Arial" w:hAnsi="Arial"/>
          <w:sz w:val="16"/>
          <w:szCs w:val="16"/>
          <w:color w:val="auto"/>
        </w:rPr>
      </w:pPr>
    </w:p>
    <w:p>
      <w:pPr>
        <w:ind w:left="402" w:right="40" w:hanging="402"/>
        <w:spacing w:after="0" w:line="243" w:lineRule="auto"/>
        <w:tabs>
          <w:tab w:leader="none" w:pos="4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22, 2019,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3" w:name="page74"/>
    <w:bookmarkEnd w:id="73"/>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Stock Ownership Guidelines</w:t>
      </w:r>
    </w:p>
    <w:p>
      <w:pPr>
        <w:spacing w:after="0" w:line="99" w:lineRule="exact"/>
        <w:rPr>
          <w:sz w:val="20"/>
          <w:szCs w:val="20"/>
          <w:color w:val="auto"/>
        </w:rPr>
      </w:pPr>
    </w:p>
    <w:p>
      <w:pPr>
        <w:ind w:left="2" w:right="20" w:firstLine="408"/>
        <w:spacing w:after="0" w:line="244" w:lineRule="auto"/>
        <w:rPr>
          <w:sz w:val="20"/>
          <w:szCs w:val="20"/>
          <w:color w:val="auto"/>
        </w:rPr>
      </w:pPr>
      <w:r>
        <w:rPr>
          <w:rFonts w:ascii="Arial" w:cs="Arial" w:eastAsia="Arial" w:hAnsi="Arial"/>
          <w:sz w:val="16"/>
          <w:szCs w:val="16"/>
          <w:color w:val="auto"/>
        </w:rPr>
        <w:t>We maintain stock ownership guidelines described in the table below to align the interests of our non-employee directors and executive officers with those of our shareholders. Non-employee directors are expected to meet this guideline within five years of joining the Board. Executive officers are expected to meet the guideline within five years of the date of hire or promotion. As of January 22, 2019, each of our non-employee directors and executive officers who is required to meet a stock ownership guideline met such guideline.</w:t>
      </w:r>
    </w:p>
    <w:p>
      <w:pPr>
        <w:spacing w:after="0" w:line="61" w:lineRule="exact"/>
        <w:rPr>
          <w:sz w:val="20"/>
          <w:szCs w:val="20"/>
          <w:color w:val="auto"/>
        </w:rPr>
      </w:pPr>
    </w:p>
    <w:tbl>
      <w:tblPr>
        <w:tblLayout w:type="fixed"/>
        <w:tblInd w:w="582" w:type="dxa"/>
        <w:tblCellMar>
          <w:top w:w="0" w:type="dxa"/>
          <w:left w:w="0" w:type="dxa"/>
          <w:bottom w:w="0" w:type="dxa"/>
          <w:right w:w="0" w:type="dxa"/>
        </w:tblCellMar>
      </w:tblPr>
      <w:tr>
        <w:trPr>
          <w:trHeight w:val="240"/>
        </w:trPr>
        <w:tc>
          <w:tcPr>
            <w:tcW w:w="3160" w:type="dxa"/>
            <w:vAlign w:val="bottom"/>
            <w:shd w:val="clear" w:color="auto" w:fill="C00000"/>
          </w:tcPr>
          <w:p>
            <w:pPr>
              <w:spacing w:after="0"/>
              <w:rPr>
                <w:sz w:val="20"/>
                <w:szCs w:val="20"/>
                <w:color w:val="auto"/>
              </w:rPr>
            </w:pPr>
          </w:p>
        </w:tc>
        <w:tc>
          <w:tcPr>
            <w:tcW w:w="3960" w:type="dxa"/>
            <w:vAlign w:val="bottom"/>
            <w:shd w:val="clear" w:color="auto" w:fill="C00000"/>
          </w:tcPr>
          <w:p>
            <w:pPr>
              <w:ind w:left="560"/>
              <w:spacing w:after="0"/>
              <w:rPr>
                <w:sz w:val="20"/>
                <w:szCs w:val="20"/>
                <w:color w:val="auto"/>
              </w:rPr>
            </w:pPr>
            <w:r>
              <w:rPr>
                <w:rFonts w:ascii="Arial" w:cs="Arial" w:eastAsia="Arial" w:hAnsi="Arial"/>
                <w:sz w:val="15"/>
                <w:szCs w:val="15"/>
                <w:b w:val="1"/>
                <w:bCs w:val="1"/>
                <w:color w:val="FFFFFF"/>
              </w:rPr>
              <w:t>Stock Ownership Guidelines by Position</w:t>
            </w:r>
          </w:p>
        </w:tc>
        <w:tc>
          <w:tcPr>
            <w:tcW w:w="3160" w:type="dxa"/>
            <w:vAlign w:val="bottom"/>
            <w:shd w:val="clear" w:color="auto" w:fill="C00000"/>
          </w:tcPr>
          <w:p>
            <w:pPr>
              <w:spacing w:after="0"/>
              <w:rPr>
                <w:sz w:val="20"/>
                <w:szCs w:val="20"/>
                <w:color w:val="auto"/>
              </w:rPr>
            </w:pPr>
          </w:p>
        </w:tc>
      </w:tr>
      <w:tr>
        <w:trPr>
          <w:trHeight w:val="226"/>
        </w:trPr>
        <w:tc>
          <w:tcPr>
            <w:tcW w:w="3160" w:type="dxa"/>
            <w:vAlign w:val="bottom"/>
            <w:shd w:val="clear" w:color="auto" w:fill="C00000"/>
          </w:tcPr>
          <w:p>
            <w:pPr>
              <w:jc w:val="center"/>
              <w:ind w:left="246"/>
              <w:spacing w:after="0"/>
              <w:rPr>
                <w:sz w:val="20"/>
                <w:szCs w:val="20"/>
                <w:color w:val="auto"/>
              </w:rPr>
            </w:pPr>
            <w:r>
              <w:rPr>
                <w:rFonts w:ascii="Arial" w:cs="Arial" w:eastAsia="Arial" w:hAnsi="Arial"/>
                <w:sz w:val="15"/>
                <w:szCs w:val="15"/>
                <w:b w:val="1"/>
                <w:bCs w:val="1"/>
                <w:color w:val="FFFFFF"/>
                <w:w w:val="98"/>
              </w:rPr>
              <w:t>Non-Employee Directors</w:t>
            </w:r>
          </w:p>
        </w:tc>
        <w:tc>
          <w:tcPr>
            <w:tcW w:w="3960" w:type="dxa"/>
            <w:vAlign w:val="bottom"/>
            <w:shd w:val="clear" w:color="auto" w:fill="C00000"/>
          </w:tcPr>
          <w:p>
            <w:pPr>
              <w:jc w:val="center"/>
              <w:ind w:left="66"/>
              <w:spacing w:after="0"/>
              <w:rPr>
                <w:sz w:val="20"/>
                <w:szCs w:val="20"/>
                <w:color w:val="auto"/>
              </w:rPr>
            </w:pPr>
            <w:r>
              <w:rPr>
                <w:rFonts w:ascii="Arial" w:cs="Arial" w:eastAsia="Arial" w:hAnsi="Arial"/>
                <w:sz w:val="15"/>
                <w:szCs w:val="15"/>
                <w:b w:val="1"/>
                <w:bCs w:val="1"/>
                <w:color w:val="FFFFFF"/>
                <w:w w:val="97"/>
              </w:rPr>
              <w:t>Chairman and CEO</w:t>
            </w:r>
          </w:p>
        </w:tc>
        <w:tc>
          <w:tcPr>
            <w:tcW w:w="3160" w:type="dxa"/>
            <w:vAlign w:val="bottom"/>
            <w:shd w:val="clear" w:color="auto" w:fill="C00000"/>
          </w:tcPr>
          <w:p>
            <w:pPr>
              <w:jc w:val="center"/>
              <w:ind w:right="126"/>
              <w:spacing w:after="0"/>
              <w:rPr>
                <w:sz w:val="20"/>
                <w:szCs w:val="20"/>
                <w:color w:val="auto"/>
              </w:rPr>
            </w:pPr>
            <w:r>
              <w:rPr>
                <w:rFonts w:ascii="Arial" w:cs="Arial" w:eastAsia="Arial" w:hAnsi="Arial"/>
                <w:sz w:val="15"/>
                <w:szCs w:val="15"/>
                <w:b w:val="1"/>
                <w:bCs w:val="1"/>
                <w:color w:val="FFFFFF"/>
                <w:w w:val="98"/>
              </w:rPr>
              <w:t>Other Executive Officers</w:t>
            </w:r>
          </w:p>
        </w:tc>
      </w:tr>
      <w:tr>
        <w:trPr>
          <w:trHeight w:val="216"/>
        </w:trPr>
        <w:tc>
          <w:tcPr>
            <w:tcW w:w="3160" w:type="dxa"/>
            <w:vAlign w:val="bottom"/>
          </w:tcPr>
          <w:p>
            <w:pPr>
              <w:jc w:val="center"/>
              <w:ind w:left="246"/>
              <w:spacing w:after="0"/>
              <w:rPr>
                <w:sz w:val="20"/>
                <w:szCs w:val="20"/>
                <w:color w:val="auto"/>
              </w:rPr>
            </w:pPr>
            <w:r>
              <w:rPr>
                <w:rFonts w:ascii="Arial" w:cs="Arial" w:eastAsia="Arial" w:hAnsi="Arial"/>
                <w:sz w:val="15"/>
                <w:szCs w:val="15"/>
                <w:color w:val="auto"/>
                <w:w w:val="98"/>
              </w:rPr>
              <w:t>5x annual board retainer</w:t>
            </w:r>
          </w:p>
        </w:tc>
        <w:tc>
          <w:tcPr>
            <w:tcW w:w="3960" w:type="dxa"/>
            <w:vAlign w:val="bottom"/>
          </w:tcPr>
          <w:p>
            <w:pPr>
              <w:jc w:val="center"/>
              <w:ind w:left="66"/>
              <w:spacing w:after="0"/>
              <w:rPr>
                <w:sz w:val="20"/>
                <w:szCs w:val="20"/>
                <w:color w:val="auto"/>
              </w:rPr>
            </w:pPr>
            <w:r>
              <w:rPr>
                <w:rFonts w:ascii="Arial" w:cs="Arial" w:eastAsia="Arial" w:hAnsi="Arial"/>
                <w:sz w:val="15"/>
                <w:szCs w:val="15"/>
                <w:color w:val="auto"/>
                <w:w w:val="97"/>
              </w:rPr>
              <w:t>5x annual base salary</w:t>
            </w:r>
          </w:p>
        </w:tc>
        <w:tc>
          <w:tcPr>
            <w:tcW w:w="3160" w:type="dxa"/>
            <w:vAlign w:val="bottom"/>
          </w:tcPr>
          <w:p>
            <w:pPr>
              <w:jc w:val="center"/>
              <w:ind w:right="126"/>
              <w:spacing w:after="0"/>
              <w:rPr>
                <w:sz w:val="20"/>
                <w:szCs w:val="20"/>
                <w:color w:val="auto"/>
              </w:rPr>
            </w:pPr>
            <w:r>
              <w:rPr>
                <w:rFonts w:ascii="Arial" w:cs="Arial" w:eastAsia="Arial" w:hAnsi="Arial"/>
                <w:sz w:val="15"/>
                <w:szCs w:val="15"/>
                <w:color w:val="auto"/>
                <w:w w:val="98"/>
              </w:rPr>
              <w:t>2x or 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-299720</wp:posOffset>
            </wp:positionV>
            <wp:extent cx="179514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95145" cy="7620"/>
                    </a:xfrm>
                    <a:prstGeom prst="rect">
                      <a:avLst/>
                    </a:prstGeom>
                    <a:noFill/>
                  </pic:spPr>
                </pic:pic>
              </a:graphicData>
            </a:graphic>
          </wp:anchor>
        </w:drawing>
      </w:r>
    </w:p>
    <w:p>
      <w:pPr>
        <w:spacing w:after="0" w:line="16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C00000"/>
        </w:rPr>
        <w:t>Section 16(a) Beneficial Ownership Reporting Compliance</w:t>
      </w:r>
    </w:p>
    <w:p>
      <w:pPr>
        <w:spacing w:after="0" w:line="118" w:lineRule="exact"/>
        <w:rPr>
          <w:sz w:val="20"/>
          <w:szCs w:val="20"/>
          <w:color w:val="auto"/>
        </w:rPr>
      </w:pPr>
    </w:p>
    <w:p>
      <w:pPr>
        <w:ind w:left="2" w:right="60" w:firstLine="408"/>
        <w:spacing w:after="0" w:line="244" w:lineRule="auto"/>
        <w:rPr>
          <w:sz w:val="20"/>
          <w:szCs w:val="20"/>
          <w:color w:val="auto"/>
        </w:rPr>
      </w:pPr>
      <w:r>
        <w:rPr>
          <w:rFonts w:ascii="Arial" w:cs="Arial" w:eastAsia="Arial" w:hAnsi="Arial"/>
          <w:sz w:val="16"/>
          <w:szCs w:val="16"/>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259320" cy="186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23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FFFFFF"/>
        </w:rPr>
        <w:t>EQUITY COMPENSATION PLAN INFORMATION</w:t>
      </w:r>
    </w:p>
    <w:p>
      <w:pPr>
        <w:spacing w:after="0" w:line="252" w:lineRule="exact"/>
        <w:rPr>
          <w:sz w:val="20"/>
          <w:szCs w:val="20"/>
          <w:color w:val="auto"/>
        </w:rPr>
      </w:pPr>
    </w:p>
    <w:p>
      <w:pPr>
        <w:ind w:left="2" w:right="140" w:firstLine="408"/>
        <w:spacing w:after="0" w:line="255" w:lineRule="auto"/>
        <w:rPr>
          <w:sz w:val="20"/>
          <w:szCs w:val="20"/>
          <w:color w:val="auto"/>
        </w:rPr>
      </w:pPr>
      <w:r>
        <w:rPr>
          <w:rFonts w:ascii="Arial" w:cs="Arial" w:eastAsia="Arial" w:hAnsi="Arial"/>
          <w:sz w:val="16"/>
          <w:szCs w:val="16"/>
          <w:color w:val="auto"/>
        </w:rPr>
        <w:t>The following table provides information about shares of our common stock that may be issued under our equity compensation plans as of October 31, 2018, the last day of fiscal 2018.</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3880" w:type="dxa"/>
            <w:vAlign w:val="bottom"/>
            <w:shd w:val="clear" w:color="auto" w:fill="C00000"/>
          </w:tcPr>
          <w:p>
            <w:pPr>
              <w:spacing w:after="0"/>
              <w:rPr>
                <w:sz w:val="14"/>
                <w:szCs w:val="14"/>
                <w:color w:val="auto"/>
              </w:rPr>
            </w:pPr>
          </w:p>
        </w:tc>
        <w:tc>
          <w:tcPr>
            <w:tcW w:w="3020" w:type="dxa"/>
            <w:vAlign w:val="bottom"/>
            <w:shd w:val="clear" w:color="auto" w:fill="C00000"/>
          </w:tcPr>
          <w:p>
            <w:pPr>
              <w:spacing w:after="0"/>
              <w:rPr>
                <w:sz w:val="14"/>
                <w:szCs w:val="14"/>
                <w:color w:val="auto"/>
              </w:rPr>
            </w:pPr>
          </w:p>
        </w:tc>
        <w:tc>
          <w:tcPr>
            <w:tcW w:w="2040" w:type="dxa"/>
            <w:vAlign w:val="bottom"/>
            <w:shd w:val="clear" w:color="auto" w:fill="C00000"/>
          </w:tcPr>
          <w:p>
            <w:pPr>
              <w:spacing w:after="0"/>
              <w:rPr>
                <w:sz w:val="14"/>
                <w:szCs w:val="14"/>
                <w:color w:val="auto"/>
              </w:rPr>
            </w:pPr>
          </w:p>
        </w:tc>
        <w:tc>
          <w:tcPr>
            <w:tcW w:w="2480" w:type="dxa"/>
            <w:vAlign w:val="bottom"/>
            <w:shd w:val="clear" w:color="auto" w:fill="C00000"/>
          </w:tcPr>
          <w:p>
            <w:pPr>
              <w:jc w:val="center"/>
              <w:ind w:left="32"/>
              <w:spacing w:after="0"/>
              <w:rPr>
                <w:sz w:val="20"/>
                <w:szCs w:val="20"/>
                <w:color w:val="auto"/>
              </w:rPr>
            </w:pPr>
            <w:r>
              <w:rPr>
                <w:rFonts w:ascii="Arial" w:cs="Arial" w:eastAsia="Arial" w:hAnsi="Arial"/>
                <w:sz w:val="13"/>
                <w:szCs w:val="13"/>
                <w:color w:val="FFFFFF"/>
              </w:rPr>
              <w:t>Number of Securities</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rPr>
              <w:t>Number of Securities to</w:t>
            </w:r>
          </w:p>
        </w:tc>
        <w:tc>
          <w:tcPr>
            <w:tcW w:w="2040" w:type="dxa"/>
            <w:vAlign w:val="bottom"/>
            <w:shd w:val="clear" w:color="auto" w:fill="C00000"/>
          </w:tcPr>
          <w:p>
            <w:pPr>
              <w:spacing w:after="0"/>
              <w:rPr>
                <w:sz w:val="12"/>
                <w:szCs w:val="12"/>
                <w:color w:val="auto"/>
              </w:rPr>
            </w:pP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rPr>
              <w:t>Remaining Available for</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w w:val="98"/>
              </w:rPr>
              <w:t>be Issued Upon</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9"/>
              </w:rPr>
              <w:t>Weighted Average</w:t>
            </w: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rPr>
              <w:t>Future Issuance Under</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rPr>
              <w:t>Exercise of</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rPr>
              <w:t>Exercise Price of</w:t>
            </w: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rPr>
              <w:t>Equity Compensation Plans</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w w:val="99"/>
              </w:rPr>
              <w:t>Outstanding Options,</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9"/>
              </w:rPr>
              <w:t>Outstanding Options,</w:t>
            </w:r>
          </w:p>
        </w:tc>
        <w:tc>
          <w:tcPr>
            <w:tcW w:w="2480" w:type="dxa"/>
            <w:vAlign w:val="bottom"/>
            <w:shd w:val="clear" w:color="auto" w:fill="C00000"/>
          </w:tcPr>
          <w:p>
            <w:pPr>
              <w:jc w:val="center"/>
              <w:ind w:left="12"/>
              <w:spacing w:after="0" w:line="148" w:lineRule="exact"/>
              <w:rPr>
                <w:sz w:val="20"/>
                <w:szCs w:val="20"/>
                <w:color w:val="auto"/>
              </w:rPr>
            </w:pPr>
            <w:r>
              <w:rPr>
                <w:rFonts w:ascii="Arial" w:cs="Arial" w:eastAsia="Arial" w:hAnsi="Arial"/>
                <w:sz w:val="13"/>
                <w:szCs w:val="13"/>
                <w:color w:val="FFFFFF"/>
              </w:rPr>
              <w:t>(excluding securities reflected</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w w:val="99"/>
              </w:rPr>
              <w:t>Warrants and Rights</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9"/>
              </w:rPr>
              <w:t>Warrants and Rights</w:t>
            </w: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w w:val="98"/>
              </w:rPr>
              <w:t>in column (a))</w:t>
            </w:r>
          </w:p>
        </w:tc>
        <w:tc>
          <w:tcPr>
            <w:tcW w:w="0" w:type="dxa"/>
            <w:vAlign w:val="bottom"/>
          </w:tcPr>
          <w:p>
            <w:pPr>
              <w:spacing w:after="0"/>
              <w:rPr>
                <w:sz w:val="1"/>
                <w:szCs w:val="1"/>
                <w:color w:val="auto"/>
              </w:rPr>
            </w:pPr>
          </w:p>
        </w:tc>
      </w:tr>
      <w:tr>
        <w:trPr>
          <w:trHeight w:val="143"/>
        </w:trPr>
        <w:tc>
          <w:tcPr>
            <w:tcW w:w="3880" w:type="dxa"/>
            <w:vAlign w:val="bottom"/>
            <w:shd w:val="clear" w:color="auto" w:fill="C00000"/>
          </w:tcPr>
          <w:p>
            <w:pPr>
              <w:spacing w:after="0" w:line="143" w:lineRule="exact"/>
              <w:rPr>
                <w:sz w:val="20"/>
                <w:szCs w:val="20"/>
                <w:color w:val="auto"/>
              </w:rPr>
            </w:pPr>
            <w:r>
              <w:rPr>
                <w:rFonts w:ascii="Arial" w:cs="Arial" w:eastAsia="Arial" w:hAnsi="Arial"/>
                <w:sz w:val="13"/>
                <w:szCs w:val="13"/>
                <w:color w:val="FFFFFF"/>
              </w:rPr>
              <w:t>Plan Category</w:t>
            </w:r>
          </w:p>
        </w:tc>
        <w:tc>
          <w:tcPr>
            <w:tcW w:w="3020" w:type="dxa"/>
            <w:vAlign w:val="bottom"/>
            <w:shd w:val="clear" w:color="auto" w:fill="C00000"/>
          </w:tcPr>
          <w:p>
            <w:pPr>
              <w:jc w:val="center"/>
              <w:ind w:left="832"/>
              <w:spacing w:after="0" w:line="143" w:lineRule="exact"/>
              <w:rPr>
                <w:sz w:val="20"/>
                <w:szCs w:val="20"/>
                <w:color w:val="auto"/>
              </w:rPr>
            </w:pPr>
            <w:r>
              <w:rPr>
                <w:rFonts w:ascii="Arial" w:cs="Arial" w:eastAsia="Arial" w:hAnsi="Arial"/>
                <w:sz w:val="13"/>
                <w:szCs w:val="13"/>
                <w:color w:val="FFFFFF"/>
              </w:rPr>
              <w:t>(a)</w:t>
            </w:r>
          </w:p>
        </w:tc>
        <w:tc>
          <w:tcPr>
            <w:tcW w:w="2040" w:type="dxa"/>
            <w:vAlign w:val="bottom"/>
            <w:shd w:val="clear" w:color="auto" w:fill="C00000"/>
          </w:tcPr>
          <w:p>
            <w:pPr>
              <w:jc w:val="center"/>
              <w:spacing w:after="0" w:line="143" w:lineRule="exact"/>
              <w:rPr>
                <w:sz w:val="20"/>
                <w:szCs w:val="20"/>
                <w:color w:val="auto"/>
              </w:rPr>
            </w:pPr>
            <w:r>
              <w:rPr>
                <w:rFonts w:ascii="Arial" w:cs="Arial" w:eastAsia="Arial" w:hAnsi="Arial"/>
                <w:sz w:val="13"/>
                <w:szCs w:val="13"/>
                <w:color w:val="FFFFFF"/>
              </w:rPr>
              <w:t>(b)</w:t>
            </w:r>
          </w:p>
        </w:tc>
        <w:tc>
          <w:tcPr>
            <w:tcW w:w="2480" w:type="dxa"/>
            <w:vAlign w:val="bottom"/>
            <w:shd w:val="clear" w:color="auto" w:fill="C00000"/>
          </w:tcPr>
          <w:p>
            <w:pPr>
              <w:jc w:val="center"/>
              <w:ind w:left="32"/>
              <w:spacing w:after="0" w:line="143" w:lineRule="exact"/>
              <w:rPr>
                <w:sz w:val="20"/>
                <w:szCs w:val="20"/>
                <w:color w:val="auto"/>
              </w:rPr>
            </w:pPr>
            <w:r>
              <w:rPr>
                <w:rFonts w:ascii="Arial" w:cs="Arial" w:eastAsia="Arial" w:hAnsi="Arial"/>
                <w:sz w:val="13"/>
                <w:szCs w:val="13"/>
                <w:color w:val="FFFFFF"/>
                <w:w w:val="92"/>
              </w:rPr>
              <w:t>(c)</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5"/>
                <w:szCs w:val="15"/>
                <w:color w:val="auto"/>
              </w:rPr>
              <w:t>Equity compensation plans approved by</w:t>
            </w:r>
          </w:p>
        </w:tc>
        <w:tc>
          <w:tcPr>
            <w:tcW w:w="3020" w:type="dxa"/>
            <w:vAlign w:val="bottom"/>
            <w:vMerge w:val="restart"/>
          </w:tcPr>
          <w:p>
            <w:pPr>
              <w:jc w:val="center"/>
              <w:ind w:left="812"/>
              <w:spacing w:after="0"/>
              <w:rPr>
                <w:sz w:val="20"/>
                <w:szCs w:val="20"/>
                <w:color w:val="auto"/>
              </w:rPr>
            </w:pPr>
            <w:r>
              <w:rPr>
                <w:rFonts w:ascii="Arial" w:cs="Arial" w:eastAsia="Arial" w:hAnsi="Arial"/>
                <w:sz w:val="15"/>
                <w:szCs w:val="15"/>
                <w:color w:val="auto"/>
                <w:w w:val="94"/>
              </w:rPr>
              <w:t>4,280,942</w:t>
            </w:r>
            <w:r>
              <w:rPr>
                <w:rFonts w:ascii="Arial" w:cs="Arial" w:eastAsia="Arial" w:hAnsi="Arial"/>
                <w:sz w:val="24"/>
                <w:szCs w:val="24"/>
                <w:color w:val="auto"/>
                <w:w w:val="94"/>
                <w:vertAlign w:val="superscript"/>
              </w:rPr>
              <w:t>(1)</w:t>
            </w:r>
          </w:p>
        </w:tc>
        <w:tc>
          <w:tcPr>
            <w:tcW w:w="2040" w:type="dxa"/>
            <w:vAlign w:val="bottom"/>
            <w:vMerge w:val="restart"/>
          </w:tcPr>
          <w:p>
            <w:pPr>
              <w:jc w:val="center"/>
              <w:spacing w:after="0"/>
              <w:rPr>
                <w:sz w:val="20"/>
                <w:szCs w:val="20"/>
                <w:color w:val="auto"/>
              </w:rPr>
            </w:pPr>
            <w:r>
              <w:rPr>
                <w:rFonts w:ascii="Arial" w:cs="Arial" w:eastAsia="Arial" w:hAnsi="Arial"/>
                <w:sz w:val="15"/>
                <w:szCs w:val="15"/>
                <w:color w:val="auto"/>
                <w:w w:val="91"/>
              </w:rPr>
              <w:t>$34.01</w:t>
            </w:r>
            <w:r>
              <w:rPr>
                <w:rFonts w:ascii="Arial" w:cs="Arial" w:eastAsia="Arial" w:hAnsi="Arial"/>
                <w:sz w:val="24"/>
                <w:szCs w:val="24"/>
                <w:color w:val="auto"/>
                <w:w w:val="91"/>
                <w:vertAlign w:val="superscript"/>
              </w:rPr>
              <w:t>(2)</w:t>
            </w:r>
          </w:p>
        </w:tc>
        <w:tc>
          <w:tcPr>
            <w:tcW w:w="2480" w:type="dxa"/>
            <w:vAlign w:val="bottom"/>
            <w:vMerge w:val="restart"/>
          </w:tcPr>
          <w:p>
            <w:pPr>
              <w:jc w:val="center"/>
              <w:ind w:left="32"/>
              <w:spacing w:after="0"/>
              <w:rPr>
                <w:sz w:val="20"/>
                <w:szCs w:val="20"/>
                <w:color w:val="auto"/>
              </w:rPr>
            </w:pPr>
            <w:r>
              <w:rPr>
                <w:rFonts w:ascii="Arial" w:cs="Arial" w:eastAsia="Arial" w:hAnsi="Arial"/>
                <w:sz w:val="15"/>
                <w:szCs w:val="15"/>
                <w:color w:val="auto"/>
                <w:w w:val="94"/>
              </w:rPr>
              <w:t>5,023,831</w:t>
            </w:r>
            <w:r>
              <w:rPr>
                <w:rFonts w:ascii="Arial" w:cs="Arial" w:eastAsia="Arial" w:hAnsi="Arial"/>
                <w:sz w:val="24"/>
                <w:szCs w:val="24"/>
                <w:color w:val="auto"/>
                <w:w w:val="94"/>
                <w:vertAlign w:val="superscript"/>
              </w:rPr>
              <w:t>(3)</w:t>
            </w:r>
          </w:p>
        </w:tc>
        <w:tc>
          <w:tcPr>
            <w:tcW w:w="0" w:type="dxa"/>
            <w:vAlign w:val="bottom"/>
          </w:tcPr>
          <w:p>
            <w:pPr>
              <w:spacing w:after="0"/>
              <w:rPr>
                <w:sz w:val="1"/>
                <w:szCs w:val="1"/>
                <w:color w:val="auto"/>
              </w:rPr>
            </w:pPr>
          </w:p>
        </w:tc>
      </w:tr>
      <w:tr>
        <w:trPr>
          <w:trHeight w:val="170"/>
        </w:trPr>
        <w:tc>
          <w:tcPr>
            <w:tcW w:w="3880" w:type="dxa"/>
            <w:vAlign w:val="bottom"/>
          </w:tcPr>
          <w:p>
            <w:pPr>
              <w:ind w:left="120"/>
              <w:spacing w:after="0" w:line="170" w:lineRule="exact"/>
              <w:rPr>
                <w:sz w:val="20"/>
                <w:szCs w:val="20"/>
                <w:color w:val="auto"/>
              </w:rPr>
            </w:pPr>
            <w:r>
              <w:rPr>
                <w:rFonts w:ascii="Arial" w:cs="Arial" w:eastAsia="Arial" w:hAnsi="Arial"/>
                <w:sz w:val="15"/>
                <w:szCs w:val="15"/>
                <w:color w:val="auto"/>
              </w:rPr>
              <w:t>security holders</w:t>
            </w:r>
          </w:p>
        </w:tc>
        <w:tc>
          <w:tcPr>
            <w:tcW w:w="302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80" w:type="dxa"/>
            <w:vAlign w:val="bottom"/>
            <w:shd w:val="clear" w:color="auto" w:fill="D9D9D9"/>
          </w:tcPr>
          <w:p>
            <w:pPr>
              <w:spacing w:after="0"/>
              <w:rPr>
                <w:sz w:val="20"/>
                <w:szCs w:val="20"/>
                <w:color w:val="auto"/>
              </w:rPr>
            </w:pPr>
            <w:r>
              <w:rPr>
                <w:rFonts w:ascii="Arial" w:cs="Arial" w:eastAsia="Arial" w:hAnsi="Arial"/>
                <w:sz w:val="15"/>
                <w:szCs w:val="15"/>
                <w:color w:val="auto"/>
              </w:rPr>
              <w:t>Equity compensation plans not</w:t>
            </w:r>
          </w:p>
        </w:tc>
        <w:tc>
          <w:tcPr>
            <w:tcW w:w="3020" w:type="dxa"/>
            <w:vAlign w:val="bottom"/>
            <w:shd w:val="clear" w:color="auto" w:fill="D9D9D9"/>
          </w:tcPr>
          <w:p>
            <w:pPr>
              <w:spacing w:after="0"/>
              <w:rPr>
                <w:sz w:val="16"/>
                <w:szCs w:val="16"/>
                <w:color w:val="auto"/>
              </w:rPr>
            </w:pPr>
          </w:p>
        </w:tc>
        <w:tc>
          <w:tcPr>
            <w:tcW w:w="2040" w:type="dxa"/>
            <w:vAlign w:val="bottom"/>
            <w:shd w:val="clear" w:color="auto" w:fill="D9D9D9"/>
          </w:tcPr>
          <w:p>
            <w:pPr>
              <w:spacing w:after="0"/>
              <w:rPr>
                <w:sz w:val="16"/>
                <w:szCs w:val="16"/>
                <w:color w:val="auto"/>
              </w:rPr>
            </w:pPr>
          </w:p>
        </w:tc>
        <w:tc>
          <w:tcPr>
            <w:tcW w:w="248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D9D9D9"/>
          </w:tcPr>
          <w:p>
            <w:pPr>
              <w:ind w:left="120"/>
              <w:spacing w:after="0" w:line="170" w:lineRule="exact"/>
              <w:rPr>
                <w:sz w:val="20"/>
                <w:szCs w:val="20"/>
                <w:color w:val="auto"/>
              </w:rPr>
            </w:pPr>
            <w:r>
              <w:rPr>
                <w:rFonts w:ascii="Arial" w:cs="Arial" w:eastAsia="Arial" w:hAnsi="Arial"/>
                <w:sz w:val="15"/>
                <w:szCs w:val="15"/>
                <w:color w:val="auto"/>
              </w:rPr>
              <w:t>approved by security holders</w:t>
            </w:r>
          </w:p>
        </w:tc>
        <w:tc>
          <w:tcPr>
            <w:tcW w:w="3020" w:type="dxa"/>
            <w:vAlign w:val="bottom"/>
            <w:shd w:val="clear" w:color="auto" w:fill="D9D9D9"/>
          </w:tcPr>
          <w:p>
            <w:pPr>
              <w:jc w:val="center"/>
              <w:ind w:left="812"/>
              <w:spacing w:after="0" w:line="170" w:lineRule="exact"/>
              <w:rPr>
                <w:sz w:val="20"/>
                <w:szCs w:val="20"/>
                <w:color w:val="auto"/>
              </w:rPr>
            </w:pPr>
            <w:r>
              <w:rPr>
                <w:rFonts w:ascii="Arial" w:cs="Arial" w:eastAsia="Arial" w:hAnsi="Arial"/>
                <w:sz w:val="15"/>
                <w:szCs w:val="15"/>
                <w:color w:val="auto"/>
              </w:rPr>
              <w:t>N/A</w:t>
            </w:r>
          </w:p>
        </w:tc>
        <w:tc>
          <w:tcPr>
            <w:tcW w:w="2040" w:type="dxa"/>
            <w:vAlign w:val="bottom"/>
            <w:shd w:val="clear" w:color="auto" w:fill="D9D9D9"/>
          </w:tcPr>
          <w:p>
            <w:pPr>
              <w:jc w:val="center"/>
              <w:spacing w:after="0" w:line="170" w:lineRule="exact"/>
              <w:rPr>
                <w:sz w:val="20"/>
                <w:szCs w:val="20"/>
                <w:color w:val="auto"/>
              </w:rPr>
            </w:pPr>
            <w:r>
              <w:rPr>
                <w:rFonts w:ascii="Arial" w:cs="Arial" w:eastAsia="Arial" w:hAnsi="Arial"/>
                <w:sz w:val="15"/>
                <w:szCs w:val="15"/>
                <w:color w:val="auto"/>
                <w:w w:val="95"/>
              </w:rPr>
              <w:t>N/A</w:t>
            </w:r>
          </w:p>
        </w:tc>
        <w:tc>
          <w:tcPr>
            <w:tcW w:w="2480" w:type="dxa"/>
            <w:vAlign w:val="bottom"/>
            <w:shd w:val="clear" w:color="auto" w:fill="D9D9D9"/>
          </w:tcPr>
          <w:p>
            <w:pPr>
              <w:jc w:val="center"/>
              <w:ind w:left="32"/>
              <w:spacing w:after="0" w:line="170"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328"/>
        </w:trPr>
        <w:tc>
          <w:tcPr>
            <w:tcW w:w="3880" w:type="dxa"/>
            <w:vAlign w:val="bottom"/>
          </w:tcPr>
          <w:p>
            <w:pPr>
              <w:spacing w:after="0"/>
              <w:rPr>
                <w:sz w:val="20"/>
                <w:szCs w:val="20"/>
                <w:color w:val="auto"/>
              </w:rPr>
            </w:pPr>
            <w:r>
              <w:rPr>
                <w:rFonts w:ascii="Arial" w:cs="Arial" w:eastAsia="Arial" w:hAnsi="Arial"/>
                <w:sz w:val="15"/>
                <w:szCs w:val="15"/>
                <w:color w:val="auto"/>
              </w:rPr>
              <w:t>Total</w:t>
            </w:r>
          </w:p>
        </w:tc>
        <w:tc>
          <w:tcPr>
            <w:tcW w:w="3020" w:type="dxa"/>
            <w:vAlign w:val="bottom"/>
          </w:tcPr>
          <w:p>
            <w:pPr>
              <w:jc w:val="center"/>
              <w:ind w:left="812"/>
              <w:spacing w:after="0"/>
              <w:rPr>
                <w:sz w:val="20"/>
                <w:szCs w:val="20"/>
                <w:color w:val="auto"/>
              </w:rPr>
            </w:pPr>
            <w:r>
              <w:rPr>
                <w:rFonts w:ascii="Arial" w:cs="Arial" w:eastAsia="Arial" w:hAnsi="Arial"/>
                <w:sz w:val="15"/>
                <w:szCs w:val="15"/>
                <w:color w:val="auto"/>
                <w:w w:val="94"/>
              </w:rPr>
              <w:t>4,280,942</w:t>
            </w:r>
            <w:r>
              <w:rPr>
                <w:rFonts w:ascii="Arial" w:cs="Arial" w:eastAsia="Arial" w:hAnsi="Arial"/>
                <w:sz w:val="24"/>
                <w:szCs w:val="24"/>
                <w:color w:val="auto"/>
                <w:w w:val="94"/>
                <w:vertAlign w:val="superscript"/>
              </w:rPr>
              <w:t>(1)</w:t>
            </w:r>
          </w:p>
        </w:tc>
        <w:tc>
          <w:tcPr>
            <w:tcW w:w="2040" w:type="dxa"/>
            <w:vAlign w:val="bottom"/>
          </w:tcPr>
          <w:p>
            <w:pPr>
              <w:jc w:val="center"/>
              <w:spacing w:after="0"/>
              <w:rPr>
                <w:sz w:val="20"/>
                <w:szCs w:val="20"/>
                <w:color w:val="auto"/>
              </w:rPr>
            </w:pPr>
            <w:r>
              <w:rPr>
                <w:rFonts w:ascii="Arial" w:cs="Arial" w:eastAsia="Arial" w:hAnsi="Arial"/>
                <w:sz w:val="15"/>
                <w:szCs w:val="15"/>
                <w:color w:val="auto"/>
                <w:w w:val="91"/>
              </w:rPr>
              <w:t>$34.01</w:t>
            </w:r>
            <w:r>
              <w:rPr>
                <w:rFonts w:ascii="Arial" w:cs="Arial" w:eastAsia="Arial" w:hAnsi="Arial"/>
                <w:sz w:val="24"/>
                <w:szCs w:val="24"/>
                <w:color w:val="auto"/>
                <w:w w:val="91"/>
                <w:vertAlign w:val="superscript"/>
              </w:rPr>
              <w:t>(2)</w:t>
            </w:r>
          </w:p>
        </w:tc>
        <w:tc>
          <w:tcPr>
            <w:tcW w:w="2480" w:type="dxa"/>
            <w:vAlign w:val="bottom"/>
          </w:tcPr>
          <w:p>
            <w:pPr>
              <w:jc w:val="center"/>
              <w:ind w:left="32"/>
              <w:spacing w:after="0"/>
              <w:rPr>
                <w:sz w:val="20"/>
                <w:szCs w:val="20"/>
                <w:color w:val="auto"/>
              </w:rPr>
            </w:pPr>
            <w:r>
              <w:rPr>
                <w:rFonts w:ascii="Arial" w:cs="Arial" w:eastAsia="Arial" w:hAnsi="Arial"/>
                <w:sz w:val="15"/>
                <w:szCs w:val="15"/>
                <w:color w:val="auto"/>
                <w:w w:val="94"/>
              </w:rPr>
              <w:t>5,023,831</w:t>
            </w:r>
            <w:r>
              <w:rPr>
                <w:rFonts w:ascii="Arial" w:cs="Arial" w:eastAsia="Arial" w:hAnsi="Arial"/>
                <w:sz w:val="24"/>
                <w:szCs w:val="24"/>
                <w:color w:val="auto"/>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07772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6" w:lineRule="exact"/>
        <w:rPr>
          <w:sz w:val="20"/>
          <w:szCs w:val="20"/>
          <w:color w:val="auto"/>
        </w:rPr>
      </w:pPr>
    </w:p>
    <w:p>
      <w:pPr>
        <w:ind w:left="402" w:right="140" w:hanging="402"/>
        <w:spacing w:after="0" w:line="243" w:lineRule="auto"/>
        <w:tabs>
          <w:tab w:leader="none" w:pos="402"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 includes: 114,457 outstanding stock options under the 2000 Plan; 34,324 outstanding stock options under the 2000 Directors Stock Plan; 3,589,823 outstanding stock options under the Amended and Restated 2010 Plan; 99,554 outstanding restricted stock unit awards under the Amended and Restated 2010 Plan, including share dividend equivalents that have been issued on such outstanding restricted stock units; and 442,784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36" w:lineRule="exact"/>
        <w:rPr>
          <w:rFonts w:ascii="Arial" w:cs="Arial" w:eastAsia="Arial" w:hAnsi="Arial"/>
          <w:sz w:val="16"/>
          <w:szCs w:val="16"/>
          <w:color w:val="auto"/>
        </w:rPr>
      </w:pPr>
    </w:p>
    <w:p>
      <w:pPr>
        <w:ind w:left="402" w:right="560" w:hanging="402"/>
        <w:spacing w:after="0" w:line="255" w:lineRule="auto"/>
        <w:tabs>
          <w:tab w:leader="none" w:pos="402" w:val="left"/>
        </w:tabs>
        <w:numPr>
          <w:ilvl w:val="0"/>
          <w:numId w:val="95"/>
        </w:numPr>
        <w:rPr>
          <w:rFonts w:ascii="Arial" w:cs="Arial" w:eastAsia="Arial" w:hAnsi="Arial"/>
          <w:sz w:val="16"/>
          <w:szCs w:val="16"/>
          <w:color w:val="auto"/>
        </w:rPr>
      </w:pPr>
      <w:r>
        <w:rPr>
          <w:rFonts w:ascii="Arial" w:cs="Arial" w:eastAsia="Arial" w:hAnsi="Arial"/>
          <w:sz w:val="16"/>
          <w:szCs w:val="16"/>
          <w:color w:val="auto"/>
        </w:rPr>
        <w:t>Performance share awards and restricted stock units do not have exercise prices and, therefore, have been excluded from the weighted-average exercise price calculation in column (b).</w:t>
      </w:r>
    </w:p>
    <w:p>
      <w:pPr>
        <w:spacing w:after="0" w:line="25" w:lineRule="exact"/>
        <w:rPr>
          <w:rFonts w:ascii="Arial" w:cs="Arial" w:eastAsia="Arial" w:hAnsi="Arial"/>
          <w:sz w:val="16"/>
          <w:szCs w:val="16"/>
          <w:color w:val="auto"/>
        </w:rPr>
      </w:pPr>
    </w:p>
    <w:p>
      <w:pPr>
        <w:ind w:left="402" w:hanging="402"/>
        <w:spacing w:after="0" w:line="241" w:lineRule="auto"/>
        <w:tabs>
          <w:tab w:leader="none" w:pos="402"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 represents shares available for future issuance upon awards that may be granted under the Amended and Restated 2010 Plan, which includes: 11,000,000 shares approved by our shareholders at the Annual Meeting of Shareholders held on March 16, 2010; 600,000 shares approved by our shareholders at the Annual Meeting of Shareholders held on March 17, 2015; and 796,486 shares that were subject to outstanding awards under the 2000 Plan, The Toro Company Performance Share Plan and the 2000 Directors Stock Plan (collectively, the “Prior Plans”) as of March 16, 2010, the date of adoption of the 2010 Plan, but only to the extent such outstanding awards under the Prior Plans were forfeited, expired or otherwise terminated without the issuance of such shares (the “Carryover Shares”) consisting of (a) 52,632 shares that were previously subject to awards under the 2000 Plan plus (b) 738,818 shares that were previously subject to awards under The Toro Company Performance Share Plan plus (c) 5,036 shares that were previously subject to awards under the 2000 Directors Stock Plan, less any shares issued or surrendered and not again available for issuance under the Amended and Restated 2010 Plan. The Carryover Shares may now be issued under the Amended and Restated 2010 Plan.</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FFFFFF"/>
        </w:rPr>
        <w:t>OTHER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Shareholder Proposals and Director Nominations for the 2020 Annual Meeting</w:t>
      </w:r>
    </w:p>
    <w:p>
      <w:pPr>
        <w:spacing w:after="0" w:line="112" w:lineRule="exact"/>
        <w:rPr>
          <w:sz w:val="20"/>
          <w:szCs w:val="20"/>
          <w:color w:val="auto"/>
        </w:rPr>
      </w:pPr>
    </w:p>
    <w:p>
      <w:pPr>
        <w:ind w:right="60" w:firstLine="408"/>
        <w:spacing w:after="0" w:line="244" w:lineRule="auto"/>
        <w:rPr>
          <w:sz w:val="20"/>
          <w:szCs w:val="20"/>
          <w:color w:val="auto"/>
        </w:rPr>
      </w:pPr>
      <w:r>
        <w:rPr>
          <w:rFonts w:ascii="Arial" w:cs="Arial" w:eastAsia="Arial" w:hAnsi="Arial"/>
          <w:sz w:val="16"/>
          <w:szCs w:val="16"/>
          <w:color w:val="auto"/>
        </w:rPr>
        <w:t>The 2020 Annual Meeting of Shareholders is expected to be held on March 17, 2020. In order for a shareholder proposal to be included in our proxy statement for the 2020 Annual Meeting, (i) our Vice President, Secretary and General Counsel must receive such proposal no later than the close of business on October 8, 2019, unless the date of the 2020 Annual Meeting is delayed by more than 30 calendar days; and (ii) such proposal must satisfy all of the requirements of, and not otherwise be permitted to be excluded under, Rule 14a-8 promulgated by the SEC and our Amended and Restated Bylaws.</w:t>
      </w:r>
    </w:p>
    <w:p>
      <w:pPr>
        <w:spacing w:after="0" w:line="85" w:lineRule="exact"/>
        <w:rPr>
          <w:sz w:val="20"/>
          <w:szCs w:val="20"/>
          <w:color w:val="auto"/>
        </w:rPr>
      </w:pPr>
    </w:p>
    <w:p>
      <w:pPr>
        <w:ind w:firstLine="408"/>
        <w:spacing w:after="0"/>
        <w:rPr>
          <w:sz w:val="20"/>
          <w:szCs w:val="20"/>
          <w:color w:val="auto"/>
        </w:rPr>
      </w:pPr>
      <w:r>
        <w:rPr>
          <w:rFonts w:ascii="Arial" w:cs="Arial" w:eastAsia="Arial" w:hAnsi="Arial"/>
          <w:sz w:val="16"/>
          <w:szCs w:val="16"/>
          <w:color w:val="auto"/>
        </w:rPr>
        <w:t>Under our current Amended and Restated Bylaws, in order for a shareholder to nominate one or more persons for election to the Board at the 2020 Annual Meeting of Shareholders or propose any other business to be brought before the 2020 Annual Meeting, complete and timely notice must be given in writing and in proper form to our Vice President, Secretary and General Counsel not later than December 20, 2019, nor earlier than November 20, 2019. However, if the date of the 2020 Annual Meeting is advanced by more than 30 days or delayed by more than 60 days from the first anniversary date of the 2019 Annual Meeting of Shareholders, such notice must be delivered not earlier than the 120th day prior to the date of the rescheduled 2020 Annual Meeting and not later than the close of business on the later of the 90th day prior to the date of the rescheduled 2020 Annual Meeting or the 10th day following the day on which we first make a public announcement of the date of the rescheduled 2020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2020 Annual Meeting and as of the date that is 10 business days prior to the date of the 2020 Annual Meeting. This summary information regarding our Amended and Restated Bylaws is qualified in its entirety by reference to the full text of the Amended and Restated Bylaws. A copy of our Amended and Restated Bylaws can be found on our website at www.thetorocompany.com/corporategovernance.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2020 Annual Meeting. If a nomination or proposal is nonetheless brought before the 2020 Annual Meeting and the Chairman does not exercise the power and duty to declare the nomination or proposal defective, the persons named in the proxy may use their discretionary voting with respect to such nomination or proposal.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Householding of Annual Meeting Materials</w:t>
      </w:r>
    </w:p>
    <w:p>
      <w:pPr>
        <w:spacing w:after="0" w:line="11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Annual Report</w:t>
      </w:r>
    </w:p>
    <w:p>
      <w:pPr>
        <w:spacing w:after="0" w:line="92" w:lineRule="exact"/>
        <w:rPr>
          <w:sz w:val="20"/>
          <w:szCs w:val="20"/>
          <w:color w:val="auto"/>
        </w:rPr>
      </w:pPr>
    </w:p>
    <w:p>
      <w:pPr>
        <w:ind w:right="80" w:firstLine="408"/>
        <w:spacing w:after="0" w:line="250"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2018,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2018 Annual Report, which contains information about our business but is not part of our disclosure deemed to be filed with the SEC, also is available on our website at www.thetorocompany.com/proxy.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Cost and Method of Solicitation</w:t>
      </w:r>
    </w:p>
    <w:p>
      <w:pPr>
        <w:spacing w:after="0" w:line="11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Sodali LLC, 470 West Avenue, Stamford, Connecticut, 06902, for an estimated fee of $8,000, plus out of pocket expenses, to assist in distributing proxy materials and soliciting proxies in connection with our 2019 Annual Meeting of Shareholders.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5, 2019</w:t>
      </w:r>
    </w:p>
    <w:p>
      <w:pPr>
        <w:spacing w:after="0" w:line="294"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4799330</wp:posOffset>
            </wp:positionH>
            <wp:positionV relativeFrom="paragraph">
              <wp:posOffset>70485</wp:posOffset>
            </wp:positionV>
            <wp:extent cx="1299210" cy="318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99210" cy="31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TIMOTHY P. DORDELL</w:t>
      </w:r>
    </w:p>
    <w:p>
      <w:pPr>
        <w:ind w:left="7640"/>
        <w:spacing w:after="0"/>
        <w:rPr>
          <w:sz w:val="20"/>
          <w:szCs w:val="20"/>
          <w:color w:val="auto"/>
        </w:rPr>
      </w:pPr>
      <w:r>
        <w:rPr>
          <w:rFonts w:ascii="Arial" w:cs="Arial" w:eastAsia="Arial" w:hAnsi="Arial"/>
          <w:sz w:val="16"/>
          <w:szCs w:val="16"/>
          <w:color w:val="auto"/>
        </w:rPr>
        <w:t>Vice President, Secretary</w:t>
      </w:r>
    </w:p>
    <w:p>
      <w:pPr>
        <w:ind w:left="7800"/>
        <w:spacing w:after="0"/>
        <w:rPr>
          <w:sz w:val="20"/>
          <w:szCs w:val="20"/>
          <w:color w:val="auto"/>
        </w:rPr>
      </w:pPr>
      <w:r>
        <w:rPr>
          <w:rFonts w:ascii="Arial" w:cs="Arial" w:eastAsia="Arial" w:hAnsi="Arial"/>
          <w:sz w:val="16"/>
          <w:szCs w:val="16"/>
          <w:color w:val="auto"/>
        </w:rPr>
        <w:t>and General Counsel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40"/>
          </w:cols>
          <w:pgMar w:left="240" w:top="140" w:right="31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193675</wp:posOffset>
            </wp:positionV>
            <wp:extent cx="7299960" cy="70929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9960" cy="709295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193675</wp:posOffset>
            </wp:positionV>
            <wp:extent cx="5135245" cy="65589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35245" cy="6558915"/>
                    </a:xfrm>
                    <a:prstGeom prst="rect">
                      <a:avLst/>
                    </a:prstGeom>
                    <a:noFill/>
                  </pic:spPr>
                </pic:pic>
              </a:graphicData>
            </a:graphic>
          </wp:anchor>
        </w:drawing>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lvl w:ilvl="1">
      <w:lvlJc w:val="left"/>
      <w:lvlText w:val="(%2)"/>
      <w:numFmt w:val="decimal"/>
      <w:start w:val="1"/>
    </w:lvl>
  </w:abstractNum>
  <w:abstractNum w:abstractNumId="3">
    <w:nsid w:val="579478FE"/>
    <w:multiLevelType w:val="hybridMultilevel"/>
    <w:lvl w:ilvl="0">
      <w:lvlJc w:val="left"/>
      <w:lvlText w:val="%1."/>
      <w:numFmt w:val="decimal"/>
      <w:start w:val="2"/>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lowerRoman"/>
      <w:start w:val="3"/>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lvl w:ilvl="1">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5"/>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5"/>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lowerRoman"/>
      <w:start w:val="2"/>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lvl w:ilvl="1">
      <w:lvlJc w:val="left"/>
      <w:lvlText w:val="−"/>
      <w:numFmt w:val="bullet"/>
      <w:start w:val="1"/>
    </w:lvl>
  </w:abstractNum>
  <w:abstractNum w:abstractNumId="63">
    <w:nsid w:val="3B0FD379"/>
    <w:multiLevelType w:val="hybridMultilevel"/>
    <w:lvl w:ilvl="0">
      <w:lvlJc w:val="left"/>
      <w:lvlText w:val="%1."/>
      <w:numFmt w:val="decimal"/>
      <w:start w:val="45"/>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3"/>
    </w:lvl>
  </w:abstractNum>
  <w:abstractNum w:abstractNumId="66">
    <w:nsid w:val="60B6DF70"/>
    <w:multiLevelType w:val="hybridMultilevel"/>
    <w:lvl w:ilvl="0">
      <w:lvlJc w:val="left"/>
      <w:lvlText w:val="(%1)"/>
      <w:numFmt w:val="decimal"/>
      <w:start w:val="4"/>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2"/>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2"/>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1)"/>
      <w:numFmt w:val="decimal"/>
      <w:start w:val="17"/>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2"/>
    </w:lvl>
  </w:abstractNum>
  <w:abstractNum w:abstractNumId="77">
    <w:nsid w:val="885E1B"/>
    <w:multiLevelType w:val="hybridMultilevel"/>
    <w:lvl w:ilvl="0">
      <w:lvlJc w:val="left"/>
      <w:lvlText w:val="(%1)"/>
      <w:numFmt w:val="decimal"/>
      <w:start w:val="3"/>
    </w:lvl>
  </w:abstractNum>
  <w:abstractNum w:abstractNumId="78">
    <w:nsid w:val="76272110"/>
    <w:multiLevelType w:val="hybridMultilevel"/>
    <w:lvl w:ilvl="0">
      <w:lvlJc w:val="left"/>
      <w:lvlText w:val="(%1)"/>
      <w:numFmt w:val="decimal"/>
      <w:start w:val="4"/>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2"/>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decimal"/>
      <w:start w:val="2"/>
    </w:lvl>
  </w:abstractNum>
  <w:abstractNum w:abstractNumId="93">
    <w:nsid w:val="26F324BA"/>
    <w:multiLevelType w:val="hybridMultilevel"/>
    <w:lvl w:ilvl="0">
      <w:lvlJc w:val="left"/>
      <w:lvlText w:val="(%1)"/>
      <w:numFmt w:val="decimal"/>
      <w:start w:val="3"/>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2019-12-04T23:50:16Z</dcterms:created>
  <dcterms:modified xsi:type="dcterms:W3CDTF">2019-12-04T23:50:16Z</dcterms:modified>
</cp:coreProperties>
</file>