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December 7, 2006</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7, 2006, The Toro Company announced its earnings for the three and twelve months ended October 31, 2006.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December 7,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2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86"/>
              </w:rPr>
              <w:t>Other - Registrant's press release dated December 7, 2006 (furnished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8111 Lyndale Ave South</w:t>
      </w:r>
    </w:p>
    <w:p>
      <w:pPr>
        <w:spacing w:after="0"/>
        <w:rPr>
          <w:sz w:val="20"/>
          <w:szCs w:val="20"/>
          <w:color w:val="auto"/>
        </w:rPr>
      </w:pPr>
      <w:r>
        <w:rPr>
          <w:rFonts w:ascii="Arial" w:cs="Arial" w:eastAsia="Arial" w:hAnsi="Arial"/>
          <w:sz w:val="22"/>
          <w:szCs w:val="22"/>
          <w:b w:val="1"/>
          <w:bCs w:val="1"/>
          <w:color w:val="auto"/>
        </w:rPr>
        <w:t>Bloomington, MN 55420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 ,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887-8865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Connie Kotke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Corporate Communications</w:t>
      </w:r>
    </w:p>
    <w:p>
      <w:pPr>
        <w:spacing w:after="0" w:line="9" w:lineRule="exact"/>
        <w:rPr>
          <w:sz w:val="20"/>
          <w:szCs w:val="20"/>
          <w:color w:val="auto"/>
        </w:rPr>
      </w:pPr>
    </w:p>
    <w:p>
      <w:pPr>
        <w:ind w:right="92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887-8984,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immediate Release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TORO REPORTS RECORD FISCAL 2006 NET SALES AND NET EARNINGS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Earnings Per Diluted Share Up 18.8 Percent to $2.91</w:t>
      </w:r>
    </w:p>
    <w:p>
      <w:pPr>
        <w:spacing w:after="0"/>
        <w:rPr>
          <w:sz w:val="20"/>
          <w:szCs w:val="20"/>
          <w:color w:val="auto"/>
        </w:rPr>
      </w:pPr>
      <w:r>
        <w:rPr>
          <w:rFonts w:ascii="Arial" w:cs="Arial" w:eastAsia="Arial" w:hAnsi="Arial"/>
          <w:sz w:val="22"/>
          <w:szCs w:val="22"/>
          <w:b w:val="1"/>
          <w:bCs w:val="1"/>
          <w:color w:val="auto"/>
        </w:rPr>
        <w:t>Board Raises Quarterly Dividend From $0.09 to $0.12 Per Common Share</w:t>
      </w:r>
    </w:p>
    <w:p>
      <w:pPr>
        <w:spacing w:after="0" w:line="193"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BLOOMINGTON, Minn. (Dec. 7, 2006) – The Toro Company (NYSE: TTC) today reported record net sales and net earnings for the fiscal year ended October 31, 2006.</w:t>
      </w:r>
    </w:p>
    <w:p>
      <w:pPr>
        <w:spacing w:after="0" w:line="177"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Net earnings for the year totaled $129.1 million, or $2.91 per diluted share, compared with net earnings of $114.1 million, or $2.45 per diluted share, in fiscal 2005. Net sales for fiscal 2006 increased 3.2 percent to $1,836.0 million from $1,779.4 million last year.</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For the fourth quarter ended October 31, 2006, Toro reported net earnings of $4.5 million, or $0.10 per diluted share, on net sales of</w:t>
      </w:r>
    </w:p>
    <w:p>
      <w:pPr>
        <w:spacing w:after="0" w:line="27"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$329.5 million. In the comparable fiscal 2005 period, the Company reported net earnings of $6.6 million, or $0.14 per diluted share, on net sales of $337.1 million.</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Continued strong cash flows from operations enabled the Company to use $147 million for share repurchases and $15 million for dividend payments during fiscal 2006. Additionally, the Company’s board of directors increased the quarterly dividend from $0.09 to $0.12 per common share, payable January 12, 2007 to shareholders of record on December 18, 2006.</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completed a solid 2006 with increased net sales and earnings,” said Michael J. Hoffman, chairman and chief executive officer. “Our ability to achieve record results in a challenging environment demonstrates the fundamental strength of the business and our commitment to drive profitable growth.” The Company reported that worldwide growth in its professional segment net sales helped offset lower net sales in the domestic residential segment. International net sales increased 12.6 percent over 2005 and accounted for 27 percent of total revenues, up from 24.8 percent in 2005.</w:t>
      </w:r>
    </w:p>
    <w:p>
      <w:pPr>
        <w:spacing w:after="0" w:line="181"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Completion of fiscal 2006 marks the conclusion of the Company’s three-year profitability and revenue growth initiative. Hoffman noted that Toro exceeded the 6 percent profit-after-tax goal and fell just short of the 8 percent three-year compounded revenue growth goal for the 6+8 initiative.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Segment data are provided in the table following the “Condensed Consolidated Statements of Earnings.”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22" w:lineRule="exact"/>
        <w:rPr>
          <w:sz w:val="20"/>
          <w:szCs w:val="20"/>
          <w:color w:val="auto"/>
        </w:rPr>
      </w:pPr>
    </w:p>
    <w:p>
      <w:pPr>
        <w:ind w:left="440" w:right="480" w:hanging="177"/>
        <w:spacing w:after="0" w:line="250"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Professional segment net sales for fiscal 2006 increased 6.9 percent to $1,224.8 million. Increases in worldwide net sales in golf and sports fields and grounds markets combined with double-digit growth in nearly all international professional segment categories comprised the majority of the increase.</w:t>
      </w:r>
    </w:p>
    <w:p>
      <w:pPr>
        <w:spacing w:after="0" w:line="186" w:lineRule="exact"/>
        <w:rPr>
          <w:rFonts w:ascii="Arial" w:cs="Arial" w:eastAsia="Arial" w:hAnsi="Arial"/>
          <w:sz w:val="20"/>
          <w:szCs w:val="20"/>
          <w:color w:val="auto"/>
        </w:rPr>
      </w:pPr>
    </w:p>
    <w:p>
      <w:pPr>
        <w:ind w:left="440" w:hanging="177"/>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Professional segment net earnings for fiscal 2006 increased 9.8 percent to $227.7 million.</w:t>
      </w:r>
    </w:p>
    <w:p>
      <w:pPr>
        <w:spacing w:after="0" w:line="215" w:lineRule="exact"/>
        <w:rPr>
          <w:rFonts w:ascii="Arial" w:cs="Arial" w:eastAsia="Arial" w:hAnsi="Arial"/>
          <w:sz w:val="20"/>
          <w:szCs w:val="20"/>
          <w:color w:val="auto"/>
        </w:rPr>
      </w:pPr>
    </w:p>
    <w:p>
      <w:pPr>
        <w:ind w:left="440" w:right="20" w:hanging="177"/>
        <w:spacing w:after="0" w:line="260"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For the fiscal 2006 fourth quarter, professional segment net sales were up modestly to $212.3 million compared with $208.6 million in the fiscal 2005 fourth quarter.</w:t>
      </w:r>
    </w:p>
    <w:p>
      <w:pPr>
        <w:spacing w:after="0" w:line="176" w:lineRule="exact"/>
        <w:rPr>
          <w:rFonts w:ascii="Arial" w:cs="Arial" w:eastAsia="Arial" w:hAnsi="Arial"/>
          <w:sz w:val="20"/>
          <w:szCs w:val="20"/>
          <w:color w:val="auto"/>
        </w:rPr>
      </w:pPr>
    </w:p>
    <w:p>
      <w:pPr>
        <w:ind w:left="440" w:right="600" w:hanging="177"/>
        <w:spacing w:after="0" w:line="250"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Professional segment net earnings for the fiscal 2006 fourth quarter totaled $20.5 million compared with $24.0 million in the corresponding quarter last year. The decline in the fiscal fourth quarter earnings was due to increased warranty costs and continued investments in marketing and service areas.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22" w:lineRule="exact"/>
        <w:rPr>
          <w:sz w:val="20"/>
          <w:szCs w:val="20"/>
          <w:color w:val="auto"/>
        </w:rPr>
      </w:pPr>
    </w:p>
    <w:p>
      <w:pPr>
        <w:ind w:left="440" w:right="60" w:hanging="177"/>
        <w:spacing w:after="0" w:line="250"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Residential segment net sales for fiscal 2006 declined 2.9 percent to $566.6 million from $583.3 million in fiscal 2005. For the year, solid increases in domestic riding mower sales and residential products for international markets were more than offset by lower sales in most other domestic residential product categories.</w:t>
      </w:r>
    </w:p>
    <w:p>
      <w:pPr>
        <w:spacing w:after="0" w:line="186" w:lineRule="exact"/>
        <w:rPr>
          <w:rFonts w:ascii="Arial" w:cs="Arial" w:eastAsia="Arial" w:hAnsi="Arial"/>
          <w:sz w:val="20"/>
          <w:szCs w:val="20"/>
          <w:color w:val="auto"/>
        </w:rPr>
      </w:pPr>
    </w:p>
    <w:p>
      <w:pPr>
        <w:ind w:left="440" w:hanging="177"/>
        <w:spacing w:after="0"/>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Residential segment net earnings for fiscal 2006 were $34.1 million, a 32.0 percent decline from $50.2 million in fiscal 2005.</w:t>
      </w:r>
    </w:p>
    <w:p>
      <w:pPr>
        <w:spacing w:after="0" w:line="215" w:lineRule="exact"/>
        <w:rPr>
          <w:rFonts w:ascii="Arial" w:cs="Arial" w:eastAsia="Arial" w:hAnsi="Arial"/>
          <w:sz w:val="20"/>
          <w:szCs w:val="20"/>
          <w:color w:val="auto"/>
        </w:rPr>
      </w:pPr>
    </w:p>
    <w:p>
      <w:pPr>
        <w:ind w:left="440" w:right="140" w:hanging="177"/>
        <w:spacing w:after="0" w:line="260"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For the fiscal 2006 fourth quarter, residential segment net sales were $102.9 million compared to $111.1 million in the fiscal 2005 fourth quarter.</w:t>
      </w:r>
    </w:p>
    <w:p>
      <w:pPr>
        <w:spacing w:after="0" w:line="176" w:lineRule="exact"/>
        <w:rPr>
          <w:rFonts w:ascii="Arial" w:cs="Arial" w:eastAsia="Arial" w:hAnsi="Arial"/>
          <w:sz w:val="20"/>
          <w:szCs w:val="20"/>
          <w:color w:val="auto"/>
        </w:rPr>
      </w:pPr>
    </w:p>
    <w:p>
      <w:pPr>
        <w:ind w:left="440" w:hanging="17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Residential segment net earnings for the fiscal 2006 fourth quarter were $0.9 million, compared to $6.7 million in the 2005 fourth quarter.</w:t>
      </w:r>
    </w:p>
    <w:p>
      <w:pPr>
        <w:sectPr>
          <w:pgSz w:w="11900" w:h="16844" w:orient="portrait"/>
          <w:cols w:equalWidth="0" w:num="1">
            <w:col w:w="11400"/>
          </w:cols>
          <w:pgMar w:left="240" w:top="112" w:right="259" w:bottom="0" w:gutter="0" w:footer="0" w:header="0"/>
        </w:sectPr>
      </w:pPr>
    </w:p>
    <w:bookmarkStart w:id="5" w:name="page6"/>
    <w:bookmarkEnd w:id="5"/>
    <w:p>
      <w:pPr>
        <w:spacing w:after="0" w:line="1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decline in the fiscal fourth quarter earnings resulted from a charge for customs duties and lower sales volumes.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REVIEW OF OPERATIONS</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Gross margin for fiscal 2006 was 35.0 percent compared with 34.6 percent in fiscal 2005. The improvement was derived from a larger percentage of professional segment products in consolidated sales, cost reductions resulting from lean initiatives and price increases somewhat offset by higher commodity costs and customs duties.</w:t>
      </w:r>
    </w:p>
    <w:p>
      <w:pPr>
        <w:spacing w:after="0" w:line="183"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For the fiscal 2006 fourth quarter, gross margin was 33.6 percent, down slightly from 33.8 percent in the fiscal 2005 fourth quarter primarily due to higher customs duties.</w:t>
      </w:r>
    </w:p>
    <w:p>
      <w:pPr>
        <w:spacing w:after="0" w:line="163"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Selling, general and administrative (SG&amp;A) expenses for fiscal 2006 improved to 24.0 percent of net sales compared to 24.3 percent in fiscal 2005. The improvement resulted from lower insurance costs and incentive compensation, as well as expense leveraging from the ongoing profitability improvement efforts throughout the Company. For the fiscal 2006 fourth quarter, SG&amp;A expenses were 30.4 percent compared to 30.3 percent in the same period last year.</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Accounts receivable at year end totaled $294.8 million, down $0.9 million from the end of fiscal 2005 on a net sales decrease of 2.3 percent in the quarter. Net inventory at fiscal year end increased 1.4 percent, or $3.2 million, to $238.5 million. The Company generated $190.3 million in cash flow from operations during fiscal 2006 which represents a 9.3 percent increase over fiscal 2005.</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BUSINESS OUTLOOK</w:t>
      </w:r>
    </w:p>
    <w:p>
      <w:pPr>
        <w:spacing w:after="0" w:line="20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“As we enter fiscal 2007, our year end balance sheet is strong and we continue to generate healthy operating cash flows,” said Hoffman. “We have increased our profit-after-tax yield from 5.5 percent to 7.0 percent over the past three years, thanks to the committed efforts of our more than 5,000 employees worldwide. With the conclusion of our 6+8 initiative, we are challenging ourselves to build on this momentum and further improve our financial performance while continuously increasing our focus to deliver innovative, market-leading products and increased value to our customers. Toro’s next three-year initiative will emphasize both internal growth and growth through acquisitions using a disciplined approach. Additionally, we will continue to drive efficiencies and improvements in our operations and SG&amp;A via our Lean Enterprise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to report a 10 to 12 percent increase in fiscal 2007 net earnings per diluted share, on revenue growth of 5 to</w:t>
      </w:r>
    </w:p>
    <w:p>
      <w:pPr>
        <w:spacing w:after="0" w:line="3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7 percent. For its fiscal first quarter, typically a small revenue period, Toro currently expects to report diluted net earnings of $0.30 to $0.33 per share.</w:t>
      </w:r>
    </w:p>
    <w:p>
      <w:pPr>
        <w:spacing w:after="0" w:line="178"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Toro Company is a leading worldwide provider of outdoor maintenance and beautification products for home, recreation and commercial landscapes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7, 2006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181"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The Toro Company will conduct a conference call and webcast for investors beginning at 10:00 a.m. Central Time (CST) on December 7, 2006</w:t>
      </w:r>
      <w:r>
        <w:rPr>
          <w:rFonts w:ascii="Arial" w:cs="Arial" w:eastAsia="Arial" w:hAnsi="Arial"/>
          <w:sz w:val="20"/>
          <w:szCs w:val="20"/>
          <w:color w:val="auto"/>
        </w:rPr>
        <w:t>.</w:t>
      </w:r>
      <w:r>
        <w:rPr>
          <w:rFonts w:ascii="Arial" w:cs="Arial" w:eastAsia="Arial" w:hAnsi="Arial"/>
          <w:sz w:val="20"/>
          <w:szCs w:val="20"/>
          <w:i w:val="1"/>
          <w:iCs w:val="1"/>
          <w:color w:val="auto"/>
        </w:rPr>
        <w:t xml:space="preserve"> The webcast will be available at </w:t>
      </w:r>
      <w:r>
        <w:rPr>
          <w:rFonts w:ascii="Arial" w:cs="Arial" w:eastAsia="Arial" w:hAnsi="Arial"/>
          <w:sz w:val="20"/>
          <w:szCs w:val="20"/>
          <w:i w:val="1"/>
          <w:iCs w:val="1"/>
          <w:u w:val="single" w:color="auto"/>
          <w:color w:val="auto"/>
        </w:rPr>
        <w:t>www.streetevents.com</w:t>
      </w:r>
      <w:r>
        <w:rPr>
          <w:rFonts w:ascii="Arial" w:cs="Arial" w:eastAsia="Arial" w:hAnsi="Arial"/>
          <w:sz w:val="20"/>
          <w:szCs w:val="20"/>
          <w:i w:val="1"/>
          <w:iCs w:val="1"/>
          <w:color w:val="auto"/>
        </w:rPr>
        <w:t xml:space="preserve"> or at </w:t>
      </w:r>
      <w:r>
        <w:rPr>
          <w:rFonts w:ascii="Arial" w:cs="Arial" w:eastAsia="Arial" w:hAnsi="Arial"/>
          <w:sz w:val="20"/>
          <w:szCs w:val="20"/>
          <w:i w:val="1"/>
          <w:iCs w:val="1"/>
          <w:u w:val="single" w:color="auto"/>
          <w:color w:val="auto"/>
        </w:rPr>
        <w:t>www.thetorocompany.com/invest</w:t>
      </w:r>
      <w:r>
        <w:rPr>
          <w:rFonts w:ascii="Arial" w:cs="Arial" w:eastAsia="Arial" w:hAnsi="Arial"/>
          <w:sz w:val="20"/>
          <w:szCs w:val="20"/>
          <w:i w:val="1"/>
          <w:iCs w:val="1"/>
          <w:color w:val="auto"/>
        </w:rPr>
        <w: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and other commodities; rising costs of transportation; the impact of abnormal weather patterns and natural disasters; level of growth in the golf market; reduced government spending for grounds maintenance equipment due to reduced tax revenue and tighter government budgets; dependence on The Home Depot as a customer for the residential segment; elimination of shelf space for our products at retailers; unforeseen inventory adjustments or changes in purchasing patterns by our customers; market acceptance of existing and new products; increased competition; our ability to achieve the goals for the new three-year growth and profit improvement initiative which is intended to improve our revenue growth and after-tax return on sales; the company’s ability to achieve net sales and net earnings per diluted share growth in fiscal 2007; our increased dependence on international sales and the risks attendant to international operations; interest rates and currency movements including, in particular, our exposure to foreign currency risk;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ability of management to manage around unplanned events;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43"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(Financial tables follow)</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THE TORO COMPANY AND SUBSIDIARIES</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Condensed Consolidated Statements of Earnings (Unaudited)</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22"/>
          <w:szCs w:val="22"/>
          <w:b w:val="1"/>
          <w:bCs w:val="1"/>
          <w:color w:val="auto"/>
        </w:rPr>
        <w:t>(Dollars and shares in thousands, except per-share data)</w:t>
      </w:r>
    </w:p>
    <w:p>
      <w:pPr>
        <w:sectPr>
          <w:pgSz w:w="11900" w:h="16853" w:orient="portrait"/>
          <w:cols w:equalWidth="0" w:num="1">
            <w:col w:w="11380"/>
          </w:cols>
          <w:pgMar w:left="240" w:top="121" w:right="27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360" w:type="dxa"/>
            <w:vAlign w:val="bottom"/>
            <w:gridSpan w:val="3"/>
          </w:tcPr>
          <w:p>
            <w:pPr>
              <w:jc w:val="right"/>
              <w:ind w:right="24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34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48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48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446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6"/>
              </w:rPr>
              <w:t>329,486</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6"/>
              </w:rPr>
              <w:t>337,091</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w w:val="87"/>
              </w:rPr>
              <w:t>1,835,991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w w:val="89"/>
              </w:rPr>
              <w:t>1,779,387</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110,850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113,799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643,316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615,366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Arial" w:cs="Arial" w:eastAsia="Arial" w:hAnsi="Arial"/>
                <w:sz w:val="18"/>
                <w:szCs w:val="18"/>
                <w:color w:val="auto"/>
              </w:rPr>
              <w:t>Gross profit percent</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100,311</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102,264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440,440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432,640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140"/>
              <w:spacing w:after="0"/>
              <w:rPr>
                <w:sz w:val="20"/>
                <w:szCs w:val="20"/>
                <w:color w:val="auto"/>
              </w:rPr>
            </w:pPr>
            <w:r>
              <w:rPr>
                <w:rFonts w:ascii="Arial" w:cs="Arial" w:eastAsia="Arial" w:hAnsi="Arial"/>
                <w:sz w:val="18"/>
                <w:szCs w:val="18"/>
                <w:color w:val="auto"/>
              </w:rPr>
              <w:t>Earnings from operations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10,539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11,535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202,876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182,726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(3,575)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(4,280)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(17,672)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140"/>
              <w:spacing w:after="0"/>
              <w:rPr>
                <w:sz w:val="20"/>
                <w:szCs w:val="20"/>
                <w:color w:val="auto"/>
              </w:rPr>
            </w:pPr>
            <w:r>
              <w:rPr>
                <w:rFonts w:ascii="Arial" w:cs="Arial" w:eastAsia="Arial" w:hAnsi="Arial"/>
                <w:sz w:val="18"/>
                <w:szCs w:val="18"/>
                <w:color w:val="auto"/>
              </w:rPr>
              <w:t>Earnings before income taxes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8,426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192,754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170,272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63,609</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3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3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129,145</w:t>
            </w:r>
          </w:p>
        </w:tc>
        <w:tc>
          <w:tcPr>
            <w:tcW w:w="4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114,082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4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w:t>
            </w: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Arial" w:cs="Arial" w:eastAsia="Arial" w:hAnsi="Arial"/>
                <w:sz w:val="18"/>
                <w:szCs w:val="18"/>
                <w:color w:val="auto"/>
              </w:rPr>
              <w:t>outstanding – Basic</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41,654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43,543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42,887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Weighted average number of shares of common stock</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outstanding – Dilutive</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43,007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45,384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44,344</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46,539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TORO COMPANY AND SUBSIDIARIES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Segment Data (Unaudited)</w:t>
      </w: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ind w:left="260"/>
              <w:spacing w:after="0" w:line="191" w:lineRule="exact"/>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6"/>
                <w:szCs w:val="16"/>
                <w:color w:val="auto"/>
              </w:rPr>
            </w:pPr>
          </w:p>
        </w:tc>
        <w:tc>
          <w:tcPr>
            <w:tcW w:w="1420" w:type="dxa"/>
            <w:vAlign w:val="bottom"/>
            <w:gridSpan w:val="3"/>
          </w:tcPr>
          <w:p>
            <w:pPr>
              <w:ind w:left="260"/>
              <w:spacing w:after="0" w:line="191" w:lineRule="exact"/>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6"/>
                <w:szCs w:val="16"/>
                <w:color w:val="auto"/>
              </w:rPr>
            </w:pPr>
          </w:p>
        </w:tc>
        <w:tc>
          <w:tcPr>
            <w:tcW w:w="1780" w:type="dxa"/>
            <w:vAlign w:val="bottom"/>
            <w:gridSpan w:val="3"/>
          </w:tcPr>
          <w:p>
            <w:pPr>
              <w:ind w:left="44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780" w:type="dxa"/>
            <w:vAlign w:val="bottom"/>
            <w:gridSpan w:val="3"/>
          </w:tcPr>
          <w:p>
            <w:pPr>
              <w:ind w:left="42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Segment Net Sales</w:t>
            </w:r>
          </w:p>
        </w:tc>
        <w:tc>
          <w:tcPr>
            <w:tcW w:w="4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20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212,339</w:t>
            </w: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208,562</w:t>
            </w: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1,224,775</w:t>
            </w: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1,145,361</w:t>
            </w: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102,855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111,103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566,641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583,291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14,292</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44,575</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Total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329,486</w:t>
            </w:r>
          </w:p>
        </w:tc>
        <w:tc>
          <w:tcPr>
            <w:tcW w:w="4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337,091</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1,835,991</w:t>
            </w:r>
          </w:p>
        </w:tc>
        <w:tc>
          <w:tcPr>
            <w:tcW w:w="5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1,779,387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 Includes international sales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93,993</w:t>
            </w:r>
          </w:p>
        </w:tc>
        <w:tc>
          <w:tcPr>
            <w:tcW w:w="4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84,922</w:t>
            </w:r>
          </w:p>
        </w:tc>
        <w:tc>
          <w:tcPr>
            <w:tcW w:w="4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495,993</w:t>
            </w:r>
          </w:p>
        </w:tc>
        <w:tc>
          <w:tcPr>
            <w:tcW w:w="5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440,644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8"/>
                <w:szCs w:val="18"/>
                <w:color w:val="auto"/>
              </w:rPr>
              <w:t>Fiscal Years Ended</w:t>
            </w:r>
          </w:p>
        </w:tc>
      </w:tr>
      <w:tr>
        <w:trPr>
          <w:trHeight w:val="191"/>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6"/>
                <w:szCs w:val="16"/>
                <w:color w:val="auto"/>
              </w:rPr>
            </w:pPr>
          </w:p>
        </w:tc>
        <w:tc>
          <w:tcPr>
            <w:tcW w:w="1620" w:type="dxa"/>
            <w:vAlign w:val="bottom"/>
            <w:gridSpan w:val="3"/>
          </w:tcPr>
          <w:p>
            <w:pPr>
              <w:jc w:val="right"/>
              <w:ind w:right="36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560" w:type="dxa"/>
            <w:vAlign w:val="bottom"/>
            <w:gridSpan w:val="3"/>
          </w:tcPr>
          <w:p>
            <w:pPr>
              <w:ind w:left="32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560" w:type="dxa"/>
            <w:vAlign w:val="bottom"/>
            <w:gridSpan w:val="3"/>
          </w:tcPr>
          <w:p>
            <w:pPr>
              <w:ind w:left="320"/>
              <w:spacing w:after="0" w:line="191" w:lineRule="exact"/>
              <w:rPr>
                <w:sz w:val="20"/>
                <w:szCs w:val="20"/>
                <w:color w:val="auto"/>
              </w:rPr>
            </w:pPr>
            <w:r>
              <w:rPr>
                <w:rFonts w:ascii="Arial" w:cs="Arial" w:eastAsia="Arial" w:hAnsi="Arial"/>
                <w:sz w:val="18"/>
                <w:szCs w:val="18"/>
                <w:b w:val="1"/>
                <w:bCs w:val="1"/>
                <w:color w:val="auto"/>
              </w:rPr>
              <w:t>October 31,</w:t>
            </w: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w w:val="93"/>
              </w:rPr>
              <w:t>Segment Earnings (Loss) Before Income Taxes</w:t>
            </w:r>
          </w:p>
        </w:tc>
        <w:tc>
          <w:tcPr>
            <w:tcW w:w="4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5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540" w:type="dxa"/>
            <w:vAlign w:val="bottom"/>
          </w:tcPr>
          <w:p>
            <w:pPr>
              <w:spacing w:after="0"/>
              <w:rPr>
                <w:sz w:val="20"/>
                <w:szCs w:val="20"/>
                <w:color w:val="auto"/>
              </w:rPr>
            </w:pPr>
          </w:p>
        </w:tc>
      </w:tr>
      <w:tr>
        <w:trPr>
          <w:trHeight w:val="195"/>
        </w:trPr>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20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20,512</w:t>
            </w: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24,016</w:t>
            </w:r>
          </w:p>
        </w:tc>
        <w:tc>
          <w:tcPr>
            <w:tcW w:w="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$227,692</w:t>
            </w:r>
          </w:p>
        </w:tc>
        <w:tc>
          <w:tcPr>
            <w:tcW w:w="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$207,398</w:t>
            </w:r>
          </w:p>
        </w:tc>
        <w:tc>
          <w:tcPr>
            <w:tcW w:w="540" w:type="dxa"/>
            <w:vAlign w:val="bottom"/>
            <w:tcBorders>
              <w:top w:val="single" w:sz="8" w:color="auto"/>
            </w:tcBorders>
          </w:tcPr>
          <w:p>
            <w:pPr>
              <w:spacing w:after="0"/>
              <w:rPr>
                <w:sz w:val="16"/>
                <w:szCs w:val="16"/>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6,667</w:t>
            </w:r>
          </w:p>
        </w:tc>
        <w:tc>
          <w:tcPr>
            <w:tcW w:w="5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34,094</w:t>
            </w:r>
          </w:p>
        </w:tc>
        <w:tc>
          <w:tcPr>
            <w:tcW w:w="5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50,160</w:t>
            </w:r>
          </w:p>
        </w:tc>
        <w:tc>
          <w:tcPr>
            <w:tcW w:w="540" w:type="dxa"/>
            <w:vAlign w:val="bottom"/>
          </w:tcPr>
          <w:p>
            <w:pPr>
              <w:spacing w:after="0"/>
              <w:rPr>
                <w:sz w:val="18"/>
                <w:szCs w:val="18"/>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(13,008)</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(20,874)</w:t>
            </w:r>
          </w:p>
        </w:tc>
        <w:tc>
          <w:tcPr>
            <w:tcW w:w="1800" w:type="dxa"/>
            <w:vAlign w:val="bottom"/>
            <w:gridSpan w:val="4"/>
          </w:tcPr>
          <w:p>
            <w:pPr>
              <w:jc w:val="right"/>
              <w:ind w:right="480"/>
              <w:spacing w:after="0"/>
              <w:rPr>
                <w:sz w:val="20"/>
                <w:szCs w:val="20"/>
                <w:color w:val="auto"/>
              </w:rPr>
            </w:pPr>
            <w:r>
              <w:rPr>
                <w:rFonts w:ascii="Arial" w:cs="Arial" w:eastAsia="Arial" w:hAnsi="Arial"/>
                <w:sz w:val="18"/>
                <w:szCs w:val="18"/>
                <w:color w:val="auto"/>
              </w:rPr>
              <w:t>(69,032)</w:t>
            </w:r>
          </w:p>
        </w:tc>
        <w:tc>
          <w:tcPr>
            <w:tcW w:w="1800" w:type="dxa"/>
            <w:vAlign w:val="bottom"/>
            <w:gridSpan w:val="4"/>
          </w:tcPr>
          <w:p>
            <w:pPr>
              <w:jc w:val="right"/>
              <w:ind w:right="480"/>
              <w:spacing w:after="0"/>
              <w:rPr>
                <w:sz w:val="20"/>
                <w:szCs w:val="20"/>
                <w:color w:val="auto"/>
              </w:rPr>
            </w:pPr>
            <w:r>
              <w:rPr>
                <w:rFonts w:ascii="Arial" w:cs="Arial" w:eastAsia="Arial" w:hAnsi="Arial"/>
                <w:sz w:val="18"/>
                <w:szCs w:val="18"/>
                <w:color w:val="auto"/>
              </w:rPr>
              <w:t>(87,286)</w:t>
            </w:r>
          </w:p>
        </w:tc>
      </w:tr>
      <w:tr>
        <w:trPr>
          <w:trHeight w:val="223"/>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8,426</w:t>
            </w:r>
          </w:p>
        </w:tc>
        <w:tc>
          <w:tcPr>
            <w:tcW w:w="5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5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192,754</w:t>
            </w:r>
          </w:p>
        </w:tc>
        <w:tc>
          <w:tcPr>
            <w:tcW w:w="52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170,272</w:t>
            </w:r>
          </w:p>
        </w:tc>
        <w:tc>
          <w:tcPr>
            <w:tcW w:w="54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3"/>
          </w:tcPr>
          <w:p>
            <w:pPr>
              <w:ind w:left="220"/>
              <w:spacing w:after="0"/>
              <w:rPr>
                <w:sz w:val="20"/>
                <w:szCs w:val="20"/>
                <w:color w:val="auto"/>
              </w:rPr>
            </w:pPr>
            <w:r>
              <w:rPr>
                <w:rFonts w:ascii="Arial" w:cs="Arial" w:eastAsia="Arial" w:hAnsi="Arial"/>
                <w:sz w:val="18"/>
                <w:szCs w:val="18"/>
                <w:b w:val="1"/>
                <w:bCs w:val="1"/>
                <w:color w:val="auto"/>
              </w:rPr>
              <w:t>October 31,</w:t>
            </w:r>
          </w:p>
        </w:tc>
        <w:tc>
          <w:tcPr>
            <w:tcW w:w="480" w:type="dxa"/>
            <w:vAlign w:val="bottom"/>
          </w:tcPr>
          <w:p>
            <w:pPr>
              <w:spacing w:after="0"/>
              <w:rPr>
                <w:sz w:val="18"/>
                <w:szCs w:val="18"/>
                <w:color w:val="auto"/>
              </w:rPr>
            </w:pPr>
          </w:p>
        </w:tc>
        <w:tc>
          <w:tcPr>
            <w:tcW w:w="1380" w:type="dxa"/>
            <w:vAlign w:val="bottom"/>
            <w:gridSpan w:val="3"/>
          </w:tcPr>
          <w:p>
            <w:pPr>
              <w:ind w:left="24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00" w:type="dxa"/>
            <w:vAlign w:val="bottom"/>
            <w:gridSpan w:val="3"/>
            <w:vMerge w:val="continue"/>
          </w:tcPr>
          <w:p>
            <w:pPr>
              <w:spacing w:after="0"/>
              <w:rPr>
                <w:sz w:val="18"/>
                <w:szCs w:val="18"/>
                <w:color w:val="auto"/>
              </w:rPr>
            </w:pPr>
          </w:p>
        </w:tc>
        <w:tc>
          <w:tcPr>
            <w:tcW w:w="340" w:type="dxa"/>
            <w:vAlign w:val="bottom"/>
            <w:vMerge w:val="restart"/>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55,523</w:t>
            </w:r>
          </w:p>
        </w:tc>
        <w:tc>
          <w:tcPr>
            <w:tcW w:w="460" w:type="dxa"/>
            <w:vAlign w:val="bottom"/>
          </w:tcPr>
          <w:p>
            <w:pPr>
              <w:spacing w:after="0"/>
              <w:rPr>
                <w:sz w:val="18"/>
                <w:szCs w:val="18"/>
                <w:color w:val="auto"/>
              </w:rPr>
            </w:pPr>
          </w:p>
        </w:tc>
        <w:tc>
          <w:tcPr>
            <w:tcW w:w="820" w:type="dxa"/>
            <w:vAlign w:val="bottom"/>
            <w:gridSpan w:val="2"/>
            <w:vMerge w:val="restart"/>
          </w:tcPr>
          <w:p>
            <w:pPr>
              <w:ind w:left="7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41,402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294,833</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295,683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238,544</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235,347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9,437</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58,756</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657,093</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647,074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166,323</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167,277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Goodwill and other assets</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98,567</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102,386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921,983</w:t>
            </w:r>
          </w:p>
        </w:tc>
        <w:tc>
          <w:tcPr>
            <w:tcW w:w="460" w:type="dxa"/>
            <w:vAlign w:val="bottom"/>
          </w:tcPr>
          <w:p>
            <w:pPr>
              <w:spacing w:after="0"/>
              <w:rPr>
                <w:sz w:val="19"/>
                <w:szCs w:val="19"/>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916,737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3"/>
            <w:vMerge w:val="continue"/>
          </w:tcPr>
          <w:p>
            <w:pPr>
              <w:spacing w:after="0"/>
              <w:rPr>
                <w:sz w:val="18"/>
                <w:szCs w:val="18"/>
                <w:color w:val="auto"/>
              </w:rPr>
            </w:pPr>
          </w:p>
        </w:tc>
        <w:tc>
          <w:tcPr>
            <w:tcW w:w="340" w:type="dxa"/>
            <w:vAlign w:val="bottom"/>
            <w:vMerge w:val="restart"/>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ind w:left="7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89,673</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87,952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255,546</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252,879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345,539</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341,202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175,000</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Deferred revenue and other long-term liabilities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9,415</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392,029</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390,034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921,983</w:t>
            </w:r>
          </w:p>
        </w:tc>
        <w:tc>
          <w:tcPr>
            <w:tcW w:w="460" w:type="dxa"/>
            <w:vAlign w:val="bottom"/>
          </w:tcPr>
          <w:p>
            <w:pPr>
              <w:spacing w:after="0"/>
              <w:rPr>
                <w:sz w:val="19"/>
                <w:szCs w:val="19"/>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916,737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TORO COMPANY AND SUBSIDIARIES</w:t>
      </w:r>
    </w:p>
    <w:p>
      <w:pPr>
        <w:sectPr>
          <w:pgSz w:w="11900" w:h="16838" w:orient="portrait"/>
          <w:cols w:equalWidth="0" w:num="1">
            <w:col w:w="10840"/>
          </w:cols>
          <w:pgMar w:left="540" w:top="341" w:right="51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108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1"/>
        </w:trPr>
        <w:tc>
          <w:tcPr>
            <w:tcW w:w="7140" w:type="dxa"/>
            <w:vAlign w:val="bottom"/>
          </w:tcPr>
          <w:p>
            <w:pPr>
              <w:spacing w:after="0"/>
              <w:rPr>
                <w:sz w:val="16"/>
                <w:szCs w:val="16"/>
                <w:color w:val="auto"/>
              </w:rPr>
            </w:pPr>
          </w:p>
        </w:tc>
        <w:tc>
          <w:tcPr>
            <w:tcW w:w="1700" w:type="dxa"/>
            <w:vAlign w:val="bottom"/>
            <w:gridSpan w:val="4"/>
          </w:tcPr>
          <w:p>
            <w:pPr>
              <w:jc w:val="right"/>
              <w:ind w:right="380"/>
              <w:spacing w:after="0" w:line="191" w:lineRule="exact"/>
              <w:rPr>
                <w:sz w:val="20"/>
                <w:szCs w:val="20"/>
                <w:color w:val="auto"/>
              </w:rPr>
            </w:pPr>
            <w:r>
              <w:rPr>
                <w:rFonts w:ascii="Arial" w:cs="Arial" w:eastAsia="Arial" w:hAnsi="Arial"/>
                <w:sz w:val="18"/>
                <w:szCs w:val="18"/>
                <w:b w:val="1"/>
                <w:bCs w:val="1"/>
                <w:color w:val="auto"/>
              </w:rPr>
              <w:t>October 31,</w:t>
            </w:r>
          </w:p>
        </w:tc>
        <w:tc>
          <w:tcPr>
            <w:tcW w:w="300" w:type="dxa"/>
            <w:vAlign w:val="bottom"/>
          </w:tcPr>
          <w:p>
            <w:pPr>
              <w:spacing w:after="0"/>
              <w:rPr>
                <w:sz w:val="16"/>
                <w:szCs w:val="16"/>
                <w:color w:val="auto"/>
              </w:rPr>
            </w:pPr>
          </w:p>
        </w:tc>
        <w:tc>
          <w:tcPr>
            <w:tcW w:w="1700" w:type="dxa"/>
            <w:vAlign w:val="bottom"/>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71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1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129,145</w:t>
            </w:r>
          </w:p>
        </w:tc>
        <w:tc>
          <w:tcPr>
            <w:tcW w:w="5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114,082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Non-cash asset impairment</w:t>
            </w:r>
          </w:p>
        </w:tc>
        <w:tc>
          <w:tcPr>
            <w:tcW w:w="52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Equity losses from investments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42,564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42,829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Gain on disposal of property, plant, and equipment</w:t>
            </w:r>
          </w:p>
        </w:tc>
        <w:tc>
          <w:tcPr>
            <w:tcW w:w="5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6,641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9,312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Increase in deferred income taxes</w:t>
            </w:r>
          </w:p>
        </w:tc>
        <w:tc>
          <w:tcPr>
            <w:tcW w:w="5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(2,742)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9,390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520" w:type="dxa"/>
            <w:vAlign w:val="bottom"/>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4,271</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190,271</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174,083</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5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(39,885)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(37,432)</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Proceeds from asset disposals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1,033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Increase in investments in affiliates</w:t>
            </w:r>
          </w:p>
        </w:tc>
        <w:tc>
          <w:tcPr>
            <w:tcW w:w="5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Decrease in other assets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1,161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Proceeds from sale of a business</w:t>
            </w:r>
          </w:p>
        </w:tc>
        <w:tc>
          <w:tcPr>
            <w:tcW w:w="52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Acquisition, net of cash acquired</w:t>
            </w:r>
          </w:p>
        </w:tc>
        <w:tc>
          <w:tcPr>
            <w:tcW w:w="520" w:type="dxa"/>
            <w:vAlign w:val="bottom"/>
          </w:tcPr>
          <w:p>
            <w:pPr>
              <w:spacing w:after="0"/>
              <w:rPr>
                <w:sz w:val="20"/>
                <w:szCs w:val="20"/>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(35,285)</w:t>
            </w:r>
          </w:p>
        </w:tc>
        <w:tc>
          <w:tcPr>
            <w:tcW w:w="0" w:type="dxa"/>
            <w:vAlign w:val="bottom"/>
          </w:tcPr>
          <w:p>
            <w:pPr>
              <w:spacing w:after="0"/>
              <w:rPr>
                <w:sz w:val="1"/>
                <w:szCs w:val="1"/>
                <w:color w:val="auto"/>
              </w:rPr>
            </w:pPr>
          </w:p>
        </w:tc>
      </w:tr>
      <w:tr>
        <w:trPr>
          <w:trHeight w:val="223"/>
        </w:trPr>
        <w:tc>
          <w:tcPr>
            <w:tcW w:w="714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(38,062</w:t>
            </w:r>
          </w:p>
        </w:tc>
        <w:tc>
          <w:tcPr>
            <w:tcW w:w="520" w:type="dxa"/>
            <w:vAlign w:val="bottom"/>
          </w:tcPr>
          <w:p>
            <w:pPr>
              <w:jc w:val="right"/>
              <w:ind w:right="440"/>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(68,419</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Decrease in short-term debt</w:t>
            </w:r>
          </w:p>
        </w:tc>
        <w:tc>
          <w:tcPr>
            <w:tcW w:w="5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5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Excess tax benefits from stock-based awards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13,131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10,683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8,164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Purchases of Toro common stock</w:t>
            </w:r>
          </w:p>
        </w:tc>
        <w:tc>
          <w:tcPr>
            <w:tcW w:w="5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(146,543)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(156,972)</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Dividends paid on Toro common stock</w:t>
            </w:r>
          </w:p>
        </w:tc>
        <w:tc>
          <w:tcPr>
            <w:tcW w:w="520" w:type="dxa"/>
            <w:vAlign w:val="bottom"/>
          </w:tcPr>
          <w:p>
            <w:pPr>
              <w:spacing w:after="0"/>
              <w:rPr>
                <w:sz w:val="20"/>
                <w:szCs w:val="20"/>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(15,421)</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23"/>
        </w:trPr>
        <w:tc>
          <w:tcPr>
            <w:tcW w:w="7140" w:type="dxa"/>
            <w:vAlign w:val="bottom"/>
          </w:tcPr>
          <w:p>
            <w:pPr>
              <w:ind w:left="40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(138,201</w:t>
            </w:r>
          </w:p>
        </w:tc>
        <w:tc>
          <w:tcPr>
            <w:tcW w:w="540" w:type="dxa"/>
            <w:vAlign w:val="bottom"/>
            <w:gridSpan w:val="2"/>
          </w:tcPr>
          <w:p>
            <w:pPr>
              <w:jc w:val="right"/>
              <w:ind w:right="4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(154,393</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14,121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(49,354)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520" w:type="dxa"/>
            <w:vAlign w:val="bottom"/>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41,402</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90,756</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55,523</w:t>
            </w:r>
          </w:p>
        </w:tc>
        <w:tc>
          <w:tcPr>
            <w:tcW w:w="5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41,402</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40"/>
      </w:cols>
      <w:pgMar w:left="54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5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2019-12-13T13:50:17Z</dcterms:created>
  <dcterms:modified xsi:type="dcterms:W3CDTF">2019-12-13T13:50:17Z</dcterms:modified>
</cp:coreProperties>
</file>