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April 30, 2010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984" w:right="239" w:bottom="1440" w:gutter="0" w:footer="0" w:header="0"/>
        </w:sectPr>
      </w:pPr>
    </w:p>
    <w:p>
      <w:pPr>
        <w:spacing w:after="0" w:line="221"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1-8649</w:t>
      </w:r>
    </w:p>
    <w:p>
      <w:pPr>
        <w:spacing w:after="0" w:line="24"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auto"/>
        </w:rPr>
        <w:t>41-0580470</w:t>
      </w:r>
    </w:p>
    <w:p>
      <w:pPr>
        <w:spacing w:after="0" w:line="24"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40" w:space="720"/>
            <w:col w:w="3300"/>
          </w:cols>
          <w:pgMar w:left="240" w:top="984" w:right="239" w:bottom="1440" w:gutter="0" w:footer="0" w:header="0"/>
          <w:type w:val="continuous"/>
        </w:sectPr>
      </w:pP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8111 Lyndale Avenue South</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Bloomington, Minnesota 55420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Telephone number: (952) 888-8801</w:t>
      </w:r>
    </w:p>
    <w:p>
      <w:pPr>
        <w:sectPr>
          <w:pgSz w:w="11900" w:h="16838" w:orient="portrait"/>
          <w:cols w:equalWidth="0" w:num="1">
            <w:col w:w="11420"/>
          </w:cols>
          <w:pgMar w:left="240" w:top="984" w:right="239" w:bottom="1440"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S</w:t>
        <w:tab/>
        <w:t>No £</w:t>
      </w:r>
    </w:p>
    <w:p>
      <w:pPr>
        <w:spacing w:after="0" w:line="239"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84" w:right="239" w:bottom="1440" w:gutter="0" w:footer="0" w:header="0"/>
          <w:type w:val="continuous"/>
        </w:sectPr>
      </w:pP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 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right="1120"/>
        <w:spacing w:after="0" w:line="276" w:lineRule="auto"/>
        <w:rPr>
          <w:sz w:val="20"/>
          <w:szCs w:val="20"/>
          <w:color w:val="auto"/>
        </w:rPr>
      </w:pPr>
      <w:r>
        <w:rPr>
          <w:rFonts w:ascii="Arial" w:cs="Arial" w:eastAsia="Arial" w:hAnsi="Arial"/>
          <w:sz w:val="17"/>
          <w:szCs w:val="17"/>
          <w:color w:val="auto"/>
        </w:rPr>
        <w:t>Non-accelerated filer £ Smaller reporting company £ (Do not check if a smaller reporting company)</w:t>
      </w:r>
    </w:p>
    <w:p>
      <w:pPr>
        <w:spacing w:after="0" w:line="190" w:lineRule="exact"/>
        <w:rPr>
          <w:sz w:val="24"/>
          <w:szCs w:val="24"/>
          <w:color w:val="auto"/>
        </w:rPr>
      </w:pPr>
    </w:p>
    <w:p>
      <w:pPr>
        <w:sectPr>
          <w:pgSz w:w="11900" w:h="16838" w:orient="portrait"/>
          <w:cols w:equalWidth="0" w:num="3">
            <w:col w:w="2300" w:space="720"/>
            <w:col w:w="1640" w:space="720"/>
            <w:col w:w="6040"/>
          </w:cols>
          <w:pgMar w:left="240" w:top="984"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6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S</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outstanding as of May 28, 2010 was 32,490,250.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25868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864235</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56"/>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gridSpan w:val="8"/>
          </w:tcPr>
          <w:p>
            <w:pPr>
              <w:jc w:val="center"/>
              <w:ind w:right="2220"/>
              <w:spacing w:after="0"/>
              <w:rPr>
                <w:sz w:val="20"/>
                <w:szCs w:val="20"/>
                <w:color w:val="auto"/>
              </w:rPr>
            </w:pPr>
            <w:r>
              <w:rPr>
                <w:rFonts w:ascii="Arial" w:cs="Arial" w:eastAsia="Arial" w:hAnsi="Arial"/>
                <w:sz w:val="31"/>
                <w:szCs w:val="31"/>
                <w:b w:val="1"/>
                <w:bCs w:val="1"/>
                <w:color w:val="auto"/>
              </w:rPr>
              <w:t>THE TORO COMPANY</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gridSpan w:val="8"/>
          </w:tcPr>
          <w:p>
            <w:pPr>
              <w:jc w:val="center"/>
              <w:ind w:right="2220"/>
              <w:spacing w:after="0"/>
              <w:rPr>
                <w:sz w:val="20"/>
                <w:szCs w:val="20"/>
                <w:color w:val="auto"/>
              </w:rPr>
            </w:pPr>
            <w:r>
              <w:rPr>
                <w:rFonts w:ascii="Arial" w:cs="Arial" w:eastAsia="Arial" w:hAnsi="Arial"/>
                <w:sz w:val="31"/>
                <w:szCs w:val="31"/>
                <w:b w:val="1"/>
                <w:bCs w:val="1"/>
                <w:color w:val="auto"/>
              </w:rPr>
              <w:t>INDEX TO FORM 10-Q</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Borders>
              <w:bottom w:val="single" w:sz="8" w:color="auto"/>
            </w:tcBorders>
            <w:gridSpan w:val="6"/>
          </w:tcPr>
          <w:p>
            <w:pPr>
              <w:ind w:left="200"/>
              <w:spacing w:after="0"/>
              <w:rPr>
                <w:sz w:val="20"/>
                <w:szCs w:val="20"/>
                <w:color w:val="auto"/>
              </w:rPr>
            </w:pPr>
            <w:r>
              <w:rPr>
                <w:rFonts w:ascii="Arial" w:cs="Arial" w:eastAsia="Arial" w:hAnsi="Arial"/>
                <w:sz w:val="17"/>
                <w:szCs w:val="17"/>
                <w:color w:val="auto"/>
              </w:rPr>
              <w:t>Page Number</w:t>
            </w:r>
          </w:p>
        </w:tc>
        <w:tc>
          <w:tcPr>
            <w:tcW w:w="0" w:type="dxa"/>
            <w:vAlign w:val="bottom"/>
          </w:tcPr>
          <w:p>
            <w:pPr>
              <w:spacing w:after="0"/>
              <w:rPr>
                <w:sz w:val="1"/>
                <w:szCs w:val="1"/>
                <w:color w:val="auto"/>
              </w:rPr>
            </w:pPr>
          </w:p>
        </w:tc>
      </w:tr>
      <w:tr>
        <w:trPr>
          <w:trHeight w:val="408"/>
        </w:trPr>
        <w:tc>
          <w:tcPr>
            <w:tcW w:w="112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8980" w:type="dxa"/>
            <w:vAlign w:val="bottom"/>
            <w:gridSpan w:val="16"/>
          </w:tcPr>
          <w:p>
            <w:pPr>
              <w:ind w:left="460"/>
              <w:spacing w:after="0"/>
              <w:rPr>
                <w:sz w:val="20"/>
                <w:szCs w:val="20"/>
                <w:color w:val="auto"/>
              </w:rPr>
            </w:pPr>
            <w:r>
              <w:rPr>
                <w:rFonts w:ascii="Arial" w:cs="Arial" w:eastAsia="Arial" w:hAnsi="Arial"/>
                <w:sz w:val="17"/>
                <w:szCs w:val="17"/>
                <w:b w:val="1"/>
                <w:bCs w:val="1"/>
                <w:color w:val="auto"/>
              </w:rPr>
              <w:t>FINANCIAL INFORMATION: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8980" w:type="dxa"/>
            <w:vAlign w:val="bottom"/>
            <w:gridSpan w:val="16"/>
          </w:tcPr>
          <w:p>
            <w:pPr>
              <w:ind w:left="460"/>
              <w:spacing w:after="0"/>
              <w:rPr>
                <w:sz w:val="20"/>
                <w:szCs w:val="20"/>
                <w:color w:val="auto"/>
              </w:rPr>
            </w:pPr>
            <w:r>
              <w:rPr>
                <w:rFonts w:ascii="Arial" w:cs="Arial" w:eastAsia="Arial" w:hAnsi="Arial"/>
                <w:sz w:val="17"/>
                <w:szCs w:val="17"/>
                <w:color w:val="auto"/>
              </w:rPr>
              <w:t>Financial Statements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180" w:type="dxa"/>
            <w:vAlign w:val="bottom"/>
            <w:tcBorders>
              <w:bottom w:val="single" w:sz="8" w:color="0000EE"/>
            </w:tcBorders>
            <w:gridSpan w:val="14"/>
          </w:tcPr>
          <w:p>
            <w:pPr>
              <w:spacing w:after="0" w:line="179" w:lineRule="exact"/>
              <w:rPr>
                <w:rFonts w:ascii="Arial" w:cs="Arial" w:eastAsia="Arial" w:hAnsi="Arial"/>
                <w:sz w:val="17"/>
                <w:szCs w:val="17"/>
                <w:color w:val="0000EE"/>
                <w:w w:val="90"/>
              </w:rPr>
            </w:pPr>
            <w:hyperlink w:anchor="page3">
              <w:r>
                <w:rPr>
                  <w:rFonts w:ascii="Arial" w:cs="Arial" w:eastAsia="Arial" w:hAnsi="Arial"/>
                  <w:sz w:val="17"/>
                  <w:szCs w:val="17"/>
                  <w:color w:val="0000EE"/>
                  <w:w w:val="90"/>
                </w:rPr>
                <w:t>Condensed Consolidated Statements of Earnings (Unaudited) –Three and Six Months Ended April 30, 2010 and May 1,</w:t>
              </w:r>
            </w:hyperlink>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360" w:type="dxa"/>
            <w:vAlign w:val="bottom"/>
            <w:gridSpan w:val="2"/>
          </w:tcPr>
          <w:p>
            <w:pPr>
              <w:jc w:val="right"/>
              <w:spacing w:after="0" w:line="185" w:lineRule="exact"/>
              <w:rPr>
                <w:rFonts w:ascii="Arial" w:cs="Arial" w:eastAsia="Arial" w:hAnsi="Arial"/>
                <w:sz w:val="17"/>
                <w:szCs w:val="17"/>
                <w:color w:val="0000EE"/>
                <w:w w:val="89"/>
              </w:rPr>
            </w:pPr>
            <w:hyperlink w:anchor="page3">
              <w:r>
                <w:rPr>
                  <w:rFonts w:ascii="Arial" w:cs="Arial" w:eastAsia="Arial" w:hAnsi="Arial"/>
                  <w:sz w:val="17"/>
                  <w:szCs w:val="17"/>
                  <w:color w:val="0000EE"/>
                  <w:w w:val="89"/>
                </w:rPr>
                <w:t>2009</w:t>
              </w:r>
            </w:hyperlink>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tcPr>
          <w:p>
            <w:pPr>
              <w:spacing w:after="0"/>
              <w:rPr>
                <w:sz w:val="16"/>
                <w:szCs w:val="16"/>
                <w:color w:val="auto"/>
              </w:rPr>
            </w:pPr>
          </w:p>
        </w:tc>
        <w:tc>
          <w:tcPr>
            <w:tcW w:w="200" w:type="dxa"/>
            <w:vAlign w:val="bottom"/>
            <w:gridSpan w:val="2"/>
          </w:tcPr>
          <w:p>
            <w:pPr>
              <w:jc w:val="center"/>
              <w:ind w:right="120"/>
              <w:spacing w:after="0" w:line="185" w:lineRule="exact"/>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Condensed Consolidated Balance Sheets (Unaudited) - April 30, 2010, May 1, 2009, and October 31, 2009</w:t>
              </w:r>
            </w:hyperlink>
          </w:p>
        </w:tc>
        <w:tc>
          <w:tcPr>
            <w:tcW w:w="820" w:type="dxa"/>
            <w:vAlign w:val="bottom"/>
            <w:gridSpan w:val="5"/>
          </w:tcPr>
          <w:p>
            <w:pPr>
              <w:jc w:val="center"/>
              <w:ind w:left="415"/>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4</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40" w:type="dxa"/>
            <w:vAlign w:val="bottom"/>
            <w:gridSpan w:val="13"/>
          </w:tcPr>
          <w:p>
            <w:pPr>
              <w:spacing w:after="0"/>
              <w:rPr>
                <w:rFonts w:ascii="Arial" w:cs="Arial" w:eastAsia="Arial" w:hAnsi="Arial"/>
                <w:sz w:val="17"/>
                <w:szCs w:val="17"/>
                <w:color w:val="0000EE"/>
                <w:w w:val="90"/>
              </w:rPr>
            </w:pPr>
            <w:hyperlink w:anchor="page5">
              <w:r>
                <w:rPr>
                  <w:rFonts w:ascii="Arial" w:cs="Arial" w:eastAsia="Arial" w:hAnsi="Arial"/>
                  <w:sz w:val="17"/>
                  <w:szCs w:val="17"/>
                  <w:color w:val="0000EE"/>
                  <w:w w:val="90"/>
                </w:rPr>
                <w:t>Condensed Consolidated Statements of Cash Flows (Unaudited) - Six Months Ended April 30, 2010 and May 1, 2009</w:t>
              </w:r>
            </w:hyperlink>
          </w:p>
        </w:tc>
        <w:tc>
          <w:tcPr>
            <w:tcW w:w="180" w:type="dxa"/>
            <w:vAlign w:val="bottom"/>
            <w:gridSpan w:val="2"/>
          </w:tcPr>
          <w:p>
            <w:pPr>
              <w:spacing w:after="0"/>
              <w:rPr>
                <w:sz w:val="24"/>
                <w:szCs w:val="24"/>
                <w:color w:val="auto"/>
              </w:rPr>
            </w:pPr>
          </w:p>
        </w:tc>
        <w:tc>
          <w:tcPr>
            <w:tcW w:w="620" w:type="dxa"/>
            <w:vAlign w:val="bottom"/>
            <w:gridSpan w:val="3"/>
          </w:tcPr>
          <w:p>
            <w:pPr>
              <w:spacing w:after="0"/>
              <w:rPr>
                <w:sz w:val="24"/>
                <w:szCs w:val="24"/>
                <w:color w:val="auto"/>
              </w:rPr>
            </w:pPr>
          </w:p>
        </w:tc>
        <w:tc>
          <w:tcPr>
            <w:tcW w:w="200" w:type="dxa"/>
            <w:vAlign w:val="bottom"/>
            <w:gridSpan w:val="2"/>
          </w:tcPr>
          <w:p>
            <w:pPr>
              <w:jc w:val="center"/>
              <w:ind w:right="120"/>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5</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60" w:type="dxa"/>
            <w:vAlign w:val="bottom"/>
            <w:gridSpan w:val="10"/>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Condensed Consolidated Financial Statements (Unaudited)</w:t>
              </w:r>
            </w:hyperlink>
          </w:p>
        </w:tc>
        <w:tc>
          <w:tcPr>
            <w:tcW w:w="3380" w:type="dxa"/>
            <w:vAlign w:val="bottom"/>
            <w:gridSpan w:val="3"/>
          </w:tcPr>
          <w:p>
            <w:pPr>
              <w:spacing w:after="0"/>
              <w:rPr>
                <w:sz w:val="24"/>
                <w:szCs w:val="24"/>
                <w:color w:val="auto"/>
              </w:rPr>
            </w:pPr>
          </w:p>
        </w:tc>
        <w:tc>
          <w:tcPr>
            <w:tcW w:w="180" w:type="dxa"/>
            <w:vAlign w:val="bottom"/>
            <w:gridSpan w:val="2"/>
          </w:tcPr>
          <w:p>
            <w:pPr>
              <w:spacing w:after="0"/>
              <w:rPr>
                <w:sz w:val="24"/>
                <w:szCs w:val="24"/>
                <w:color w:val="auto"/>
              </w:rPr>
            </w:pPr>
          </w:p>
        </w:tc>
        <w:tc>
          <w:tcPr>
            <w:tcW w:w="820" w:type="dxa"/>
            <w:vAlign w:val="bottom"/>
            <w:gridSpan w:val="5"/>
          </w:tcPr>
          <w:p>
            <w:pPr>
              <w:jc w:val="center"/>
              <w:ind w:left="435"/>
              <w:spacing w:after="0"/>
              <w:rPr>
                <w:rFonts w:ascii="Arial" w:cs="Arial" w:eastAsia="Arial" w:hAnsi="Arial"/>
                <w:sz w:val="17"/>
                <w:szCs w:val="17"/>
                <w:color w:val="0000EE"/>
                <w:w w:val="88"/>
              </w:rPr>
            </w:pPr>
            <w:hyperlink w:anchor="page6">
              <w:r>
                <w:rPr>
                  <w:rFonts w:ascii="Arial" w:cs="Arial" w:eastAsia="Arial" w:hAnsi="Arial"/>
                  <w:sz w:val="17"/>
                  <w:szCs w:val="17"/>
                  <w:color w:val="0000EE"/>
                  <w:w w:val="88"/>
                </w:rPr>
                <w:t>6-15</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2.</w:t>
            </w: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Management's Discussion and Analysis of Financial Condition and Results of Operations</w:t>
              </w:r>
            </w:hyperlink>
          </w:p>
        </w:tc>
        <w:tc>
          <w:tcPr>
            <w:tcW w:w="1320" w:type="dxa"/>
            <w:vAlign w:val="bottom"/>
            <w:gridSpan w:val="6"/>
          </w:tcPr>
          <w:p>
            <w:pPr>
              <w:jc w:val="center"/>
              <w:spacing w:after="0"/>
              <w:rPr>
                <w:rFonts w:ascii="Arial" w:cs="Arial" w:eastAsia="Arial" w:hAnsi="Arial"/>
                <w:sz w:val="17"/>
                <w:szCs w:val="17"/>
                <w:color w:val="0000EE"/>
                <w:w w:val="91"/>
              </w:rPr>
            </w:pPr>
            <w:hyperlink w:anchor="page17">
              <w:r>
                <w:rPr>
                  <w:rFonts w:ascii="Arial" w:cs="Arial" w:eastAsia="Arial" w:hAnsi="Arial"/>
                  <w:sz w:val="17"/>
                  <w:szCs w:val="17"/>
                  <w:color w:val="0000EE"/>
                  <w:w w:val="91"/>
                </w:rPr>
                <w:t>16-25</w:t>
              </w:r>
            </w:hyperlink>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7"/>
                <w:szCs w:val="17"/>
                <w:b w:val="1"/>
                <w:bCs w:val="1"/>
                <w:color w:val="auto"/>
              </w:rPr>
              <w:t>Item 3.</w:t>
            </w:r>
          </w:p>
        </w:tc>
        <w:tc>
          <w:tcPr>
            <w:tcW w:w="7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11"/>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Quantitative and Qualitative Disclosures about Market Risk</w:t>
              </w:r>
            </w:hyperlink>
          </w:p>
        </w:tc>
        <w:tc>
          <w:tcPr>
            <w:tcW w:w="2120" w:type="dxa"/>
            <w:vAlign w:val="bottom"/>
            <w:gridSpan w:val="4"/>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5"/>
          </w:tcPr>
          <w:p>
            <w:pPr>
              <w:jc w:val="center"/>
              <w:ind w:right="460"/>
              <w:spacing w:after="0"/>
              <w:rPr>
                <w:rFonts w:ascii="Arial" w:cs="Arial" w:eastAsia="Arial" w:hAnsi="Arial"/>
                <w:sz w:val="17"/>
                <w:szCs w:val="17"/>
                <w:color w:val="0000EE"/>
                <w:w w:val="91"/>
              </w:rPr>
            </w:pPr>
            <w:hyperlink w:anchor="page26">
              <w:r>
                <w:rPr>
                  <w:rFonts w:ascii="Arial" w:cs="Arial" w:eastAsia="Arial" w:hAnsi="Arial"/>
                  <w:sz w:val="17"/>
                  <w:szCs w:val="17"/>
                  <w:color w:val="0000EE"/>
                  <w:w w:val="91"/>
                </w:rPr>
                <w:t>25-26</w:t>
              </w:r>
            </w:hyperlink>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4.</w:t>
            </w:r>
          </w:p>
        </w:tc>
        <w:tc>
          <w:tcPr>
            <w:tcW w:w="76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88"/>
              </w:rPr>
            </w:pPr>
            <w:hyperlink w:anchor="page27">
              <w:r>
                <w:rPr>
                  <w:rFonts w:ascii="Arial" w:cs="Arial" w:eastAsia="Arial" w:hAnsi="Arial"/>
                  <w:sz w:val="17"/>
                  <w:szCs w:val="17"/>
                  <w:color w:val="0000EE"/>
                  <w:w w:val="88"/>
                </w:rPr>
                <w:t>Controls and Procedures</w:t>
              </w:r>
            </w:hyperlink>
          </w:p>
        </w:tc>
        <w:tc>
          <w:tcPr>
            <w:tcW w:w="2400" w:type="dxa"/>
            <w:vAlign w:val="bottom"/>
            <w:tcBorders>
              <w:top w:val="single" w:sz="8" w:color="0000EE"/>
            </w:tcBorders>
          </w:tcPr>
          <w:p>
            <w:pPr>
              <w:spacing w:after="0"/>
              <w:rPr>
                <w:sz w:val="24"/>
                <w:szCs w:val="24"/>
                <w:color w:val="auto"/>
              </w:rPr>
            </w:pPr>
          </w:p>
        </w:tc>
        <w:tc>
          <w:tcPr>
            <w:tcW w:w="41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bottom w:val="single" w:sz="8" w:color="0000EE"/>
            </w:tcBorders>
            <w:gridSpan w:val="3"/>
          </w:tcPr>
          <w:p>
            <w:pPr>
              <w:jc w:val="center"/>
              <w:ind w:right="60"/>
              <w:spacing w:after="0"/>
              <w:rPr>
                <w:rFonts w:ascii="Arial" w:cs="Arial" w:eastAsia="Arial" w:hAnsi="Arial"/>
                <w:sz w:val="17"/>
                <w:szCs w:val="17"/>
                <w:color w:val="0000EE"/>
                <w:w w:val="94"/>
              </w:rPr>
            </w:pPr>
            <w:hyperlink w:anchor="page27">
              <w:r>
                <w:rPr>
                  <w:rFonts w:ascii="Arial" w:cs="Arial" w:eastAsia="Arial" w:hAnsi="Arial"/>
                  <w:sz w:val="17"/>
                  <w:szCs w:val="17"/>
                  <w:color w:val="0000EE"/>
                  <w:w w:val="94"/>
                </w:rPr>
                <w:t>26</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2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8980" w:type="dxa"/>
            <w:vAlign w:val="bottom"/>
            <w:gridSpan w:val="16"/>
          </w:tcPr>
          <w:p>
            <w:pPr>
              <w:ind w:left="460"/>
              <w:spacing w:after="0"/>
              <w:rPr>
                <w:sz w:val="20"/>
                <w:szCs w:val="20"/>
                <w:color w:val="auto"/>
              </w:rPr>
            </w:pPr>
            <w:r>
              <w:rPr>
                <w:rFonts w:ascii="Arial" w:cs="Arial" w:eastAsia="Arial" w:hAnsi="Arial"/>
                <w:sz w:val="17"/>
                <w:szCs w:val="17"/>
                <w:b w:val="1"/>
                <w:bCs w:val="1"/>
                <w:color w:val="auto"/>
              </w:rPr>
              <w:t>OTHER INFORMATION: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Legal Proceedings</w:t>
              </w:r>
            </w:hyperlink>
          </w:p>
        </w:tc>
        <w:tc>
          <w:tcPr>
            <w:tcW w:w="1320" w:type="dxa"/>
            <w:vAlign w:val="bottom"/>
            <w:gridSpan w:val="6"/>
          </w:tcPr>
          <w:p>
            <w:pPr>
              <w:jc w:val="center"/>
              <w:spacing w:after="0"/>
              <w:rPr>
                <w:rFonts w:ascii="Arial" w:cs="Arial" w:eastAsia="Arial" w:hAnsi="Arial"/>
                <w:sz w:val="17"/>
                <w:szCs w:val="17"/>
                <w:color w:val="0000EE"/>
                <w:w w:val="91"/>
              </w:rPr>
            </w:pPr>
            <w:hyperlink w:anchor="page28">
              <w:r>
                <w:rPr>
                  <w:rFonts w:ascii="Arial" w:cs="Arial" w:eastAsia="Arial" w:hAnsi="Arial"/>
                  <w:sz w:val="17"/>
                  <w:szCs w:val="17"/>
                  <w:color w:val="0000EE"/>
                  <w:w w:val="91"/>
                </w:rPr>
                <w:t>27-28</w:t>
              </w:r>
            </w:hyperlink>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1A.</w:t>
            </w:r>
          </w:p>
        </w:tc>
        <w:tc>
          <w:tcPr>
            <w:tcW w:w="760" w:type="dxa"/>
            <w:vAlign w:val="bottom"/>
          </w:tcPr>
          <w:p>
            <w:pPr>
              <w:spacing w:after="0"/>
              <w:rPr>
                <w:sz w:val="24"/>
                <w:szCs w:val="24"/>
                <w:color w:val="auto"/>
              </w:rPr>
            </w:pPr>
          </w:p>
        </w:tc>
        <w:tc>
          <w:tcPr>
            <w:tcW w:w="86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88"/>
              </w:rPr>
            </w:pPr>
            <w:hyperlink w:anchor="page29">
              <w:r>
                <w:rPr>
                  <w:rFonts w:ascii="Arial" w:cs="Arial" w:eastAsia="Arial" w:hAnsi="Arial"/>
                  <w:sz w:val="17"/>
                  <w:szCs w:val="17"/>
                  <w:color w:val="0000EE"/>
                  <w:w w:val="88"/>
                </w:rPr>
                <w:t>Risk Factors</w:t>
              </w:r>
            </w:hyperlink>
          </w:p>
        </w:tc>
        <w:tc>
          <w:tcPr>
            <w:tcW w:w="400" w:type="dxa"/>
            <w:vAlign w:val="bottom"/>
            <w:tcBorders>
              <w:top w:val="single" w:sz="8" w:color="0000EE"/>
            </w:tcBorders>
          </w:tcPr>
          <w:p>
            <w:pPr>
              <w:spacing w:after="0"/>
              <w:rPr>
                <w:sz w:val="24"/>
                <w:szCs w:val="24"/>
                <w:color w:val="auto"/>
              </w:rPr>
            </w:pPr>
          </w:p>
        </w:tc>
        <w:tc>
          <w:tcPr>
            <w:tcW w:w="696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bottom w:val="single" w:sz="8" w:color="0000EE"/>
            </w:tcBorders>
            <w:gridSpan w:val="3"/>
          </w:tcPr>
          <w:p>
            <w:pPr>
              <w:jc w:val="center"/>
              <w:ind w:right="60"/>
              <w:spacing w:after="0"/>
              <w:rPr>
                <w:rFonts w:ascii="Arial" w:cs="Arial" w:eastAsia="Arial" w:hAnsi="Arial"/>
                <w:sz w:val="17"/>
                <w:szCs w:val="17"/>
                <w:color w:val="0000EE"/>
                <w:w w:val="94"/>
              </w:rPr>
            </w:pPr>
            <w:hyperlink w:anchor="page29">
              <w:r>
                <w:rPr>
                  <w:rFonts w:ascii="Arial" w:cs="Arial" w:eastAsia="Arial" w:hAnsi="Arial"/>
                  <w:sz w:val="17"/>
                  <w:szCs w:val="17"/>
                  <w:color w:val="0000EE"/>
                  <w:w w:val="94"/>
                </w:rPr>
                <w:t>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2.</w:t>
            </w: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Unregistered Sales of Equity Securities and Use of Proceeds</w:t>
              </w:r>
            </w:hyperlink>
          </w:p>
        </w:tc>
        <w:tc>
          <w:tcPr>
            <w:tcW w:w="820" w:type="dxa"/>
            <w:vAlign w:val="bottom"/>
            <w:gridSpan w:val="5"/>
          </w:tcPr>
          <w:p>
            <w:pPr>
              <w:jc w:val="center"/>
              <w:ind w:left="435"/>
              <w:spacing w:after="0"/>
              <w:rPr>
                <w:rFonts w:ascii="Arial" w:cs="Arial" w:eastAsia="Arial" w:hAnsi="Arial"/>
                <w:sz w:val="17"/>
                <w:szCs w:val="17"/>
                <w:color w:val="0000EE"/>
                <w:w w:val="94"/>
              </w:rPr>
            </w:pPr>
            <w:hyperlink w:anchor="page29">
              <w:r>
                <w:rPr>
                  <w:rFonts w:ascii="Arial" w:cs="Arial" w:eastAsia="Arial" w:hAnsi="Arial"/>
                  <w:sz w:val="17"/>
                  <w:szCs w:val="17"/>
                  <w:color w:val="0000EE"/>
                  <w:w w:val="94"/>
                </w:rPr>
                <w:t>28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760" w:type="dxa"/>
            <w:vAlign w:val="bottom"/>
          </w:tcPr>
          <w:p>
            <w:pPr>
              <w:spacing w:after="0"/>
              <w:rPr>
                <w:sz w:val="24"/>
                <w:szCs w:val="24"/>
                <w:color w:val="auto"/>
              </w:rPr>
            </w:pPr>
          </w:p>
        </w:tc>
        <w:tc>
          <w:tcPr>
            <w:tcW w:w="58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Exhibits</w:t>
              </w:r>
            </w:hyperlink>
          </w:p>
        </w:tc>
        <w:tc>
          <w:tcPr>
            <w:tcW w:w="3540" w:type="dxa"/>
            <w:vAlign w:val="bottom"/>
            <w:tcBorders>
              <w:top w:val="single" w:sz="8" w:color="0000EE"/>
            </w:tcBorders>
            <w:gridSpan w:val="7"/>
          </w:tcPr>
          <w:p>
            <w:pPr>
              <w:spacing w:after="0"/>
              <w:rPr>
                <w:sz w:val="24"/>
                <w:szCs w:val="24"/>
                <w:color w:val="auto"/>
              </w:rPr>
            </w:pPr>
          </w:p>
        </w:tc>
        <w:tc>
          <w:tcPr>
            <w:tcW w:w="4100" w:type="dxa"/>
            <w:vAlign w:val="bottom"/>
            <w:gridSpan w:val="6"/>
          </w:tcPr>
          <w:p>
            <w:pPr>
              <w:spacing w:after="0"/>
              <w:rPr>
                <w:sz w:val="24"/>
                <w:szCs w:val="24"/>
                <w:color w:val="auto"/>
              </w:rPr>
            </w:pPr>
          </w:p>
        </w:tc>
        <w:tc>
          <w:tcPr>
            <w:tcW w:w="580" w:type="dxa"/>
            <w:vAlign w:val="bottom"/>
            <w:gridSpan w:val="2"/>
          </w:tcPr>
          <w:p>
            <w:pPr>
              <w:spacing w:after="0"/>
              <w:rPr>
                <w:sz w:val="24"/>
                <w:szCs w:val="24"/>
                <w:color w:val="auto"/>
              </w:rPr>
            </w:pPr>
          </w:p>
        </w:tc>
        <w:tc>
          <w:tcPr>
            <w:tcW w:w="240" w:type="dxa"/>
            <w:vAlign w:val="bottom"/>
            <w:tcBorders>
              <w:top w:val="single" w:sz="8" w:color="0000EE"/>
              <w:bottom w:val="single" w:sz="8" w:color="0000EE"/>
            </w:tcBorders>
            <w:gridSpan w:val="3"/>
          </w:tcPr>
          <w:p>
            <w:pPr>
              <w:jc w:val="center"/>
              <w:ind w:right="60"/>
              <w:spacing w:after="0"/>
              <w:rPr>
                <w:rFonts w:ascii="Arial" w:cs="Arial" w:eastAsia="Arial" w:hAnsi="Arial"/>
                <w:sz w:val="17"/>
                <w:szCs w:val="17"/>
                <w:color w:val="0000EE"/>
                <w:w w:val="94"/>
              </w:rPr>
            </w:pPr>
            <w:hyperlink w:anchor="page30">
              <w:r>
                <w:rPr>
                  <w:rFonts w:ascii="Arial" w:cs="Arial" w:eastAsia="Arial" w:hAnsi="Arial"/>
                  <w:sz w:val="17"/>
                  <w:szCs w:val="17"/>
                  <w:color w:val="0000EE"/>
                  <w:w w:val="94"/>
                </w:rPr>
                <w:t>29</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20" w:type="dxa"/>
            <w:vAlign w:val="bottom"/>
            <w:gridSpan w:val="15"/>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Signatures</w:t>
              </w:r>
            </w:hyperlink>
          </w:p>
        </w:tc>
        <w:tc>
          <w:tcPr>
            <w:tcW w:w="820" w:type="dxa"/>
            <w:vAlign w:val="bottom"/>
            <w:gridSpan w:val="5"/>
          </w:tcPr>
          <w:p>
            <w:pPr>
              <w:jc w:val="center"/>
              <w:ind w:left="435"/>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30</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3"/>
        </w:trPr>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Borders>
              <w:top w:val="single" w:sz="8" w:color="0000EE"/>
            </w:tcBorders>
            <w:gridSpan w:val="4"/>
          </w:tcPr>
          <w:p>
            <w:pPr>
              <w:spacing w:after="0"/>
              <w:rPr>
                <w:sz w:val="24"/>
                <w:szCs w:val="24"/>
                <w:color w:val="auto"/>
              </w:rPr>
            </w:pPr>
          </w:p>
        </w:tc>
        <w:tc>
          <w:tcPr>
            <w:tcW w:w="3360" w:type="dxa"/>
            <w:vAlign w:val="bottom"/>
            <w:gridSpan w:val="4"/>
          </w:tcPr>
          <w:p>
            <w:pPr>
              <w:jc w:val="center"/>
              <w:ind w:left="2795"/>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PART I. FINANCIAL INFORMATION</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Item 1. FINANCIAL STATEMENTS</w:t>
      </w:r>
    </w:p>
    <w:p>
      <w:pPr>
        <w:jc w:val="center"/>
        <w:ind w:right="-39"/>
        <w:spacing w:after="0"/>
        <w:rPr>
          <w:sz w:val="20"/>
          <w:szCs w:val="20"/>
          <w:color w:val="auto"/>
        </w:rPr>
      </w:pPr>
      <w:r>
        <w:rPr>
          <w:rFonts w:ascii="Arial" w:cs="Arial" w:eastAsia="Arial" w:hAnsi="Arial"/>
          <w:sz w:val="20"/>
          <w:szCs w:val="20"/>
          <w:b w:val="1"/>
          <w:bCs w:val="1"/>
          <w:color w:val="auto"/>
        </w:rPr>
        <w:t>THE TORO COMPANY AND SUBSIDIARIES</w:t>
      </w:r>
    </w:p>
    <w:p>
      <w:pPr>
        <w:jc w:val="center"/>
        <w:ind w:right="-39"/>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ind w:right="-39"/>
        <w:spacing w:after="0"/>
        <w:rPr>
          <w:sz w:val="20"/>
          <w:szCs w:val="20"/>
          <w:color w:val="auto"/>
        </w:rPr>
      </w:pPr>
      <w:r>
        <w:rPr>
          <w:rFonts w:ascii="Arial" w:cs="Arial" w:eastAsia="Arial" w:hAnsi="Arial"/>
          <w:sz w:val="20"/>
          <w:szCs w:val="20"/>
          <w:b w:val="1"/>
          <w:bCs w:val="1"/>
          <w:color w:val="auto"/>
        </w:rPr>
        <w:t>(Dollars and shares in thousands, except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6"/>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ind w:right="500"/>
              <w:spacing w:after="0" w:line="193" w:lineRule="exact"/>
              <w:rPr>
                <w:sz w:val="20"/>
                <w:szCs w:val="20"/>
                <w:color w:val="auto"/>
              </w:rPr>
            </w:pPr>
            <w:r>
              <w:rPr>
                <w:rFonts w:ascii="Arial" w:cs="Arial" w:eastAsia="Arial" w:hAnsi="Arial"/>
                <w:sz w:val="17"/>
                <w:szCs w:val="17"/>
                <w:color w:val="auto"/>
              </w:rPr>
              <w:t>April 30,</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5"/>
              <w:spacing w:after="0" w:line="193" w:lineRule="exact"/>
              <w:rPr>
                <w:sz w:val="20"/>
                <w:szCs w:val="20"/>
                <w:color w:val="auto"/>
              </w:rPr>
            </w:pPr>
            <w:r>
              <w:rPr>
                <w:rFonts w:ascii="Arial" w:cs="Arial" w:eastAsia="Arial" w:hAnsi="Arial"/>
                <w:sz w:val="17"/>
                <w:szCs w:val="17"/>
                <w:color w:val="auto"/>
              </w:rPr>
              <w:t>May 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400"/>
              <w:spacing w:after="0" w:line="193" w:lineRule="exact"/>
              <w:rPr>
                <w:sz w:val="20"/>
                <w:szCs w:val="20"/>
                <w:color w:val="auto"/>
              </w:rPr>
            </w:pPr>
            <w:r>
              <w:rPr>
                <w:rFonts w:ascii="Arial" w:cs="Arial" w:eastAsia="Arial" w:hAnsi="Arial"/>
                <w:sz w:val="17"/>
                <w:szCs w:val="17"/>
                <w:color w:val="auto"/>
              </w:rPr>
              <w:t>April 30,</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Net sales</w:t>
            </w: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562,819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jc w:val="right"/>
              <w:ind w:right="35"/>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499,852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894,177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840,024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Cost of sales</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375,407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338,627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590,374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560,539</w:t>
            </w:r>
          </w:p>
        </w:tc>
        <w:tc>
          <w:tcPr>
            <w:tcW w:w="0" w:type="dxa"/>
            <w:vAlign w:val="bottom"/>
          </w:tcPr>
          <w:p>
            <w:pPr>
              <w:spacing w:after="0"/>
              <w:rPr>
                <w:sz w:val="1"/>
                <w:szCs w:val="1"/>
                <w:color w:val="auto"/>
              </w:rPr>
            </w:pPr>
          </w:p>
        </w:tc>
      </w:tr>
      <w:tr>
        <w:trPr>
          <w:trHeight w:val="192"/>
        </w:trPr>
        <w:tc>
          <w:tcPr>
            <w:tcW w:w="6060" w:type="dxa"/>
            <w:vAlign w:val="bottom"/>
          </w:tcPr>
          <w:p>
            <w:pPr>
              <w:ind w:left="300"/>
              <w:spacing w:after="0" w:line="193" w:lineRule="exact"/>
              <w:rPr>
                <w:sz w:val="20"/>
                <w:szCs w:val="20"/>
                <w:color w:val="auto"/>
              </w:rPr>
            </w:pPr>
            <w:r>
              <w:rPr>
                <w:rFonts w:ascii="Arial" w:cs="Arial" w:eastAsia="Arial" w:hAnsi="Arial"/>
                <w:sz w:val="17"/>
                <w:szCs w:val="17"/>
                <w:color w:val="auto"/>
              </w:rPr>
              <w:t>Gross profit</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3" w:lineRule="exact"/>
              <w:rPr>
                <w:sz w:val="20"/>
                <w:szCs w:val="20"/>
                <w:color w:val="auto"/>
              </w:rPr>
            </w:pPr>
            <w:r>
              <w:rPr>
                <w:rFonts w:ascii="Arial" w:cs="Arial" w:eastAsia="Arial" w:hAnsi="Arial"/>
                <w:sz w:val="17"/>
                <w:szCs w:val="17"/>
                <w:color w:val="auto"/>
              </w:rPr>
              <w:t>187,412</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161,225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303,803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279,485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115,289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102,231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211,888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206,790</w:t>
            </w:r>
          </w:p>
        </w:tc>
        <w:tc>
          <w:tcPr>
            <w:tcW w:w="0" w:type="dxa"/>
            <w:vAlign w:val="bottom"/>
          </w:tcPr>
          <w:p>
            <w:pPr>
              <w:spacing w:after="0"/>
              <w:rPr>
                <w:sz w:val="1"/>
                <w:szCs w:val="1"/>
                <w:color w:val="auto"/>
              </w:rPr>
            </w:pPr>
          </w:p>
        </w:tc>
      </w:tr>
      <w:tr>
        <w:trPr>
          <w:trHeight w:val="192"/>
        </w:trPr>
        <w:tc>
          <w:tcPr>
            <w:tcW w:w="6060" w:type="dxa"/>
            <w:vAlign w:val="bottom"/>
          </w:tcPr>
          <w:p>
            <w:pPr>
              <w:ind w:left="300"/>
              <w:spacing w:after="0" w:line="193" w:lineRule="exact"/>
              <w:rPr>
                <w:sz w:val="20"/>
                <w:szCs w:val="20"/>
                <w:color w:val="auto"/>
              </w:rPr>
            </w:pPr>
            <w:r>
              <w:rPr>
                <w:rFonts w:ascii="Arial" w:cs="Arial" w:eastAsia="Arial" w:hAnsi="Arial"/>
                <w:sz w:val="17"/>
                <w:szCs w:val="17"/>
                <w:color w:val="auto"/>
              </w:rPr>
              <w:t>Earnings from operations</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3" w:lineRule="exact"/>
              <w:rPr>
                <w:sz w:val="20"/>
                <w:szCs w:val="20"/>
                <w:color w:val="auto"/>
              </w:rPr>
            </w:pPr>
            <w:r>
              <w:rPr>
                <w:rFonts w:ascii="Arial" w:cs="Arial" w:eastAsia="Arial" w:hAnsi="Arial"/>
                <w:sz w:val="17"/>
                <w:szCs w:val="17"/>
                <w:color w:val="auto"/>
              </w:rPr>
              <w:t>72,123</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58,994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91,915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72,695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(4,271)</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(4,420)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(8,516)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(8,778)</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905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2,293</w:t>
            </w:r>
          </w:p>
        </w:tc>
        <w:tc>
          <w:tcPr>
            <w:tcW w:w="0" w:type="dxa"/>
            <w:vAlign w:val="bottom"/>
          </w:tcPr>
          <w:p>
            <w:pPr>
              <w:spacing w:after="0"/>
              <w:rPr>
                <w:sz w:val="1"/>
                <w:szCs w:val="1"/>
                <w:color w:val="auto"/>
              </w:rPr>
            </w:pPr>
          </w:p>
        </w:tc>
      </w:tr>
      <w:tr>
        <w:trPr>
          <w:trHeight w:val="192"/>
        </w:trPr>
        <w:tc>
          <w:tcPr>
            <w:tcW w:w="6060" w:type="dxa"/>
            <w:vAlign w:val="bottom"/>
          </w:tcPr>
          <w:p>
            <w:pPr>
              <w:ind w:left="300"/>
              <w:spacing w:after="0" w:line="193" w:lineRule="exact"/>
              <w:rPr>
                <w:sz w:val="20"/>
                <w:szCs w:val="20"/>
                <w:color w:val="auto"/>
              </w:rPr>
            </w:pPr>
            <w:r>
              <w:rPr>
                <w:rFonts w:ascii="Arial" w:cs="Arial" w:eastAsia="Arial" w:hAnsi="Arial"/>
                <w:sz w:val="17"/>
                <w:szCs w:val="17"/>
                <w:color w:val="auto"/>
              </w:rPr>
              <w:t>Earnings before income taxes</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3" w:lineRule="exact"/>
              <w:rPr>
                <w:sz w:val="20"/>
                <w:szCs w:val="20"/>
                <w:color w:val="auto"/>
              </w:rPr>
            </w:pPr>
            <w:r>
              <w:rPr>
                <w:rFonts w:ascii="Arial" w:cs="Arial" w:eastAsia="Arial" w:hAnsi="Arial"/>
                <w:sz w:val="17"/>
                <w:szCs w:val="17"/>
                <w:color w:val="auto"/>
              </w:rPr>
              <w:t>68,757</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56,057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85,205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66,210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23,096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19,196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28,626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22,618</w:t>
            </w:r>
          </w:p>
        </w:tc>
        <w:tc>
          <w:tcPr>
            <w:tcW w:w="0" w:type="dxa"/>
            <w:vAlign w:val="bottom"/>
          </w:tcPr>
          <w:p>
            <w:pPr>
              <w:spacing w:after="0"/>
              <w:rPr>
                <w:sz w:val="1"/>
                <w:szCs w:val="1"/>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45,661</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43,592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60" w:type="dxa"/>
            <w:vAlign w:val="bottom"/>
          </w:tcPr>
          <w:p>
            <w:pPr>
              <w:spacing w:after="0"/>
              <w:rPr>
                <w:sz w:val="20"/>
                <w:szCs w:val="20"/>
                <w:color w:val="auto"/>
              </w:rPr>
            </w:pPr>
            <w:r>
              <w:rPr>
                <w:rFonts w:ascii="Arial" w:cs="Arial" w:eastAsia="Arial" w:hAnsi="Arial"/>
                <w:sz w:val="17"/>
                <w:szCs w:val="17"/>
                <w:color w:val="auto"/>
              </w:rPr>
              <w:t>Basic net earnings per share of common stock</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2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1.67</w:t>
            </w: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60" w:type="dxa"/>
            <w:vAlign w:val="bottom"/>
          </w:tcPr>
          <w:p>
            <w:pPr>
              <w:spacing w:after="0"/>
              <w:rPr>
                <w:sz w:val="20"/>
                <w:szCs w:val="20"/>
                <w:color w:val="auto"/>
              </w:rPr>
            </w:pPr>
            <w:r>
              <w:rPr>
                <w:rFonts w:ascii="Arial" w:cs="Arial" w:eastAsia="Arial" w:hAnsi="Arial"/>
                <w:sz w:val="17"/>
                <w:szCs w:val="17"/>
                <w:color w:val="auto"/>
              </w:rPr>
              <w:t>Diluted net earnings per share of common stock</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1.34</w:t>
            </w:r>
          </w:p>
        </w:tc>
        <w:tc>
          <w:tcPr>
            <w:tcW w:w="2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1.65</w:t>
            </w: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7"/>
                <w:szCs w:val="17"/>
                <w:color w:val="auto"/>
              </w:rPr>
              <w:t>Weighted-average number of shares of common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6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00"/>
              <w:spacing w:after="0"/>
              <w:rPr>
                <w:sz w:val="20"/>
                <w:szCs w:val="20"/>
                <w:color w:val="auto"/>
              </w:rPr>
            </w:pPr>
            <w:r>
              <w:rPr>
                <w:rFonts w:ascii="Arial" w:cs="Arial" w:eastAsia="Arial" w:hAnsi="Arial"/>
                <w:sz w:val="17"/>
                <w:szCs w:val="17"/>
                <w:color w:val="auto"/>
              </w:rPr>
              <w:t>stock outstanding – Basic</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33,714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36,397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33,871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36,382</w:t>
            </w:r>
          </w:p>
        </w:tc>
        <w:tc>
          <w:tcPr>
            <w:tcW w:w="0" w:type="dxa"/>
            <w:vAlign w:val="bottom"/>
          </w:tcPr>
          <w:p>
            <w:pPr>
              <w:spacing w:after="0"/>
              <w:rPr>
                <w:sz w:val="1"/>
                <w:szCs w:val="1"/>
                <w:color w:val="auto"/>
              </w:rPr>
            </w:pPr>
          </w:p>
        </w:tc>
      </w:tr>
      <w:tr>
        <w:trPr>
          <w:trHeight w:val="398"/>
        </w:trPr>
        <w:tc>
          <w:tcPr>
            <w:tcW w:w="6060" w:type="dxa"/>
            <w:vAlign w:val="bottom"/>
          </w:tcPr>
          <w:p>
            <w:pPr>
              <w:spacing w:after="0"/>
              <w:rPr>
                <w:sz w:val="20"/>
                <w:szCs w:val="20"/>
                <w:color w:val="auto"/>
              </w:rPr>
            </w:pPr>
            <w:r>
              <w:rPr>
                <w:rFonts w:ascii="Arial" w:cs="Arial" w:eastAsia="Arial" w:hAnsi="Arial"/>
                <w:sz w:val="17"/>
                <w:szCs w:val="17"/>
                <w:color w:val="auto"/>
              </w:rPr>
              <w:t>Weighted-average number of shares of common</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00"/>
              <w:spacing w:after="0"/>
              <w:rPr>
                <w:sz w:val="20"/>
                <w:szCs w:val="20"/>
                <w:color w:val="auto"/>
              </w:rPr>
            </w:pPr>
            <w:r>
              <w:rPr>
                <w:rFonts w:ascii="Arial" w:cs="Arial" w:eastAsia="Arial" w:hAnsi="Arial"/>
                <w:sz w:val="17"/>
                <w:szCs w:val="17"/>
                <w:color w:val="auto"/>
              </w:rPr>
              <w:t>stock outstanding – Diluted</w:t>
            </w: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34,142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36,763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34,198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36,807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85" w:right="27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ind w:right="-199"/>
        <w:spacing w:after="0"/>
        <w:rPr>
          <w:sz w:val="20"/>
          <w:szCs w:val="20"/>
          <w:color w:val="auto"/>
        </w:rPr>
      </w:pPr>
      <w:r>
        <w:rPr>
          <w:rFonts w:ascii="Arial" w:cs="Arial" w:eastAsia="Arial" w:hAnsi="Arial"/>
          <w:sz w:val="20"/>
          <w:szCs w:val="20"/>
          <w:b w:val="1"/>
          <w:bCs w:val="1"/>
          <w:color w:val="auto"/>
        </w:rPr>
        <w:t>(Dollars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rPr>
              <w:t>April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7"/>
                <w:szCs w:val="17"/>
                <w:color w:val="auto"/>
              </w:rPr>
              <w:t>May 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w w:val="92"/>
              </w:rPr>
              <w:t>October 31,</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2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9"/>
              </w:rPr>
              <w:t>ASSETS</w:t>
            </w:r>
          </w:p>
        </w:tc>
        <w:tc>
          <w:tcPr>
            <w:tcW w:w="68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44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180,385</w:t>
            </w:r>
          </w:p>
        </w:tc>
        <w:tc>
          <w:tcPr>
            <w:tcW w:w="14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29,673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187,773</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Receivables,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260,789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407,801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143,709</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174,406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215,775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176,275</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12,150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16,405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14,914</w:t>
            </w:r>
          </w:p>
        </w:tc>
        <w:tc>
          <w:tcPr>
            <w:tcW w:w="0" w:type="dxa"/>
            <w:vAlign w:val="bottom"/>
          </w:tcPr>
          <w:p>
            <w:pPr>
              <w:spacing w:after="0"/>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57,120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57,704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59,467</w:t>
            </w:r>
          </w:p>
        </w:tc>
        <w:tc>
          <w:tcPr>
            <w:tcW w:w="0" w:type="dxa"/>
            <w:vAlign w:val="bottom"/>
          </w:tcPr>
          <w:p>
            <w:pPr>
              <w:spacing w:after="0"/>
              <w:rPr>
                <w:sz w:val="1"/>
                <w:szCs w:val="1"/>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684,850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727,358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582,138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440" w:type="dxa"/>
            <w:vAlign w:val="bottom"/>
            <w:gridSpan w:val="3"/>
          </w:tcPr>
          <w:p>
            <w:pPr>
              <w:spacing w:after="0"/>
              <w:rPr>
                <w:sz w:val="20"/>
                <w:szCs w:val="20"/>
                <w:color w:val="auto"/>
              </w:rPr>
            </w:pPr>
            <w:r>
              <w:rPr>
                <w:rFonts w:ascii="Arial" w:cs="Arial" w:eastAsia="Arial" w:hAnsi="Arial"/>
                <w:sz w:val="17"/>
                <w:szCs w:val="17"/>
                <w:color w:val="auto"/>
              </w:rPr>
              <w:t>Property, plant, and equipment</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567,726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532,950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551,747</w:t>
            </w:r>
          </w:p>
        </w:tc>
        <w:tc>
          <w:tcPr>
            <w:tcW w:w="0" w:type="dxa"/>
            <w:vAlign w:val="bottom"/>
          </w:tcPr>
          <w:p>
            <w:pPr>
              <w:spacing w:after="0"/>
              <w:rPr>
                <w:sz w:val="1"/>
                <w:szCs w:val="1"/>
                <w:color w:val="auto"/>
              </w:rPr>
            </w:pPr>
          </w:p>
        </w:tc>
      </w:tr>
      <w:tr>
        <w:trPr>
          <w:trHeight w:val="223"/>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Less accumulated depreciation</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402,212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367,386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385,031</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165,564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166,716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6,470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21,072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7,486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10,512</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86,558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86,390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86,407</w:t>
            </w:r>
          </w:p>
        </w:tc>
        <w:tc>
          <w:tcPr>
            <w:tcW w:w="0" w:type="dxa"/>
            <w:vAlign w:val="bottom"/>
          </w:tcPr>
          <w:p>
            <w:pPr>
              <w:spacing w:after="0"/>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18,076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23,324</w:t>
            </w:r>
          </w:p>
        </w:tc>
        <w:tc>
          <w:tcPr>
            <w:tcW w:w="0" w:type="dxa"/>
            <w:vAlign w:val="bottom"/>
          </w:tcPr>
          <w:p>
            <w:pPr>
              <w:spacing w:after="0"/>
              <w:rPr>
                <w:sz w:val="1"/>
                <w:szCs w:val="1"/>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985,989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1,011,344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872,682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7"/>
                <w:szCs w:val="17"/>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4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39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3,705</w:t>
            </w:r>
          </w:p>
        </w:tc>
        <w:tc>
          <w:tcPr>
            <w:tcW w:w="14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3,377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3,765</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Short-term debt</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32,900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4,529</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171,279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98,592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91,074</w:t>
            </w:r>
          </w:p>
        </w:tc>
        <w:tc>
          <w:tcPr>
            <w:tcW w:w="0" w:type="dxa"/>
            <w:vAlign w:val="bottom"/>
          </w:tcPr>
          <w:p>
            <w:pPr>
              <w:spacing w:after="0"/>
              <w:rPr>
                <w:sz w:val="1"/>
                <w:szCs w:val="1"/>
                <w:color w:val="auto"/>
              </w:rPr>
            </w:pPr>
          </w:p>
        </w:tc>
      </w:tr>
      <w:tr>
        <w:trPr>
          <w:trHeight w:val="223"/>
        </w:trPr>
        <w:tc>
          <w:tcPr>
            <w:tcW w:w="74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247,040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238,922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217,433</w:t>
            </w:r>
          </w:p>
        </w:tc>
        <w:tc>
          <w:tcPr>
            <w:tcW w:w="0" w:type="dxa"/>
            <w:vAlign w:val="bottom"/>
          </w:tcPr>
          <w:p>
            <w:pPr>
              <w:spacing w:after="0"/>
              <w:rPr>
                <w:sz w:val="1"/>
                <w:szCs w:val="1"/>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422,537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373,791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316,801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744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224,297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225,909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225,046</w:t>
            </w:r>
          </w:p>
        </w:tc>
        <w:tc>
          <w:tcPr>
            <w:tcW w:w="0" w:type="dxa"/>
            <w:vAlign w:val="bottom"/>
          </w:tcPr>
          <w:p>
            <w:pPr>
              <w:spacing w:after="0"/>
              <w:rPr>
                <w:sz w:val="1"/>
                <w:szCs w:val="1"/>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8,755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8,510</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7"/>
                <w:szCs w:val="17"/>
                <w:color w:val="auto"/>
              </w:rPr>
              <w:t>Other long-term liabilities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7,951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6,256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7,113</w:t>
            </w:r>
          </w:p>
        </w:tc>
        <w:tc>
          <w:tcPr>
            <w:tcW w:w="0" w:type="dxa"/>
            <w:vAlign w:val="bottom"/>
          </w:tcPr>
          <w:p>
            <w:pPr>
              <w:spacing w:after="0"/>
              <w:rPr>
                <w:sz w:val="1"/>
                <w:szCs w:val="1"/>
                <w:color w:val="auto"/>
              </w:rPr>
            </w:pPr>
          </w:p>
        </w:tc>
      </w:tr>
      <w:tr>
        <w:trPr>
          <w:trHeight w:val="398"/>
        </w:trPr>
        <w:tc>
          <w:tcPr>
            <w:tcW w:w="7440" w:type="dxa"/>
            <w:vAlign w:val="bottom"/>
            <w:gridSpan w:val="3"/>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ind w:left="160"/>
              <w:spacing w:after="0"/>
              <w:rPr>
                <w:sz w:val="20"/>
                <w:szCs w:val="20"/>
                <w:color w:val="auto"/>
              </w:rPr>
            </w:pPr>
            <w:r>
              <w:rPr>
                <w:rFonts w:ascii="Arial" w:cs="Arial" w:eastAsia="Arial" w:hAnsi="Arial"/>
                <w:sz w:val="17"/>
                <w:szCs w:val="17"/>
                <w:color w:val="auto"/>
                <w:w w:val="92"/>
              </w:rPr>
              <w:t>Preferred stock, par value $1.00 per share, authorized 1,000,000 voting and 850,000 non-voting shares,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ind w:left="160"/>
              <w:spacing w:after="0"/>
              <w:rPr>
                <w:sz w:val="20"/>
                <w:szCs w:val="20"/>
                <w:color w:val="auto"/>
              </w:rPr>
            </w:pPr>
            <w:r>
              <w:rPr>
                <w:rFonts w:ascii="Arial" w:cs="Arial" w:eastAsia="Arial" w:hAnsi="Arial"/>
                <w:sz w:val="17"/>
                <w:szCs w:val="17"/>
                <w:color w:val="auto"/>
              </w:rPr>
              <w:t>none issued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ind w:left="180"/>
              <w:spacing w:after="0"/>
              <w:rPr>
                <w:sz w:val="20"/>
                <w:szCs w:val="20"/>
                <w:color w:val="auto"/>
              </w:rPr>
            </w:pPr>
            <w:r>
              <w:rPr>
                <w:rFonts w:ascii="Arial" w:cs="Arial" w:eastAsia="Arial" w:hAnsi="Arial"/>
                <w:sz w:val="17"/>
                <w:szCs w:val="17"/>
                <w:color w:val="auto"/>
              </w:rPr>
              <w:t>and outstanding</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7440" w:type="dxa"/>
            <w:vAlign w:val="bottom"/>
            <w:gridSpan w:val="3"/>
          </w:tcPr>
          <w:p>
            <w:pPr>
              <w:ind w:left="160"/>
              <w:spacing w:after="0"/>
              <w:rPr>
                <w:sz w:val="20"/>
                <w:szCs w:val="20"/>
                <w:color w:val="auto"/>
              </w:rPr>
            </w:pPr>
            <w:r>
              <w:rPr>
                <w:rFonts w:ascii="Arial" w:cs="Arial" w:eastAsia="Arial" w:hAnsi="Arial"/>
                <w:sz w:val="17"/>
                <w:szCs w:val="17"/>
                <w:color w:val="auto"/>
                <w:w w:val="97"/>
              </w:rPr>
              <w:t>Common stock, par value $1.00 per share, authorized 100,000,000 shares, issued and outstanding</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ind w:left="160"/>
              <w:spacing w:after="0"/>
              <w:rPr>
                <w:sz w:val="20"/>
                <w:szCs w:val="20"/>
                <w:color w:val="auto"/>
              </w:rPr>
            </w:pPr>
            <w:r>
              <w:rPr>
                <w:rFonts w:ascii="Arial" w:cs="Arial" w:eastAsia="Arial" w:hAnsi="Arial"/>
                <w:sz w:val="17"/>
                <w:szCs w:val="17"/>
                <w:color w:val="auto"/>
                <w:w w:val="92"/>
              </w:rPr>
              <w:t>32,762,713 shares as of April 30, 2010, 35,892,142 shares as of May 1, 2009, and 33,369,486 shares as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ind w:left="160"/>
              <w:spacing w:after="0"/>
              <w:rPr>
                <w:sz w:val="20"/>
                <w:szCs w:val="20"/>
                <w:color w:val="auto"/>
              </w:rPr>
            </w:pPr>
            <w:r>
              <w:rPr>
                <w:rFonts w:ascii="Arial" w:cs="Arial" w:eastAsia="Arial" w:hAnsi="Arial"/>
                <w:sz w:val="17"/>
                <w:szCs w:val="17"/>
                <w:color w:val="auto"/>
              </w:rPr>
              <w:t>of October 31, 2009</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32,763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35,892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33,369</w:t>
            </w:r>
          </w:p>
        </w:tc>
        <w:tc>
          <w:tcPr>
            <w:tcW w:w="0" w:type="dxa"/>
            <w:vAlign w:val="bottom"/>
          </w:tcPr>
          <w:p>
            <w:pPr>
              <w:spacing w:after="0"/>
              <w:rPr>
                <w:sz w:val="1"/>
                <w:szCs w:val="1"/>
                <w:color w:val="auto"/>
              </w:rPr>
            </w:pP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298,960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374,333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291,246</w:t>
            </w:r>
          </w:p>
        </w:tc>
        <w:tc>
          <w:tcPr>
            <w:tcW w:w="0" w:type="dxa"/>
            <w:vAlign w:val="bottom"/>
          </w:tcPr>
          <w:p>
            <w:pPr>
              <w:spacing w:after="0"/>
              <w:rPr>
                <w:sz w:val="1"/>
                <w:szCs w:val="1"/>
                <w:color w:val="auto"/>
              </w:rPr>
            </w:pPr>
          </w:p>
        </w:tc>
      </w:tr>
      <w:tr>
        <w:trPr>
          <w:trHeight w:val="223"/>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(10,086)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(13,592)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(9,403)</w:t>
            </w:r>
          </w:p>
        </w:tc>
        <w:tc>
          <w:tcPr>
            <w:tcW w:w="0" w:type="dxa"/>
            <w:vAlign w:val="bottom"/>
          </w:tcPr>
          <w:p>
            <w:pPr>
              <w:spacing w:after="0"/>
              <w:rPr>
                <w:sz w:val="1"/>
                <w:szCs w:val="1"/>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396,633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315,212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985,989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1,011,344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872,682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85"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7"/>
          </w:tcPr>
          <w:p>
            <w:pPr>
              <w:jc w:val="right"/>
              <w:ind w:right="7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ind w:right="420"/>
              <w:spacing w:after="0" w:line="193" w:lineRule="exact"/>
              <w:rPr>
                <w:sz w:val="20"/>
                <w:szCs w:val="20"/>
                <w:color w:val="auto"/>
              </w:rPr>
            </w:pPr>
            <w:r>
              <w:rPr>
                <w:rFonts w:ascii="Arial" w:cs="Arial" w:eastAsia="Arial" w:hAnsi="Arial"/>
                <w:sz w:val="17"/>
                <w:szCs w:val="17"/>
                <w:color w:val="auto"/>
              </w:rPr>
              <w:t>April 30,</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line="193" w:lineRule="exact"/>
              <w:rPr>
                <w:sz w:val="20"/>
                <w:szCs w:val="20"/>
                <w:color w:val="auto"/>
              </w:rPr>
            </w:pPr>
            <w:r>
              <w:rPr>
                <w:rFonts w:ascii="Arial" w:cs="Arial" w:eastAsia="Arial" w:hAnsi="Arial"/>
                <w:sz w:val="17"/>
                <w:szCs w:val="17"/>
                <w:color w:val="auto"/>
              </w:rPr>
              <w:t>Cash flows from operating activities:</w:t>
            </w:r>
          </w:p>
        </w:tc>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340" w:type="dxa"/>
            <w:vAlign w:val="bottom"/>
          </w:tcPr>
          <w:p>
            <w:pPr>
              <w:spacing w:after="0"/>
              <w:rPr>
                <w:sz w:val="20"/>
                <w:szCs w:val="20"/>
                <w:color w:val="auto"/>
              </w:rPr>
            </w:pPr>
            <w:r>
              <w:rPr>
                <w:rFonts w:ascii="Arial" w:cs="Arial" w:eastAsia="Arial" w:hAnsi="Arial"/>
                <w:sz w:val="17"/>
                <w:szCs w:val="17"/>
                <w:color w:val="auto"/>
              </w:rPr>
              <w:t>Net earnings</w:t>
            </w:r>
          </w:p>
        </w:tc>
        <w:tc>
          <w:tcPr>
            <w:tcW w:w="3640" w:type="dxa"/>
            <w:vAlign w:val="bottom"/>
            <w:gridSpan w:val="3"/>
          </w:tcPr>
          <w:p>
            <w:pPr>
              <w:jc w:val="right"/>
              <w:ind w:right="52"/>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56,579</w:t>
            </w:r>
          </w:p>
        </w:tc>
        <w:tc>
          <w:tcPr>
            <w:tcW w:w="120" w:type="dxa"/>
            <w:vAlign w:val="bottom"/>
          </w:tcPr>
          <w:p>
            <w:pPr>
              <w:spacing w:after="0"/>
              <w:rPr>
                <w:sz w:val="17"/>
                <w:szCs w:val="17"/>
                <w:color w:val="auto"/>
              </w:rPr>
            </w:pPr>
          </w:p>
        </w:tc>
        <w:tc>
          <w:tcPr>
            <w:tcW w:w="3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43,592</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Adjustments to reconcile net earnings to net cash provided by</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tcPr>
          <w:p>
            <w:pPr>
              <w:ind w:left="300"/>
              <w:spacing w:after="0"/>
              <w:rPr>
                <w:sz w:val="20"/>
                <w:szCs w:val="20"/>
                <w:color w:val="auto"/>
              </w:rPr>
            </w:pPr>
            <w:r>
              <w:rPr>
                <w:rFonts w:ascii="Arial" w:cs="Arial" w:eastAsia="Arial" w:hAnsi="Arial"/>
                <w:sz w:val="17"/>
                <w:szCs w:val="17"/>
                <w:color w:val="auto"/>
              </w:rPr>
              <w:t>(used in) operating activities: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Equity (income) losses from investments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Provision for depreciation, amortization, and impairment losses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22,254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21,576</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Gain on disposal of property, plant, and equipment</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Stock-based compensation expense</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2,851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2,084</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Decrease in deferred income taxes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w w:val="96"/>
              </w:rPr>
              <w:t>Changes in operating assets and liabilities, net of effect of acquisitions: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40" w:type="dxa"/>
            <w:vAlign w:val="bottom"/>
          </w:tcPr>
          <w:p>
            <w:pPr>
              <w:ind w:left="300"/>
              <w:spacing w:after="0"/>
              <w:rPr>
                <w:sz w:val="20"/>
                <w:szCs w:val="20"/>
                <w:color w:val="auto"/>
              </w:rPr>
            </w:pPr>
            <w:r>
              <w:rPr>
                <w:rFonts w:ascii="Arial" w:cs="Arial" w:eastAsia="Arial" w:hAnsi="Arial"/>
                <w:sz w:val="17"/>
                <w:szCs w:val="17"/>
                <w:color w:val="auto"/>
              </w:rPr>
              <w:t>Receivables, net</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(124,950)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(150,379)</w:t>
            </w:r>
          </w:p>
        </w:tc>
        <w:tc>
          <w:tcPr>
            <w:tcW w:w="0" w:type="dxa"/>
            <w:vAlign w:val="bottom"/>
          </w:tcPr>
          <w:p>
            <w:pPr>
              <w:spacing w:after="0"/>
              <w:rPr>
                <w:sz w:val="1"/>
                <w:szCs w:val="1"/>
                <w:color w:val="auto"/>
              </w:rPr>
            </w:pPr>
          </w:p>
        </w:tc>
      </w:tr>
      <w:tr>
        <w:trPr>
          <w:trHeight w:val="205"/>
        </w:trPr>
        <w:tc>
          <w:tcPr>
            <w:tcW w:w="5340" w:type="dxa"/>
            <w:vAlign w:val="bottom"/>
          </w:tcPr>
          <w:p>
            <w:pPr>
              <w:ind w:left="300"/>
              <w:spacing w:after="0"/>
              <w:rPr>
                <w:sz w:val="20"/>
                <w:szCs w:val="20"/>
                <w:color w:val="auto"/>
              </w:rPr>
            </w:pPr>
            <w:r>
              <w:rPr>
                <w:rFonts w:ascii="Arial" w:cs="Arial" w:eastAsia="Arial" w:hAnsi="Arial"/>
                <w:sz w:val="17"/>
                <w:szCs w:val="17"/>
                <w:color w:val="auto"/>
              </w:rPr>
              <w:t>Inventories, net</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(7,382)</w:t>
            </w:r>
          </w:p>
        </w:tc>
        <w:tc>
          <w:tcPr>
            <w:tcW w:w="0" w:type="dxa"/>
            <w:vAlign w:val="bottom"/>
          </w:tcPr>
          <w:p>
            <w:pPr>
              <w:spacing w:after="0"/>
              <w:rPr>
                <w:sz w:val="1"/>
                <w:szCs w:val="1"/>
                <w:color w:val="auto"/>
              </w:rPr>
            </w:pPr>
          </w:p>
        </w:tc>
      </w:tr>
      <w:tr>
        <w:trPr>
          <w:trHeight w:val="205"/>
        </w:trPr>
        <w:tc>
          <w:tcPr>
            <w:tcW w:w="5340" w:type="dxa"/>
            <w:vAlign w:val="bottom"/>
          </w:tcPr>
          <w:p>
            <w:pPr>
              <w:ind w:left="300"/>
              <w:spacing w:after="0"/>
              <w:rPr>
                <w:sz w:val="20"/>
                <w:szCs w:val="20"/>
                <w:color w:val="auto"/>
              </w:rPr>
            </w:pPr>
            <w:r>
              <w:rPr>
                <w:rFonts w:ascii="Arial" w:cs="Arial" w:eastAsia="Arial" w:hAnsi="Arial"/>
                <w:sz w:val="17"/>
                <w:szCs w:val="17"/>
                <w:color w:val="auto"/>
              </w:rPr>
              <w:t>Prepaid expenses and other assets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(3,207)</w:t>
            </w:r>
          </w:p>
        </w:tc>
        <w:tc>
          <w:tcPr>
            <w:tcW w:w="0" w:type="dxa"/>
            <w:vAlign w:val="bottom"/>
          </w:tcPr>
          <w:p>
            <w:pPr>
              <w:spacing w:after="0"/>
              <w:rPr>
                <w:sz w:val="1"/>
                <w:szCs w:val="1"/>
                <w:color w:val="auto"/>
              </w:rPr>
            </w:pPr>
          </w:p>
        </w:tc>
      </w:tr>
      <w:tr>
        <w:trPr>
          <w:trHeight w:val="205"/>
        </w:trPr>
        <w:tc>
          <w:tcPr>
            <w:tcW w:w="5340" w:type="dxa"/>
            <w:vAlign w:val="bottom"/>
          </w:tcPr>
          <w:p>
            <w:pPr>
              <w:ind w:left="300"/>
              <w:spacing w:after="0"/>
              <w:rPr>
                <w:sz w:val="20"/>
                <w:szCs w:val="20"/>
                <w:color w:val="auto"/>
              </w:rPr>
            </w:pPr>
            <w:r>
              <w:rPr>
                <w:rFonts w:ascii="Arial" w:cs="Arial" w:eastAsia="Arial" w:hAnsi="Arial"/>
                <w:sz w:val="17"/>
                <w:szCs w:val="17"/>
                <w:color w:val="auto"/>
              </w:rPr>
              <w:t>Accounts payable, accrued liabilities, deferred revenue, and</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400"/>
              <w:spacing w:after="0"/>
              <w:rPr>
                <w:sz w:val="20"/>
                <w:szCs w:val="20"/>
                <w:color w:val="auto"/>
              </w:rPr>
            </w:pPr>
            <w:r>
              <w:rPr>
                <w:rFonts w:ascii="Arial" w:cs="Arial" w:eastAsia="Arial" w:hAnsi="Arial"/>
                <w:sz w:val="17"/>
                <w:szCs w:val="17"/>
                <w:color w:val="auto"/>
              </w:rPr>
              <w:t>other long-term liabilities</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119,446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20,639</w:t>
            </w:r>
          </w:p>
        </w:tc>
        <w:tc>
          <w:tcPr>
            <w:tcW w:w="0" w:type="dxa"/>
            <w:vAlign w:val="bottom"/>
          </w:tcPr>
          <w:p>
            <w:pPr>
              <w:spacing w:after="0"/>
              <w:rPr>
                <w:sz w:val="1"/>
                <w:szCs w:val="1"/>
                <w:color w:val="auto"/>
              </w:rPr>
            </w:pPr>
          </w:p>
        </w:tc>
      </w:tr>
      <w:tr>
        <w:trPr>
          <w:trHeight w:val="210"/>
        </w:trPr>
        <w:tc>
          <w:tcPr>
            <w:tcW w:w="5340" w:type="dxa"/>
            <w:vAlign w:val="bottom"/>
          </w:tcPr>
          <w:p>
            <w:pPr>
              <w:ind w:left="460"/>
              <w:spacing w:after="0"/>
              <w:rPr>
                <w:sz w:val="20"/>
                <w:szCs w:val="20"/>
                <w:color w:val="auto"/>
              </w:rPr>
            </w:pPr>
            <w:r>
              <w:rPr>
                <w:rFonts w:ascii="Arial" w:cs="Arial" w:eastAsia="Arial" w:hAnsi="Arial"/>
                <w:sz w:val="17"/>
                <w:szCs w:val="17"/>
                <w:color w:val="auto"/>
              </w:rPr>
              <w:t>Net cash provided by (used in) operating activities</w:t>
            </w: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80,786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34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(20,650)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(17,366)</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Proceeds from asset disposals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Increase in investment in affiliates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(9,592)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Decrease (increase) in other assets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23"/>
        </w:trPr>
        <w:tc>
          <w:tcPr>
            <w:tcW w:w="5340" w:type="dxa"/>
            <w:vAlign w:val="bottom"/>
          </w:tcPr>
          <w:p>
            <w:pPr>
              <w:ind w:left="160"/>
              <w:spacing w:after="0"/>
              <w:rPr>
                <w:sz w:val="20"/>
                <w:szCs w:val="20"/>
                <w:color w:val="auto"/>
              </w:rPr>
            </w:pPr>
            <w:r>
              <w:rPr>
                <w:rFonts w:ascii="Arial" w:cs="Arial" w:eastAsia="Arial" w:hAnsi="Arial"/>
                <w:sz w:val="17"/>
                <w:szCs w:val="17"/>
                <w:color w:val="auto"/>
              </w:rPr>
              <w:t>Acquisitions, net of cash acquired</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(3,572)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40" w:type="dxa"/>
            <w:vAlign w:val="bottom"/>
          </w:tcPr>
          <w:p>
            <w:pPr>
              <w:ind w:left="460"/>
              <w:spacing w:after="0"/>
              <w:rPr>
                <w:sz w:val="20"/>
                <w:szCs w:val="20"/>
                <w:color w:val="auto"/>
              </w:rPr>
            </w:pPr>
            <w:r>
              <w:rPr>
                <w:rFonts w:ascii="Arial" w:cs="Arial" w:eastAsia="Arial" w:hAnsi="Arial"/>
                <w:sz w:val="17"/>
                <w:szCs w:val="17"/>
                <w:color w:val="auto"/>
              </w:rPr>
              <w:t>Net cash used in investing activities</w:t>
            </w: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(33,232)</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3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Increase in short-term debt</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30,209</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Repayments of long-term debt, net of costs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(1,220)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(1,477)</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Excess tax benefits from stock-based awards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3,293</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Proceeds from exercise of stock-based awards</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11,475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3,759</w:t>
            </w:r>
          </w:p>
        </w:tc>
        <w:tc>
          <w:tcPr>
            <w:tcW w:w="0" w:type="dxa"/>
            <w:vAlign w:val="bottom"/>
          </w:tcPr>
          <w:p>
            <w:pPr>
              <w:spacing w:after="0"/>
              <w:rPr>
                <w:sz w:val="1"/>
                <w:szCs w:val="1"/>
                <w:color w:val="auto"/>
              </w:rPr>
            </w:pPr>
          </w:p>
        </w:tc>
      </w:tr>
      <w:tr>
        <w:trPr>
          <w:trHeight w:val="205"/>
        </w:trPr>
        <w:tc>
          <w:tcPr>
            <w:tcW w:w="5340" w:type="dxa"/>
            <w:vAlign w:val="bottom"/>
          </w:tcPr>
          <w:p>
            <w:pPr>
              <w:ind w:left="160"/>
              <w:spacing w:after="0"/>
              <w:rPr>
                <w:sz w:val="20"/>
                <w:szCs w:val="20"/>
                <w:color w:val="auto"/>
              </w:rPr>
            </w:pPr>
            <w:r>
              <w:rPr>
                <w:rFonts w:ascii="Arial" w:cs="Arial" w:eastAsia="Arial" w:hAnsi="Arial"/>
                <w:sz w:val="17"/>
                <w:szCs w:val="17"/>
                <w:color w:val="auto"/>
              </w:rPr>
              <w:t>Purchases of Toro common stock</w:t>
            </w:r>
          </w:p>
        </w:tc>
        <w:tc>
          <w:tcPr>
            <w:tcW w:w="3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(54,106)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(4,803)</w:t>
            </w:r>
          </w:p>
        </w:tc>
        <w:tc>
          <w:tcPr>
            <w:tcW w:w="0" w:type="dxa"/>
            <w:vAlign w:val="bottom"/>
          </w:tcPr>
          <w:p>
            <w:pPr>
              <w:spacing w:after="0"/>
              <w:rPr>
                <w:sz w:val="1"/>
                <w:szCs w:val="1"/>
                <w:color w:val="auto"/>
              </w:rPr>
            </w:pPr>
          </w:p>
        </w:tc>
      </w:tr>
      <w:tr>
        <w:trPr>
          <w:trHeight w:val="223"/>
        </w:trPr>
        <w:tc>
          <w:tcPr>
            <w:tcW w:w="5340" w:type="dxa"/>
            <w:vAlign w:val="bottom"/>
          </w:tcPr>
          <w:p>
            <w:pPr>
              <w:ind w:left="160"/>
              <w:spacing w:after="0"/>
              <w:rPr>
                <w:sz w:val="20"/>
                <w:szCs w:val="20"/>
                <w:color w:val="auto"/>
              </w:rPr>
            </w:pPr>
            <w:r>
              <w:rPr>
                <w:rFonts w:ascii="Arial" w:cs="Arial" w:eastAsia="Arial" w:hAnsi="Arial"/>
                <w:sz w:val="17"/>
                <w:szCs w:val="17"/>
                <w:color w:val="auto"/>
              </w:rPr>
              <w:t>Dividends paid on Toro common stock</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(12,205)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(10,919)</w:t>
            </w:r>
          </w:p>
        </w:tc>
        <w:tc>
          <w:tcPr>
            <w:tcW w:w="0" w:type="dxa"/>
            <w:vAlign w:val="bottom"/>
          </w:tcPr>
          <w:p>
            <w:pPr>
              <w:spacing w:after="0"/>
              <w:rPr>
                <w:sz w:val="1"/>
                <w:szCs w:val="1"/>
                <w:color w:val="auto"/>
              </w:rPr>
            </w:pPr>
          </w:p>
        </w:tc>
      </w:tr>
      <w:tr>
        <w:trPr>
          <w:trHeight w:val="210"/>
        </w:trPr>
        <w:tc>
          <w:tcPr>
            <w:tcW w:w="5340" w:type="dxa"/>
            <w:vAlign w:val="bottom"/>
          </w:tcPr>
          <w:p>
            <w:pPr>
              <w:ind w:left="460"/>
              <w:spacing w:after="0"/>
              <w:rPr>
                <w:sz w:val="20"/>
                <w:szCs w:val="20"/>
                <w:color w:val="auto"/>
              </w:rPr>
            </w:pPr>
            <w:r>
              <w:rPr>
                <w:rFonts w:ascii="Arial" w:cs="Arial" w:eastAsia="Arial" w:hAnsi="Arial"/>
                <w:sz w:val="17"/>
                <w:szCs w:val="17"/>
                <w:color w:val="auto"/>
              </w:rPr>
              <w:t>Net cash (used in) provided by financing activities</w:t>
            </w:r>
          </w:p>
        </w:tc>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(53,543)</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5340" w:type="dxa"/>
            <w:vAlign w:val="bottom"/>
          </w:tcPr>
          <w:p>
            <w:pPr>
              <w:spacing w:after="0"/>
              <w:rPr>
                <w:sz w:val="20"/>
                <w:szCs w:val="20"/>
                <w:color w:val="auto"/>
              </w:rPr>
            </w:pPr>
            <w:r>
              <w:rPr>
                <w:rFonts w:ascii="Arial" w:cs="Arial" w:eastAsia="Arial" w:hAnsi="Arial"/>
                <w:sz w:val="17"/>
                <w:szCs w:val="17"/>
                <w:color w:val="auto"/>
              </w:rPr>
              <w:t>Effect of exchange rates changes on cash</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(1,399)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6"/>
        </w:trPr>
        <w:tc>
          <w:tcPr>
            <w:tcW w:w="53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7"/>
        </w:trPr>
        <w:tc>
          <w:tcPr>
            <w:tcW w:w="5340" w:type="dxa"/>
            <w:vAlign w:val="bottom"/>
          </w:tcPr>
          <w:p>
            <w:pPr>
              <w:spacing w:after="0"/>
              <w:rPr>
                <w:sz w:val="20"/>
                <w:szCs w:val="20"/>
                <w:color w:val="auto"/>
              </w:rPr>
            </w:pPr>
            <w:r>
              <w:rPr>
                <w:rFonts w:ascii="Arial" w:cs="Arial" w:eastAsia="Arial" w:hAnsi="Arial"/>
                <w:sz w:val="17"/>
                <w:szCs w:val="17"/>
                <w:color w:val="auto"/>
              </w:rPr>
              <w:t>Decrease in cash and cash equivalents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(7,388)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(69,686)</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187,773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99,359</w:t>
            </w:r>
          </w:p>
        </w:tc>
        <w:tc>
          <w:tcPr>
            <w:tcW w:w="0" w:type="dxa"/>
            <w:vAlign w:val="bottom"/>
          </w:tcPr>
          <w:p>
            <w:pPr>
              <w:spacing w:after="0"/>
              <w:rPr>
                <w:sz w:val="1"/>
                <w:szCs w:val="1"/>
                <w:color w:val="auto"/>
              </w:rPr>
            </w:pPr>
          </w:p>
        </w:tc>
      </w:tr>
      <w:tr>
        <w:trPr>
          <w:trHeight w:val="205"/>
        </w:trPr>
        <w:tc>
          <w:tcPr>
            <w:tcW w:w="5340" w:type="dxa"/>
            <w:vAlign w:val="bottom"/>
          </w:tcPr>
          <w:p>
            <w:pPr>
              <w:spacing w:after="0"/>
              <w:rPr>
                <w:sz w:val="20"/>
                <w:szCs w:val="20"/>
                <w:color w:val="auto"/>
              </w:rPr>
            </w:pPr>
            <w:r>
              <w:rPr>
                <w:rFonts w:ascii="Arial" w:cs="Arial" w:eastAsia="Arial" w:hAnsi="Arial"/>
                <w:sz w:val="17"/>
                <w:szCs w:val="17"/>
                <w:color w:val="auto"/>
              </w:rPr>
              <w:t>Cash and cash equivalents as of the end of the fiscal period</w:t>
            </w:r>
          </w:p>
        </w:tc>
        <w:tc>
          <w:tcPr>
            <w:tcW w:w="3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180,385</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29,673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40" w:type="dxa"/>
            <w:vAlign w:val="bottom"/>
          </w:tcPr>
          <w:p>
            <w:pPr>
              <w:spacing w:after="0"/>
              <w:rPr>
                <w:sz w:val="20"/>
                <w:szCs w:val="20"/>
                <w:color w:val="auto"/>
              </w:rPr>
            </w:pPr>
            <w:r>
              <w:rPr>
                <w:rFonts w:ascii="Arial" w:cs="Arial" w:eastAsia="Arial" w:hAnsi="Arial"/>
                <w:sz w:val="17"/>
                <w:szCs w:val="17"/>
                <w:color w:val="auto"/>
              </w:rPr>
              <w:t>Long-term debt issued in connection with an acquisition</w:t>
            </w:r>
          </w:p>
        </w:tc>
        <w:tc>
          <w:tcPr>
            <w:tcW w:w="3640" w:type="dxa"/>
            <w:vAlign w:val="bottom"/>
            <w:gridSpan w:val="3"/>
          </w:tcPr>
          <w:p>
            <w:pPr>
              <w:jc w:val="right"/>
              <w:ind w:right="52"/>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440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7"/>
                <w:szCs w:val="17"/>
                <w:color w:val="auto"/>
                <w:w w:val="95"/>
              </w:rPr>
              <w:t>See accompanying notes to condensed consolidated financial statements.</w:t>
            </w:r>
          </w:p>
        </w:tc>
        <w:tc>
          <w:tcPr>
            <w:tcW w:w="3460" w:type="dxa"/>
            <w:vAlign w:val="bottom"/>
            <w:vMerge w:val="restart"/>
          </w:tcPr>
          <w:p>
            <w:pPr>
              <w:jc w:val="right"/>
              <w:ind w:right="2955"/>
              <w:spacing w:after="0"/>
              <w:rPr>
                <w:sz w:val="20"/>
                <w:szCs w:val="20"/>
                <w:color w:val="auto"/>
              </w:rPr>
            </w:pPr>
            <w:r>
              <w:rPr>
                <w:rFonts w:ascii="Arial" w:cs="Arial" w:eastAsia="Arial" w:hAnsi="Arial"/>
                <w:sz w:val="17"/>
                <w:szCs w:val="17"/>
                <w:color w:val="auto"/>
              </w:rPr>
              <w:t>5</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vMerge w:val="continue"/>
          </w:tcPr>
          <w:p>
            <w:pPr>
              <w:spacing w:after="0"/>
              <w:rPr>
                <w:sz w:val="17"/>
                <w:szCs w:val="17"/>
                <w:color w:val="auto"/>
              </w:rPr>
            </w:pPr>
          </w:p>
        </w:tc>
        <w:tc>
          <w:tcPr>
            <w:tcW w:w="3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6"/>
        </w:trPr>
        <w:tc>
          <w:tcPr>
            <w:tcW w:w="534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4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jc w:val="center"/>
        <w:ind w:left="440" w:right="2560"/>
        <w:spacing w:after="0" w:line="249" w:lineRule="auto"/>
        <w:rPr>
          <w:sz w:val="20"/>
          <w:szCs w:val="20"/>
          <w:color w:val="auto"/>
        </w:rPr>
      </w:pPr>
      <w:r>
        <w:rPr>
          <w:rFonts w:ascii="Arial" w:cs="Arial" w:eastAsia="Arial" w:hAnsi="Arial"/>
          <w:sz w:val="20"/>
          <w:szCs w:val="20"/>
          <w:b w:val="1"/>
          <w:bCs w:val="1"/>
          <w:color w:val="auto"/>
        </w:rPr>
        <w:t>THE TORO COMPANY AND SUBSIDIARIES Notes to Condensed Consolidated Financial Statements (Unaudited) April 30, 2010</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April 30, 2010 cannot be annualized to determine the expec ted results for the fiscal year ending October 31, 2010. Additional factors that could cause our actual results to differ materially from our expected results, including any forward-looking statements made in this report, are described in our most recently filed Annual Report on Form 10-K (Item 1A) and later in this report under Item 2, Management’s Discussion and Analysis of Financial Condition and Results of Operations– Forward-Looking Information.</w:t>
      </w:r>
    </w:p>
    <w:p>
      <w:pPr>
        <w:spacing w:after="0" w:line="4" w:lineRule="exact"/>
        <w:rPr>
          <w:sz w:val="20"/>
          <w:szCs w:val="20"/>
          <w:color w:val="auto"/>
        </w:rPr>
      </w:pPr>
    </w:p>
    <w:p>
      <w:pPr>
        <w:ind w:right="40" w:firstLine="210"/>
        <w:spacing w:after="0" w:line="251" w:lineRule="auto"/>
        <w:rPr>
          <w:sz w:val="20"/>
          <w:szCs w:val="20"/>
          <w:color w:val="auto"/>
        </w:rPr>
      </w:pPr>
      <w:r>
        <w:rPr>
          <w:rFonts w:ascii="Arial" w:cs="Arial" w:eastAsia="Arial" w:hAnsi="Arial"/>
          <w:sz w:val="17"/>
          <w:szCs w:val="17"/>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firstLine="213"/>
        <w:spacing w:after="0" w:line="262" w:lineRule="auto"/>
        <w:rPr>
          <w:sz w:val="20"/>
          <w:szCs w:val="20"/>
          <w:color w:val="auto"/>
        </w:rPr>
      </w:pPr>
      <w:r>
        <w:rPr>
          <w:rFonts w:ascii="Arial" w:cs="Arial" w:eastAsia="Arial" w:hAnsi="Arial"/>
          <w:sz w:val="17"/>
          <w:szCs w:val="17"/>
          <w:color w:val="auto"/>
        </w:rPr>
        <w:t>For further information, refer to the consolidated financial statements and notes included in the company’s Annual Report on Form 10-K for the fiscal year ended October 31, 2009. The policies described in that report are used for preparing quarterly reports.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4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accruals, allowance for doubtful accounts, pension and postretirement accruals, self-insurance accruals, useful lives for intangible assets, and future cash flows associated with impairment testing for goodwill and other long-lived assets. These estimates and assumptions are based on management’s best estimates and judgments.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our Annual Report on Form 10-K (Item 1A. Risk Factors) for the fiscal year ended October 31, 2009, which include, among others, economic conditions, foreign currency exchange rate impact, commodity costs, credit conditions, and consumer spending and confidence levels, all of which may increase the uncertainty inherent in such estimates and assumptions. As future events and their effects cannot be determined with precision, actual amounts could differ significantly from those estimated at the time the consolidated financial statements are prepared. Changes in those estimates resulting from changes in the economic environment will be reflected in the consolidated financial statements in future periods.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and Divestiture</w:t>
      </w:r>
    </w:p>
    <w:p>
      <w:pPr>
        <w:spacing w:after="0" w:line="243"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On April 30, 2010, the company completed the purchase of certain assets and assumed certain liabilities from USPraxis, Inc., a manufacturer of stump grinders, wood chippers, and log splitters for rental centers and landscape professionals. The addition of these products broadens and strengthens the company’s compact equipment solutions for the rental and landscape markets. The estimated purchase price was $2.5 million, which included a cash payment, the issuance of a long-term note, and an estimated earnout consideration.</w:t>
      </w:r>
    </w:p>
    <w:p>
      <w:pPr>
        <w:spacing w:after="0" w:line="2" w:lineRule="exact"/>
        <w:rPr>
          <w:sz w:val="20"/>
          <w:szCs w:val="20"/>
          <w:color w:val="auto"/>
        </w:rPr>
      </w:pPr>
    </w:p>
    <w:p>
      <w:pPr>
        <w:ind w:right="180" w:firstLine="213"/>
        <w:spacing w:after="0" w:line="266" w:lineRule="auto"/>
        <w:rPr>
          <w:sz w:val="20"/>
          <w:szCs w:val="20"/>
          <w:color w:val="auto"/>
        </w:rPr>
      </w:pPr>
      <w:r>
        <w:rPr>
          <w:rFonts w:ascii="Arial" w:cs="Arial" w:eastAsia="Arial" w:hAnsi="Arial"/>
          <w:sz w:val="16"/>
          <w:szCs w:val="16"/>
          <w:color w:val="auto"/>
        </w:rPr>
        <w:t>On December 1, 2009, during the first quarter of fiscal 2010, the company’s wholly owned domestic distribution company completed the acquisition of certain assets and the assumption of certain liabilities of one of the company’s independent Midwestern-based distribution companies. During the first quarter of fiscal 2009, the company also completed the sale of a portion of the operations of our company-owned distributorship.</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These acquisitions and divestiture were immaterial based on the company’s consolidated financial condition and results of operations.</w:t>
      </w:r>
    </w:p>
    <w:p>
      <w:pPr>
        <w:spacing w:after="0" w:line="36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485"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5"/>
        </w:trPr>
        <w:tc>
          <w:tcPr>
            <w:tcW w:w="7440" w:type="dxa"/>
            <w:vAlign w:val="bottom"/>
            <w:gridSpan w:val="5"/>
          </w:tcPr>
          <w:p>
            <w:pPr>
              <w:spacing w:after="0"/>
              <w:rPr>
                <w:sz w:val="20"/>
                <w:szCs w:val="20"/>
                <w:color w:val="auto"/>
              </w:rPr>
            </w:pPr>
            <w:r>
              <w:rPr>
                <w:rFonts w:ascii="Arial" w:cs="Arial" w:eastAsia="Arial" w:hAnsi="Arial"/>
                <w:sz w:val="17"/>
                <w:szCs w:val="17"/>
                <w:color w:val="auto"/>
                <w:w w:val="98"/>
              </w:rPr>
              <w:t>Comprehensive income and the components of other comprehensive income (loss) were as follows: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6"/>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7"/>
                <w:szCs w:val="17"/>
                <w:color w:val="auto"/>
              </w:rPr>
              <w:t>Six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ind w:right="500"/>
              <w:spacing w:after="0" w:line="193" w:lineRule="exact"/>
              <w:rPr>
                <w:sz w:val="20"/>
                <w:szCs w:val="20"/>
                <w:color w:val="auto"/>
              </w:rPr>
            </w:pPr>
            <w:r>
              <w:rPr>
                <w:rFonts w:ascii="Arial" w:cs="Arial" w:eastAsia="Arial" w:hAnsi="Arial"/>
                <w:sz w:val="17"/>
                <w:szCs w:val="17"/>
                <w:color w:val="auto"/>
              </w:rPr>
              <w:t>April 30,</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5"/>
              <w:spacing w:after="0" w:line="193" w:lineRule="exact"/>
              <w:rPr>
                <w:sz w:val="20"/>
                <w:szCs w:val="20"/>
                <w:color w:val="auto"/>
              </w:rPr>
            </w:pPr>
            <w:r>
              <w:rPr>
                <w:rFonts w:ascii="Arial" w:cs="Arial" w:eastAsia="Arial" w:hAnsi="Arial"/>
                <w:sz w:val="17"/>
                <w:szCs w:val="17"/>
                <w:color w:val="auto"/>
              </w:rPr>
              <w:t>May 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80"/>
              <w:spacing w:after="0" w:line="193" w:lineRule="exact"/>
              <w:rPr>
                <w:sz w:val="20"/>
                <w:szCs w:val="20"/>
                <w:color w:val="auto"/>
              </w:rPr>
            </w:pPr>
            <w:r>
              <w:rPr>
                <w:rFonts w:ascii="Arial" w:cs="Arial" w:eastAsia="Arial" w:hAnsi="Arial"/>
                <w:sz w:val="17"/>
                <w:szCs w:val="17"/>
                <w:color w:val="auto"/>
              </w:rPr>
              <w:t>April 30,</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1,</w:t>
            </w:r>
          </w:p>
        </w:tc>
        <w:tc>
          <w:tcPr>
            <w:tcW w:w="6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60" w:type="dxa"/>
            <w:vAlign w:val="bottom"/>
          </w:tcPr>
          <w:p>
            <w:pPr>
              <w:spacing w:after="0"/>
              <w:rPr>
                <w:sz w:val="19"/>
                <w:szCs w:val="19"/>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Net earnings</w:t>
            </w: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45,661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jc w:val="right"/>
              <w:ind w:right="35"/>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36,861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56,579</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43,592</w:t>
            </w:r>
          </w:p>
        </w:tc>
        <w:tc>
          <w:tcPr>
            <w:tcW w:w="60" w:type="dxa"/>
            <w:vAlign w:val="bottom"/>
          </w:tcPr>
          <w:p>
            <w:pPr>
              <w:spacing w:after="0"/>
              <w:rPr>
                <w:sz w:val="16"/>
                <w:szCs w:val="16"/>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Other comprehensive income (loss):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Cumulative translation adjustments</w:t>
            </w:r>
          </w:p>
        </w:tc>
        <w:tc>
          <w:tcPr>
            <w:tcW w:w="18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(1,733)</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(3,865)</w:t>
            </w:r>
          </w:p>
        </w:tc>
        <w:tc>
          <w:tcPr>
            <w:tcW w:w="2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1,725</w:t>
            </w: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Pension liability adjustment, net of tax</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671</w:t>
            </w:r>
          </w:p>
        </w:tc>
        <w:tc>
          <w:tcPr>
            <w:tcW w:w="2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Unrealized gain (loss) on derivative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6060" w:type="dxa"/>
            <w:vAlign w:val="bottom"/>
          </w:tcPr>
          <w:p>
            <w:pPr>
              <w:ind w:left="440"/>
              <w:spacing w:after="0"/>
              <w:rPr>
                <w:sz w:val="20"/>
                <w:szCs w:val="20"/>
                <w:color w:val="auto"/>
              </w:rPr>
            </w:pPr>
            <w:r>
              <w:rPr>
                <w:rFonts w:ascii="Arial" w:cs="Arial" w:eastAsia="Arial" w:hAnsi="Arial"/>
                <w:sz w:val="17"/>
                <w:szCs w:val="17"/>
                <w:color w:val="auto"/>
              </w:rPr>
              <w:t>instruments, net of tax</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762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(3,626)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2,511</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(6,773)</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44,690</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36,716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55,896</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38,544</w:t>
            </w:r>
          </w:p>
        </w:tc>
        <w:tc>
          <w:tcPr>
            <w:tcW w:w="6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43"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auto"/>
        </w:rPr>
        <w:t>Under the company’s equity-based compensation plans, option awards are granted with an exercise price equal to the closing price of the company’s common stock on the date of grant, as reported by the New York Stock Exchange. Options are generally granted to non-employee directors, officers, and other key employees in the first quarter of the company’s fiscal year. Option awards vest one-third each year over a three-year period and have a ten-year term. Compensation expense equal to the grant date fair value is generally recognized for these awards over the vesting period. However, if a director has served on the company’s Board of Directors for ten full fiscal years or longer, the fair value of the options granted is fully expensed as of the date of the grant. Similarly, options granted to officers and other key employees are also subject to accelerated expensing if the option holder meets the retirement definition set forth in the applicable equity-based compensation plan. In that case, the fair value of the options is expensed in the year of grant because the option holder must be employed as of the end of the fiscal year in which the options are granted in order for the option to continue to vest following retirement. Key employees are also granted the right to receive shares of common stock or deferred performance share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a three-year period. Performance share awards are granted in the first quarter of the company’s fiscal year. Compensation expense is recognized for these aw ards on a straight-line basis over the vesting period based on the fair value as of the date of grant and the probability of achieving performance goals. Total compensation expense for option and performance share awards for the second quarter of fiscal 2010 and 2009 was $1.3 million and $1.2 million, respectively. Year-to-date compensation expense for option and performance share awards through the second quarter of fiscal 2010 and 2009 was $2.9 million and $2.1 million, respectively.</w:t>
      </w:r>
    </w:p>
    <w:p>
      <w:pPr>
        <w:spacing w:after="0" w:line="11" w:lineRule="exact"/>
        <w:rPr>
          <w:sz w:val="20"/>
          <w:szCs w:val="20"/>
          <w:color w:val="auto"/>
        </w:rPr>
      </w:pPr>
    </w:p>
    <w:p>
      <w:pPr>
        <w:ind w:right="160" w:firstLine="210"/>
        <w:spacing w:after="0" w:line="27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with similar historical exercise behavior are considered separately for valuation purposes. Expected volatilities are based on the movement of the company’s common stock over the most recent historical period equivalent to the expected life of the option. The risk-free inter 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changes in the company’s stock price. The following table illustrates the assumptions for options granted in the following fiscal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2010</w:t>
            </w:r>
          </w:p>
        </w:tc>
        <w:tc>
          <w:tcPr>
            <w:tcW w:w="260" w:type="dxa"/>
            <w:vAlign w:val="bottom"/>
          </w:tcPr>
          <w:p>
            <w:pPr>
              <w:spacing w:after="0"/>
              <w:rPr>
                <w:sz w:val="19"/>
                <w:szCs w:val="19"/>
                <w:color w:val="auto"/>
              </w:rPr>
            </w:pPr>
          </w:p>
        </w:tc>
        <w:tc>
          <w:tcPr>
            <w:tcW w:w="23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2009</w:t>
            </w:r>
          </w:p>
        </w:tc>
      </w:tr>
      <w:tr>
        <w:trPr>
          <w:trHeight w:val="192"/>
        </w:trPr>
        <w:tc>
          <w:tcPr>
            <w:tcW w:w="3960" w:type="dxa"/>
            <w:vAlign w:val="bottom"/>
          </w:tcPr>
          <w:p>
            <w:pPr>
              <w:spacing w:after="0" w:line="193" w:lineRule="exact"/>
              <w:rPr>
                <w:sz w:val="20"/>
                <w:szCs w:val="20"/>
                <w:color w:val="auto"/>
              </w:rPr>
            </w:pPr>
            <w:r>
              <w:rPr>
                <w:rFonts w:ascii="Arial" w:cs="Arial" w:eastAsia="Arial" w:hAnsi="Arial"/>
                <w:sz w:val="17"/>
                <w:szCs w:val="17"/>
                <w:color w:val="auto"/>
              </w:rPr>
              <w:t>Expected life of option in years</w:t>
            </w:r>
          </w:p>
        </w:tc>
        <w:tc>
          <w:tcPr>
            <w:tcW w:w="2600" w:type="dxa"/>
            <w:vAlign w:val="bottom"/>
          </w:tcPr>
          <w:p>
            <w:pPr>
              <w:spacing w:after="0"/>
              <w:rPr>
                <w:sz w:val="16"/>
                <w:szCs w:val="16"/>
                <w:color w:val="auto"/>
              </w:rPr>
            </w:pPr>
          </w:p>
        </w:tc>
        <w:tc>
          <w:tcPr>
            <w:tcW w:w="224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84"/>
              </w:rPr>
              <w:t>6</w:t>
            </w:r>
          </w:p>
        </w:tc>
        <w:tc>
          <w:tcPr>
            <w:tcW w:w="260" w:type="dxa"/>
            <w:vAlign w:val="bottom"/>
          </w:tcPr>
          <w:p>
            <w:pPr>
              <w:spacing w:after="0"/>
              <w:rPr>
                <w:sz w:val="16"/>
                <w:szCs w:val="16"/>
                <w:color w:val="auto"/>
              </w:rPr>
            </w:pPr>
          </w:p>
        </w:tc>
        <w:tc>
          <w:tcPr>
            <w:tcW w:w="236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84"/>
              </w:rPr>
              <w:t>6</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Expected volatility</w:t>
            </w:r>
          </w:p>
        </w:tc>
        <w:tc>
          <w:tcPr>
            <w:tcW w:w="4840" w:type="dxa"/>
            <w:vAlign w:val="bottom"/>
            <w:gridSpan w:val="2"/>
          </w:tcPr>
          <w:p>
            <w:pPr>
              <w:jc w:val="right"/>
              <w:ind w:right="475"/>
              <w:spacing w:after="0"/>
              <w:rPr>
                <w:sz w:val="20"/>
                <w:szCs w:val="20"/>
                <w:color w:val="auto"/>
              </w:rPr>
            </w:pPr>
            <w:r>
              <w:rPr>
                <w:rFonts w:ascii="Arial" w:cs="Arial" w:eastAsia="Arial" w:hAnsi="Arial"/>
                <w:sz w:val="17"/>
                <w:szCs w:val="17"/>
                <w:color w:val="auto"/>
              </w:rPr>
              <w:t>33.00% - 33.07%</w:t>
            </w:r>
          </w:p>
        </w:tc>
        <w:tc>
          <w:tcPr>
            <w:tcW w:w="2620" w:type="dxa"/>
            <w:vAlign w:val="bottom"/>
            <w:gridSpan w:val="2"/>
          </w:tcPr>
          <w:p>
            <w:pPr>
              <w:jc w:val="right"/>
              <w:ind w:right="535"/>
              <w:spacing w:after="0"/>
              <w:rPr>
                <w:sz w:val="20"/>
                <w:szCs w:val="20"/>
                <w:color w:val="auto"/>
              </w:rPr>
            </w:pPr>
            <w:r>
              <w:rPr>
                <w:rFonts w:ascii="Arial" w:cs="Arial" w:eastAsia="Arial" w:hAnsi="Arial"/>
                <w:sz w:val="17"/>
                <w:szCs w:val="17"/>
                <w:color w:val="auto"/>
              </w:rPr>
              <w:t>30.57% - 30.60%</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4840" w:type="dxa"/>
            <w:vAlign w:val="bottom"/>
            <w:gridSpan w:val="2"/>
          </w:tcPr>
          <w:p>
            <w:pPr>
              <w:jc w:val="center"/>
              <w:ind w:left="2355"/>
              <w:spacing w:after="0"/>
              <w:rPr>
                <w:sz w:val="20"/>
                <w:szCs w:val="20"/>
                <w:color w:val="auto"/>
              </w:rPr>
            </w:pPr>
            <w:r>
              <w:rPr>
                <w:rFonts w:ascii="Arial" w:cs="Arial" w:eastAsia="Arial" w:hAnsi="Arial"/>
                <w:sz w:val="17"/>
                <w:szCs w:val="17"/>
                <w:color w:val="auto"/>
                <w:w w:val="90"/>
              </w:rPr>
              <w:t>33.00%</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0"/>
              </w:rPr>
              <w:t>30.60%</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840" w:type="dxa"/>
            <w:vAlign w:val="bottom"/>
            <w:gridSpan w:val="2"/>
          </w:tcPr>
          <w:p>
            <w:pPr>
              <w:jc w:val="right"/>
              <w:ind w:right="595"/>
              <w:spacing w:after="0"/>
              <w:rPr>
                <w:sz w:val="20"/>
                <w:szCs w:val="20"/>
                <w:color w:val="auto"/>
              </w:rPr>
            </w:pPr>
            <w:r>
              <w:rPr>
                <w:rFonts w:ascii="Arial" w:cs="Arial" w:eastAsia="Arial" w:hAnsi="Arial"/>
                <w:sz w:val="17"/>
                <w:szCs w:val="17"/>
                <w:color w:val="auto"/>
              </w:rPr>
              <w:t>2.51% - 2.87%</w:t>
            </w:r>
          </w:p>
        </w:tc>
        <w:tc>
          <w:tcPr>
            <w:tcW w:w="2620" w:type="dxa"/>
            <w:vAlign w:val="bottom"/>
            <w:gridSpan w:val="2"/>
          </w:tcPr>
          <w:p>
            <w:pPr>
              <w:jc w:val="right"/>
              <w:ind w:right="655"/>
              <w:spacing w:after="0"/>
              <w:rPr>
                <w:sz w:val="20"/>
                <w:szCs w:val="20"/>
                <w:color w:val="auto"/>
              </w:rPr>
            </w:pPr>
            <w:r>
              <w:rPr>
                <w:rFonts w:ascii="Arial" w:cs="Arial" w:eastAsia="Arial" w:hAnsi="Arial"/>
                <w:sz w:val="17"/>
                <w:szCs w:val="17"/>
                <w:color w:val="auto"/>
              </w:rPr>
              <w:t>2.26% - 3.16%</w:t>
            </w:r>
          </w:p>
        </w:tc>
      </w:tr>
      <w:tr>
        <w:trPr>
          <w:trHeight w:val="205"/>
        </w:trPr>
        <w:tc>
          <w:tcPr>
            <w:tcW w:w="39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840" w:type="dxa"/>
            <w:vAlign w:val="bottom"/>
            <w:gridSpan w:val="2"/>
          </w:tcPr>
          <w:p>
            <w:pPr>
              <w:jc w:val="center"/>
              <w:ind w:left="2335"/>
              <w:spacing w:after="0"/>
              <w:rPr>
                <w:sz w:val="20"/>
                <w:szCs w:val="20"/>
                <w:color w:val="auto"/>
              </w:rPr>
            </w:pPr>
            <w:r>
              <w:rPr>
                <w:rFonts w:ascii="Arial" w:cs="Arial" w:eastAsia="Arial" w:hAnsi="Arial"/>
                <w:sz w:val="17"/>
                <w:szCs w:val="17"/>
                <w:color w:val="auto"/>
                <w:w w:val="91"/>
              </w:rPr>
              <w:t>1.52% - 1.68%</w:t>
            </w:r>
          </w:p>
        </w:tc>
        <w:tc>
          <w:tcPr>
            <w:tcW w:w="2620" w:type="dxa"/>
            <w:vAlign w:val="bottom"/>
            <w:gridSpan w:val="2"/>
          </w:tcPr>
          <w:p>
            <w:pPr>
              <w:jc w:val="center"/>
              <w:ind w:left="35"/>
              <w:spacing w:after="0"/>
              <w:rPr>
                <w:sz w:val="20"/>
                <w:szCs w:val="20"/>
                <w:color w:val="auto"/>
              </w:rPr>
            </w:pPr>
            <w:r>
              <w:rPr>
                <w:rFonts w:ascii="Arial" w:cs="Arial" w:eastAsia="Arial" w:hAnsi="Arial"/>
                <w:sz w:val="17"/>
                <w:szCs w:val="17"/>
                <w:color w:val="auto"/>
                <w:w w:val="91"/>
              </w:rPr>
              <w:t>1.53%- 1.81%</w:t>
            </w:r>
          </w:p>
        </w:tc>
      </w:tr>
      <w:tr>
        <w:trPr>
          <w:trHeight w:val="216"/>
        </w:trPr>
        <w:tc>
          <w:tcPr>
            <w:tcW w:w="3960" w:type="dxa"/>
            <w:vAlign w:val="bottom"/>
          </w:tcPr>
          <w:p>
            <w:pPr>
              <w:spacing w:after="0"/>
              <w:rPr>
                <w:sz w:val="20"/>
                <w:szCs w:val="20"/>
                <w:color w:val="auto"/>
              </w:rPr>
            </w:pPr>
            <w:r>
              <w:rPr>
                <w:rFonts w:ascii="Arial" w:cs="Arial" w:eastAsia="Arial" w:hAnsi="Arial"/>
                <w:sz w:val="17"/>
                <w:szCs w:val="17"/>
                <w:color w:val="auto"/>
              </w:rPr>
              <w:t>Weighted-average dividend yield</w:t>
            </w:r>
          </w:p>
        </w:tc>
        <w:tc>
          <w:tcPr>
            <w:tcW w:w="4840" w:type="dxa"/>
            <w:vAlign w:val="bottom"/>
            <w:gridSpan w:val="2"/>
          </w:tcPr>
          <w:p>
            <w:pPr>
              <w:jc w:val="center"/>
              <w:ind w:left="2355"/>
              <w:spacing w:after="0"/>
              <w:rPr>
                <w:sz w:val="20"/>
                <w:szCs w:val="20"/>
                <w:color w:val="auto"/>
              </w:rPr>
            </w:pPr>
            <w:r>
              <w:rPr>
                <w:rFonts w:ascii="Arial" w:cs="Arial" w:eastAsia="Arial" w:hAnsi="Arial"/>
                <w:sz w:val="17"/>
                <w:szCs w:val="17"/>
                <w:color w:val="auto"/>
                <w:w w:val="91"/>
              </w:rPr>
              <w:t>1.54%</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1.79%</w:t>
            </w:r>
          </w:p>
        </w:tc>
      </w:tr>
      <w:tr>
        <w:trPr>
          <w:trHeight w:val="806"/>
        </w:trPr>
        <w:tc>
          <w:tcPr>
            <w:tcW w:w="3960" w:type="dxa"/>
            <w:vAlign w:val="bottom"/>
          </w:tcPr>
          <w:p>
            <w:pPr>
              <w:spacing w:after="0"/>
              <w:rPr>
                <w:sz w:val="24"/>
                <w:szCs w:val="24"/>
                <w:color w:val="auto"/>
              </w:rPr>
            </w:pPr>
          </w:p>
        </w:tc>
        <w:tc>
          <w:tcPr>
            <w:tcW w:w="2600" w:type="dxa"/>
            <w:vAlign w:val="bottom"/>
          </w:tcPr>
          <w:p>
            <w:pPr>
              <w:jc w:val="right"/>
              <w:ind w:right="715"/>
              <w:spacing w:after="0"/>
              <w:rPr>
                <w:sz w:val="20"/>
                <w:szCs w:val="20"/>
                <w:color w:val="auto"/>
              </w:rPr>
            </w:pPr>
            <w:r>
              <w:rPr>
                <w:rFonts w:ascii="Arial" w:cs="Arial" w:eastAsia="Arial" w:hAnsi="Arial"/>
                <w:sz w:val="17"/>
                <w:szCs w:val="17"/>
                <w:color w:val="auto"/>
              </w:rPr>
              <w:t>7</w:t>
            </w:r>
          </w:p>
        </w:tc>
        <w:tc>
          <w:tcPr>
            <w:tcW w:w="2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13"/>
        </w:trPr>
        <w:tc>
          <w:tcPr>
            <w:tcW w:w="39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7" w:name="page8"/>
    <w:bookmarkEnd w:id="7"/>
    <w:p>
      <w:pPr>
        <w:ind w:right="240" w:firstLine="210"/>
        <w:spacing w:after="0" w:line="287" w:lineRule="auto"/>
        <w:rPr>
          <w:sz w:val="20"/>
          <w:szCs w:val="20"/>
          <w:color w:val="auto"/>
        </w:rPr>
      </w:pPr>
      <w:r>
        <w:rPr>
          <w:rFonts w:ascii="Arial" w:cs="Arial" w:eastAsia="Arial" w:hAnsi="Arial"/>
          <w:sz w:val="16"/>
          <w:szCs w:val="16"/>
          <w:color w:val="auto"/>
        </w:rPr>
        <w:t>The weighted-average fair value of options granted during the first quarter of each of fiscal 2010 and 2009 was $12.33 per share and $7.93 per share, respectively. The fair value of performance share awards granted during the first quarter of each of fiscal 2010 and 2009 was $40.73 per share and $28.62 per share, respectively. No option or performance share awards were granted during the second quarters of fiscal 2010 or fiscal 2009.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April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May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w w:val="92"/>
              </w:rPr>
              <w:t>October 31,</w:t>
            </w:r>
          </w:p>
        </w:tc>
      </w:tr>
      <w:tr>
        <w:trPr>
          <w:trHeight w:val="223"/>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20" w:type="dxa"/>
            <w:vAlign w:val="bottom"/>
          </w:tcPr>
          <w:p>
            <w:pPr>
              <w:spacing w:after="0"/>
              <w:rPr>
                <w:sz w:val="19"/>
                <w:szCs w:val="19"/>
                <w:color w:val="auto"/>
              </w:rPr>
            </w:pPr>
          </w:p>
        </w:tc>
      </w:tr>
      <w:tr>
        <w:trPr>
          <w:trHeight w:val="192"/>
        </w:trPr>
        <w:tc>
          <w:tcPr>
            <w:tcW w:w="7440" w:type="dxa"/>
            <w:vAlign w:val="bottom"/>
          </w:tcPr>
          <w:p>
            <w:pPr>
              <w:spacing w:after="0" w:line="193" w:lineRule="exact"/>
              <w:rPr>
                <w:sz w:val="20"/>
                <w:szCs w:val="20"/>
                <w:color w:val="auto"/>
              </w:rPr>
            </w:pPr>
            <w:r>
              <w:rPr>
                <w:rFonts w:ascii="Arial" w:cs="Arial" w:eastAsia="Arial" w:hAnsi="Arial"/>
                <w:sz w:val="17"/>
                <w:szCs w:val="17"/>
                <w:color w:val="auto"/>
              </w:rPr>
              <w:t>Raw materials and work in process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3" w:lineRule="exact"/>
              <w:rPr>
                <w:sz w:val="20"/>
                <w:szCs w:val="20"/>
                <w:color w:val="auto"/>
              </w:rPr>
            </w:pPr>
            <w:r>
              <w:rPr>
                <w:rFonts w:ascii="Arial" w:cs="Arial" w:eastAsia="Arial" w:hAnsi="Arial"/>
                <w:sz w:val="17"/>
                <w:szCs w:val="17"/>
                <w:color w:val="auto"/>
              </w:rPr>
              <w:t>67,277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61,807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93" w:lineRule="exact"/>
              <w:rPr>
                <w:sz w:val="20"/>
                <w:szCs w:val="20"/>
                <w:color w:val="auto"/>
              </w:rPr>
            </w:pPr>
            <w:r>
              <w:rPr>
                <w:rFonts w:ascii="Arial" w:cs="Arial" w:eastAsia="Arial" w:hAnsi="Arial"/>
                <w:sz w:val="17"/>
                <w:szCs w:val="17"/>
                <w:color w:val="auto"/>
              </w:rPr>
              <w:t>56,679</w:t>
            </w:r>
          </w:p>
        </w:tc>
        <w:tc>
          <w:tcPr>
            <w:tcW w:w="20" w:type="dxa"/>
            <w:vAlign w:val="bottom"/>
          </w:tcPr>
          <w:p>
            <w:pPr>
              <w:spacing w:after="0"/>
              <w:rPr>
                <w:sz w:val="16"/>
                <w:szCs w:val="16"/>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7"/>
                <w:szCs w:val="17"/>
                <w:color w:val="auto"/>
              </w:rPr>
              <w:t>Finished goods and service parts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157,272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204,270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169,739</w:t>
            </w:r>
          </w:p>
        </w:tc>
      </w:tr>
      <w:tr>
        <w:trPr>
          <w:trHeight w:val="192"/>
        </w:trPr>
        <w:tc>
          <w:tcPr>
            <w:tcW w:w="7440" w:type="dxa"/>
            <w:vAlign w:val="bottom"/>
          </w:tcPr>
          <w:p>
            <w:pPr>
              <w:ind w:left="120"/>
              <w:spacing w:after="0" w:line="193" w:lineRule="exact"/>
              <w:rPr>
                <w:sz w:val="20"/>
                <w:szCs w:val="20"/>
                <w:color w:val="auto"/>
              </w:rPr>
            </w:pPr>
            <w:r>
              <w:rPr>
                <w:rFonts w:ascii="Arial" w:cs="Arial" w:eastAsia="Arial" w:hAnsi="Arial"/>
                <w:sz w:val="17"/>
                <w:szCs w:val="17"/>
                <w:color w:val="auto"/>
              </w:rPr>
              <w:t>Total FIFO value</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224,549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266,077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226,418</w:t>
            </w:r>
          </w:p>
        </w:tc>
        <w:tc>
          <w:tcPr>
            <w:tcW w:w="20" w:type="dxa"/>
            <w:vAlign w:val="bottom"/>
          </w:tcPr>
          <w:p>
            <w:pPr>
              <w:spacing w:after="0"/>
              <w:rPr>
                <w:sz w:val="16"/>
                <w:szCs w:val="16"/>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7"/>
                <w:szCs w:val="17"/>
                <w:color w:val="auto"/>
              </w:rPr>
              <w:t>Less: adjustment to LIFO value</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50,143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50,302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50,143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174,406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215,775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176,275</w:t>
            </w:r>
          </w:p>
        </w:tc>
        <w:tc>
          <w:tcPr>
            <w:tcW w:w="2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 Share Data</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basic and diluted weighted-average shares of common stock outstanding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300" w:type="dxa"/>
            <w:vAlign w:val="bottom"/>
            <w:gridSpan w:val="5"/>
          </w:tcPr>
          <w:p>
            <w:pPr>
              <w:ind w:left="740"/>
              <w:spacing w:after="0"/>
              <w:rPr>
                <w:sz w:val="20"/>
                <w:szCs w:val="20"/>
                <w:color w:val="auto"/>
              </w:rPr>
            </w:pPr>
            <w:r>
              <w:rPr>
                <w:rFonts w:ascii="Arial" w:cs="Arial" w:eastAsia="Arial" w:hAnsi="Arial"/>
                <w:sz w:val="17"/>
                <w:szCs w:val="17"/>
                <w:color w:val="auto"/>
              </w:rPr>
              <w:t>Three Months Ended</w:t>
            </w:r>
          </w:p>
        </w:tc>
        <w:tc>
          <w:tcPr>
            <w:tcW w:w="2860" w:type="dxa"/>
            <w:vAlign w:val="bottom"/>
            <w:gridSpan w:val="4"/>
          </w:tcPr>
          <w:p>
            <w:pPr>
              <w:jc w:val="right"/>
              <w:ind w:right="8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2"/>
        </w:trPr>
        <w:tc>
          <w:tcPr>
            <w:tcW w:w="5280" w:type="dxa"/>
            <w:vAlign w:val="bottom"/>
            <w:gridSpan w:val="3"/>
          </w:tcPr>
          <w:p>
            <w:pPr>
              <w:spacing w:after="0" w:line="193" w:lineRule="exact"/>
              <w:rPr>
                <w:sz w:val="20"/>
                <w:szCs w:val="20"/>
                <w:color w:val="auto"/>
              </w:rPr>
            </w:pPr>
            <w:r>
              <w:rPr>
                <w:rFonts w:ascii="Arial" w:cs="Arial" w:eastAsia="Arial" w:hAnsi="Arial"/>
                <w:sz w:val="17"/>
                <w:szCs w:val="17"/>
                <w:color w:val="auto"/>
              </w:rPr>
              <w:t>(Shares in thousands)</w:t>
            </w:r>
          </w:p>
        </w:tc>
        <w:tc>
          <w:tcPr>
            <w:tcW w:w="1640" w:type="dxa"/>
            <w:vAlign w:val="bottom"/>
            <w:tcBorders>
              <w:top w:val="single" w:sz="8" w:color="auto"/>
            </w:tcBorders>
            <w:gridSpan w:val="3"/>
          </w:tcPr>
          <w:p>
            <w:pPr>
              <w:ind w:left="380"/>
              <w:spacing w:after="0" w:line="193" w:lineRule="exact"/>
              <w:rPr>
                <w:sz w:val="20"/>
                <w:szCs w:val="20"/>
                <w:color w:val="auto"/>
              </w:rPr>
            </w:pPr>
            <w:r>
              <w:rPr>
                <w:rFonts w:ascii="Arial" w:cs="Arial" w:eastAsia="Arial" w:hAnsi="Arial"/>
                <w:sz w:val="17"/>
                <w:szCs w:val="17"/>
                <w:color w:val="auto"/>
              </w:rPr>
              <w:t>April 30,</w:t>
            </w:r>
          </w:p>
        </w:tc>
        <w:tc>
          <w:tcPr>
            <w:tcW w:w="1300" w:type="dxa"/>
            <w:vAlign w:val="bottom"/>
            <w:tcBorders>
              <w:top w:val="single" w:sz="8" w:color="auto"/>
            </w:tcBorders>
          </w:tcPr>
          <w:p>
            <w:pPr>
              <w:jc w:val="right"/>
              <w:ind w:right="315"/>
              <w:spacing w:after="0" w:line="193" w:lineRule="exact"/>
              <w:rPr>
                <w:sz w:val="20"/>
                <w:szCs w:val="20"/>
                <w:color w:val="auto"/>
              </w:rPr>
            </w:pPr>
            <w:r>
              <w:rPr>
                <w:rFonts w:ascii="Arial" w:cs="Arial" w:eastAsia="Arial" w:hAnsi="Arial"/>
                <w:sz w:val="17"/>
                <w:szCs w:val="17"/>
                <w:color w:val="auto"/>
              </w:rPr>
              <w:t>May 1,</w:t>
            </w:r>
          </w:p>
        </w:tc>
        <w:tc>
          <w:tcPr>
            <w:tcW w:w="360" w:type="dxa"/>
            <w:vAlign w:val="bottom"/>
          </w:tcPr>
          <w:p>
            <w:pPr>
              <w:spacing w:after="0"/>
              <w:rPr>
                <w:sz w:val="16"/>
                <w:szCs w:val="16"/>
                <w:color w:val="auto"/>
              </w:rPr>
            </w:pPr>
          </w:p>
        </w:tc>
        <w:tc>
          <w:tcPr>
            <w:tcW w:w="1540" w:type="dxa"/>
            <w:vAlign w:val="bottom"/>
            <w:tcBorders>
              <w:top w:val="single" w:sz="8" w:color="auto"/>
            </w:tcBorders>
            <w:gridSpan w:val="2"/>
          </w:tcPr>
          <w:p>
            <w:pPr>
              <w:ind w:left="340"/>
              <w:spacing w:after="0" w:line="193" w:lineRule="exact"/>
              <w:rPr>
                <w:sz w:val="20"/>
                <w:szCs w:val="20"/>
                <w:color w:val="auto"/>
              </w:rPr>
            </w:pPr>
            <w:r>
              <w:rPr>
                <w:rFonts w:ascii="Arial" w:cs="Arial" w:eastAsia="Arial" w:hAnsi="Arial"/>
                <w:sz w:val="17"/>
                <w:szCs w:val="17"/>
                <w:color w:val="auto"/>
              </w:rPr>
              <w:t>April 30,</w:t>
            </w:r>
          </w:p>
        </w:tc>
        <w:tc>
          <w:tcPr>
            <w:tcW w:w="1300" w:type="dxa"/>
            <w:vAlign w:val="bottom"/>
            <w:tcBorders>
              <w:top w:val="single" w:sz="8" w:color="auto"/>
            </w:tcBorders>
          </w:tcPr>
          <w:p>
            <w:pPr>
              <w:jc w:val="right"/>
              <w:ind w:right="315"/>
              <w:spacing w:after="0" w:line="193" w:lineRule="exact"/>
              <w:rPr>
                <w:sz w:val="20"/>
                <w:szCs w:val="20"/>
                <w:color w:val="auto"/>
              </w:rPr>
            </w:pPr>
            <w:r>
              <w:rPr>
                <w:rFonts w:ascii="Arial" w:cs="Arial" w:eastAsia="Arial" w:hAnsi="Arial"/>
                <w:sz w:val="17"/>
                <w:szCs w:val="17"/>
                <w:color w:val="auto"/>
              </w:rPr>
              <w:t>May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80" w:type="dxa"/>
            <w:vAlign w:val="bottom"/>
            <w:gridSpan w:val="3"/>
          </w:tcPr>
          <w:p>
            <w:pPr>
              <w:spacing w:after="0" w:line="179" w:lineRule="exact"/>
              <w:rPr>
                <w:sz w:val="20"/>
                <w:szCs w:val="20"/>
                <w:color w:val="auto"/>
              </w:rPr>
            </w:pPr>
            <w:r>
              <w:rPr>
                <w:rFonts w:ascii="Arial" w:cs="Arial" w:eastAsia="Arial" w:hAnsi="Arial"/>
                <w:sz w:val="17"/>
                <w:szCs w:val="17"/>
                <w:i w:val="1"/>
                <w:iCs w:val="1"/>
                <w:color w:val="auto"/>
              </w:rPr>
              <w:t>Basic</w:t>
            </w:r>
          </w:p>
        </w:tc>
        <w:tc>
          <w:tcPr>
            <w:tcW w:w="1400" w:type="dxa"/>
            <w:vAlign w:val="bottom"/>
          </w:tcPr>
          <w:p>
            <w:pPr>
              <w:jc w:val="right"/>
              <w:ind w:right="455"/>
              <w:spacing w:after="0" w:line="179" w:lineRule="exact"/>
              <w:rPr>
                <w:sz w:val="20"/>
                <w:szCs w:val="20"/>
                <w:color w:val="auto"/>
              </w:rPr>
            </w:pPr>
            <w:r>
              <w:rPr>
                <w:rFonts w:ascii="Arial" w:cs="Arial" w:eastAsia="Arial" w:hAnsi="Arial"/>
                <w:sz w:val="17"/>
                <w:szCs w:val="17"/>
                <w:color w:val="auto"/>
              </w:rPr>
              <w:t>2010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395"/>
              <w:spacing w:after="0" w:line="179" w:lineRule="exact"/>
              <w:rPr>
                <w:sz w:val="20"/>
                <w:szCs w:val="20"/>
                <w:color w:val="auto"/>
              </w:rPr>
            </w:pPr>
            <w:r>
              <w:rPr>
                <w:rFonts w:ascii="Arial" w:cs="Arial" w:eastAsia="Arial" w:hAnsi="Arial"/>
                <w:sz w:val="17"/>
                <w:szCs w:val="17"/>
                <w:color w:val="auto"/>
              </w:rPr>
              <w:t>2009</w:t>
            </w:r>
          </w:p>
        </w:tc>
        <w:tc>
          <w:tcPr>
            <w:tcW w:w="360" w:type="dxa"/>
            <w:vAlign w:val="bottom"/>
          </w:tcPr>
          <w:p>
            <w:pPr>
              <w:spacing w:after="0"/>
              <w:rPr>
                <w:sz w:val="15"/>
                <w:szCs w:val="15"/>
                <w:color w:val="auto"/>
              </w:rPr>
            </w:pPr>
          </w:p>
        </w:tc>
        <w:tc>
          <w:tcPr>
            <w:tcW w:w="1300" w:type="dxa"/>
            <w:vAlign w:val="bottom"/>
          </w:tcPr>
          <w:p>
            <w:pPr>
              <w:jc w:val="right"/>
              <w:ind w:right="395"/>
              <w:spacing w:after="0" w:line="179" w:lineRule="exact"/>
              <w:rPr>
                <w:sz w:val="20"/>
                <w:szCs w:val="20"/>
                <w:color w:val="auto"/>
              </w:rPr>
            </w:pPr>
            <w:r>
              <w:rPr>
                <w:rFonts w:ascii="Arial" w:cs="Arial" w:eastAsia="Arial" w:hAnsi="Arial"/>
                <w:sz w:val="17"/>
                <w:szCs w:val="17"/>
                <w:color w:val="auto"/>
              </w:rPr>
              <w:t>2010</w:t>
            </w:r>
          </w:p>
        </w:tc>
        <w:tc>
          <w:tcPr>
            <w:tcW w:w="240" w:type="dxa"/>
            <w:vAlign w:val="bottom"/>
          </w:tcPr>
          <w:p>
            <w:pPr>
              <w:spacing w:after="0"/>
              <w:rPr>
                <w:sz w:val="15"/>
                <w:szCs w:val="15"/>
                <w:color w:val="auto"/>
              </w:rPr>
            </w:pPr>
          </w:p>
        </w:tc>
        <w:tc>
          <w:tcPr>
            <w:tcW w:w="1300" w:type="dxa"/>
            <w:vAlign w:val="bottom"/>
          </w:tcPr>
          <w:p>
            <w:pPr>
              <w:jc w:val="right"/>
              <w:ind w:right="395"/>
              <w:spacing w:after="0" w:line="179" w:lineRule="exact"/>
              <w:rPr>
                <w:sz w:val="20"/>
                <w:szCs w:val="20"/>
                <w:color w:val="auto"/>
              </w:rPr>
            </w:pPr>
            <w:r>
              <w:rPr>
                <w:rFonts w:ascii="Arial" w:cs="Arial" w:eastAsia="Arial" w:hAnsi="Arial"/>
                <w:sz w:val="17"/>
                <w:szCs w:val="17"/>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5280" w:type="dxa"/>
            <w:vAlign w:val="bottom"/>
            <w:gridSpan w:val="3"/>
            <w:vMerge w:val="restart"/>
          </w:tcPr>
          <w:p>
            <w:pPr>
              <w:spacing w:after="0"/>
              <w:rPr>
                <w:sz w:val="20"/>
                <w:szCs w:val="20"/>
                <w:color w:val="auto"/>
              </w:rPr>
            </w:pPr>
            <w:r>
              <w:rPr>
                <w:rFonts w:ascii="Arial" w:cs="Arial" w:eastAsia="Arial" w:hAnsi="Arial"/>
                <w:sz w:val="17"/>
                <w:szCs w:val="17"/>
                <w:color w:val="auto"/>
              </w:rPr>
              <w:t>Weighted-average number of shares of common stock</w:t>
            </w: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280" w:type="dxa"/>
            <w:vAlign w:val="bottom"/>
            <w:gridSpan w:val="3"/>
            <w:vMerge w:val="continue"/>
          </w:tcPr>
          <w:p>
            <w:pPr>
              <w:spacing w:after="0"/>
              <w:rPr>
                <w:sz w:val="16"/>
                <w:szCs w:val="16"/>
                <w:color w:val="auto"/>
              </w:rPr>
            </w:pPr>
          </w:p>
        </w:tc>
        <w:tc>
          <w:tcPr>
            <w:tcW w:w="1400" w:type="dxa"/>
            <w:vAlign w:val="bottom"/>
          </w:tcPr>
          <w:p>
            <w:pPr>
              <w:jc w:val="right"/>
              <w:spacing w:after="0" w:line="193" w:lineRule="exact"/>
              <w:rPr>
                <w:sz w:val="20"/>
                <w:szCs w:val="20"/>
                <w:color w:val="auto"/>
              </w:rPr>
            </w:pPr>
            <w:r>
              <w:rPr>
                <w:rFonts w:ascii="Arial" w:cs="Arial" w:eastAsia="Arial" w:hAnsi="Arial"/>
                <w:sz w:val="17"/>
                <w:szCs w:val="17"/>
                <w:color w:val="auto"/>
              </w:rPr>
              <w:t>33,714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36,397</w:t>
            </w:r>
          </w:p>
        </w:tc>
        <w:tc>
          <w:tcPr>
            <w:tcW w:w="36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33,867</w:t>
            </w:r>
          </w:p>
        </w:tc>
        <w:tc>
          <w:tcPr>
            <w:tcW w:w="24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Arial" w:cs="Arial" w:eastAsia="Arial" w:hAnsi="Arial"/>
                <w:sz w:val="17"/>
                <w:szCs w:val="17"/>
                <w:color w:val="auto"/>
              </w:rPr>
              <w:t>36,374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7"/>
                <w:szCs w:val="17"/>
                <w:color w:val="auto"/>
              </w:rPr>
              <w:t>Assumed issuance of contingent shares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280" w:type="dxa"/>
            <w:vAlign w:val="bottom"/>
            <w:gridSpan w:val="3"/>
          </w:tcPr>
          <w:p>
            <w:pPr>
              <w:spacing w:after="0" w:line="193" w:lineRule="exact"/>
              <w:rPr>
                <w:sz w:val="20"/>
                <w:szCs w:val="20"/>
                <w:color w:val="auto"/>
              </w:rPr>
            </w:pPr>
            <w:r>
              <w:rPr>
                <w:rFonts w:ascii="Arial" w:cs="Arial" w:eastAsia="Arial" w:hAnsi="Arial"/>
                <w:sz w:val="17"/>
                <w:szCs w:val="17"/>
                <w:color w:val="auto"/>
                <w:w w:val="89"/>
              </w:rPr>
              <w:t>Weighted-average number of shares of common stock and assumed issuance</w:t>
            </w: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33,714</w:t>
            </w:r>
          </w:p>
        </w:tc>
        <w:tc>
          <w:tcPr>
            <w:tcW w:w="220" w:type="dxa"/>
            <w:vAlign w:val="bottom"/>
          </w:tcPr>
          <w:p>
            <w:pPr>
              <w:spacing w:after="0"/>
              <w:rPr>
                <w:sz w:val="16"/>
                <w:szCs w:val="16"/>
                <w:color w:val="auto"/>
              </w:rPr>
            </w:pPr>
          </w:p>
        </w:tc>
        <w:tc>
          <w:tcPr>
            <w:tcW w:w="166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auto"/>
              </w:rPr>
              <w:t>36,397</w:t>
            </w:r>
          </w:p>
        </w:tc>
        <w:tc>
          <w:tcPr>
            <w:tcW w:w="154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33,871</w:t>
            </w: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36,382</w:t>
            </w:r>
          </w:p>
        </w:tc>
        <w:tc>
          <w:tcPr>
            <w:tcW w:w="0" w:type="dxa"/>
            <w:vAlign w:val="bottom"/>
          </w:tcPr>
          <w:p>
            <w:pPr>
              <w:spacing w:after="0"/>
              <w:rPr>
                <w:sz w:val="1"/>
                <w:szCs w:val="1"/>
                <w:color w:val="auto"/>
              </w:rPr>
            </w:pPr>
          </w:p>
        </w:tc>
      </w:tr>
      <w:tr>
        <w:trPr>
          <w:trHeight w:val="166"/>
        </w:trPr>
        <w:tc>
          <w:tcPr>
            <w:tcW w:w="5280" w:type="dxa"/>
            <w:vAlign w:val="bottom"/>
            <w:gridSpan w:val="3"/>
          </w:tcPr>
          <w:p>
            <w:pPr>
              <w:ind w:left="160"/>
              <w:spacing w:after="0" w:line="146" w:lineRule="exact"/>
              <w:rPr>
                <w:sz w:val="20"/>
                <w:szCs w:val="20"/>
                <w:color w:val="auto"/>
              </w:rPr>
            </w:pPr>
            <w:r>
              <w:rPr>
                <w:rFonts w:ascii="Arial" w:cs="Arial" w:eastAsia="Arial" w:hAnsi="Arial"/>
                <w:sz w:val="16"/>
                <w:szCs w:val="16"/>
                <w:color w:val="auto"/>
              </w:rPr>
              <w:t>of contingent shares</w:t>
            </w: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spacing w:after="0"/>
              <w:rPr>
                <w:sz w:val="20"/>
                <w:szCs w:val="20"/>
                <w:color w:val="auto"/>
              </w:rPr>
            </w:pPr>
            <w:r>
              <w:rPr>
                <w:rFonts w:ascii="Arial" w:cs="Arial" w:eastAsia="Arial" w:hAnsi="Arial"/>
                <w:sz w:val="17"/>
                <w:szCs w:val="17"/>
                <w:i w:val="1"/>
                <w:iCs w:val="1"/>
                <w:color w:val="auto"/>
                <w:w w:val="94"/>
              </w:rPr>
              <w:t>Diluted</w:t>
            </w:r>
          </w:p>
        </w:tc>
        <w:tc>
          <w:tcPr>
            <w:tcW w:w="4760" w:type="dxa"/>
            <w:vAlign w:val="bottom"/>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Borders>
              <w:bottom w:val="single" w:sz="8" w:color="auto"/>
            </w:tcBorders>
            <w:gridSpan w:val="2"/>
            <w:vMerge w:val="continue"/>
          </w:tcPr>
          <w:p>
            <w:pPr>
              <w:spacing w:after="0"/>
              <w:rPr>
                <w:sz w:val="13"/>
                <w:szCs w:val="13"/>
                <w:color w:val="auto"/>
              </w:rPr>
            </w:pPr>
          </w:p>
        </w:tc>
        <w:tc>
          <w:tcPr>
            <w:tcW w:w="476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280" w:type="dxa"/>
            <w:vAlign w:val="bottom"/>
            <w:gridSpan w:val="3"/>
          </w:tcPr>
          <w:p>
            <w:pPr>
              <w:spacing w:after="0"/>
              <w:rPr>
                <w:sz w:val="20"/>
                <w:szCs w:val="20"/>
                <w:color w:val="auto"/>
              </w:rPr>
            </w:pPr>
            <w:r>
              <w:rPr>
                <w:rFonts w:ascii="Arial" w:cs="Arial" w:eastAsia="Arial" w:hAnsi="Arial"/>
                <w:sz w:val="17"/>
                <w:szCs w:val="17"/>
                <w:color w:val="auto"/>
                <w:w w:val="89"/>
              </w:rPr>
              <w:t>Weighted-average number of shares of common stock and assumed issuance</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80" w:type="dxa"/>
            <w:vAlign w:val="bottom"/>
            <w:gridSpan w:val="3"/>
          </w:tcPr>
          <w:p>
            <w:pPr>
              <w:ind w:left="160"/>
              <w:spacing w:after="0"/>
              <w:rPr>
                <w:sz w:val="20"/>
                <w:szCs w:val="20"/>
                <w:color w:val="auto"/>
              </w:rPr>
            </w:pPr>
            <w:r>
              <w:rPr>
                <w:rFonts w:ascii="Arial" w:cs="Arial" w:eastAsia="Arial" w:hAnsi="Arial"/>
                <w:sz w:val="17"/>
                <w:szCs w:val="17"/>
                <w:color w:val="auto"/>
              </w:rPr>
              <w:t>of contingent shares</w:t>
            </w:r>
          </w:p>
        </w:tc>
        <w:tc>
          <w:tcPr>
            <w:tcW w:w="1420" w:type="dxa"/>
            <w:vAlign w:val="bottom"/>
            <w:gridSpan w:val="2"/>
          </w:tcPr>
          <w:p>
            <w:pPr>
              <w:jc w:val="right"/>
              <w:ind w:right="20"/>
              <w:spacing w:after="0"/>
              <w:rPr>
                <w:sz w:val="20"/>
                <w:szCs w:val="20"/>
                <w:color w:val="auto"/>
              </w:rPr>
            </w:pPr>
            <w:r>
              <w:rPr>
                <w:rFonts w:ascii="Arial" w:cs="Arial" w:eastAsia="Arial" w:hAnsi="Arial"/>
                <w:sz w:val="17"/>
                <w:szCs w:val="17"/>
                <w:color w:val="auto"/>
              </w:rPr>
              <w:t>33,714</w:t>
            </w:r>
          </w:p>
        </w:tc>
        <w:tc>
          <w:tcPr>
            <w:tcW w:w="220" w:type="dxa"/>
            <w:vAlign w:val="bottom"/>
          </w:tcPr>
          <w:p>
            <w:pPr>
              <w:spacing w:after="0"/>
              <w:rPr>
                <w:sz w:val="17"/>
                <w:szCs w:val="17"/>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7"/>
                <w:szCs w:val="17"/>
                <w:color w:val="auto"/>
              </w:rPr>
              <w:t>36,397</w:t>
            </w: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33,871</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36,382</w:t>
            </w:r>
          </w:p>
        </w:tc>
        <w:tc>
          <w:tcPr>
            <w:tcW w:w="0" w:type="dxa"/>
            <w:vAlign w:val="bottom"/>
          </w:tcPr>
          <w:p>
            <w:pPr>
              <w:spacing w:after="0"/>
              <w:rPr>
                <w:sz w:val="1"/>
                <w:szCs w:val="1"/>
                <w:color w:val="auto"/>
              </w:rPr>
            </w:pPr>
          </w:p>
        </w:tc>
      </w:tr>
      <w:tr>
        <w:trPr>
          <w:trHeight w:val="223"/>
        </w:trPr>
        <w:tc>
          <w:tcPr>
            <w:tcW w:w="528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36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5280" w:type="dxa"/>
            <w:vAlign w:val="bottom"/>
            <w:gridSpan w:val="3"/>
          </w:tcPr>
          <w:p>
            <w:pPr>
              <w:spacing w:after="0" w:line="193" w:lineRule="exact"/>
              <w:rPr>
                <w:sz w:val="20"/>
                <w:szCs w:val="20"/>
                <w:color w:val="auto"/>
              </w:rPr>
            </w:pPr>
            <w:r>
              <w:rPr>
                <w:rFonts w:ascii="Arial" w:cs="Arial" w:eastAsia="Arial" w:hAnsi="Arial"/>
                <w:sz w:val="17"/>
                <w:szCs w:val="17"/>
                <w:color w:val="auto"/>
                <w:w w:val="90"/>
              </w:rPr>
              <w:t>Weighted-average number of shares of common stock, assumed issuance of</w:t>
            </w: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34,142</w:t>
            </w:r>
          </w:p>
        </w:tc>
        <w:tc>
          <w:tcPr>
            <w:tcW w:w="220" w:type="dxa"/>
            <w:vAlign w:val="bottom"/>
          </w:tcPr>
          <w:p>
            <w:pPr>
              <w:spacing w:after="0"/>
              <w:rPr>
                <w:sz w:val="16"/>
                <w:szCs w:val="16"/>
                <w:color w:val="auto"/>
              </w:rPr>
            </w:pPr>
          </w:p>
        </w:tc>
        <w:tc>
          <w:tcPr>
            <w:tcW w:w="1660" w:type="dxa"/>
            <w:vAlign w:val="bottom"/>
            <w:gridSpan w:val="2"/>
            <w:vMerge w:val="restart"/>
          </w:tcPr>
          <w:p>
            <w:pPr>
              <w:jc w:val="right"/>
              <w:ind w:right="360"/>
              <w:spacing w:after="0"/>
              <w:rPr>
                <w:sz w:val="20"/>
                <w:szCs w:val="20"/>
                <w:color w:val="auto"/>
              </w:rPr>
            </w:pPr>
            <w:r>
              <w:rPr>
                <w:rFonts w:ascii="Arial" w:cs="Arial" w:eastAsia="Arial" w:hAnsi="Arial"/>
                <w:sz w:val="17"/>
                <w:szCs w:val="17"/>
                <w:color w:val="auto"/>
              </w:rPr>
              <w:t>36,763</w:t>
            </w:r>
          </w:p>
        </w:tc>
        <w:tc>
          <w:tcPr>
            <w:tcW w:w="1540" w:type="dxa"/>
            <w:vAlign w:val="bottom"/>
            <w:gridSpan w:val="2"/>
            <w:vMerge w:val="restart"/>
          </w:tcPr>
          <w:p>
            <w:pPr>
              <w:jc w:val="right"/>
              <w:ind w:right="240"/>
              <w:spacing w:after="0"/>
              <w:rPr>
                <w:sz w:val="20"/>
                <w:szCs w:val="20"/>
                <w:color w:val="auto"/>
              </w:rPr>
            </w:pPr>
            <w:r>
              <w:rPr>
                <w:rFonts w:ascii="Arial" w:cs="Arial" w:eastAsia="Arial" w:hAnsi="Arial"/>
                <w:sz w:val="17"/>
                <w:szCs w:val="17"/>
                <w:color w:val="auto"/>
              </w:rPr>
              <w:t>34,198</w:t>
            </w: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36,807</w:t>
            </w:r>
          </w:p>
        </w:tc>
        <w:tc>
          <w:tcPr>
            <w:tcW w:w="0" w:type="dxa"/>
            <w:vAlign w:val="bottom"/>
          </w:tcPr>
          <w:p>
            <w:pPr>
              <w:spacing w:after="0"/>
              <w:rPr>
                <w:sz w:val="1"/>
                <w:szCs w:val="1"/>
                <w:color w:val="auto"/>
              </w:rPr>
            </w:pPr>
          </w:p>
        </w:tc>
      </w:tr>
      <w:tr>
        <w:trPr>
          <w:trHeight w:val="166"/>
        </w:trPr>
        <w:tc>
          <w:tcPr>
            <w:tcW w:w="5280" w:type="dxa"/>
            <w:vAlign w:val="bottom"/>
            <w:gridSpan w:val="3"/>
          </w:tcPr>
          <w:p>
            <w:pPr>
              <w:ind w:left="160"/>
              <w:spacing w:after="0" w:line="146" w:lineRule="exact"/>
              <w:rPr>
                <w:sz w:val="20"/>
                <w:szCs w:val="20"/>
                <w:color w:val="auto"/>
              </w:rPr>
            </w:pPr>
            <w:r>
              <w:rPr>
                <w:rFonts w:ascii="Arial" w:cs="Arial" w:eastAsia="Arial" w:hAnsi="Arial"/>
                <w:sz w:val="16"/>
                <w:szCs w:val="16"/>
                <w:color w:val="auto"/>
              </w:rPr>
              <w:t>contingent shares, and effect of dilutive securities</w:t>
            </w:r>
          </w:p>
        </w:tc>
        <w:tc>
          <w:tcPr>
            <w:tcW w:w="14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80" w:firstLine="213"/>
        <w:spacing w:after="0" w:line="299" w:lineRule="auto"/>
        <w:rPr>
          <w:sz w:val="20"/>
          <w:szCs w:val="20"/>
          <w:color w:val="auto"/>
        </w:rPr>
      </w:pPr>
      <w:r>
        <w:rPr>
          <w:rFonts w:ascii="Arial" w:cs="Arial" w:eastAsia="Arial" w:hAnsi="Arial"/>
          <w:sz w:val="15"/>
          <w:szCs w:val="15"/>
          <w:color w:val="auto"/>
        </w:rPr>
        <w:t>Options to purchase an aggregate of 331,730 and 1,853,681 shares of common stock outstanding during the second quarter of fiscal 2010 and 2009, respectively, were excluded from the diluted net earnings per share calculation because their exercise prices were greater than the average market price of the company’s common stock during the same respective periods. Options to purchase an aggregate of 679,875 and 1,853,681 shares of common stock outstanding during the year-to-date periods through the second quarter of fiscal 2010 and 2009, respectively, were excluded from the diluted net earnings per share calculations because their exercise prices were greater than the average market price of the company’s common stock during the same respective periods.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Goodwill</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7440" w:type="dxa"/>
            <w:vAlign w:val="bottom"/>
            <w:gridSpan w:val="5"/>
          </w:tcPr>
          <w:p>
            <w:pPr>
              <w:spacing w:after="0"/>
              <w:rPr>
                <w:sz w:val="20"/>
                <w:szCs w:val="20"/>
                <w:color w:val="auto"/>
              </w:rPr>
            </w:pPr>
            <w:r>
              <w:rPr>
                <w:rFonts w:ascii="Arial" w:cs="Arial" w:eastAsia="Arial" w:hAnsi="Arial"/>
                <w:sz w:val="17"/>
                <w:szCs w:val="17"/>
                <w:color w:val="auto"/>
                <w:w w:val="94"/>
              </w:rPr>
              <w:t>The changes in the net carrying amount of goodwill for the first six months of fiscal 2010 were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060" w:type="dxa"/>
            <w:vAlign w:val="bottom"/>
            <w:gridSpan w:val="3"/>
          </w:tcPr>
          <w:p>
            <w:pPr>
              <w:spacing w:after="0"/>
              <w:rPr>
                <w:sz w:val="20"/>
                <w:szCs w:val="20"/>
                <w:color w:val="auto"/>
              </w:rPr>
            </w:pPr>
            <w:r>
              <w:rPr>
                <w:rFonts w:ascii="Arial" w:cs="Arial" w:eastAsia="Arial" w:hAnsi="Arial"/>
                <w:sz w:val="17"/>
                <w:szCs w:val="17"/>
                <w:color w:val="auto"/>
              </w:rPr>
              <w:t>(Dollars in thousands)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7"/>
                <w:szCs w:val="17"/>
                <w:color w:val="auto"/>
                <w:w w:val="91"/>
              </w:rPr>
              <w:t>Professional</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7"/>
                <w:szCs w:val="17"/>
                <w:color w:val="auto"/>
                <w:w w:val="92"/>
              </w:rPr>
              <w:t>Residential</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7"/>
                <w:szCs w:val="17"/>
                <w:color w:val="auto"/>
                <w:w w:val="85"/>
              </w:rPr>
              <w:t>Segment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7"/>
                <w:szCs w:val="17"/>
                <w:color w:val="auto"/>
                <w:w w:val="88"/>
              </w:rPr>
              <w:t>Segment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92"/>
        </w:trPr>
        <w:tc>
          <w:tcPr>
            <w:tcW w:w="6060" w:type="dxa"/>
            <w:vAlign w:val="bottom"/>
            <w:gridSpan w:val="3"/>
          </w:tcPr>
          <w:p>
            <w:pPr>
              <w:spacing w:after="0" w:line="193" w:lineRule="exact"/>
              <w:rPr>
                <w:sz w:val="20"/>
                <w:szCs w:val="20"/>
                <w:color w:val="auto"/>
              </w:rPr>
            </w:pPr>
            <w:r>
              <w:rPr>
                <w:rFonts w:ascii="Arial" w:cs="Arial" w:eastAsia="Arial" w:hAnsi="Arial"/>
                <w:sz w:val="17"/>
                <w:szCs w:val="17"/>
                <w:color w:val="auto"/>
              </w:rPr>
              <w:t>Balance as of October 31, 2009</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75,514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10,893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86,407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7"/>
                <w:szCs w:val="17"/>
                <w:color w:val="auto"/>
              </w:rPr>
              <w:t>Translation adjustment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Balance as of April 30, 2010</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75,567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86,558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Other Intangible Assets</w:t>
            </w: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060" w:type="dxa"/>
            <w:vAlign w:val="bottom"/>
            <w:gridSpan w:val="3"/>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60" w:type="dxa"/>
            <w:vAlign w:val="bottom"/>
            <w:gridSpan w:val="3"/>
          </w:tcPr>
          <w:p>
            <w:pPr>
              <w:spacing w:after="0"/>
              <w:rPr>
                <w:sz w:val="20"/>
                <w:szCs w:val="20"/>
                <w:color w:val="auto"/>
              </w:rPr>
            </w:pPr>
            <w:r>
              <w:rPr>
                <w:rFonts w:ascii="Arial" w:cs="Arial" w:eastAsia="Arial" w:hAnsi="Arial"/>
                <w:sz w:val="17"/>
                <w:szCs w:val="17"/>
                <w:color w:val="auto"/>
              </w:rPr>
              <w:t>The components of other amortizable intangible assets were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060" w:type="dxa"/>
            <w:vAlign w:val="bottom"/>
            <w:gridSpan w:val="3"/>
          </w:tcPr>
          <w:p>
            <w:pPr>
              <w:spacing w:after="0"/>
              <w:rPr>
                <w:sz w:val="20"/>
                <w:szCs w:val="20"/>
                <w:color w:val="auto"/>
              </w:rPr>
            </w:pPr>
            <w:r>
              <w:rPr>
                <w:rFonts w:ascii="Arial" w:cs="Arial" w:eastAsia="Arial" w:hAnsi="Arial"/>
                <w:sz w:val="17"/>
                <w:szCs w:val="17"/>
                <w:color w:val="auto"/>
              </w:rPr>
              <w:t>(Dollars in thousands)</w:t>
            </w: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220" w:type="dxa"/>
            <w:vAlign w:val="bottom"/>
            <w:gridSpan w:val="5"/>
          </w:tcPr>
          <w:p>
            <w:pPr>
              <w:jc w:val="center"/>
              <w:ind w:right="40"/>
              <w:spacing w:after="0"/>
              <w:rPr>
                <w:sz w:val="20"/>
                <w:szCs w:val="20"/>
                <w:color w:val="auto"/>
              </w:rPr>
            </w:pPr>
            <w:r>
              <w:rPr>
                <w:rFonts w:ascii="Arial" w:cs="Arial" w:eastAsia="Arial" w:hAnsi="Arial"/>
                <w:sz w:val="17"/>
                <w:szCs w:val="17"/>
                <w:color w:val="auto"/>
                <w:w w:val="92"/>
              </w:rPr>
              <w:t>Gross Carrying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6060" w:type="dxa"/>
            <w:vAlign w:val="bottom"/>
            <w:gridSpan w:val="3"/>
          </w:tcPr>
          <w:p>
            <w:pPr>
              <w:spacing w:after="0" w:line="179" w:lineRule="exact"/>
              <w:rPr>
                <w:sz w:val="20"/>
                <w:szCs w:val="20"/>
                <w:color w:val="auto"/>
              </w:rPr>
            </w:pPr>
            <w:r>
              <w:rPr>
                <w:rFonts w:ascii="Arial" w:cs="Arial" w:eastAsia="Arial" w:hAnsi="Arial"/>
                <w:sz w:val="17"/>
                <w:szCs w:val="17"/>
                <w:color w:val="auto"/>
              </w:rPr>
              <w:t>April 30, 2010</w:t>
            </w:r>
          </w:p>
        </w:tc>
        <w:tc>
          <w:tcPr>
            <w:tcW w:w="1380" w:type="dxa"/>
            <w:vAlign w:val="bottom"/>
            <w:gridSpan w:val="2"/>
          </w:tcPr>
          <w:p>
            <w:pPr>
              <w:jc w:val="center"/>
              <w:ind w:right="200"/>
              <w:spacing w:after="0" w:line="179" w:lineRule="exact"/>
              <w:rPr>
                <w:sz w:val="20"/>
                <w:szCs w:val="20"/>
                <w:color w:val="auto"/>
              </w:rPr>
            </w:pPr>
            <w:r>
              <w:rPr>
                <w:rFonts w:ascii="Arial" w:cs="Arial" w:eastAsia="Arial" w:hAnsi="Arial"/>
                <w:sz w:val="17"/>
                <w:szCs w:val="17"/>
                <w:color w:val="auto"/>
                <w:w w:val="93"/>
              </w:rPr>
              <w:t>Life (Years)</w:t>
            </w:r>
          </w:p>
        </w:tc>
        <w:tc>
          <w:tcPr>
            <w:tcW w:w="120" w:type="dxa"/>
            <w:vAlign w:val="bottom"/>
          </w:tcPr>
          <w:p>
            <w:pPr>
              <w:spacing w:after="0"/>
              <w:rPr>
                <w:sz w:val="15"/>
                <w:szCs w:val="15"/>
                <w:color w:val="auto"/>
              </w:rPr>
            </w:pPr>
          </w:p>
        </w:tc>
        <w:tc>
          <w:tcPr>
            <w:tcW w:w="1100" w:type="dxa"/>
            <w:vAlign w:val="bottom"/>
            <w:gridSpan w:val="4"/>
          </w:tcPr>
          <w:p>
            <w:pPr>
              <w:jc w:val="center"/>
              <w:ind w:right="160"/>
              <w:spacing w:after="0" w:line="179" w:lineRule="exact"/>
              <w:rPr>
                <w:sz w:val="20"/>
                <w:szCs w:val="20"/>
                <w:color w:val="auto"/>
              </w:rPr>
            </w:pPr>
            <w:r>
              <w:rPr>
                <w:rFonts w:ascii="Arial" w:cs="Arial" w:eastAsia="Arial" w:hAnsi="Arial"/>
                <w:sz w:val="17"/>
                <w:szCs w:val="17"/>
                <w:color w:val="auto"/>
                <w:w w:val="92"/>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40"/>
              <w:spacing w:after="0" w:line="179" w:lineRule="exact"/>
              <w:rPr>
                <w:sz w:val="20"/>
                <w:szCs w:val="20"/>
                <w:color w:val="auto"/>
              </w:rPr>
            </w:pPr>
            <w:r>
              <w:rPr>
                <w:rFonts w:ascii="Arial" w:cs="Arial" w:eastAsia="Arial" w:hAnsi="Arial"/>
                <w:sz w:val="17"/>
                <w:szCs w:val="17"/>
                <w:color w:val="auto"/>
                <w:w w:val="95"/>
              </w:rPr>
              <w:t>Amortization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60"/>
              <w:spacing w:after="0" w:line="179" w:lineRule="exact"/>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4"/>
        </w:trPr>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rPr>
              <w:t>Patents</w:t>
            </w:r>
          </w:p>
        </w:tc>
        <w:tc>
          <w:tcPr>
            <w:tcW w:w="5060" w:type="dxa"/>
            <w:vAlign w:val="bottom"/>
            <w:gridSpan w:val="2"/>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000" w:type="dxa"/>
            <w:vAlign w:val="bottom"/>
            <w:vMerge w:val="continue"/>
          </w:tcPr>
          <w:p>
            <w:pPr>
              <w:spacing w:after="0"/>
              <w:rPr>
                <w:sz w:val="16"/>
                <w:szCs w:val="16"/>
                <w:color w:val="auto"/>
              </w:rPr>
            </w:pPr>
          </w:p>
        </w:tc>
        <w:tc>
          <w:tcPr>
            <w:tcW w:w="5060" w:type="dxa"/>
            <w:vAlign w:val="bottom"/>
            <w:gridSpan w:val="2"/>
            <w:vMerge w:val="continue"/>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7"/>
                <w:szCs w:val="17"/>
                <w:color w:val="auto"/>
              </w:rPr>
              <w:t>5-13</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8,703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(6,836)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1,867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Non-compete agreements</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3,039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(1,703)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1,336</w:t>
            </w: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Customer related</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6-13</w:t>
            </w: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7,413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(1,683)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5,730</w:t>
            </w: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Developed technology</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7"/>
                <w:szCs w:val="17"/>
                <w:color w:val="auto"/>
              </w:rPr>
              <w:t>13,950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(3,795)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10,155</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7"/>
                <w:szCs w:val="17"/>
                <w:color w:val="auto"/>
              </w:rPr>
              <w:t>800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6060" w:type="dxa"/>
            <w:vAlign w:val="bottom"/>
            <w:gridSpan w:val="3"/>
          </w:tcPr>
          <w:p>
            <w:pPr>
              <w:ind w:left="120"/>
              <w:spacing w:after="0" w:line="193" w:lineRule="exact"/>
              <w:rPr>
                <w:sz w:val="20"/>
                <w:szCs w:val="20"/>
                <w:color w:val="auto"/>
              </w:rPr>
            </w:pPr>
            <w:r>
              <w:rPr>
                <w:rFonts w:ascii="Arial" w:cs="Arial" w:eastAsia="Arial" w:hAnsi="Arial"/>
                <w:sz w:val="17"/>
                <w:szCs w:val="17"/>
                <w:color w:val="auto"/>
              </w:rPr>
              <w:t>Total amortizable</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4"/>
          </w:tcPr>
          <w:p>
            <w:pPr>
              <w:jc w:val="right"/>
              <w:ind w:right="40"/>
              <w:spacing w:after="0" w:line="193" w:lineRule="exact"/>
              <w:rPr>
                <w:sz w:val="20"/>
                <w:szCs w:val="20"/>
                <w:color w:val="auto"/>
              </w:rPr>
            </w:pPr>
            <w:r>
              <w:rPr>
                <w:rFonts w:ascii="Arial" w:cs="Arial" w:eastAsia="Arial" w:hAnsi="Arial"/>
                <w:sz w:val="17"/>
                <w:szCs w:val="17"/>
                <w:color w:val="auto"/>
              </w:rPr>
              <w:t>33,905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spacing w:after="0" w:line="193" w:lineRule="exact"/>
              <w:rPr>
                <w:sz w:val="20"/>
                <w:szCs w:val="20"/>
                <w:color w:val="auto"/>
              </w:rPr>
            </w:pPr>
            <w:r>
              <w:rPr>
                <w:rFonts w:ascii="Arial" w:cs="Arial" w:eastAsia="Arial" w:hAnsi="Arial"/>
                <w:sz w:val="17"/>
                <w:szCs w:val="17"/>
                <w:color w:val="auto"/>
              </w:rPr>
              <w:t>(14,817)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19,088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7"/>
                <w:szCs w:val="17"/>
                <w:color w:val="auto"/>
              </w:rPr>
              <w:t>Non-amortizable - Trade names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5,281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5,281</w:t>
            </w: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Total other intangible assets, net</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39,186</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(14,817)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24,369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6060" w:type="dxa"/>
            <w:vAlign w:val="bottom"/>
            <w:gridSpan w:val="3"/>
          </w:tcPr>
          <w:p>
            <w:pPr>
              <w:spacing w:after="0"/>
              <w:rPr>
                <w:sz w:val="20"/>
                <w:szCs w:val="20"/>
                <w:color w:val="auto"/>
              </w:rPr>
            </w:pPr>
            <w:r>
              <w:rPr>
                <w:rFonts w:ascii="Arial" w:cs="Arial" w:eastAsia="Arial" w:hAnsi="Arial"/>
                <w:sz w:val="17"/>
                <w:szCs w:val="17"/>
                <w:color w:val="auto"/>
              </w:rPr>
              <w:t>(Dollars in thousands)</w:t>
            </w: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Estimated</w:t>
            </w:r>
          </w:p>
        </w:tc>
        <w:tc>
          <w:tcPr>
            <w:tcW w:w="1220" w:type="dxa"/>
            <w:vAlign w:val="bottom"/>
            <w:gridSpan w:val="5"/>
          </w:tcPr>
          <w:p>
            <w:pPr>
              <w:jc w:val="center"/>
              <w:ind w:right="40"/>
              <w:spacing w:after="0"/>
              <w:rPr>
                <w:sz w:val="20"/>
                <w:szCs w:val="20"/>
                <w:color w:val="auto"/>
              </w:rPr>
            </w:pPr>
            <w:r>
              <w:rPr>
                <w:rFonts w:ascii="Arial" w:cs="Arial" w:eastAsia="Arial" w:hAnsi="Arial"/>
                <w:sz w:val="17"/>
                <w:szCs w:val="17"/>
                <w:color w:val="auto"/>
                <w:w w:val="92"/>
              </w:rPr>
              <w:t>Gross Carrying</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200" w:type="dxa"/>
            <w:vAlign w:val="bottom"/>
            <w:tcBorders>
              <w:bottom w:val="single" w:sz="8" w:color="auto"/>
            </w:tcBorders>
            <w:gridSpan w:val="2"/>
          </w:tcPr>
          <w:p>
            <w:pPr>
              <w:spacing w:after="0" w:line="179" w:lineRule="exact"/>
              <w:rPr>
                <w:sz w:val="20"/>
                <w:szCs w:val="20"/>
                <w:color w:val="auto"/>
              </w:rPr>
            </w:pPr>
            <w:r>
              <w:rPr>
                <w:rFonts w:ascii="Arial" w:cs="Arial" w:eastAsia="Arial" w:hAnsi="Arial"/>
                <w:sz w:val="17"/>
                <w:szCs w:val="17"/>
                <w:color w:val="auto"/>
                <w:w w:val="89"/>
              </w:rPr>
              <w:t>October 31, 2009</w:t>
            </w:r>
          </w:p>
        </w:tc>
        <w:tc>
          <w:tcPr>
            <w:tcW w:w="4860" w:type="dxa"/>
            <w:vAlign w:val="bottom"/>
          </w:tcPr>
          <w:p>
            <w:pPr>
              <w:spacing w:after="0"/>
              <w:rPr>
                <w:sz w:val="15"/>
                <w:szCs w:val="15"/>
                <w:color w:val="auto"/>
              </w:rPr>
            </w:pPr>
          </w:p>
        </w:tc>
        <w:tc>
          <w:tcPr>
            <w:tcW w:w="1380" w:type="dxa"/>
            <w:vAlign w:val="bottom"/>
            <w:gridSpan w:val="2"/>
          </w:tcPr>
          <w:p>
            <w:pPr>
              <w:jc w:val="center"/>
              <w:ind w:right="200"/>
              <w:spacing w:after="0" w:line="179" w:lineRule="exact"/>
              <w:rPr>
                <w:sz w:val="20"/>
                <w:szCs w:val="20"/>
                <w:color w:val="auto"/>
              </w:rPr>
            </w:pPr>
            <w:r>
              <w:rPr>
                <w:rFonts w:ascii="Arial" w:cs="Arial" w:eastAsia="Arial" w:hAnsi="Arial"/>
                <w:sz w:val="17"/>
                <w:szCs w:val="17"/>
                <w:color w:val="auto"/>
                <w:w w:val="93"/>
              </w:rPr>
              <w:t>Life (Years)</w:t>
            </w:r>
          </w:p>
        </w:tc>
        <w:tc>
          <w:tcPr>
            <w:tcW w:w="120" w:type="dxa"/>
            <w:vAlign w:val="bottom"/>
          </w:tcPr>
          <w:p>
            <w:pPr>
              <w:spacing w:after="0"/>
              <w:rPr>
                <w:sz w:val="15"/>
                <w:szCs w:val="15"/>
                <w:color w:val="auto"/>
              </w:rPr>
            </w:pPr>
          </w:p>
        </w:tc>
        <w:tc>
          <w:tcPr>
            <w:tcW w:w="1100" w:type="dxa"/>
            <w:vAlign w:val="bottom"/>
            <w:gridSpan w:val="4"/>
          </w:tcPr>
          <w:p>
            <w:pPr>
              <w:jc w:val="center"/>
              <w:ind w:right="160"/>
              <w:spacing w:after="0" w:line="179" w:lineRule="exact"/>
              <w:rPr>
                <w:sz w:val="20"/>
                <w:szCs w:val="20"/>
                <w:color w:val="auto"/>
              </w:rPr>
            </w:pPr>
            <w:r>
              <w:rPr>
                <w:rFonts w:ascii="Arial" w:cs="Arial" w:eastAsia="Arial" w:hAnsi="Arial"/>
                <w:sz w:val="17"/>
                <w:szCs w:val="17"/>
                <w:color w:val="auto"/>
                <w:w w:val="92"/>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240"/>
              <w:spacing w:after="0" w:line="179" w:lineRule="exact"/>
              <w:rPr>
                <w:sz w:val="20"/>
                <w:szCs w:val="20"/>
                <w:color w:val="auto"/>
              </w:rPr>
            </w:pPr>
            <w:r>
              <w:rPr>
                <w:rFonts w:ascii="Arial" w:cs="Arial" w:eastAsia="Arial" w:hAnsi="Arial"/>
                <w:sz w:val="17"/>
                <w:szCs w:val="17"/>
                <w:color w:val="auto"/>
                <w:w w:val="95"/>
              </w:rPr>
              <w:t>Amortization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460"/>
              <w:spacing w:after="0" w:line="179" w:lineRule="exact"/>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4"/>
        </w:trPr>
        <w:tc>
          <w:tcPr>
            <w:tcW w:w="6060" w:type="dxa"/>
            <w:vAlign w:val="bottom"/>
            <w:gridSpan w:val="3"/>
            <w:vMerge w:val="restart"/>
          </w:tcPr>
          <w:p>
            <w:pPr>
              <w:spacing w:after="0"/>
              <w:rPr>
                <w:sz w:val="20"/>
                <w:szCs w:val="20"/>
                <w:color w:val="auto"/>
              </w:rPr>
            </w:pPr>
            <w:r>
              <w:rPr>
                <w:rFonts w:ascii="Arial" w:cs="Arial" w:eastAsia="Arial" w:hAnsi="Arial"/>
                <w:sz w:val="17"/>
                <w:szCs w:val="17"/>
                <w:color w:val="auto"/>
              </w:rPr>
              <w:t>Patents</w:t>
            </w: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060" w:type="dxa"/>
            <w:vAlign w:val="bottom"/>
            <w:gridSpan w:val="3"/>
            <w:vMerge w:val="continue"/>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7"/>
                <w:szCs w:val="17"/>
                <w:color w:val="auto"/>
              </w:rPr>
              <w:t>5-13</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8,654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(6,641)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Non-compete agreements</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2,839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(1,517)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Customer related</w:t>
            </w:r>
          </w:p>
        </w:tc>
        <w:tc>
          <w:tcPr>
            <w:tcW w:w="1160" w:type="dxa"/>
            <w:vAlign w:val="bottom"/>
          </w:tcPr>
          <w:p>
            <w:pPr>
              <w:jc w:val="right"/>
              <w:spacing w:after="0"/>
              <w:rPr>
                <w:sz w:val="20"/>
                <w:szCs w:val="20"/>
                <w:color w:val="auto"/>
              </w:rPr>
            </w:pPr>
            <w:r>
              <w:rPr>
                <w:rFonts w:ascii="Arial" w:cs="Arial" w:eastAsia="Arial" w:hAnsi="Arial"/>
                <w:sz w:val="17"/>
                <w:szCs w:val="17"/>
                <w:color w:val="auto"/>
              </w:rPr>
              <w:t>10-13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6,549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(1,458)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5,091</w:t>
            </w: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Developed technology</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2-10</w:t>
            </w:r>
          </w:p>
        </w:tc>
        <w:tc>
          <w:tcPr>
            <w:tcW w:w="120" w:type="dxa"/>
            <w:vAlign w:val="bottom"/>
          </w:tcPr>
          <w:p>
            <w:pPr>
              <w:spacing w:after="0"/>
              <w:rPr>
                <w:sz w:val="17"/>
                <w:szCs w:val="17"/>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7"/>
                <w:szCs w:val="17"/>
                <w:color w:val="auto"/>
              </w:rPr>
              <w:t>12,799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(3,182)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9,617</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7"/>
                <w:szCs w:val="17"/>
                <w:color w:val="auto"/>
              </w:rPr>
              <w:t>Other</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7"/>
                <w:szCs w:val="17"/>
                <w:color w:val="auto"/>
              </w:rPr>
              <w:t>800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7"/>
                <w:szCs w:val="17"/>
                <w:color w:val="auto"/>
              </w:rPr>
              <w:t>(800)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6060" w:type="dxa"/>
            <w:vAlign w:val="bottom"/>
            <w:gridSpan w:val="3"/>
          </w:tcPr>
          <w:p>
            <w:pPr>
              <w:ind w:left="120"/>
              <w:spacing w:after="0" w:line="193" w:lineRule="exact"/>
              <w:rPr>
                <w:sz w:val="20"/>
                <w:szCs w:val="20"/>
                <w:color w:val="auto"/>
              </w:rPr>
            </w:pPr>
            <w:r>
              <w:rPr>
                <w:rFonts w:ascii="Arial" w:cs="Arial" w:eastAsia="Arial" w:hAnsi="Arial"/>
                <w:sz w:val="17"/>
                <w:szCs w:val="17"/>
                <w:color w:val="auto"/>
              </w:rPr>
              <w:t>Total amortizable</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4"/>
          </w:tcPr>
          <w:p>
            <w:pPr>
              <w:jc w:val="right"/>
              <w:ind w:right="40"/>
              <w:spacing w:after="0" w:line="193" w:lineRule="exact"/>
              <w:rPr>
                <w:sz w:val="20"/>
                <w:szCs w:val="20"/>
                <w:color w:val="auto"/>
              </w:rPr>
            </w:pPr>
            <w:r>
              <w:rPr>
                <w:rFonts w:ascii="Arial" w:cs="Arial" w:eastAsia="Arial" w:hAnsi="Arial"/>
                <w:sz w:val="17"/>
                <w:szCs w:val="17"/>
                <w:color w:val="auto"/>
              </w:rPr>
              <w:t>31,641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right"/>
              <w:spacing w:after="0" w:line="193" w:lineRule="exact"/>
              <w:rPr>
                <w:sz w:val="20"/>
                <w:szCs w:val="20"/>
                <w:color w:val="auto"/>
              </w:rPr>
            </w:pPr>
            <w:r>
              <w:rPr>
                <w:rFonts w:ascii="Arial" w:cs="Arial" w:eastAsia="Arial" w:hAnsi="Arial"/>
                <w:sz w:val="17"/>
                <w:szCs w:val="17"/>
                <w:color w:val="auto"/>
              </w:rPr>
              <w:t>(13,598)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18,043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7"/>
                <w:szCs w:val="17"/>
                <w:color w:val="auto"/>
              </w:rPr>
              <w:t>Non-amortizable - Trade names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color w:val="auto"/>
              </w:rPr>
              <w:t>5,281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5,281</w:t>
            </w:r>
          </w:p>
        </w:tc>
        <w:tc>
          <w:tcPr>
            <w:tcW w:w="0" w:type="dxa"/>
            <w:vAlign w:val="bottom"/>
          </w:tcPr>
          <w:p>
            <w:pPr>
              <w:spacing w:after="0"/>
              <w:rPr>
                <w:sz w:val="1"/>
                <w:szCs w:val="1"/>
                <w:color w:val="auto"/>
              </w:rPr>
            </w:pPr>
          </w:p>
        </w:tc>
      </w:tr>
      <w:tr>
        <w:trPr>
          <w:trHeight w:val="205"/>
        </w:trPr>
        <w:tc>
          <w:tcPr>
            <w:tcW w:w="6060" w:type="dxa"/>
            <w:vAlign w:val="bottom"/>
            <w:gridSpan w:val="3"/>
          </w:tcPr>
          <w:p>
            <w:pPr>
              <w:spacing w:after="0"/>
              <w:rPr>
                <w:sz w:val="20"/>
                <w:szCs w:val="20"/>
                <w:color w:val="auto"/>
              </w:rPr>
            </w:pPr>
            <w:r>
              <w:rPr>
                <w:rFonts w:ascii="Arial" w:cs="Arial" w:eastAsia="Arial" w:hAnsi="Arial"/>
                <w:sz w:val="17"/>
                <w:szCs w:val="17"/>
                <w:color w:val="auto"/>
              </w:rPr>
              <w:t>Total other intangible assets, net</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36,922</w:t>
            </w:r>
          </w:p>
        </w:tc>
        <w:tc>
          <w:tcPr>
            <w:tcW w:w="20" w:type="dxa"/>
            <w:vAlign w:val="bottom"/>
            <w:tcBorders>
              <w:bottom w:val="single" w:sz="8" w:color="auto"/>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(13,598)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20" w:firstLine="204"/>
        <w:spacing w:after="0" w:line="263" w:lineRule="auto"/>
        <w:rPr>
          <w:sz w:val="20"/>
          <w:szCs w:val="20"/>
          <w:color w:val="auto"/>
        </w:rPr>
      </w:pPr>
      <w:r>
        <w:rPr>
          <w:rFonts w:ascii="Arial" w:cs="Arial" w:eastAsia="Arial" w:hAnsi="Arial"/>
          <w:sz w:val="17"/>
          <w:szCs w:val="17"/>
          <w:color w:val="auto"/>
        </w:rPr>
        <w:t>Amortization expense for intangible assets during the first six months of fiscal 2010 was $1.3 million. Estimated amortization expense for the remainder of fiscal 2010 and succeeding fiscal years is as follows: fiscal 2010 (remainder), $1.4 million; fiscal 2011, $2.9 million; fiscal 2012, $2.8 million; fiscal 2013, $2.6 million; fiscal 2014, $2.3 million; fiscal 2015, $2.1 million; and after fiscal 2015, $5.0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Joint Venture</w:t>
      </w:r>
    </w:p>
    <w:p>
      <w:pPr>
        <w:spacing w:after="0" w:line="24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On August 12, 2009, the company and TCF Inventory Finance, Inc. (TCFIF), a subsidiary of TCF National Bank, established a joint venture in the form of a Delaware limited liability company named Red Iron Acceptance, LLC (Red Iron) to provide inventory financing, including floor plan and open account receivable financing, to distributors and dealers of the company’s products in the U.S. and to select distributors of the company’s products in Canada. The initial term of the joint venture will continue until October 31, 2014, subject to unlimited automatic two-year extensions thereafter. Either the company or TCFIF may elect not to extend the initial term or any subsequent term by giving one-year notice to the other party of its intention not to extend the term. Red Iron began financing floor plan receivables during the company&amp; #8217;s fourth quarter of fiscal 2009.</w:t>
      </w:r>
    </w:p>
    <w:p>
      <w:pPr>
        <w:spacing w:after="0" w:line="3" w:lineRule="exact"/>
        <w:rPr>
          <w:sz w:val="20"/>
          <w:szCs w:val="20"/>
          <w:color w:val="auto"/>
        </w:rPr>
      </w:pPr>
    </w:p>
    <w:p>
      <w:pPr>
        <w:ind w:right="240" w:firstLine="210"/>
        <w:spacing w:after="0" w:line="299" w:lineRule="auto"/>
        <w:rPr>
          <w:sz w:val="20"/>
          <w:szCs w:val="20"/>
          <w:color w:val="auto"/>
        </w:rPr>
      </w:pPr>
      <w:r>
        <w:rPr>
          <w:rFonts w:ascii="Arial" w:cs="Arial" w:eastAsia="Arial" w:hAnsi="Arial"/>
          <w:sz w:val="15"/>
          <w:szCs w:val="15"/>
          <w:color w:val="auto"/>
        </w:rPr>
        <w:t>The company sells to Red Iron certain inventory receivables, including floor plan and open account receivables, from distributors and dealers of the company’s products, at a purchase price equal to the face value of the receivables. As the company sells receivables to Red Iron, the company derecognizes non-recourse receivables from its books upon receipt of cash from Red Iron for receivables sold. During the first quarter of fiscal 2010, the company sold to Red Iron open account receivables for customers whose floor plan receivables were sold to Red Iron during the fourth quarter of fiscal 2009, as well as</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494"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for customers whose floor plan receivables were previously financed by a third party financing company, in the aggregate amount of $18.1 million.</w:t>
      </w:r>
    </w:p>
    <w:p>
      <w:pPr>
        <w:spacing w:after="0" w:line="20" w:lineRule="exact"/>
        <w:rPr>
          <w:sz w:val="20"/>
          <w:szCs w:val="20"/>
          <w:color w:val="auto"/>
        </w:rPr>
      </w:pPr>
    </w:p>
    <w:p>
      <w:pPr>
        <w:ind w:right="200" w:firstLine="210"/>
        <w:spacing w:after="0" w:line="266" w:lineRule="auto"/>
        <w:rPr>
          <w:sz w:val="20"/>
          <w:szCs w:val="20"/>
          <w:color w:val="auto"/>
        </w:rPr>
      </w:pPr>
      <w:r>
        <w:rPr>
          <w:rFonts w:ascii="Arial" w:cs="Arial" w:eastAsia="Arial" w:hAnsi="Arial"/>
          <w:sz w:val="16"/>
          <w:szCs w:val="16"/>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April 30, 2010 was $13.6 million. The company has not guaranteed the outstanding indebtedness of Red Iron. The company has agreed to repurchase products r epossessed by Red Iron, up to a maximum aggregate amount of $7.5 million in a calendar year. In addition, the company provided recourse to Red Iron for certain outstanding receivables, which amounted to $0.5 million as of April 30, 2010.</w:t>
      </w:r>
    </w:p>
    <w:p>
      <w:pPr>
        <w:spacing w:after="0" w:line="5" w:lineRule="exact"/>
        <w:rPr>
          <w:sz w:val="20"/>
          <w:szCs w:val="20"/>
          <w:color w:val="auto"/>
        </w:rPr>
      </w:pPr>
    </w:p>
    <w:p>
      <w:pPr>
        <w:ind w:right="540" w:firstLine="213"/>
        <w:spacing w:after="0" w:line="256" w:lineRule="auto"/>
        <w:rPr>
          <w:sz w:val="20"/>
          <w:szCs w:val="20"/>
          <w:color w:val="auto"/>
        </w:rPr>
      </w:pPr>
      <w:r>
        <w:rPr>
          <w:rFonts w:ascii="Arial" w:cs="Arial" w:eastAsia="Arial" w:hAnsi="Arial"/>
          <w:sz w:val="17"/>
          <w:szCs w:val="17"/>
          <w:color w:val="auto"/>
        </w:rPr>
        <w:t>Red Iron purchased $399.4 million of receivables from the company during the first six months of fiscal 2010, which includes the initial purchase of open accounts receivable in the aggregate amount of $18.1 million. As of April 30, 2010, Red Iron’s total assets were $269.0 million and total liabilities were $238.7 million. Red Iron’s net income from operations since inception through April 30, 2010 was $0.5 million.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Data</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a wholly owned domestic distribution company, has been combined with our corporate activities and elimination of intersegment revenues and expenses that is shown as “Other” in the following tables.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gridSpan w:val="5"/>
          </w:tcPr>
          <w:p>
            <w:pPr>
              <w:spacing w:after="0"/>
              <w:rPr>
                <w:sz w:val="20"/>
                <w:szCs w:val="20"/>
                <w:color w:val="auto"/>
              </w:rPr>
            </w:pPr>
            <w:r>
              <w:rPr>
                <w:rFonts w:ascii="Arial" w:cs="Arial" w:eastAsia="Arial" w:hAnsi="Arial"/>
                <w:sz w:val="17"/>
                <w:szCs w:val="17"/>
                <w:color w:val="auto"/>
              </w:rPr>
              <w:t>(Dollars in thousands)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auto"/>
            </w:tcBorders>
            <w:gridSpan w:val="4"/>
          </w:tcPr>
          <w:p>
            <w:pPr>
              <w:spacing w:after="0" w:line="179" w:lineRule="exact"/>
              <w:rPr>
                <w:sz w:val="20"/>
                <w:szCs w:val="20"/>
                <w:color w:val="auto"/>
              </w:rPr>
            </w:pPr>
            <w:r>
              <w:rPr>
                <w:rFonts w:ascii="Arial" w:cs="Arial" w:eastAsia="Arial" w:hAnsi="Arial"/>
                <w:sz w:val="17"/>
                <w:szCs w:val="17"/>
                <w:color w:val="auto"/>
                <w:w w:val="90"/>
              </w:rPr>
              <w:t>Three months ended April 30, 2010</w:t>
            </w:r>
          </w:p>
        </w:tc>
        <w:tc>
          <w:tcPr>
            <w:tcW w:w="1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40"/>
              <w:spacing w:after="0" w:line="179" w:lineRule="exact"/>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15"/>
                <w:szCs w:val="15"/>
                <w:color w:val="auto"/>
              </w:rPr>
            </w:pPr>
          </w:p>
        </w:tc>
        <w:tc>
          <w:tcPr>
            <w:tcW w:w="1140" w:type="dxa"/>
            <w:vAlign w:val="bottom"/>
            <w:gridSpan w:val="2"/>
          </w:tcPr>
          <w:p>
            <w:pPr>
              <w:ind w:left="60"/>
              <w:spacing w:after="0" w:line="179" w:lineRule="exact"/>
              <w:rPr>
                <w:sz w:val="20"/>
                <w:szCs w:val="20"/>
                <w:color w:val="auto"/>
              </w:rPr>
            </w:pPr>
            <w:r>
              <w:rPr>
                <w:rFonts w:ascii="Arial" w:cs="Arial" w:eastAsia="Arial" w:hAnsi="Arial"/>
                <w:sz w:val="17"/>
                <w:szCs w:val="17"/>
                <w:color w:val="auto"/>
              </w:rPr>
              <w:t>Residential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600"/>
              <w:spacing w:after="0" w:line="179" w:lineRule="exact"/>
              <w:rPr>
                <w:sz w:val="20"/>
                <w:szCs w:val="20"/>
                <w:color w:val="auto"/>
              </w:rPr>
            </w:pPr>
            <w:r>
              <w:rPr>
                <w:rFonts w:ascii="Arial" w:cs="Arial" w:eastAsia="Arial" w:hAnsi="Arial"/>
                <w:sz w:val="17"/>
                <w:szCs w:val="17"/>
                <w:color w:val="auto"/>
              </w:rPr>
              <w:t>Other</w:t>
            </w:r>
          </w:p>
        </w:tc>
        <w:tc>
          <w:tcPr>
            <w:tcW w:w="240" w:type="dxa"/>
            <w:vAlign w:val="bottom"/>
          </w:tcPr>
          <w:p>
            <w:pPr>
              <w:spacing w:after="0"/>
              <w:rPr>
                <w:sz w:val="15"/>
                <w:szCs w:val="15"/>
                <w:color w:val="auto"/>
              </w:rPr>
            </w:pPr>
          </w:p>
        </w:tc>
        <w:tc>
          <w:tcPr>
            <w:tcW w:w="980" w:type="dxa"/>
            <w:vAlign w:val="bottom"/>
            <w:gridSpan w:val="2"/>
          </w:tcPr>
          <w:p>
            <w:pPr>
              <w:jc w:val="right"/>
              <w:ind w:right="480"/>
              <w:spacing w:after="0" w:line="179" w:lineRule="exact"/>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4"/>
        </w:trPr>
        <w:tc>
          <w:tcPr>
            <w:tcW w:w="4040" w:type="dxa"/>
            <w:vAlign w:val="bottom"/>
            <w:gridSpan w:val="5"/>
            <w:vMerge w:val="restart"/>
          </w:tcPr>
          <w:p>
            <w:pPr>
              <w:spacing w:after="0"/>
              <w:rPr>
                <w:sz w:val="20"/>
                <w:szCs w:val="20"/>
                <w:color w:val="auto"/>
              </w:rPr>
            </w:pPr>
            <w:r>
              <w:rPr>
                <w:rFonts w:ascii="Arial" w:cs="Arial" w:eastAsia="Arial" w:hAnsi="Arial"/>
                <w:sz w:val="17"/>
                <w:szCs w:val="17"/>
                <w:color w:val="auto"/>
              </w:rPr>
              <w:t>Net sales</w:t>
            </w:r>
          </w:p>
        </w:tc>
        <w:tc>
          <w:tcPr>
            <w:tcW w:w="2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40" w:type="dxa"/>
            <w:vAlign w:val="bottom"/>
            <w:gridSpan w:val="5"/>
            <w:vMerge w:val="continue"/>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3" w:lineRule="exact"/>
              <w:rPr>
                <w:sz w:val="20"/>
                <w:szCs w:val="20"/>
                <w:color w:val="auto"/>
              </w:rPr>
            </w:pPr>
            <w:r>
              <w:rPr>
                <w:rFonts w:ascii="Arial" w:cs="Arial" w:eastAsia="Arial" w:hAnsi="Arial"/>
                <w:sz w:val="17"/>
                <w:szCs w:val="17"/>
                <w:color w:val="auto"/>
              </w:rPr>
              <w:t>349,576</w:t>
            </w:r>
          </w:p>
        </w:tc>
        <w:tc>
          <w:tcPr>
            <w:tcW w:w="220" w:type="dxa"/>
            <w:vAlign w:val="bottom"/>
          </w:tcPr>
          <w:p>
            <w:pPr>
              <w:spacing w:after="0"/>
              <w:rPr>
                <w:sz w:val="16"/>
                <w:szCs w:val="16"/>
                <w:color w:val="auto"/>
              </w:rPr>
            </w:pPr>
          </w:p>
        </w:tc>
        <w:tc>
          <w:tcPr>
            <w:tcW w:w="14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3" w:lineRule="exact"/>
              <w:rPr>
                <w:sz w:val="20"/>
                <w:szCs w:val="20"/>
                <w:color w:val="auto"/>
              </w:rPr>
            </w:pPr>
            <w:r>
              <w:rPr>
                <w:rFonts w:ascii="Arial" w:cs="Arial" w:eastAsia="Arial" w:hAnsi="Arial"/>
                <w:sz w:val="17"/>
                <w:szCs w:val="17"/>
                <w:color w:val="auto"/>
              </w:rPr>
              <w:t>210,098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55"/>
              <w:spacing w:after="0" w:line="193" w:lineRule="exact"/>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3,145</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562,819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gridSpan w:val="5"/>
          </w:tcPr>
          <w:p>
            <w:pPr>
              <w:spacing w:after="0"/>
              <w:rPr>
                <w:sz w:val="20"/>
                <w:szCs w:val="20"/>
                <w:color w:val="auto"/>
              </w:rPr>
            </w:pPr>
            <w:r>
              <w:rPr>
                <w:rFonts w:ascii="Arial" w:cs="Arial" w:eastAsia="Arial" w:hAnsi="Arial"/>
                <w:sz w:val="17"/>
                <w:szCs w:val="17"/>
                <w:color w:val="auto"/>
              </w:rPr>
              <w:t>Intersegment gross sales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6,258</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(6,317)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040" w:type="dxa"/>
            <w:vAlign w:val="bottom"/>
            <w:gridSpan w:val="5"/>
          </w:tcPr>
          <w:p>
            <w:pPr>
              <w:spacing w:after="0"/>
              <w:rPr>
                <w:sz w:val="20"/>
                <w:szCs w:val="20"/>
                <w:color w:val="auto"/>
              </w:rPr>
            </w:pPr>
            <w:r>
              <w:rPr>
                <w:rFonts w:ascii="Arial" w:cs="Arial" w:eastAsia="Arial" w:hAnsi="Arial"/>
                <w:sz w:val="17"/>
                <w:szCs w:val="17"/>
                <w:color w:val="auto"/>
              </w:rPr>
              <w:t>Earnings (loss) before income taxes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67,603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25,113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(23,959)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68,757</w:t>
            </w:r>
          </w:p>
        </w:tc>
        <w:tc>
          <w:tcPr>
            <w:tcW w:w="0" w:type="dxa"/>
            <w:vAlign w:val="bottom"/>
          </w:tcPr>
          <w:p>
            <w:pPr>
              <w:spacing w:after="0"/>
              <w:rPr>
                <w:sz w:val="1"/>
                <w:szCs w:val="1"/>
                <w:color w:val="auto"/>
              </w:rPr>
            </w:pPr>
          </w:p>
        </w:tc>
      </w:tr>
      <w:tr>
        <w:trPr>
          <w:trHeight w:val="372"/>
        </w:trPr>
        <w:tc>
          <w:tcPr>
            <w:tcW w:w="4040" w:type="dxa"/>
            <w:vAlign w:val="bottom"/>
            <w:gridSpan w:val="5"/>
          </w:tcPr>
          <w:p>
            <w:pPr>
              <w:spacing w:after="0"/>
              <w:rPr>
                <w:sz w:val="20"/>
                <w:szCs w:val="20"/>
                <w:color w:val="auto"/>
              </w:rPr>
            </w:pPr>
            <w:r>
              <w:rPr>
                <w:rFonts w:ascii="Arial" w:cs="Arial" w:eastAsia="Arial" w:hAnsi="Arial"/>
                <w:sz w:val="17"/>
                <w:szCs w:val="17"/>
                <w:color w:val="auto"/>
              </w:rPr>
              <w:t>Three months ended May 1, 2009</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7"/>
                <w:szCs w:val="17"/>
                <w:color w:val="auto"/>
              </w:rPr>
              <w:t>Residential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4"/>
        </w:trPr>
        <w:tc>
          <w:tcPr>
            <w:tcW w:w="230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7"/>
                <w:szCs w:val="17"/>
                <w:color w:val="auto"/>
              </w:rPr>
              <w:t>Net sales</w:t>
            </w:r>
          </w:p>
        </w:tc>
        <w:tc>
          <w:tcPr>
            <w:tcW w:w="1740" w:type="dxa"/>
            <w:vAlign w:val="bottom"/>
            <w:gridSpan w:val="2"/>
            <w:vMerge w:val="restart"/>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300" w:type="dxa"/>
            <w:vAlign w:val="bottom"/>
            <w:gridSpan w:val="3"/>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3" w:lineRule="exact"/>
              <w:rPr>
                <w:sz w:val="20"/>
                <w:szCs w:val="20"/>
                <w:color w:val="auto"/>
              </w:rPr>
            </w:pPr>
            <w:r>
              <w:rPr>
                <w:rFonts w:ascii="Arial" w:cs="Arial" w:eastAsia="Arial" w:hAnsi="Arial"/>
                <w:sz w:val="17"/>
                <w:szCs w:val="17"/>
                <w:color w:val="auto"/>
              </w:rPr>
              <w:t>310,377</w:t>
            </w:r>
          </w:p>
        </w:tc>
        <w:tc>
          <w:tcPr>
            <w:tcW w:w="220" w:type="dxa"/>
            <w:vAlign w:val="bottom"/>
          </w:tcPr>
          <w:p>
            <w:pPr>
              <w:spacing w:after="0"/>
              <w:rPr>
                <w:sz w:val="16"/>
                <w:szCs w:val="16"/>
                <w:color w:val="auto"/>
              </w:rPr>
            </w:pPr>
          </w:p>
        </w:tc>
        <w:tc>
          <w:tcPr>
            <w:tcW w:w="14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3" w:lineRule="exact"/>
              <w:rPr>
                <w:sz w:val="20"/>
                <w:szCs w:val="20"/>
                <w:color w:val="auto"/>
              </w:rPr>
            </w:pPr>
            <w:r>
              <w:rPr>
                <w:rFonts w:ascii="Arial" w:cs="Arial" w:eastAsia="Arial" w:hAnsi="Arial"/>
                <w:sz w:val="17"/>
                <w:szCs w:val="17"/>
                <w:color w:val="auto"/>
              </w:rPr>
              <w:t>183,557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55"/>
              <w:spacing w:after="0" w:line="193" w:lineRule="exact"/>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5,918</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499,852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gridSpan w:val="5"/>
          </w:tcPr>
          <w:p>
            <w:pPr>
              <w:spacing w:after="0"/>
              <w:rPr>
                <w:sz w:val="20"/>
                <w:szCs w:val="20"/>
                <w:color w:val="auto"/>
              </w:rPr>
            </w:pPr>
            <w:r>
              <w:rPr>
                <w:rFonts w:ascii="Arial" w:cs="Arial" w:eastAsia="Arial" w:hAnsi="Arial"/>
                <w:sz w:val="17"/>
                <w:szCs w:val="17"/>
                <w:color w:val="auto"/>
              </w:rPr>
              <w:t>Intersegment gross sales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7,971</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(9,091)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040" w:type="dxa"/>
            <w:vAlign w:val="bottom"/>
            <w:gridSpan w:val="5"/>
          </w:tcPr>
          <w:p>
            <w:pPr>
              <w:spacing w:after="0"/>
              <w:rPr>
                <w:sz w:val="20"/>
                <w:szCs w:val="20"/>
                <w:color w:val="auto"/>
              </w:rPr>
            </w:pPr>
            <w:r>
              <w:rPr>
                <w:rFonts w:ascii="Arial" w:cs="Arial" w:eastAsia="Arial" w:hAnsi="Arial"/>
                <w:sz w:val="17"/>
                <w:szCs w:val="17"/>
                <w:color w:val="auto"/>
              </w:rPr>
              <w:t>Earnings (loss) before income taxes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56,859</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16,581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(17,383)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56,057</w:t>
            </w:r>
          </w:p>
        </w:tc>
        <w:tc>
          <w:tcPr>
            <w:tcW w:w="0" w:type="dxa"/>
            <w:vAlign w:val="bottom"/>
          </w:tcPr>
          <w:p>
            <w:pPr>
              <w:spacing w:after="0"/>
              <w:rPr>
                <w:sz w:val="1"/>
                <w:szCs w:val="1"/>
                <w:color w:val="auto"/>
              </w:rPr>
            </w:pPr>
          </w:p>
        </w:tc>
      </w:tr>
      <w:tr>
        <w:trPr>
          <w:trHeight w:val="372"/>
        </w:trPr>
        <w:tc>
          <w:tcPr>
            <w:tcW w:w="4040" w:type="dxa"/>
            <w:vAlign w:val="bottom"/>
            <w:gridSpan w:val="5"/>
          </w:tcPr>
          <w:p>
            <w:pPr>
              <w:spacing w:after="0"/>
              <w:rPr>
                <w:sz w:val="20"/>
                <w:szCs w:val="20"/>
                <w:color w:val="auto"/>
              </w:rPr>
            </w:pPr>
            <w:r>
              <w:rPr>
                <w:rFonts w:ascii="Arial" w:cs="Arial" w:eastAsia="Arial" w:hAnsi="Arial"/>
                <w:sz w:val="17"/>
                <w:szCs w:val="17"/>
                <w:color w:val="auto"/>
              </w:rPr>
              <w:t>Six months ended April 30, 2010</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7"/>
                <w:szCs w:val="17"/>
                <w:color w:val="auto"/>
              </w:rPr>
              <w:t>Residential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4"/>
        </w:trPr>
        <w:tc>
          <w:tcPr>
            <w:tcW w:w="22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auto"/>
              </w:rPr>
              <w:t>Net sales</w:t>
            </w:r>
          </w:p>
        </w:tc>
        <w:tc>
          <w:tcPr>
            <w:tcW w:w="1780" w:type="dxa"/>
            <w:vAlign w:val="bottom"/>
            <w:gridSpan w:val="3"/>
            <w:vMerge w:val="restart"/>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260" w:type="dxa"/>
            <w:vAlign w:val="bottom"/>
            <w:gridSpan w:val="2"/>
            <w:vMerge w:val="continue"/>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3" w:lineRule="exact"/>
              <w:rPr>
                <w:sz w:val="20"/>
                <w:szCs w:val="20"/>
                <w:color w:val="auto"/>
              </w:rPr>
            </w:pPr>
            <w:r>
              <w:rPr>
                <w:rFonts w:ascii="Arial" w:cs="Arial" w:eastAsia="Arial" w:hAnsi="Arial"/>
                <w:sz w:val="17"/>
                <w:szCs w:val="17"/>
                <w:color w:val="auto"/>
              </w:rPr>
              <w:t>562,376</w:t>
            </w:r>
          </w:p>
        </w:tc>
        <w:tc>
          <w:tcPr>
            <w:tcW w:w="220" w:type="dxa"/>
            <w:vAlign w:val="bottom"/>
          </w:tcPr>
          <w:p>
            <w:pPr>
              <w:spacing w:after="0"/>
              <w:rPr>
                <w:sz w:val="16"/>
                <w:szCs w:val="16"/>
                <w:color w:val="auto"/>
              </w:rPr>
            </w:pPr>
          </w:p>
        </w:tc>
        <w:tc>
          <w:tcPr>
            <w:tcW w:w="14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3" w:lineRule="exact"/>
              <w:rPr>
                <w:sz w:val="20"/>
                <w:szCs w:val="20"/>
                <w:color w:val="auto"/>
              </w:rPr>
            </w:pPr>
            <w:r>
              <w:rPr>
                <w:rFonts w:ascii="Arial" w:cs="Arial" w:eastAsia="Arial" w:hAnsi="Arial"/>
                <w:sz w:val="17"/>
                <w:szCs w:val="17"/>
                <w:color w:val="auto"/>
              </w:rPr>
              <w:t>326,854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55"/>
              <w:spacing w:after="0" w:line="193" w:lineRule="exact"/>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4,947</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894,177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gridSpan w:val="5"/>
          </w:tcPr>
          <w:p>
            <w:pPr>
              <w:spacing w:after="0"/>
              <w:rPr>
                <w:sz w:val="20"/>
                <w:szCs w:val="20"/>
                <w:color w:val="auto"/>
              </w:rPr>
            </w:pPr>
            <w:r>
              <w:rPr>
                <w:rFonts w:ascii="Arial" w:cs="Arial" w:eastAsia="Arial" w:hAnsi="Arial"/>
                <w:sz w:val="17"/>
                <w:szCs w:val="17"/>
                <w:color w:val="auto"/>
              </w:rPr>
              <w:t>Intersegment gross sales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8,370</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(8,691)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040" w:type="dxa"/>
            <w:vAlign w:val="bottom"/>
            <w:gridSpan w:val="5"/>
          </w:tcPr>
          <w:p>
            <w:pPr>
              <w:spacing w:after="0"/>
              <w:rPr>
                <w:sz w:val="20"/>
                <w:szCs w:val="20"/>
                <w:color w:val="auto"/>
              </w:rPr>
            </w:pPr>
            <w:r>
              <w:rPr>
                <w:rFonts w:ascii="Arial" w:cs="Arial" w:eastAsia="Arial" w:hAnsi="Arial"/>
                <w:sz w:val="17"/>
                <w:szCs w:val="17"/>
                <w:color w:val="auto"/>
              </w:rPr>
              <w:t>Earnings (loss) before income taxes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93,413</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38,540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(46,748)</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85,205</w:t>
            </w:r>
          </w:p>
        </w:tc>
        <w:tc>
          <w:tcPr>
            <w:tcW w:w="0" w:type="dxa"/>
            <w:vAlign w:val="bottom"/>
          </w:tcPr>
          <w:p>
            <w:pPr>
              <w:spacing w:after="0"/>
              <w:rPr>
                <w:sz w:val="1"/>
                <w:szCs w:val="1"/>
                <w:color w:val="auto"/>
              </w:rPr>
            </w:pPr>
          </w:p>
        </w:tc>
      </w:tr>
      <w:tr>
        <w:trPr>
          <w:trHeight w:val="216"/>
        </w:trPr>
        <w:tc>
          <w:tcPr>
            <w:tcW w:w="4040" w:type="dxa"/>
            <w:vAlign w:val="bottom"/>
            <w:gridSpan w:val="5"/>
          </w:tcPr>
          <w:p>
            <w:pPr>
              <w:spacing w:after="0"/>
              <w:rPr>
                <w:sz w:val="20"/>
                <w:szCs w:val="20"/>
                <w:color w:val="auto"/>
              </w:rPr>
            </w:pPr>
            <w:r>
              <w:rPr>
                <w:rFonts w:ascii="Arial" w:cs="Arial" w:eastAsia="Arial" w:hAnsi="Arial"/>
                <w:sz w:val="17"/>
                <w:szCs w:val="17"/>
                <w:color w:val="auto"/>
              </w:rPr>
              <w:t>Total assets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491,307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212,857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281,825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985,989</w:t>
            </w:r>
          </w:p>
        </w:tc>
        <w:tc>
          <w:tcPr>
            <w:tcW w:w="0" w:type="dxa"/>
            <w:vAlign w:val="bottom"/>
          </w:tcPr>
          <w:p>
            <w:pPr>
              <w:spacing w:after="0"/>
              <w:rPr>
                <w:sz w:val="1"/>
                <w:szCs w:val="1"/>
                <w:color w:val="auto"/>
              </w:rPr>
            </w:pPr>
          </w:p>
        </w:tc>
      </w:tr>
      <w:tr>
        <w:trPr>
          <w:trHeight w:val="372"/>
        </w:trPr>
        <w:tc>
          <w:tcPr>
            <w:tcW w:w="2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0"/>
              </w:rPr>
              <w:t>Six months ended May 1, 2009</w:t>
            </w:r>
          </w:p>
        </w:tc>
        <w:tc>
          <w:tcPr>
            <w:tcW w:w="1900" w:type="dxa"/>
            <w:vAlign w:val="bottom"/>
            <w:gridSpan w:val="4"/>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7"/>
                <w:szCs w:val="17"/>
                <w:color w:val="auto"/>
              </w:rPr>
              <w:t>Professional</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7"/>
                <w:szCs w:val="17"/>
                <w:color w:val="auto"/>
              </w:rPr>
              <w:t>Residential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4"/>
                <w:szCs w:val="2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4"/>
        </w:trPr>
        <w:tc>
          <w:tcPr>
            <w:tcW w:w="4040" w:type="dxa"/>
            <w:vAlign w:val="bottom"/>
            <w:gridSpan w:val="5"/>
            <w:vMerge w:val="restart"/>
          </w:tcPr>
          <w:p>
            <w:pPr>
              <w:spacing w:after="0"/>
              <w:rPr>
                <w:sz w:val="20"/>
                <w:szCs w:val="20"/>
                <w:color w:val="auto"/>
              </w:rPr>
            </w:pPr>
            <w:r>
              <w:rPr>
                <w:rFonts w:ascii="Arial" w:cs="Arial" w:eastAsia="Arial" w:hAnsi="Arial"/>
                <w:sz w:val="17"/>
                <w:szCs w:val="17"/>
                <w:color w:val="auto"/>
              </w:rPr>
              <w:t>Net sales</w:t>
            </w:r>
          </w:p>
        </w:tc>
        <w:tc>
          <w:tcPr>
            <w:tcW w:w="2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40" w:type="dxa"/>
            <w:vAlign w:val="bottom"/>
            <w:gridSpan w:val="5"/>
            <w:vMerge w:val="continue"/>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93" w:lineRule="exact"/>
              <w:rPr>
                <w:sz w:val="20"/>
                <w:szCs w:val="20"/>
                <w:color w:val="auto"/>
              </w:rPr>
            </w:pPr>
            <w:r>
              <w:rPr>
                <w:rFonts w:ascii="Arial" w:cs="Arial" w:eastAsia="Arial" w:hAnsi="Arial"/>
                <w:sz w:val="17"/>
                <w:szCs w:val="17"/>
                <w:color w:val="auto"/>
              </w:rPr>
              <w:t>539,746</w:t>
            </w:r>
          </w:p>
        </w:tc>
        <w:tc>
          <w:tcPr>
            <w:tcW w:w="220" w:type="dxa"/>
            <w:vAlign w:val="bottom"/>
          </w:tcPr>
          <w:p>
            <w:pPr>
              <w:spacing w:after="0"/>
              <w:rPr>
                <w:sz w:val="16"/>
                <w:szCs w:val="16"/>
                <w:color w:val="auto"/>
              </w:rPr>
            </w:pPr>
          </w:p>
        </w:tc>
        <w:tc>
          <w:tcPr>
            <w:tcW w:w="14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line="193" w:lineRule="exact"/>
              <w:rPr>
                <w:sz w:val="20"/>
                <w:szCs w:val="20"/>
                <w:color w:val="auto"/>
              </w:rPr>
            </w:pPr>
            <w:r>
              <w:rPr>
                <w:rFonts w:ascii="Arial" w:cs="Arial" w:eastAsia="Arial" w:hAnsi="Arial"/>
                <w:sz w:val="17"/>
                <w:szCs w:val="17"/>
                <w:color w:val="auto"/>
              </w:rPr>
              <w:t>290,581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55"/>
              <w:spacing w:after="0" w:line="193" w:lineRule="exact"/>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9,697</w:t>
            </w:r>
          </w:p>
        </w:tc>
        <w:tc>
          <w:tcPr>
            <w:tcW w:w="22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3" w:lineRule="exact"/>
              <w:rPr>
                <w:sz w:val="20"/>
                <w:szCs w:val="20"/>
                <w:color w:val="auto"/>
              </w:rPr>
            </w:pPr>
            <w:r>
              <w:rPr>
                <w:rFonts w:ascii="Arial" w:cs="Arial" w:eastAsia="Arial" w:hAnsi="Arial"/>
                <w:sz w:val="17"/>
                <w:szCs w:val="17"/>
                <w:color w:val="auto"/>
              </w:rPr>
              <w:t>840,024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40" w:type="dxa"/>
            <w:vAlign w:val="bottom"/>
            <w:gridSpan w:val="5"/>
          </w:tcPr>
          <w:p>
            <w:pPr>
              <w:spacing w:after="0"/>
              <w:rPr>
                <w:sz w:val="20"/>
                <w:szCs w:val="20"/>
                <w:color w:val="auto"/>
              </w:rPr>
            </w:pPr>
            <w:r>
              <w:rPr>
                <w:rFonts w:ascii="Arial" w:cs="Arial" w:eastAsia="Arial" w:hAnsi="Arial"/>
                <w:sz w:val="17"/>
                <w:szCs w:val="17"/>
                <w:color w:val="auto"/>
              </w:rPr>
              <w:t>Intersegment gross sales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10,942</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889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(11,831)</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040" w:type="dxa"/>
            <w:vAlign w:val="bottom"/>
            <w:gridSpan w:val="5"/>
          </w:tcPr>
          <w:p>
            <w:pPr>
              <w:spacing w:after="0"/>
              <w:rPr>
                <w:sz w:val="20"/>
                <w:szCs w:val="20"/>
                <w:color w:val="auto"/>
              </w:rPr>
            </w:pPr>
            <w:r>
              <w:rPr>
                <w:rFonts w:ascii="Arial" w:cs="Arial" w:eastAsia="Arial" w:hAnsi="Arial"/>
                <w:sz w:val="17"/>
                <w:szCs w:val="17"/>
                <w:color w:val="auto"/>
              </w:rPr>
              <w:t>Earnings (loss) before income taxes</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86,988</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21,421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(42,199)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66,210</w:t>
            </w:r>
          </w:p>
        </w:tc>
        <w:tc>
          <w:tcPr>
            <w:tcW w:w="0" w:type="dxa"/>
            <w:vAlign w:val="bottom"/>
          </w:tcPr>
          <w:p>
            <w:pPr>
              <w:spacing w:after="0"/>
              <w:rPr>
                <w:sz w:val="1"/>
                <w:szCs w:val="1"/>
                <w:color w:val="auto"/>
              </w:rPr>
            </w:pPr>
          </w:p>
        </w:tc>
      </w:tr>
      <w:tr>
        <w:trPr>
          <w:trHeight w:val="216"/>
        </w:trPr>
        <w:tc>
          <w:tcPr>
            <w:tcW w:w="4040" w:type="dxa"/>
            <w:vAlign w:val="bottom"/>
            <w:gridSpan w:val="5"/>
          </w:tcPr>
          <w:p>
            <w:pPr>
              <w:spacing w:after="0"/>
              <w:rPr>
                <w:sz w:val="20"/>
                <w:szCs w:val="20"/>
                <w:color w:val="auto"/>
              </w:rPr>
            </w:pPr>
            <w:r>
              <w:rPr>
                <w:rFonts w:ascii="Arial" w:cs="Arial" w:eastAsia="Arial" w:hAnsi="Arial"/>
                <w:sz w:val="17"/>
                <w:szCs w:val="17"/>
                <w:color w:val="auto"/>
              </w:rPr>
              <w:t>Total assets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526,061</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243,224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242,059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1,011,344</w:t>
            </w:r>
          </w:p>
        </w:tc>
        <w:tc>
          <w:tcPr>
            <w:tcW w:w="0" w:type="dxa"/>
            <w:vAlign w:val="bottom"/>
          </w:tcPr>
          <w:p>
            <w:pPr>
              <w:spacing w:after="0"/>
              <w:rPr>
                <w:sz w:val="1"/>
                <w:szCs w:val="1"/>
                <w:color w:val="auto"/>
              </w:rPr>
            </w:pPr>
          </w:p>
        </w:tc>
      </w:tr>
      <w:tr>
        <w:trPr>
          <w:trHeight w:val="806"/>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jc w:val="right"/>
              <w:ind w:right="17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0" w:name="page11"/>
    <w:bookmarkEnd w:id="10"/>
    <w:p>
      <w:pPr>
        <w:ind w:left="220"/>
        <w:spacing w:after="0"/>
        <w:rPr>
          <w:sz w:val="20"/>
          <w:szCs w:val="20"/>
          <w:color w:val="auto"/>
        </w:rPr>
      </w:pPr>
      <w:r>
        <w:rPr>
          <w:rFonts w:ascii="Arial" w:cs="Arial" w:eastAsia="Arial" w:hAnsi="Arial"/>
          <w:sz w:val="17"/>
          <w:szCs w:val="17"/>
          <w:color w:val="auto"/>
        </w:rPr>
        <w:t>The following table presents the details of the Other segment operating loss before income taxes: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6"/>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7"/>
                <w:szCs w:val="17"/>
                <w:color w:val="auto"/>
              </w:rPr>
              <w:t>Six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right"/>
              <w:ind w:right="500"/>
              <w:spacing w:after="0" w:line="193" w:lineRule="exact"/>
              <w:rPr>
                <w:sz w:val="20"/>
                <w:szCs w:val="20"/>
                <w:color w:val="auto"/>
              </w:rPr>
            </w:pPr>
            <w:r>
              <w:rPr>
                <w:rFonts w:ascii="Arial" w:cs="Arial" w:eastAsia="Arial" w:hAnsi="Arial"/>
                <w:sz w:val="17"/>
                <w:szCs w:val="17"/>
                <w:color w:val="auto"/>
              </w:rPr>
              <w:t>April 30,</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5"/>
              <w:spacing w:after="0" w:line="193" w:lineRule="exact"/>
              <w:rPr>
                <w:sz w:val="20"/>
                <w:szCs w:val="20"/>
                <w:color w:val="auto"/>
              </w:rPr>
            </w:pPr>
            <w:r>
              <w:rPr>
                <w:rFonts w:ascii="Arial" w:cs="Arial" w:eastAsia="Arial" w:hAnsi="Arial"/>
                <w:sz w:val="17"/>
                <w:szCs w:val="17"/>
                <w:color w:val="auto"/>
              </w:rPr>
              <w:t>May 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80"/>
              <w:spacing w:after="0" w:line="193" w:lineRule="exact"/>
              <w:rPr>
                <w:sz w:val="20"/>
                <w:szCs w:val="20"/>
                <w:color w:val="auto"/>
              </w:rPr>
            </w:pPr>
            <w:r>
              <w:rPr>
                <w:rFonts w:ascii="Arial" w:cs="Arial" w:eastAsia="Arial" w:hAnsi="Arial"/>
                <w:sz w:val="17"/>
                <w:szCs w:val="17"/>
                <w:color w:val="auto"/>
              </w:rPr>
              <w:t>April 30,</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1,</w:t>
            </w:r>
          </w:p>
        </w:tc>
        <w:tc>
          <w:tcPr>
            <w:tcW w:w="6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60" w:type="dxa"/>
            <w:vAlign w:val="bottom"/>
          </w:tcPr>
          <w:p>
            <w:pPr>
              <w:spacing w:after="0"/>
              <w:rPr>
                <w:sz w:val="19"/>
                <w:szCs w:val="19"/>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Corporate expenses</w:t>
            </w: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(20,452)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jc w:val="right"/>
              <w:ind w:right="35"/>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(17,437)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(38,396)</w:t>
            </w:r>
          </w:p>
        </w:tc>
        <w:tc>
          <w:tcPr>
            <w:tcW w:w="2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rPr>
              <w:t>(39,813)</w:t>
            </w:r>
          </w:p>
        </w:tc>
        <w:tc>
          <w:tcPr>
            <w:tcW w:w="60" w:type="dxa"/>
            <w:vAlign w:val="bottom"/>
          </w:tcPr>
          <w:p>
            <w:pPr>
              <w:spacing w:after="0"/>
              <w:rPr>
                <w:sz w:val="16"/>
                <w:szCs w:val="16"/>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Finance charge revenue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521</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Elimination of corporate financing</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6060" w:type="dxa"/>
            <w:vAlign w:val="bottom"/>
          </w:tcPr>
          <w:p>
            <w:pPr>
              <w:ind w:left="80"/>
              <w:spacing w:after="0"/>
              <w:rPr>
                <w:sz w:val="20"/>
                <w:szCs w:val="20"/>
                <w:color w:val="auto"/>
              </w:rPr>
            </w:pPr>
            <w:r>
              <w:rPr>
                <w:rFonts w:ascii="Arial" w:cs="Arial" w:eastAsia="Arial" w:hAnsi="Arial"/>
                <w:sz w:val="17"/>
                <w:szCs w:val="17"/>
                <w:color w:val="auto"/>
              </w:rPr>
              <w:t>expense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3,573</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(4,271)</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(4,420)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(8,516)</w:t>
            </w: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(8,778)</w:t>
            </w: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764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164</w:t>
            </w:r>
          </w:p>
        </w:tc>
        <w:tc>
          <w:tcPr>
            <w:tcW w:w="2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2,298</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(23,959)</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(17,383)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(46,748)</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(42,199)</w:t>
            </w:r>
          </w:p>
        </w:tc>
        <w:tc>
          <w:tcPr>
            <w:tcW w:w="6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Guarantees</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w:t>
      </w:r>
    </w:p>
    <w:tbl>
      <w:tblPr>
        <w:tblLayout w:type="fixed"/>
        <w:tblInd w:w="0" w:type="dxa"/>
        <w:tblCellMar>
          <w:top w:w="0" w:type="dxa"/>
          <w:left w:w="0" w:type="dxa"/>
          <w:bottom w:w="0" w:type="dxa"/>
          <w:right w:w="0" w:type="dxa"/>
        </w:tblCellMar>
      </w:tblPr>
      <w:tr>
        <w:trPr>
          <w:trHeight w:val="195"/>
        </w:trPr>
        <w:tc>
          <w:tcPr>
            <w:tcW w:w="10140" w:type="dxa"/>
            <w:vAlign w:val="bottom"/>
            <w:gridSpan w:val="20"/>
          </w:tcPr>
          <w:p>
            <w:pPr>
              <w:spacing w:after="0"/>
              <w:rPr>
                <w:sz w:val="20"/>
                <w:szCs w:val="20"/>
                <w:color w:val="auto"/>
              </w:rPr>
            </w:pPr>
            <w:r>
              <w:rPr>
                <w:rFonts w:ascii="Arial" w:cs="Arial" w:eastAsia="Arial" w:hAnsi="Arial"/>
                <w:sz w:val="17"/>
                <w:szCs w:val="17"/>
                <w:color w:val="auto"/>
                <w:w w:val="90"/>
              </w:rPr>
              <w:t>campaigns. The company also sells extended warranty coverage on select products for a prescribed period after the factory warranty period expires.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8820" w:type="dxa"/>
            <w:vAlign w:val="bottom"/>
            <w:gridSpan w:val="15"/>
          </w:tcPr>
          <w:p>
            <w:pPr>
              <w:ind w:left="220"/>
              <w:spacing w:after="0"/>
              <w:rPr>
                <w:sz w:val="20"/>
                <w:szCs w:val="20"/>
                <w:color w:val="auto"/>
              </w:rPr>
            </w:pPr>
            <w:r>
              <w:rPr>
                <w:rFonts w:ascii="Arial" w:cs="Arial" w:eastAsia="Arial" w:hAnsi="Arial"/>
                <w:sz w:val="17"/>
                <w:szCs w:val="17"/>
                <w:color w:val="auto"/>
                <w:w w:val="91"/>
              </w:rPr>
              <w:t>Warranty provisions, claims, and changes in estimates for the first six-month periods in fiscal 2010 and 2009 were as follows: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Beginning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color w:val="auto"/>
                <w:w w:val="89"/>
              </w:rPr>
              <w:t>Warranty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7"/>
                <w:szCs w:val="17"/>
                <w:color w:val="auto"/>
                <w:w w:val="92"/>
              </w:rPr>
              <w:t>Warranty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7"/>
                <w:szCs w:val="17"/>
                <w:color w:val="auto"/>
                <w:w w:val="88"/>
              </w:rPr>
              <w:t>Changes in</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Ending</w:t>
            </w:r>
          </w:p>
        </w:tc>
      </w:tr>
      <w:tr>
        <w:trPr>
          <w:trHeight w:val="223"/>
        </w:trPr>
        <w:tc>
          <w:tcPr>
            <w:tcW w:w="4580" w:type="dxa"/>
            <w:vAlign w:val="bottom"/>
          </w:tcPr>
          <w:p>
            <w:pPr>
              <w:spacing w:after="0"/>
              <w:rPr>
                <w:sz w:val="20"/>
                <w:szCs w:val="20"/>
                <w:color w:val="auto"/>
              </w:rPr>
            </w:pPr>
            <w:r>
              <w:rPr>
                <w:rFonts w:ascii="Arial" w:cs="Arial" w:eastAsia="Arial" w:hAnsi="Arial"/>
                <w:sz w:val="17"/>
                <w:szCs w:val="17"/>
                <w:color w:val="auto"/>
              </w:rPr>
              <w:t>Six Months Ended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color w:val="auto"/>
                <w:w w:val="87"/>
              </w:rPr>
              <w:t>Balance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7"/>
                <w:szCs w:val="17"/>
                <w:color w:val="auto"/>
                <w:w w:val="91"/>
              </w:rPr>
              <w:t>Provisions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7"/>
                <w:szCs w:val="17"/>
                <w:color w:val="auto"/>
                <w:w w:val="92"/>
              </w:rPr>
              <w:t>Claims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7"/>
                <w:szCs w:val="17"/>
                <w:color w:val="auto"/>
                <w:w w:val="88"/>
              </w:rPr>
              <w:t>Estimates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Balance</w:t>
            </w:r>
          </w:p>
        </w:tc>
      </w:tr>
      <w:tr>
        <w:trPr>
          <w:trHeight w:val="216"/>
        </w:trPr>
        <w:tc>
          <w:tcPr>
            <w:tcW w:w="45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April 30, 2010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ind w:left="540"/>
              <w:spacing w:after="0"/>
              <w:rPr>
                <w:sz w:val="20"/>
                <w:szCs w:val="20"/>
                <w:color w:val="auto"/>
              </w:rPr>
            </w:pPr>
            <w:r>
              <w:rPr>
                <w:rFonts w:ascii="Arial" w:cs="Arial" w:eastAsia="Arial" w:hAnsi="Arial"/>
                <w:sz w:val="17"/>
                <w:szCs w:val="17"/>
                <w:color w:val="auto"/>
                <w:w w:val="84"/>
              </w:rPr>
              <w:t>54,273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19,167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ind w:left="440"/>
              <w:spacing w:after="0"/>
              <w:rPr>
                <w:sz w:val="20"/>
                <w:szCs w:val="20"/>
                <w:color w:val="auto"/>
              </w:rPr>
            </w:pPr>
            <w:r>
              <w:rPr>
                <w:rFonts w:ascii="Arial" w:cs="Arial" w:eastAsia="Arial" w:hAnsi="Arial"/>
                <w:sz w:val="17"/>
                <w:szCs w:val="17"/>
                <w:color w:val="auto"/>
                <w:w w:val="82"/>
              </w:rPr>
              <w:t>(12,972)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1,061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61,529</w:t>
            </w:r>
          </w:p>
        </w:tc>
        <w:tc>
          <w:tcPr>
            <w:tcW w:w="60" w:type="dxa"/>
            <w:vAlign w:val="bottom"/>
          </w:tcPr>
          <w:p>
            <w:pPr>
              <w:spacing w:after="0"/>
              <w:rPr>
                <w:sz w:val="18"/>
                <w:szCs w:val="18"/>
                <w:color w:val="auto"/>
              </w:rPr>
            </w:pPr>
          </w:p>
        </w:tc>
      </w:tr>
      <w:tr>
        <w:trPr>
          <w:trHeight w:val="397"/>
        </w:trPr>
        <w:tc>
          <w:tcPr>
            <w:tcW w:w="4580" w:type="dxa"/>
            <w:vAlign w:val="bottom"/>
          </w:tcPr>
          <w:p>
            <w:pPr>
              <w:spacing w:after="0"/>
              <w:rPr>
                <w:sz w:val="20"/>
                <w:szCs w:val="20"/>
                <w:color w:val="auto"/>
              </w:rPr>
            </w:pPr>
            <w:r>
              <w:rPr>
                <w:rFonts w:ascii="Arial" w:cs="Arial" w:eastAsia="Arial" w:hAnsi="Arial"/>
                <w:sz w:val="17"/>
                <w:szCs w:val="17"/>
                <w:color w:val="auto"/>
              </w:rPr>
              <w:t>May 1, 2009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540"/>
              <w:spacing w:after="0"/>
              <w:rPr>
                <w:sz w:val="20"/>
                <w:szCs w:val="20"/>
                <w:color w:val="auto"/>
              </w:rPr>
            </w:pPr>
            <w:r>
              <w:rPr>
                <w:rFonts w:ascii="Arial" w:cs="Arial" w:eastAsia="Arial" w:hAnsi="Arial"/>
                <w:sz w:val="17"/>
                <w:szCs w:val="17"/>
                <w:color w:val="auto"/>
              </w:rPr>
              <w:t>58,770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18,611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ind w:left="440"/>
              <w:spacing w:after="0"/>
              <w:rPr>
                <w:sz w:val="20"/>
                <w:szCs w:val="20"/>
                <w:color w:val="auto"/>
              </w:rPr>
            </w:pPr>
            <w:r>
              <w:rPr>
                <w:rFonts w:ascii="Arial" w:cs="Arial" w:eastAsia="Arial" w:hAnsi="Arial"/>
                <w:sz w:val="17"/>
                <w:szCs w:val="17"/>
                <w:color w:val="auto"/>
              </w:rPr>
              <w:t>(15,487)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1,138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63,032</w:t>
            </w:r>
          </w:p>
        </w:tc>
      </w:tr>
      <w:tr>
        <w:trPr>
          <w:trHeight w:val="435"/>
        </w:trPr>
        <w:tc>
          <w:tcPr>
            <w:tcW w:w="4580" w:type="dxa"/>
            <w:vAlign w:val="bottom"/>
          </w:tcPr>
          <w:p>
            <w:pPr>
              <w:spacing w:after="0"/>
              <w:rPr>
                <w:sz w:val="20"/>
                <w:szCs w:val="20"/>
                <w:color w:val="auto"/>
              </w:rPr>
            </w:pPr>
            <w:r>
              <w:rPr>
                <w:rFonts w:ascii="Arial" w:cs="Arial" w:eastAsia="Arial" w:hAnsi="Arial"/>
                <w:sz w:val="17"/>
                <w:szCs w:val="17"/>
                <w:b w:val="1"/>
                <w:bCs w:val="1"/>
                <w:color w:val="auto"/>
                <w:w w:val="98"/>
              </w:rPr>
              <w:t>Postretirement Benefit and Deferred Compensation Plans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4"/>
        </w:trPr>
        <w:tc>
          <w:tcPr>
            <w:tcW w:w="10140" w:type="dxa"/>
            <w:vAlign w:val="bottom"/>
            <w:gridSpan w:val="20"/>
          </w:tcPr>
          <w:p>
            <w:pPr>
              <w:spacing w:after="0"/>
              <w:rPr>
                <w:sz w:val="20"/>
                <w:szCs w:val="20"/>
                <w:color w:val="auto"/>
              </w:rPr>
            </w:pPr>
            <w:r>
              <w:rPr>
                <w:rFonts w:ascii="Arial" w:cs="Arial" w:eastAsia="Arial" w:hAnsi="Arial"/>
                <w:sz w:val="17"/>
                <w:szCs w:val="17"/>
                <w:color w:val="auto"/>
                <w:w w:val="97"/>
              </w:rPr>
              <w:t>The following table presents the components of net periodic benefit costs of the company’s postretirement medical and dental benefit plan:</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8"/>
          </w:tcPr>
          <w:p>
            <w:pPr>
              <w:jc w:val="right"/>
              <w:ind w:right="760"/>
              <w:spacing w:after="0"/>
              <w:rPr>
                <w:sz w:val="20"/>
                <w:szCs w:val="20"/>
                <w:color w:val="auto"/>
              </w:rPr>
            </w:pPr>
            <w:r>
              <w:rPr>
                <w:rFonts w:ascii="Arial" w:cs="Arial" w:eastAsia="Arial" w:hAnsi="Arial"/>
                <w:sz w:val="17"/>
                <w:szCs w:val="17"/>
                <w:color w:val="auto"/>
              </w:rPr>
              <w:t>Three Months Ended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7"/>
          </w:tcPr>
          <w:p>
            <w:pPr>
              <w:jc w:val="right"/>
              <w:ind w:right="660"/>
              <w:spacing w:after="0"/>
              <w:rPr>
                <w:sz w:val="20"/>
                <w:szCs w:val="20"/>
                <w:color w:val="auto"/>
              </w:rPr>
            </w:pPr>
            <w:r>
              <w:rPr>
                <w:rFonts w:ascii="Arial" w:cs="Arial" w:eastAsia="Arial" w:hAnsi="Arial"/>
                <w:sz w:val="17"/>
                <w:szCs w:val="17"/>
                <w:color w:val="auto"/>
              </w:rPr>
              <w:t>Six Months Ended</w:t>
            </w:r>
          </w:p>
        </w:tc>
      </w:tr>
      <w:tr>
        <w:trPr>
          <w:trHeight w:val="192"/>
        </w:trPr>
        <w:tc>
          <w:tcPr>
            <w:tcW w:w="458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380"/>
              <w:spacing w:after="0" w:line="193" w:lineRule="exact"/>
              <w:rPr>
                <w:sz w:val="20"/>
                <w:szCs w:val="20"/>
                <w:color w:val="auto"/>
              </w:rPr>
            </w:pPr>
            <w:r>
              <w:rPr>
                <w:rFonts w:ascii="Arial" w:cs="Arial" w:eastAsia="Arial" w:hAnsi="Arial"/>
                <w:sz w:val="17"/>
                <w:szCs w:val="17"/>
                <w:color w:val="auto"/>
                <w:w w:val="96"/>
              </w:rPr>
              <w:t>April 30,</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15"/>
              <w:spacing w:after="0" w:line="193" w:lineRule="exact"/>
              <w:rPr>
                <w:sz w:val="20"/>
                <w:szCs w:val="20"/>
                <w:color w:val="auto"/>
              </w:rPr>
            </w:pPr>
            <w:r>
              <w:rPr>
                <w:rFonts w:ascii="Arial" w:cs="Arial" w:eastAsia="Arial" w:hAnsi="Arial"/>
                <w:sz w:val="17"/>
                <w:szCs w:val="17"/>
                <w:color w:val="auto"/>
                <w:w w:val="93"/>
              </w:rPr>
              <w:t>May 1,</w:t>
            </w:r>
          </w:p>
        </w:tc>
        <w:tc>
          <w:tcPr>
            <w:tcW w:w="22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jc w:val="center"/>
              <w:ind w:right="300"/>
              <w:spacing w:after="0" w:line="193" w:lineRule="exact"/>
              <w:rPr>
                <w:sz w:val="20"/>
                <w:szCs w:val="20"/>
                <w:color w:val="auto"/>
              </w:rPr>
            </w:pPr>
            <w:r>
              <w:rPr>
                <w:rFonts w:ascii="Arial" w:cs="Arial" w:eastAsia="Arial" w:hAnsi="Arial"/>
                <w:sz w:val="17"/>
                <w:szCs w:val="17"/>
                <w:color w:val="auto"/>
                <w:w w:val="99"/>
              </w:rPr>
              <w:t>April 30,</w:t>
            </w: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5"/>
              <w:spacing w:after="0" w:line="193" w:lineRule="exact"/>
              <w:rPr>
                <w:sz w:val="20"/>
                <w:szCs w:val="20"/>
                <w:color w:val="auto"/>
              </w:rPr>
            </w:pPr>
            <w:r>
              <w:rPr>
                <w:rFonts w:ascii="Arial" w:cs="Arial" w:eastAsia="Arial" w:hAnsi="Arial"/>
                <w:sz w:val="17"/>
                <w:szCs w:val="17"/>
                <w:color w:val="auto"/>
                <w:w w:val="93"/>
              </w:rPr>
              <w:t>May 1,</w:t>
            </w:r>
          </w:p>
        </w:tc>
        <w:tc>
          <w:tcPr>
            <w:tcW w:w="60" w:type="dxa"/>
            <w:vAlign w:val="bottom"/>
          </w:tcPr>
          <w:p>
            <w:pPr>
              <w:spacing w:after="0"/>
              <w:rPr>
                <w:sz w:val="16"/>
                <w:szCs w:val="16"/>
                <w:color w:val="auto"/>
              </w:rPr>
            </w:pPr>
          </w:p>
        </w:tc>
      </w:t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2010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2009</w:t>
            </w:r>
          </w:p>
        </w:tc>
        <w:tc>
          <w:tcPr>
            <w:tcW w:w="60" w:type="dxa"/>
            <w:vAlign w:val="bottom"/>
          </w:tcPr>
          <w:p>
            <w:pPr>
              <w:spacing w:after="0"/>
              <w:rPr>
                <w:sz w:val="19"/>
                <w:szCs w:val="19"/>
                <w:color w:val="auto"/>
              </w:rPr>
            </w:pPr>
          </w:p>
        </w:tc>
      </w:tr>
      <w:tr>
        <w:trPr>
          <w:trHeight w:val="192"/>
        </w:trPr>
        <w:tc>
          <w:tcPr>
            <w:tcW w:w="4580" w:type="dxa"/>
            <w:vAlign w:val="bottom"/>
          </w:tcPr>
          <w:p>
            <w:pPr>
              <w:spacing w:after="0" w:line="193" w:lineRule="exact"/>
              <w:rPr>
                <w:sz w:val="20"/>
                <w:szCs w:val="20"/>
                <w:color w:val="auto"/>
              </w:rPr>
            </w:pPr>
            <w:r>
              <w:rPr>
                <w:rFonts w:ascii="Arial" w:cs="Arial" w:eastAsia="Arial" w:hAnsi="Arial"/>
                <w:sz w:val="17"/>
                <w:szCs w:val="17"/>
                <w:color w:val="auto"/>
              </w:rPr>
              <w:t>Service 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gridSpan w:val="2"/>
          </w:tcPr>
          <w:p>
            <w:pPr>
              <w:jc w:val="right"/>
              <w:spacing w:after="0" w:line="193"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3" w:lineRule="exact"/>
              <w:rPr>
                <w:sz w:val="20"/>
                <w:szCs w:val="20"/>
                <w:color w:val="auto"/>
              </w:rPr>
            </w:pPr>
            <w:r>
              <w:rPr>
                <w:rFonts w:ascii="Arial" w:cs="Arial" w:eastAsia="Arial" w:hAnsi="Arial"/>
                <w:sz w:val="17"/>
                <w:szCs w:val="17"/>
                <w:color w:val="auto"/>
              </w:rPr>
              <w:t>55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gridSpan w:val="2"/>
          </w:tcPr>
          <w:p>
            <w:pPr>
              <w:jc w:val="right"/>
              <w:ind w:right="25"/>
              <w:spacing w:after="0" w:line="193" w:lineRule="exact"/>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line="193" w:lineRule="exact"/>
              <w:rPr>
                <w:sz w:val="20"/>
                <w:szCs w:val="20"/>
                <w:color w:val="auto"/>
              </w:rPr>
            </w:pPr>
            <w:r>
              <w:rPr>
                <w:rFonts w:ascii="Arial" w:cs="Arial" w:eastAsia="Arial" w:hAnsi="Arial"/>
                <w:sz w:val="17"/>
                <w:szCs w:val="17"/>
                <w:color w:val="auto"/>
              </w:rPr>
              <w:t>54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2"/>
          </w:tcPr>
          <w:p>
            <w:pPr>
              <w:jc w:val="right"/>
              <w:spacing w:after="0" w:line="193" w:lineRule="exact"/>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line="193" w:lineRule="exact"/>
              <w:rPr>
                <w:sz w:val="20"/>
                <w:szCs w:val="20"/>
                <w:color w:val="auto"/>
              </w:rPr>
            </w:pPr>
            <w:r>
              <w:rPr>
                <w:rFonts w:ascii="Arial" w:cs="Arial" w:eastAsia="Arial" w:hAnsi="Arial"/>
                <w:sz w:val="17"/>
                <w:szCs w:val="17"/>
                <w:color w:val="auto"/>
              </w:rPr>
              <w:t>110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108</w:t>
            </w:r>
          </w:p>
        </w:tc>
        <w:tc>
          <w:tcPr>
            <w:tcW w:w="60" w:type="dxa"/>
            <w:vAlign w:val="bottom"/>
          </w:tcPr>
          <w:p>
            <w:pPr>
              <w:spacing w:after="0"/>
              <w:rPr>
                <w:sz w:val="16"/>
                <w:szCs w:val="16"/>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Interest cost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175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202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350</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Prior service cost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7"/>
                <w:szCs w:val="17"/>
                <w:color w:val="auto"/>
              </w:rPr>
              <w:t>(97)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(96)</w:t>
            </w:r>
          </w:p>
        </w:tc>
      </w:tr>
      <w:tr>
        <w:trPr>
          <w:trHeight w:val="223"/>
        </w:trPr>
        <w:tc>
          <w:tcPr>
            <w:tcW w:w="4580" w:type="dxa"/>
            <w:vAlign w:val="bottom"/>
          </w:tcPr>
          <w:p>
            <w:pPr>
              <w:spacing w:after="0"/>
              <w:rPr>
                <w:sz w:val="20"/>
                <w:szCs w:val="20"/>
                <w:color w:val="auto"/>
              </w:rPr>
            </w:pPr>
            <w:r>
              <w:rPr>
                <w:rFonts w:ascii="Arial" w:cs="Arial" w:eastAsia="Arial" w:hAnsi="Arial"/>
                <w:sz w:val="17"/>
                <w:szCs w:val="17"/>
                <w:color w:val="auto"/>
              </w:rPr>
              <w:t>Amortization of losses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96</w:t>
            </w: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Net expense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458</w:t>
            </w:r>
          </w:p>
        </w:tc>
        <w:tc>
          <w:tcPr>
            <w:tcW w:w="6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20"/>
        <w:spacing w:after="0" w:line="258" w:lineRule="auto"/>
        <w:rPr>
          <w:sz w:val="20"/>
          <w:szCs w:val="20"/>
          <w:color w:val="auto"/>
        </w:rPr>
      </w:pPr>
      <w:r>
        <w:rPr>
          <w:rFonts w:ascii="Arial" w:cs="Arial" w:eastAsia="Arial" w:hAnsi="Arial"/>
          <w:sz w:val="17"/>
          <w:szCs w:val="17"/>
          <w:color w:val="auto"/>
        </w:rPr>
        <w:t>As of April 30, 2010, the company had contributed approximately $0.2 million to its postretirement medical and dental benefit plan in fiscal 2010. The company expects to contribute a total of $0.3 million in fiscal 2010, including contributions made through April 30, 2010.</w:t>
      </w:r>
    </w:p>
    <w:p>
      <w:pPr>
        <w:jc w:val="both"/>
        <w:ind w:right="360" w:firstLine="210"/>
        <w:spacing w:after="0" w:line="25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$4.4 million and $7.8 million for the second quarter and year-to-date periods in fiscal 2010, respectively, and $3.8 million and $7.6 million for the second quarter and year-to-date periods in fiscal 2009, respectively.</w:t>
      </w:r>
    </w:p>
    <w:p>
      <w:pPr>
        <w:spacing w:after="0" w:line="1" w:lineRule="exact"/>
        <w:rPr>
          <w:sz w:val="20"/>
          <w:szCs w:val="20"/>
          <w:color w:val="auto"/>
        </w:rPr>
      </w:pPr>
    </w:p>
    <w:p>
      <w:pPr>
        <w:ind w:right="200" w:firstLine="85"/>
        <w:spacing w:after="0" w:line="256" w:lineRule="auto"/>
        <w:rPr>
          <w:sz w:val="20"/>
          <w:szCs w:val="20"/>
          <w:color w:val="auto"/>
        </w:rPr>
      </w:pPr>
      <w:r>
        <w:rPr>
          <w:rFonts w:ascii="Arial" w:cs="Arial" w:eastAsia="Arial" w:hAnsi="Arial"/>
          <w:sz w:val="17"/>
          <w:szCs w:val="17"/>
          <w:color w:val="auto"/>
        </w:rPr>
        <w:t>The company also offers participants in the company’s deferred compensation plans the ability to invest their deferred compensation in multiple investment funds. The fair value of the investment in the deferred compensation plans as of April 30, 2010 was $15.9 million, which reduced the company’s deferred compensation liability reflected in accrued liabilities on the consolidated balance sheet.</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Income Taxes</w:t>
      </w:r>
    </w:p>
    <w:p>
      <w:pPr>
        <w:spacing w:after="0" w:line="24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company is subject to U.S. federal income tax, as well as income tax of numerous state and foreign jurisdictions. The company is generally no longer subject to U.S. federal tax examinations for taxable years before fiscal 2006 and with limited exceptions, state and foreign income tax examinations for fiscal years before 2005. The Internal Revenue Service is currently examining the company’s income tax return for the 2006 fiscal year. It is possible that the examination phase of the audit may conclude in the next 12 months, and the related unrecognized tax benefits for tax positions taken may change from those recorded as liabilities for uncertain tax positions in the company’s financial statements as of April 30, 2010. Although the outcome of this matter cannot currently be determined, the company believes adequate provisi ons have been made for any potential unfavorable financial statement impact.</w:t>
      </w:r>
    </w:p>
    <w:p>
      <w:pPr>
        <w:spacing w:after="0" w:line="2" w:lineRule="exact"/>
        <w:rPr>
          <w:sz w:val="20"/>
          <w:szCs w:val="20"/>
          <w:color w:val="auto"/>
        </w:rPr>
      </w:pPr>
    </w:p>
    <w:p>
      <w:pPr>
        <w:ind w:firstLine="204"/>
        <w:spacing w:after="0" w:line="284" w:lineRule="auto"/>
        <w:rPr>
          <w:sz w:val="20"/>
          <w:szCs w:val="20"/>
          <w:color w:val="auto"/>
        </w:rPr>
      </w:pPr>
      <w:r>
        <w:rPr>
          <w:rFonts w:ascii="Arial" w:cs="Arial" w:eastAsia="Arial" w:hAnsi="Arial"/>
          <w:sz w:val="15"/>
          <w:szCs w:val="15"/>
          <w:color w:val="auto"/>
        </w:rPr>
        <w:t>As of April 30, 2010 and May 1, 2009, the company had $5.9 million and $5.5 million, respectively, of liabilities recorded related to unrecognized tax benefits. Accrued interest and penalties on these unrecognized tax benefits were $1.0 million and $0.9 million as of April 30, 2010 and May 1, 2009, respectively. The company recognizes potential interest and penalties related to income tax positions as a component of the provision for income taxes. To the extent interest and penalties are not assessed with respect to uncertain tax positions, the amounts accrued will be revised and reflected as an adjustment to the provision for income taxes. Included in the liability balance as of April 30, 2010 are approximately $3.9 million of unrecognized tax benefits that, if recognized, will affect the company’s eff ective tax rate.</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does not anticipate that total unrecognized tax benefits will change significantly during the next 12 months.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24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market risk by entering into various hedging instruments, authorized under company policies that place controls on these activities, with counterparties that are highly rated financial institutions. The company’s hedging activities involve the primary use of forward currency contracts.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made based on the amount of exposure to the currency involved, and an assessment of the near-term market value for each currency. The company’s policy does not allow the use of derivatives for trading or speculative purposes. The company’s primary foreign currency exchange rate exposures are with the Euro, the Australian dollar, the Canadian dollar, the British pound, the Mexican peso, and the Japanese yen against the U.S. dollar.</w:t>
      </w:r>
    </w:p>
    <w:p>
      <w:pPr>
        <w:spacing w:after="0" w:line="19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its consolidated balance sheet and formally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relationships between cash flow hedging instruments and hedged items, as well as its risk-management objective and strategy for undertaking hedge transactions. This process includes linking all derivatives to the forecasted transactions, such as sales to third parties and foreign plant operations. Changes in the fair value of outstanding derivative instruments that are designated and qualify as a cash flow hedge are recorded in other comprehensive income (OCI), except for the ineffective portion,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w:t>
      </w:r>
    </w:p>
    <w:p>
      <w:pPr>
        <w:spacing w:after="0" w:line="4" w:lineRule="exact"/>
        <w:rPr>
          <w:sz w:val="20"/>
          <w:szCs w:val="20"/>
          <w:color w:val="auto"/>
        </w:rPr>
      </w:pPr>
    </w:p>
    <w:p>
      <w:pPr>
        <w:ind w:right="160" w:firstLine="210"/>
        <w:spacing w:after="0" w:line="270"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used in the hedging transaction have been highly effective in offsetting changes in the cash flows of the hedged items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 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accumulated in OCI are recognized immediately in net earnings. In all situations in which hedge accounting is discontinued and the derivative remains outstanding, the company carries the derivative at its fair value on the balance sheet, recognizing future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4" w:right="259" w:bottom="1440" w:gutter="0" w:footer="0" w:header="0"/>
        </w:sectPr>
      </w:pPr>
    </w:p>
    <w:bookmarkStart w:id="12" w:name="page13"/>
    <w:bookmarkEnd w:id="12"/>
    <w:p>
      <w:pPr>
        <w:ind w:right="180"/>
        <w:spacing w:after="0" w:line="263" w:lineRule="auto"/>
        <w:rPr>
          <w:sz w:val="20"/>
          <w:szCs w:val="20"/>
          <w:color w:val="auto"/>
        </w:rPr>
      </w:pPr>
      <w:r>
        <w:rPr>
          <w:rFonts w:ascii="Arial" w:cs="Arial" w:eastAsia="Arial" w:hAnsi="Arial"/>
          <w:sz w:val="17"/>
          <w:szCs w:val="17"/>
          <w:color w:val="auto"/>
        </w:rPr>
        <w:t>changes in the fair value in other income, net. For the second quarter of fiscal 2010, there were no gains or losses on contracts reclassified into earnings as a result of the discontinuance of cash flow hedges. As of April 30, 2010, the notional amount outstanding of forward contracts designated as cash flow hedges was $38.8 million.</w:t>
      </w:r>
    </w:p>
    <w:p>
      <w:pPr>
        <w:spacing w:after="0" w:line="202"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b w:val="1"/>
          <w:bCs w:val="1"/>
          <w:i w:val="1"/>
          <w:iCs w:val="1"/>
          <w:color w:val="auto"/>
        </w:rPr>
        <w:t xml:space="preserve">Derivatives not designated as hedging instruments. </w:t>
      </w:r>
      <w:r>
        <w:rPr>
          <w:rFonts w:ascii="Arial" w:cs="Arial" w:eastAsia="Arial" w:hAnsi="Arial"/>
          <w:sz w:val="17"/>
          <w:szCs w:val="17"/>
          <w:color w:val="auto"/>
        </w:rPr>
        <w:t>The company also enters into forward currency contracts to mitigate the change in fair value of specific assets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ind w:left="220"/>
        <w:spacing w:after="0"/>
        <w:rPr>
          <w:sz w:val="20"/>
          <w:szCs w:val="20"/>
          <w:color w:val="auto"/>
        </w:rPr>
      </w:pPr>
      <w:r>
        <w:rPr>
          <w:rFonts w:ascii="Arial" w:cs="Arial" w:eastAsia="Arial" w:hAnsi="Arial"/>
          <w:sz w:val="17"/>
          <w:szCs w:val="17"/>
          <w:color w:val="auto"/>
        </w:rPr>
        <w:t>The following table presents the fair value of the company’s derivatives and consolidated balance sheet location.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4"/>
          </w:tcPr>
          <w:p>
            <w:pPr>
              <w:ind w:left="640"/>
              <w:spacing w:after="0"/>
              <w:rPr>
                <w:sz w:val="20"/>
                <w:szCs w:val="20"/>
                <w:color w:val="auto"/>
              </w:rPr>
            </w:pPr>
            <w:r>
              <w:rPr>
                <w:rFonts w:ascii="Arial" w:cs="Arial" w:eastAsia="Arial" w:hAnsi="Arial"/>
                <w:sz w:val="17"/>
                <w:szCs w:val="17"/>
                <w:b w:val="1"/>
                <w:bCs w:val="1"/>
                <w:color w:val="auto"/>
              </w:rPr>
              <w:t>Asset Derivatives</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gridSpan w:val="5"/>
          </w:tcPr>
          <w:p>
            <w:pPr>
              <w:ind w:left="320"/>
              <w:spacing w:after="0"/>
              <w:rPr>
                <w:sz w:val="20"/>
                <w:szCs w:val="20"/>
                <w:color w:val="auto"/>
              </w:rPr>
            </w:pPr>
            <w:r>
              <w:rPr>
                <w:rFonts w:ascii="Arial" w:cs="Arial" w:eastAsia="Arial" w:hAnsi="Arial"/>
                <w:sz w:val="17"/>
                <w:szCs w:val="17"/>
                <w:b w:val="1"/>
                <w:bCs w:val="1"/>
                <w:color w:val="auto"/>
              </w:rPr>
              <w:t>Liability Derivatives</w:t>
            </w: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80" w:type="dxa"/>
            <w:vAlign w:val="bottom"/>
            <w:tcBorders>
              <w:bottom w:val="single" w:sz="8" w:color="auto"/>
            </w:tcBorders>
            <w:gridSpan w:val="3"/>
          </w:tcPr>
          <w:p>
            <w:pPr>
              <w:ind w:left="640"/>
              <w:spacing w:after="0"/>
              <w:rPr>
                <w:sz w:val="20"/>
                <w:szCs w:val="20"/>
                <w:color w:val="auto"/>
              </w:rPr>
            </w:pPr>
            <w:r>
              <w:rPr>
                <w:rFonts w:ascii="Arial" w:cs="Arial" w:eastAsia="Arial" w:hAnsi="Arial"/>
                <w:sz w:val="17"/>
                <w:szCs w:val="17"/>
                <w:b w:val="1"/>
                <w:bCs w:val="1"/>
                <w:color w:val="auto"/>
              </w:rPr>
              <w:t>April 30, 2010</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7"/>
                <w:szCs w:val="17"/>
                <w:b w:val="1"/>
                <w:bCs w:val="1"/>
                <w:color w:val="auto"/>
              </w:rPr>
              <w:t>May 1, 2009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7"/>
                <w:szCs w:val="17"/>
                <w:b w:val="1"/>
                <w:bCs w:val="1"/>
                <w:color w:val="auto"/>
              </w:rPr>
              <w:t>April 30, 2010</w:t>
            </w:r>
          </w:p>
        </w:tc>
        <w:tc>
          <w:tcPr>
            <w:tcW w:w="3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May 1, 2009</w:t>
            </w:r>
          </w:p>
        </w:tc>
        <w:tc>
          <w:tcPr>
            <w:tcW w:w="1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04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Pr>
          <w:p>
            <w:pPr>
              <w:jc w:val="center"/>
              <w:spacing w:after="0" w:line="193" w:lineRule="exact"/>
              <w:rPr>
                <w:sz w:val="20"/>
                <w:szCs w:val="20"/>
                <w:color w:val="auto"/>
              </w:rPr>
            </w:pPr>
            <w:r>
              <w:rPr>
                <w:rFonts w:ascii="Arial" w:cs="Arial" w:eastAsia="Arial" w:hAnsi="Arial"/>
                <w:sz w:val="17"/>
                <w:szCs w:val="17"/>
                <w:color w:val="auto"/>
                <w:w w:val="87"/>
              </w:rPr>
              <w:t>Balance</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Fair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auto"/>
              </w:rPr>
              <w:t>Fair</w:t>
            </w:r>
          </w:p>
        </w:tc>
        <w:tc>
          <w:tcPr>
            <w:tcW w:w="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Fair</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85"/>
              </w:rPr>
              <w:t>Sheet</w:t>
            </w:r>
          </w:p>
        </w:tc>
        <w:tc>
          <w:tcPr>
            <w:tcW w:w="100" w:type="dxa"/>
            <w:vAlign w:val="bottom"/>
          </w:tcPr>
          <w:p>
            <w:pPr>
              <w:spacing w:after="0"/>
              <w:rPr>
                <w:sz w:val="17"/>
                <w:szCs w:val="17"/>
                <w:color w:val="auto"/>
              </w:rPr>
            </w:pPr>
          </w:p>
        </w:tc>
        <w:tc>
          <w:tcPr>
            <w:tcW w:w="840" w:type="dxa"/>
            <w:vAlign w:val="bottom"/>
          </w:tcPr>
          <w:p>
            <w:pPr>
              <w:jc w:val="right"/>
              <w:ind w:right="115"/>
              <w:spacing w:after="0"/>
              <w:rPr>
                <w:sz w:val="20"/>
                <w:szCs w:val="20"/>
                <w:color w:val="auto"/>
              </w:rPr>
            </w:pPr>
            <w:r>
              <w:rPr>
                <w:rFonts w:ascii="Arial" w:cs="Arial" w:eastAsia="Arial" w:hAnsi="Arial"/>
                <w:sz w:val="17"/>
                <w:szCs w:val="17"/>
                <w:color w:val="auto"/>
              </w:rPr>
              <w:t>Fair</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7"/>
                <w:szCs w:val="17"/>
                <w:color w:val="auto"/>
                <w:w w:val="96"/>
              </w:rPr>
              <w:t>(Dollars in thousands)</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Location</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Value</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Location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Value</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Location</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Value</w:t>
            </w: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Location</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Value</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2660" w:type="dxa"/>
            <w:vAlign w:val="bottom"/>
            <w:gridSpan w:val="2"/>
          </w:tcPr>
          <w:p>
            <w:pPr>
              <w:spacing w:after="0"/>
              <w:rPr>
                <w:sz w:val="20"/>
                <w:szCs w:val="20"/>
                <w:color w:val="auto"/>
              </w:rPr>
            </w:pPr>
            <w:r>
              <w:rPr>
                <w:rFonts w:ascii="Arial" w:cs="Arial" w:eastAsia="Arial" w:hAnsi="Arial"/>
                <w:sz w:val="17"/>
                <w:szCs w:val="17"/>
                <w:b w:val="1"/>
                <w:bCs w:val="1"/>
                <w:color w:val="auto"/>
              </w:rPr>
              <w:t>Derivatives Designated as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20"/>
                <w:szCs w:val="20"/>
                <w:color w:val="auto"/>
              </w:rPr>
            </w:pPr>
            <w:r>
              <w:rPr>
                <w:rFonts w:ascii="Arial" w:cs="Arial" w:eastAsia="Arial" w:hAnsi="Arial"/>
                <w:sz w:val="17"/>
                <w:szCs w:val="17"/>
                <w:b w:val="1"/>
                <w:bCs w:val="1"/>
                <w:color w:val="auto"/>
                <w:w w:val="94"/>
              </w:rPr>
              <w:t>Hedging Instruments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620" w:type="dxa"/>
            <w:vAlign w:val="bottom"/>
          </w:tcPr>
          <w:p>
            <w:pPr>
              <w:spacing w:after="0"/>
              <w:rPr>
                <w:sz w:val="20"/>
                <w:szCs w:val="20"/>
                <w:color w:val="auto"/>
              </w:rPr>
            </w:pPr>
            <w:r>
              <w:rPr>
                <w:rFonts w:ascii="Arial" w:cs="Arial" w:eastAsia="Arial" w:hAnsi="Arial"/>
                <w:sz w:val="17"/>
                <w:szCs w:val="17"/>
                <w:color w:val="auto"/>
              </w:rPr>
              <w:t>Foreign exchange</w:t>
            </w:r>
          </w:p>
        </w:tc>
        <w:tc>
          <w:tcPr>
            <w:tcW w:w="1040" w:type="dxa"/>
            <w:vAlign w:val="bottom"/>
          </w:tcPr>
          <w:p>
            <w:pPr>
              <w:spacing w:after="0"/>
              <w:rPr>
                <w:sz w:val="20"/>
                <w:szCs w:val="20"/>
                <w:color w:val="auto"/>
              </w:rPr>
            </w:pPr>
            <w:r>
              <w:rPr>
                <w:rFonts w:ascii="Arial" w:cs="Arial" w:eastAsia="Arial" w:hAnsi="Arial"/>
                <w:sz w:val="17"/>
                <w:szCs w:val="17"/>
                <w:color w:val="auto"/>
              </w:rPr>
              <w:t>Prepaid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Prepaid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7"/>
                <w:szCs w:val="17"/>
                <w:color w:val="auto"/>
              </w:rPr>
              <w:t>contracts</w:t>
            </w:r>
          </w:p>
        </w:tc>
        <w:tc>
          <w:tcPr>
            <w:tcW w:w="1040" w:type="dxa"/>
            <w:vAlign w:val="bottom"/>
          </w:tcPr>
          <w:p>
            <w:pPr>
              <w:spacing w:after="0"/>
              <w:rPr>
                <w:sz w:val="20"/>
                <w:szCs w:val="20"/>
                <w:color w:val="auto"/>
              </w:rPr>
            </w:pPr>
            <w:r>
              <w:rPr>
                <w:rFonts w:ascii="Arial" w:cs="Arial" w:eastAsia="Arial" w:hAnsi="Arial"/>
                <w:sz w:val="17"/>
                <w:szCs w:val="17"/>
                <w:color w:val="auto"/>
              </w:rPr>
              <w:t>expenses</w:t>
            </w:r>
          </w:p>
        </w:tc>
        <w:tc>
          <w:tcPr>
            <w:tcW w:w="1040" w:type="dxa"/>
            <w:vAlign w:val="bottom"/>
            <w:gridSpan w:val="2"/>
          </w:tcPr>
          <w:p>
            <w:pPr>
              <w:jc w:val="right"/>
              <w:ind w:right="755"/>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expenses</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1,245</w:t>
            </w:r>
          </w:p>
        </w:tc>
        <w:tc>
          <w:tcPr>
            <w:tcW w:w="1320" w:type="dxa"/>
            <w:vAlign w:val="bottom"/>
            <w:gridSpan w:val="2"/>
          </w:tcPr>
          <w:p>
            <w:pPr>
              <w:ind w:left="60"/>
              <w:spacing w:after="0"/>
              <w:rPr>
                <w:sz w:val="20"/>
                <w:szCs w:val="20"/>
                <w:color w:val="auto"/>
              </w:rPr>
            </w:pPr>
            <w:r>
              <w:rPr>
                <w:rFonts w:ascii="Arial" w:cs="Arial" w:eastAsia="Arial" w:hAnsi="Arial"/>
                <w:sz w:val="17"/>
                <w:szCs w:val="17"/>
                <w:color w:val="auto"/>
              </w:rPr>
              <w:t>liabilities</w:t>
            </w:r>
          </w:p>
        </w:tc>
        <w:tc>
          <w:tcPr>
            <w:tcW w:w="900" w:type="dxa"/>
            <w:vAlign w:val="bottom"/>
            <w:gridSpan w:val="2"/>
          </w:tcPr>
          <w:p>
            <w:pPr>
              <w:jc w:val="right"/>
              <w:ind w:right="635"/>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412</w:t>
            </w:r>
          </w:p>
        </w:tc>
        <w:tc>
          <w:tcPr>
            <w:tcW w:w="1180" w:type="dxa"/>
            <w:vAlign w:val="bottom"/>
            <w:gridSpan w:val="2"/>
          </w:tcPr>
          <w:p>
            <w:pPr>
              <w:ind w:left="40"/>
              <w:spacing w:after="0"/>
              <w:rPr>
                <w:sz w:val="20"/>
                <w:szCs w:val="20"/>
                <w:color w:val="auto"/>
              </w:rPr>
            </w:pPr>
            <w:r>
              <w:rPr>
                <w:rFonts w:ascii="Arial" w:cs="Arial" w:eastAsia="Arial" w:hAnsi="Arial"/>
                <w:sz w:val="17"/>
                <w:szCs w:val="17"/>
                <w:color w:val="auto"/>
              </w:rPr>
              <w:t>liabilities</w:t>
            </w:r>
          </w:p>
        </w:tc>
        <w:tc>
          <w:tcPr>
            <w:tcW w:w="940" w:type="dxa"/>
            <w:vAlign w:val="bottom"/>
            <w:gridSpan w:val="2"/>
          </w:tcPr>
          <w:p>
            <w:pPr>
              <w:jc w:val="right"/>
              <w:ind w:right="675"/>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94"/>
        </w:trPr>
        <w:tc>
          <w:tcPr>
            <w:tcW w:w="2660" w:type="dxa"/>
            <w:vAlign w:val="bottom"/>
            <w:gridSpan w:val="2"/>
          </w:tcPr>
          <w:p>
            <w:pPr>
              <w:spacing w:after="0"/>
              <w:rPr>
                <w:sz w:val="20"/>
                <w:szCs w:val="20"/>
                <w:color w:val="auto"/>
              </w:rPr>
            </w:pPr>
            <w:r>
              <w:rPr>
                <w:rFonts w:ascii="Arial" w:cs="Arial" w:eastAsia="Arial" w:hAnsi="Arial"/>
                <w:sz w:val="17"/>
                <w:szCs w:val="17"/>
                <w:b w:val="1"/>
                <w:bCs w:val="1"/>
                <w:color w:val="auto"/>
              </w:rPr>
              <w:t>Derivatives Not Designated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620" w:type="dxa"/>
            <w:vAlign w:val="bottom"/>
          </w:tcPr>
          <w:p>
            <w:pPr>
              <w:spacing w:after="0"/>
              <w:rPr>
                <w:sz w:val="20"/>
                <w:szCs w:val="20"/>
                <w:color w:val="auto"/>
              </w:rPr>
            </w:pPr>
            <w:r>
              <w:rPr>
                <w:rFonts w:ascii="Arial" w:cs="Arial" w:eastAsia="Arial" w:hAnsi="Arial"/>
                <w:sz w:val="17"/>
                <w:szCs w:val="17"/>
                <w:b w:val="1"/>
                <w:bCs w:val="1"/>
                <w:color w:val="auto"/>
              </w:rPr>
              <w:t>as Hedging</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20"/>
                <w:szCs w:val="20"/>
                <w:color w:val="auto"/>
              </w:rPr>
            </w:pPr>
            <w:r>
              <w:rPr>
                <w:rFonts w:ascii="Arial" w:cs="Arial" w:eastAsia="Arial" w:hAnsi="Arial"/>
                <w:sz w:val="17"/>
                <w:szCs w:val="17"/>
                <w:b w:val="1"/>
                <w:bCs w:val="1"/>
                <w:color w:val="auto"/>
              </w:rPr>
              <w:t>Instruments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1620" w:type="dxa"/>
            <w:vAlign w:val="bottom"/>
          </w:tcPr>
          <w:p>
            <w:pPr>
              <w:spacing w:after="0"/>
              <w:rPr>
                <w:sz w:val="20"/>
                <w:szCs w:val="20"/>
                <w:color w:val="auto"/>
              </w:rPr>
            </w:pPr>
            <w:r>
              <w:rPr>
                <w:rFonts w:ascii="Arial" w:cs="Arial" w:eastAsia="Arial" w:hAnsi="Arial"/>
                <w:sz w:val="17"/>
                <w:szCs w:val="17"/>
                <w:color w:val="auto"/>
              </w:rPr>
              <w:t>Foreign exchange</w:t>
            </w:r>
          </w:p>
        </w:tc>
        <w:tc>
          <w:tcPr>
            <w:tcW w:w="1040" w:type="dxa"/>
            <w:vAlign w:val="bottom"/>
          </w:tcPr>
          <w:p>
            <w:pPr>
              <w:spacing w:after="0"/>
              <w:rPr>
                <w:sz w:val="20"/>
                <w:szCs w:val="20"/>
                <w:color w:val="auto"/>
              </w:rPr>
            </w:pPr>
            <w:r>
              <w:rPr>
                <w:rFonts w:ascii="Arial" w:cs="Arial" w:eastAsia="Arial" w:hAnsi="Arial"/>
                <w:sz w:val="17"/>
                <w:szCs w:val="17"/>
                <w:color w:val="auto"/>
              </w:rPr>
              <w:t>Prepaid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Prepaid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7"/>
                <w:szCs w:val="17"/>
                <w:color w:val="auto"/>
              </w:rPr>
              <w:t>Accrued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7"/>
                <w:szCs w:val="17"/>
                <w:color w:val="auto"/>
              </w:rPr>
              <w:t>contracts</w:t>
            </w:r>
          </w:p>
        </w:tc>
        <w:tc>
          <w:tcPr>
            <w:tcW w:w="1040" w:type="dxa"/>
            <w:vAlign w:val="bottom"/>
          </w:tcPr>
          <w:p>
            <w:pPr>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ind w:left="12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3,285</w:t>
            </w:r>
          </w:p>
        </w:tc>
        <w:tc>
          <w:tcPr>
            <w:tcW w:w="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186</w:t>
            </w:r>
          </w:p>
        </w:tc>
        <w:tc>
          <w:tcPr>
            <w:tcW w:w="1180" w:type="dxa"/>
            <w:vAlign w:val="bottom"/>
            <w:gridSpan w:val="2"/>
          </w:tcPr>
          <w:p>
            <w:pPr>
              <w:ind w:left="40"/>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7"/>
                <w:szCs w:val="17"/>
                <w:b w:val="1"/>
                <w:bCs w:val="1"/>
                <w:color w:val="auto"/>
              </w:rPr>
              <w:t>Total Derivatives</w:t>
            </w: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9"/>
        </w:trPr>
        <w:tc>
          <w:tcPr>
            <w:tcW w:w="16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4,530</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gridSpan w:val="2"/>
          </w:tcPr>
          <w:p>
            <w:pPr>
              <w:jc w:val="right"/>
              <w:ind w:right="635"/>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598</w:t>
            </w: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gridSpan w:val="2"/>
          </w:tcPr>
          <w:p>
            <w:pPr>
              <w:jc w:val="right"/>
              <w:ind w:right="675"/>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400" w:firstLine="380"/>
        <w:spacing w:after="0" w:line="276" w:lineRule="auto"/>
        <w:rPr>
          <w:sz w:val="20"/>
          <w:szCs w:val="20"/>
          <w:color w:val="auto"/>
        </w:rPr>
      </w:pPr>
      <w:r>
        <w:rPr>
          <w:rFonts w:ascii="Arial" w:cs="Arial" w:eastAsia="Arial" w:hAnsi="Arial"/>
          <w:sz w:val="17"/>
          <w:szCs w:val="17"/>
          <w:color w:val="auto"/>
        </w:rPr>
        <w:t>The following table presents the impact of derivative instruments on the consolidated statements of earnings for the company’s derivatives designed as cash flow hedging instruments for the three and six months ended April 30, 2010 and May 1, 2009,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Location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Gain (Loss)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4"/>
          </w:tcPr>
          <w:p>
            <w:pPr>
              <w:jc w:val="center"/>
              <w:ind w:left="575"/>
              <w:spacing w:after="0"/>
              <w:rPr>
                <w:sz w:val="20"/>
                <w:szCs w:val="20"/>
                <w:color w:val="auto"/>
              </w:rPr>
            </w:pPr>
            <w:r>
              <w:rPr>
                <w:rFonts w:ascii="Arial" w:cs="Arial" w:eastAsia="Arial" w:hAnsi="Arial"/>
                <w:sz w:val="17"/>
                <w:szCs w:val="17"/>
                <w:color w:val="auto"/>
                <w:w w:val="91"/>
              </w:rPr>
              <w:t>Gain (Loss)</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Location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0"/>
              </w:rPr>
              <w:t>Recognized 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9"/>
              </w:rPr>
              <w:t>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7"/>
                <w:szCs w:val="17"/>
                <w:color w:val="auto"/>
                <w:w w:val="91"/>
              </w:rPr>
              <w:t>Recognized in Income</w:t>
            </w: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5"/>
          </w:tcPr>
          <w:p>
            <w:pPr>
              <w:jc w:val="center"/>
              <w:ind w:left="595"/>
              <w:spacing w:after="0"/>
              <w:rPr>
                <w:sz w:val="20"/>
                <w:szCs w:val="20"/>
                <w:color w:val="auto"/>
              </w:rPr>
            </w:pPr>
            <w:r>
              <w:rPr>
                <w:rFonts w:ascii="Arial" w:cs="Arial" w:eastAsia="Arial" w:hAnsi="Arial"/>
                <w:sz w:val="17"/>
                <w:szCs w:val="17"/>
                <w:color w:val="auto"/>
                <w:w w:val="91"/>
              </w:rPr>
              <w:t>Gain (Loss)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Reclassified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center"/>
              <w:ind w:left="575"/>
              <w:spacing w:after="0"/>
              <w:rPr>
                <w:sz w:val="20"/>
                <w:szCs w:val="20"/>
                <w:color w:val="auto"/>
              </w:rPr>
            </w:pPr>
            <w:r>
              <w:rPr>
                <w:rFonts w:ascii="Arial" w:cs="Arial" w:eastAsia="Arial" w:hAnsi="Arial"/>
                <w:sz w:val="17"/>
                <w:szCs w:val="17"/>
                <w:color w:val="auto"/>
                <w:w w:val="93"/>
              </w:rPr>
              <w:t>Gain (Loss)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2"/>
              </w:rPr>
              <w:t>on Derivatives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7"/>
                <w:szCs w:val="17"/>
                <w:color w:val="auto"/>
                <w:w w:val="92"/>
              </w:rPr>
              <w:t>on Derivatives</w:t>
            </w: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(Ineffective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7"/>
          </w:tcPr>
          <w:p>
            <w:pPr>
              <w:jc w:val="center"/>
              <w:ind w:right="280"/>
              <w:spacing w:after="0"/>
              <w:rPr>
                <w:sz w:val="20"/>
                <w:szCs w:val="20"/>
                <w:color w:val="auto"/>
              </w:rPr>
            </w:pPr>
            <w:r>
              <w:rPr>
                <w:rFonts w:ascii="Arial" w:cs="Arial" w:eastAsia="Arial" w:hAnsi="Arial"/>
                <w:sz w:val="17"/>
                <w:szCs w:val="17"/>
                <w:color w:val="auto"/>
                <w:w w:val="91"/>
              </w:rPr>
              <w:t>Recognized in OCI on</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from AOCI</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7"/>
                <w:szCs w:val="17"/>
                <w:color w:val="auto"/>
                <w:w w:val="92"/>
              </w:rPr>
              <w:t>Reclassified from</w:t>
            </w:r>
          </w:p>
        </w:tc>
        <w:tc>
          <w:tcPr>
            <w:tcW w:w="1040" w:type="dxa"/>
            <w:vAlign w:val="bottom"/>
          </w:tcPr>
          <w:p>
            <w:pPr>
              <w:jc w:val="center"/>
              <w:spacing w:after="0"/>
              <w:rPr>
                <w:sz w:val="20"/>
                <w:szCs w:val="20"/>
                <w:color w:val="auto"/>
              </w:rPr>
            </w:pPr>
            <w:r>
              <w:rPr>
                <w:rFonts w:ascii="Arial" w:cs="Arial" w:eastAsia="Arial" w:hAnsi="Arial"/>
                <w:sz w:val="17"/>
                <w:szCs w:val="17"/>
                <w:color w:val="auto"/>
                <w:w w:val="92"/>
              </w:rPr>
              <w:t>Portion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7"/>
                <w:szCs w:val="17"/>
                <w:color w:val="auto"/>
                <w:w w:val="92"/>
              </w:rPr>
              <w:t>(Ineffective Portion and</w:t>
            </w: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8"/>
              </w:rPr>
              <w:t>and excluded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5"/>
          </w:tcPr>
          <w:p>
            <w:pPr>
              <w:jc w:val="center"/>
              <w:ind w:left="575"/>
              <w:spacing w:after="0"/>
              <w:rPr>
                <w:sz w:val="20"/>
                <w:szCs w:val="20"/>
                <w:color w:val="auto"/>
              </w:rPr>
            </w:pPr>
            <w:r>
              <w:rPr>
                <w:rFonts w:ascii="Arial" w:cs="Arial" w:eastAsia="Arial" w:hAnsi="Arial"/>
                <w:sz w:val="17"/>
                <w:szCs w:val="17"/>
                <w:color w:val="auto"/>
                <w:w w:val="92"/>
              </w:rPr>
              <w:t>Derivatives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into 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7"/>
                <w:szCs w:val="17"/>
                <w:color w:val="auto"/>
                <w:w w:val="95"/>
              </w:rPr>
              <w:t>AOCI into Income</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from</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7"/>
                <w:szCs w:val="17"/>
                <w:color w:val="auto"/>
                <w:w w:val="93"/>
              </w:rPr>
              <w:t>Excluded from</w:t>
            </w: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5"/>
              </w:rPr>
              <w:t>(Effective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0"/>
              </w:rPr>
              <w:t>Effectiveness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7"/>
          </w:tcPr>
          <w:p>
            <w:pPr>
              <w:jc w:val="center"/>
              <w:ind w:right="280"/>
              <w:spacing w:after="0"/>
              <w:rPr>
                <w:sz w:val="20"/>
                <w:szCs w:val="20"/>
                <w:color w:val="auto"/>
              </w:rPr>
            </w:pPr>
            <w:r>
              <w:rPr>
                <w:rFonts w:ascii="Arial" w:cs="Arial" w:eastAsia="Arial" w:hAnsi="Arial"/>
                <w:sz w:val="17"/>
                <w:szCs w:val="17"/>
                <w:color w:val="auto"/>
                <w:w w:val="94"/>
              </w:rPr>
              <w:t>(Effective Portion)</w:t>
            </w: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Portion)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7"/>
                <w:szCs w:val="17"/>
                <w:color w:val="auto"/>
                <w:w w:val="94"/>
              </w:rPr>
              <w:t>(Effective Portion)</w:t>
            </w: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Testing)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7"/>
                <w:szCs w:val="17"/>
                <w:color w:val="auto"/>
                <w:w w:val="90"/>
              </w:rPr>
              <w:t>Effectiveness Testing)</w:t>
            </w:r>
          </w:p>
        </w:tc>
        <w:tc>
          <w:tcPr>
            <w:tcW w:w="0" w:type="dxa"/>
            <w:vAlign w:val="bottom"/>
          </w:tcPr>
          <w:p>
            <w:pPr>
              <w:spacing w:after="0"/>
              <w:rPr>
                <w:sz w:val="1"/>
                <w:szCs w:val="1"/>
                <w:color w:val="auto"/>
              </w:rPr>
            </w:pPr>
          </w:p>
        </w:tc>
      </w:tr>
      <w:tr>
        <w:trPr>
          <w:trHeight w:val="192"/>
        </w:trPr>
        <w:tc>
          <w:tcPr>
            <w:tcW w:w="1260" w:type="dxa"/>
            <w:vAlign w:val="bottom"/>
            <w:gridSpan w:val="2"/>
          </w:tcPr>
          <w:p>
            <w:pPr>
              <w:spacing w:after="0" w:line="193" w:lineRule="exact"/>
              <w:rPr>
                <w:sz w:val="20"/>
                <w:szCs w:val="20"/>
                <w:color w:val="auto"/>
              </w:rPr>
            </w:pPr>
            <w:r>
              <w:rPr>
                <w:rFonts w:ascii="Arial" w:cs="Arial" w:eastAsia="Arial" w:hAnsi="Arial"/>
                <w:sz w:val="17"/>
                <w:szCs w:val="17"/>
                <w:color w:val="auto"/>
              </w:rPr>
              <w:t>(Dollars in</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thousands)</w:t>
            </w:r>
          </w:p>
        </w:tc>
        <w:tc>
          <w:tcPr>
            <w:tcW w:w="180" w:type="dxa"/>
            <w:vAlign w:val="bottom"/>
          </w:tcPr>
          <w:p>
            <w:pPr>
              <w:spacing w:after="0"/>
              <w:rPr>
                <w:sz w:val="17"/>
                <w:szCs w:val="17"/>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7"/>
                <w:szCs w:val="17"/>
                <w:color w:val="auto"/>
              </w:rPr>
              <w:t>April 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7"/>
                <w:szCs w:val="17"/>
                <w:color w:val="auto"/>
              </w:rPr>
              <w:t>May 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April 30,</w:t>
            </w:r>
          </w:p>
        </w:tc>
        <w:tc>
          <w:tcPr>
            <w:tcW w:w="320" w:type="dxa"/>
            <w:vAlign w:val="bottom"/>
          </w:tcPr>
          <w:p>
            <w:pPr>
              <w:spacing w:after="0"/>
              <w:rPr>
                <w:sz w:val="17"/>
                <w:szCs w:val="17"/>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w w:val="93"/>
              </w:rPr>
              <w:t>May 1,</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7"/>
                <w:szCs w:val="17"/>
                <w:color w:val="auto"/>
                <w:w w:val="99"/>
              </w:rPr>
              <w:t>April 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7"/>
                <w:szCs w:val="17"/>
                <w:color w:val="auto"/>
              </w:rPr>
              <w:t>May 1,</w:t>
            </w: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For the three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7"/>
                <w:szCs w:val="17"/>
                <w:color w:val="auto"/>
              </w:rPr>
              <w:t>months ended</w:t>
            </w:r>
          </w:p>
        </w:tc>
        <w:tc>
          <w:tcPr>
            <w:tcW w:w="18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color w:val="auto"/>
              </w:rPr>
              <w:t>2010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ind w:left="100"/>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15"/>
              <w:spacing w:after="0"/>
              <w:rPr>
                <w:sz w:val="20"/>
                <w:szCs w:val="20"/>
                <w:color w:val="auto"/>
              </w:rPr>
            </w:pPr>
            <w:r>
              <w:rPr>
                <w:rFonts w:ascii="Arial" w:cs="Arial" w:eastAsia="Arial" w:hAnsi="Arial"/>
                <w:sz w:val="17"/>
                <w:szCs w:val="17"/>
                <w:color w:val="auto"/>
              </w:rPr>
              <w:t>2010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315"/>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15"/>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60" w:type="dxa"/>
            <w:vAlign w:val="bottom"/>
            <w:tcBorders>
              <w:top w:val="single" w:sz="8" w:color="auto"/>
            </w:tcBorders>
          </w:tcPr>
          <w:p>
            <w:pPr>
              <w:spacing w:after="0" w:line="193" w:lineRule="exact"/>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exchange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color w:val="auto"/>
                <w:w w:val="95"/>
              </w:rPr>
              <w:t>Other 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60" w:type="dxa"/>
            <w:vAlign w:val="bottom"/>
            <w:gridSpan w:val="2"/>
          </w:tcPr>
          <w:p>
            <w:pPr>
              <w:spacing w:after="0"/>
              <w:rPr>
                <w:sz w:val="20"/>
                <w:szCs w:val="20"/>
                <w:color w:val="auto"/>
              </w:rPr>
            </w:pPr>
            <w:r>
              <w:rPr>
                <w:rFonts w:ascii="Arial" w:cs="Arial" w:eastAsia="Arial" w:hAnsi="Arial"/>
                <w:sz w:val="17"/>
                <w:szCs w:val="17"/>
                <w:color w:val="auto"/>
              </w:rPr>
              <w:t>contracts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407</w:t>
            </w:r>
          </w:p>
        </w:tc>
        <w:tc>
          <w:tcPr>
            <w:tcW w:w="120" w:type="dxa"/>
            <w:vAlign w:val="bottom"/>
          </w:tcPr>
          <w:p>
            <w:pPr>
              <w:spacing w:after="0"/>
              <w:rPr>
                <w:sz w:val="18"/>
                <w:szCs w:val="18"/>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2000" w:type="dxa"/>
            <w:vAlign w:val="bottom"/>
            <w:gridSpan w:val="3"/>
          </w:tcPr>
          <w:p>
            <w:pPr>
              <w:ind w:left="400"/>
              <w:spacing w:after="0"/>
              <w:rPr>
                <w:sz w:val="20"/>
                <w:szCs w:val="20"/>
                <w:color w:val="auto"/>
              </w:rPr>
            </w:pPr>
            <w:r>
              <w:rPr>
                <w:rFonts w:ascii="Arial" w:cs="Arial" w:eastAsia="Arial" w:hAnsi="Arial"/>
                <w:sz w:val="17"/>
                <w:szCs w:val="17"/>
                <w:color w:val="auto"/>
              </w:rPr>
              <w:t>(1,071) Net sales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(636)</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5,655</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net</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(54)</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7"/>
                <w:szCs w:val="17"/>
                <w:color w:val="auto"/>
              </w:rPr>
              <w:t>Foreign</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exchange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7"/>
                <w:szCs w:val="17"/>
                <w:color w:val="auto"/>
              </w:rPr>
              <w:t>contracts</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380</w:t>
            </w:r>
          </w:p>
        </w:tc>
        <w:tc>
          <w:tcPr>
            <w:tcW w:w="104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134</w:t>
            </w: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(1,336)</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705</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(502)</w:t>
            </w:r>
          </w:p>
        </w:tc>
        <w:tc>
          <w:tcPr>
            <w:tcW w:w="2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4,319</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1260" w:type="dxa"/>
            <w:vAlign w:val="bottom"/>
            <w:gridSpan w:val="2"/>
            <w:vMerge w:val="restart"/>
          </w:tcPr>
          <w:p>
            <w:pPr>
              <w:spacing w:after="0"/>
              <w:rPr>
                <w:sz w:val="20"/>
                <w:szCs w:val="20"/>
                <w:color w:val="auto"/>
              </w:rPr>
            </w:pPr>
            <w:r>
              <w:rPr>
                <w:rFonts w:ascii="Arial" w:cs="Arial" w:eastAsia="Arial" w:hAnsi="Arial"/>
                <w:sz w:val="17"/>
                <w:szCs w:val="17"/>
                <w:color w:val="auto"/>
              </w:rPr>
              <w:t>For the six</w:t>
            </w:r>
          </w:p>
        </w:tc>
        <w:tc>
          <w:tcPr>
            <w:tcW w:w="180" w:type="dxa"/>
            <w:vAlign w:val="bottom"/>
          </w:tcPr>
          <w:p>
            <w:pPr>
              <w:spacing w:after="0"/>
              <w:rPr>
                <w:sz w:val="24"/>
                <w:szCs w:val="2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7"/>
                <w:szCs w:val="17"/>
                <w:color w:val="auto"/>
              </w:rPr>
              <w:t>April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7"/>
                <w:szCs w:val="17"/>
                <w:color w:val="auto"/>
              </w:rPr>
              <w:t>May 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7"/>
                <w:szCs w:val="17"/>
                <w:color w:val="auto"/>
              </w:rPr>
              <w:t>April 30,</w:t>
            </w:r>
          </w:p>
        </w:tc>
        <w:tc>
          <w:tcPr>
            <w:tcW w:w="32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May 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9"/>
              </w:rPr>
              <w:t>April 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7"/>
                <w:szCs w:val="17"/>
                <w:color w:val="auto"/>
              </w:rPr>
              <w:t>May 1,</w:t>
            </w:r>
          </w:p>
        </w:tc>
        <w:tc>
          <w:tcPr>
            <w:tcW w:w="0" w:type="dxa"/>
            <w:vAlign w:val="bottom"/>
          </w:tcPr>
          <w:p>
            <w:pPr>
              <w:spacing w:after="0"/>
              <w:rPr>
                <w:sz w:val="1"/>
                <w:szCs w:val="1"/>
                <w:color w:val="auto"/>
              </w:rPr>
            </w:pPr>
          </w:p>
        </w:tc>
      </w:tr>
      <w:tr>
        <w:trPr>
          <w:trHeight w:val="193"/>
        </w:trPr>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7"/>
                <w:szCs w:val="17"/>
                <w:color w:val="auto"/>
              </w:rPr>
              <w:t>months ended</w:t>
            </w:r>
          </w:p>
        </w:tc>
        <w:tc>
          <w:tcPr>
            <w:tcW w:w="180" w:type="dxa"/>
            <w:vAlign w:val="bottom"/>
          </w:tcPr>
          <w:p>
            <w:pPr>
              <w:spacing w:after="0"/>
              <w:rPr>
                <w:sz w:val="19"/>
                <w:szCs w:val="19"/>
                <w:color w:val="auto"/>
              </w:rPr>
            </w:pPr>
          </w:p>
        </w:tc>
        <w:tc>
          <w:tcPr>
            <w:tcW w:w="980" w:type="dxa"/>
            <w:vAlign w:val="bottom"/>
          </w:tcPr>
          <w:p>
            <w:pPr>
              <w:jc w:val="right"/>
              <w:ind w:right="255"/>
              <w:spacing w:after="0"/>
              <w:rPr>
                <w:sz w:val="20"/>
                <w:szCs w:val="20"/>
                <w:color w:val="auto"/>
              </w:rPr>
            </w:pPr>
            <w:r>
              <w:rPr>
                <w:rFonts w:ascii="Arial" w:cs="Arial" w:eastAsia="Arial" w:hAnsi="Arial"/>
                <w:sz w:val="17"/>
                <w:szCs w:val="17"/>
                <w:color w:val="auto"/>
              </w:rPr>
              <w:t>2010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255"/>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55"/>
              <w:spacing w:after="0"/>
              <w:rPr>
                <w:sz w:val="20"/>
                <w:szCs w:val="20"/>
                <w:color w:val="auto"/>
              </w:rPr>
            </w:pPr>
            <w:r>
              <w:rPr>
                <w:rFonts w:ascii="Arial" w:cs="Arial" w:eastAsia="Arial" w:hAnsi="Arial"/>
                <w:sz w:val="17"/>
                <w:szCs w:val="17"/>
                <w:color w:val="auto"/>
              </w:rPr>
              <w:t>2010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255"/>
              <w:spacing w:after="0"/>
              <w:rPr>
                <w:sz w:val="20"/>
                <w:szCs w:val="20"/>
                <w:color w:val="auto"/>
              </w:rPr>
            </w:pPr>
            <w:r>
              <w:rPr>
                <w:rFonts w:ascii="Arial" w:cs="Arial" w:eastAsia="Arial" w:hAnsi="Arial"/>
                <w:sz w:val="17"/>
                <w:szCs w:val="17"/>
                <w:color w:val="auto"/>
              </w:rPr>
              <w:t>2009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55"/>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55"/>
              <w:spacing w:after="0"/>
              <w:rPr>
                <w:sz w:val="20"/>
                <w:szCs w:val="20"/>
                <w:color w:val="auto"/>
              </w:rPr>
            </w:pPr>
            <w:r>
              <w:rPr>
                <w:rFonts w:ascii="Arial" w:cs="Arial" w:eastAsia="Arial" w:hAnsi="Arial"/>
                <w:sz w:val="17"/>
                <w:szCs w:val="17"/>
                <w:color w:val="auto"/>
              </w:rPr>
              <w:t>2009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60" w:type="dxa"/>
            <w:vAlign w:val="bottom"/>
            <w:tcBorders>
              <w:top w:val="single" w:sz="8" w:color="auto"/>
            </w:tcBorders>
          </w:tcPr>
          <w:p>
            <w:pPr>
              <w:spacing w:after="0" w:line="193" w:lineRule="exact"/>
              <w:rPr>
                <w:sz w:val="20"/>
                <w:szCs w:val="20"/>
                <w:color w:val="auto"/>
              </w:rPr>
            </w:pPr>
            <w:r>
              <w:rPr>
                <w:rFonts w:ascii="Arial" w:cs="Arial" w:eastAsia="Arial" w:hAnsi="Arial"/>
                <w:sz w:val="17"/>
                <w:szCs w:val="17"/>
                <w:color w:val="auto"/>
              </w:rPr>
              <w:t>Foreign</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exchange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7"/>
                <w:szCs w:val="17"/>
                <w:color w:val="auto"/>
                <w:w w:val="95"/>
              </w:rPr>
              <w:t>Other income,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60" w:type="dxa"/>
            <w:vAlign w:val="bottom"/>
            <w:gridSpan w:val="2"/>
          </w:tcPr>
          <w:p>
            <w:pPr>
              <w:spacing w:after="0"/>
              <w:rPr>
                <w:sz w:val="20"/>
                <w:szCs w:val="20"/>
                <w:color w:val="auto"/>
              </w:rPr>
            </w:pPr>
            <w:r>
              <w:rPr>
                <w:rFonts w:ascii="Arial" w:cs="Arial" w:eastAsia="Arial" w:hAnsi="Arial"/>
                <w:sz w:val="17"/>
                <w:szCs w:val="17"/>
                <w:color w:val="auto"/>
              </w:rPr>
              <w:t>contracts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(2,345)</w:t>
            </w:r>
          </w:p>
        </w:tc>
        <w:tc>
          <w:tcPr>
            <w:tcW w:w="40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2000" w:type="dxa"/>
            <w:vAlign w:val="bottom"/>
            <w:gridSpan w:val="3"/>
          </w:tcPr>
          <w:p>
            <w:pPr>
              <w:ind w:left="400"/>
              <w:spacing w:after="0"/>
              <w:rPr>
                <w:sz w:val="20"/>
                <w:szCs w:val="20"/>
                <w:color w:val="auto"/>
              </w:rPr>
            </w:pPr>
            <w:r>
              <w:rPr>
                <w:rFonts w:ascii="Arial" w:cs="Arial" w:eastAsia="Arial" w:hAnsi="Arial"/>
                <w:sz w:val="17"/>
                <w:szCs w:val="17"/>
                <w:color w:val="auto"/>
              </w:rPr>
              <w:t>(1,061) Net sales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(1,526)</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8,396</w:t>
            </w:r>
          </w:p>
        </w:tc>
        <w:tc>
          <w:tcPr>
            <w:tcW w:w="1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7"/>
                <w:szCs w:val="17"/>
                <w:color w:val="auto"/>
              </w:rPr>
              <w:t>net</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(177)</w:t>
            </w: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7"/>
                <w:szCs w:val="17"/>
                <w:color w:val="auto"/>
              </w:rPr>
              <w:t>Foreign</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exchange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7"/>
                <w:szCs w:val="17"/>
                <w:color w:val="auto"/>
              </w:rPr>
              <w:t>contracts</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1,687</w:t>
            </w:r>
          </w:p>
        </w:tc>
        <w:tc>
          <w:tcPr>
            <w:tcW w:w="104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(2,246)</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260" w:type="dxa"/>
            <w:vAlign w:val="bottom"/>
            <w:gridSpan w:val="2"/>
          </w:tcPr>
          <w:p>
            <w:pPr>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(1,431)</w:t>
            </w:r>
          </w:p>
        </w:tc>
        <w:tc>
          <w:tcPr>
            <w:tcW w:w="220" w:type="dxa"/>
            <w:vAlign w:val="bottom"/>
          </w:tcPr>
          <w:p>
            <w:pPr>
              <w:spacing w:after="0"/>
              <w:rPr>
                <w:sz w:val="17"/>
                <w:szCs w:val="17"/>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6,150</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of April 30, 2010, the company anticipates to reclassify approximately $0.7 million of losses from AOCL to earnings during the next 12 months.</w:t>
      </w:r>
    </w:p>
    <w:p>
      <w:pPr>
        <w:sectPr>
          <w:pgSz w:w="11900" w:h="16838" w:orient="portrait"/>
          <w:cols w:equalWidth="0" w:num="1">
            <w:col w:w="11420"/>
          </w:cols>
          <w:pgMar w:left="240" w:top="498" w:right="239" w:bottom="0" w:gutter="0" w:footer="0" w:header="0"/>
        </w:sectPr>
      </w:pPr>
    </w:p>
    <w:bookmarkStart w:id="13" w:name="page14"/>
    <w:bookmarkEnd w:id="13"/>
    <w:p>
      <w:pPr>
        <w:ind w:right="540" w:firstLine="210"/>
        <w:spacing w:after="0" w:line="276" w:lineRule="auto"/>
        <w:rPr>
          <w:sz w:val="20"/>
          <w:szCs w:val="20"/>
          <w:color w:val="auto"/>
        </w:rPr>
      </w:pPr>
      <w:r>
        <w:rPr>
          <w:rFonts w:ascii="Arial" w:cs="Arial" w:eastAsia="Arial" w:hAnsi="Arial"/>
          <w:sz w:val="17"/>
          <w:szCs w:val="17"/>
          <w:color w:val="auto"/>
        </w:rPr>
        <w:t>The following table presents the impact of derivative instruments on the consolidated statements of earnings for the company’s derivatives not designated as hedging instruments.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3920" w:type="dxa"/>
            <w:vAlign w:val="bottom"/>
            <w:gridSpan w:val="3"/>
          </w:tcPr>
          <w:p>
            <w:pPr>
              <w:jc w:val="right"/>
              <w:ind w:right="35"/>
              <w:spacing w:after="0"/>
              <w:rPr>
                <w:sz w:val="20"/>
                <w:szCs w:val="20"/>
                <w:color w:val="auto"/>
              </w:rPr>
            </w:pPr>
            <w:r>
              <w:rPr>
                <w:rFonts w:ascii="Arial" w:cs="Arial" w:eastAsia="Arial" w:hAnsi="Arial"/>
                <w:sz w:val="17"/>
                <w:szCs w:val="17"/>
                <w:color w:val="auto"/>
              </w:rPr>
              <w:t>Gain (Loss) Recognized in Net Earnings</w:t>
            </w:r>
          </w:p>
        </w:tc>
        <w:tc>
          <w:tcPr>
            <w:tcW w:w="900" w:type="dxa"/>
            <w:vAlign w:val="bottom"/>
          </w:tcPr>
          <w:p>
            <w:pPr>
              <w:spacing w:after="0"/>
              <w:rPr>
                <w:sz w:val="17"/>
                <w:szCs w:val="17"/>
                <w:color w:val="auto"/>
              </w:rPr>
            </w:pPr>
          </w:p>
        </w:tc>
      </w:tr>
      <w:tr>
        <w:trPr>
          <w:trHeight w:val="223"/>
        </w:trPr>
        <w:tc>
          <w:tcPr>
            <w:tcW w:w="25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70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7"/>
                <w:szCs w:val="17"/>
                <w:color w:val="auto"/>
              </w:rPr>
              <w:t>Three Months Ended</w:t>
            </w:r>
          </w:p>
        </w:tc>
        <w:tc>
          <w:tcPr>
            <w:tcW w:w="2120" w:type="dxa"/>
            <w:vAlign w:val="bottom"/>
            <w:tcBorders>
              <w:bottom w:val="single" w:sz="8" w:color="auto"/>
            </w:tcBorders>
            <w:gridSpan w:val="2"/>
          </w:tcPr>
          <w:p>
            <w:pPr>
              <w:jc w:val="right"/>
              <w:ind w:right="415"/>
              <w:spacing w:after="0"/>
              <w:rPr>
                <w:sz w:val="20"/>
                <w:szCs w:val="20"/>
                <w:color w:val="auto"/>
              </w:rPr>
            </w:pPr>
            <w:r>
              <w:rPr>
                <w:rFonts w:ascii="Arial" w:cs="Arial" w:eastAsia="Arial" w:hAnsi="Arial"/>
                <w:sz w:val="17"/>
                <w:szCs w:val="17"/>
                <w:color w:val="auto"/>
              </w:rPr>
              <w:t>Six Months Ended</w:t>
            </w:r>
          </w:p>
        </w:tc>
      </w:tr>
      <w:tr>
        <w:trPr>
          <w:trHeight w:val="192"/>
        </w:trPr>
        <w:tc>
          <w:tcPr>
            <w:tcW w:w="2580" w:type="dxa"/>
            <w:vAlign w:val="bottom"/>
          </w:tcPr>
          <w:p>
            <w:pPr>
              <w:spacing w:after="0"/>
              <w:rPr>
                <w:sz w:val="16"/>
                <w:szCs w:val="16"/>
                <w:color w:val="auto"/>
              </w:rPr>
            </w:pPr>
          </w:p>
        </w:tc>
        <w:tc>
          <w:tcPr>
            <w:tcW w:w="4020" w:type="dxa"/>
            <w:vAlign w:val="bottom"/>
          </w:tcPr>
          <w:p>
            <w:pPr>
              <w:jc w:val="center"/>
              <w:ind w:left="575"/>
              <w:spacing w:after="0" w:line="193" w:lineRule="exact"/>
              <w:rPr>
                <w:sz w:val="20"/>
                <w:szCs w:val="20"/>
                <w:color w:val="auto"/>
              </w:rPr>
            </w:pPr>
            <w:r>
              <w:rPr>
                <w:rFonts w:ascii="Arial" w:cs="Arial" w:eastAsia="Arial" w:hAnsi="Arial"/>
                <w:sz w:val="17"/>
                <w:szCs w:val="17"/>
                <w:color w:val="auto"/>
                <w:w w:val="93"/>
              </w:rPr>
              <w:t>Location of Gain (Loss)</w:t>
            </w:r>
          </w:p>
        </w:tc>
        <w:tc>
          <w:tcPr>
            <w:tcW w:w="1560" w:type="dxa"/>
            <w:vAlign w:val="bottom"/>
          </w:tcPr>
          <w:p>
            <w:pPr>
              <w:jc w:val="center"/>
              <w:ind w:right="95"/>
              <w:spacing w:after="0" w:line="193" w:lineRule="exact"/>
              <w:rPr>
                <w:sz w:val="20"/>
                <w:szCs w:val="20"/>
                <w:color w:val="auto"/>
              </w:rPr>
            </w:pPr>
            <w:r>
              <w:rPr>
                <w:rFonts w:ascii="Arial" w:cs="Arial" w:eastAsia="Arial" w:hAnsi="Arial"/>
                <w:sz w:val="17"/>
                <w:szCs w:val="17"/>
                <w:color w:val="auto"/>
                <w:w w:val="99"/>
              </w:rPr>
              <w:t>April 30,</w:t>
            </w:r>
          </w:p>
        </w:tc>
        <w:tc>
          <w:tcPr>
            <w:tcW w:w="1140" w:type="dxa"/>
            <w:vAlign w:val="bottom"/>
          </w:tcPr>
          <w:p>
            <w:pPr>
              <w:jc w:val="center"/>
              <w:ind w:right="255"/>
              <w:spacing w:after="0" w:line="193" w:lineRule="exact"/>
              <w:rPr>
                <w:sz w:val="20"/>
                <w:szCs w:val="20"/>
                <w:color w:val="auto"/>
              </w:rPr>
            </w:pPr>
            <w:r>
              <w:rPr>
                <w:rFonts w:ascii="Arial" w:cs="Arial" w:eastAsia="Arial" w:hAnsi="Arial"/>
                <w:sz w:val="17"/>
                <w:szCs w:val="17"/>
                <w:color w:val="auto"/>
                <w:w w:val="93"/>
              </w:rPr>
              <w:t>May 1,</w:t>
            </w:r>
          </w:p>
        </w:tc>
        <w:tc>
          <w:tcPr>
            <w:tcW w:w="1220" w:type="dxa"/>
            <w:vAlign w:val="bottom"/>
          </w:tcPr>
          <w:p>
            <w:pPr>
              <w:jc w:val="right"/>
              <w:ind w:right="355"/>
              <w:spacing w:after="0" w:line="193" w:lineRule="exact"/>
              <w:rPr>
                <w:sz w:val="20"/>
                <w:szCs w:val="20"/>
                <w:color w:val="auto"/>
              </w:rPr>
            </w:pPr>
            <w:r>
              <w:rPr>
                <w:rFonts w:ascii="Arial" w:cs="Arial" w:eastAsia="Arial" w:hAnsi="Arial"/>
                <w:sz w:val="17"/>
                <w:szCs w:val="17"/>
                <w:color w:val="auto"/>
              </w:rPr>
              <w:t>April 30,</w:t>
            </w:r>
          </w:p>
        </w:tc>
        <w:tc>
          <w:tcPr>
            <w:tcW w:w="900" w:type="dxa"/>
            <w:vAlign w:val="bottom"/>
          </w:tcPr>
          <w:p>
            <w:pPr>
              <w:jc w:val="center"/>
              <w:ind w:right="55"/>
              <w:spacing w:after="0" w:line="193" w:lineRule="exact"/>
              <w:rPr>
                <w:sz w:val="20"/>
                <w:szCs w:val="20"/>
                <w:color w:val="auto"/>
              </w:rPr>
            </w:pPr>
            <w:r>
              <w:rPr>
                <w:rFonts w:ascii="Arial" w:cs="Arial" w:eastAsia="Arial" w:hAnsi="Arial"/>
                <w:sz w:val="17"/>
                <w:szCs w:val="17"/>
                <w:color w:val="auto"/>
                <w:w w:val="93"/>
              </w:rPr>
              <w:t>May 1,</w:t>
            </w:r>
          </w:p>
        </w:tc>
      </w:tr>
      <w:tr>
        <w:trPr>
          <w:trHeight w:val="223"/>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(Dollars in thousands)</w:t>
            </w:r>
          </w:p>
        </w:tc>
        <w:tc>
          <w:tcPr>
            <w:tcW w:w="4020" w:type="dxa"/>
            <w:vAlign w:val="bottom"/>
            <w:tcBorders>
              <w:bottom w:val="single" w:sz="8" w:color="auto"/>
            </w:tcBorders>
          </w:tcPr>
          <w:p>
            <w:pPr>
              <w:jc w:val="center"/>
              <w:ind w:left="575"/>
              <w:spacing w:after="0"/>
              <w:rPr>
                <w:sz w:val="20"/>
                <w:szCs w:val="20"/>
                <w:color w:val="auto"/>
              </w:rPr>
            </w:pPr>
            <w:r>
              <w:rPr>
                <w:rFonts w:ascii="Arial" w:cs="Arial" w:eastAsia="Arial" w:hAnsi="Arial"/>
                <w:sz w:val="17"/>
                <w:szCs w:val="17"/>
                <w:color w:val="auto"/>
                <w:w w:val="91"/>
              </w:rPr>
              <w:t>Recognized in Net Earnings</w:t>
            </w:r>
          </w:p>
        </w:tc>
        <w:tc>
          <w:tcPr>
            <w:tcW w:w="15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2010</w:t>
            </w: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2009</w:t>
            </w: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2010</w:t>
            </w: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2009</w:t>
            </w:r>
          </w:p>
        </w:tc>
      </w:tr>
      <w:tr>
        <w:trPr>
          <w:trHeight w:val="409"/>
        </w:trPr>
        <w:tc>
          <w:tcPr>
            <w:tcW w:w="2580" w:type="dxa"/>
            <w:vAlign w:val="bottom"/>
          </w:tcPr>
          <w:p>
            <w:pPr>
              <w:spacing w:after="0"/>
              <w:rPr>
                <w:sz w:val="20"/>
                <w:szCs w:val="20"/>
                <w:color w:val="auto"/>
              </w:rPr>
            </w:pPr>
            <w:r>
              <w:rPr>
                <w:rFonts w:ascii="Arial" w:cs="Arial" w:eastAsia="Arial" w:hAnsi="Arial"/>
                <w:sz w:val="17"/>
                <w:szCs w:val="17"/>
                <w:color w:val="auto"/>
              </w:rPr>
              <w:t>Foreign exchange contracts</w:t>
            </w:r>
          </w:p>
        </w:tc>
        <w:tc>
          <w:tcPr>
            <w:tcW w:w="4020" w:type="dxa"/>
            <w:vAlign w:val="bottom"/>
          </w:tcPr>
          <w:p>
            <w:pPr>
              <w:ind w:left="680"/>
              <w:spacing w:after="0"/>
              <w:rPr>
                <w:sz w:val="20"/>
                <w:szCs w:val="20"/>
                <w:color w:val="auto"/>
              </w:rPr>
            </w:pPr>
            <w:r>
              <w:rPr>
                <w:rFonts w:ascii="Arial" w:cs="Arial" w:eastAsia="Arial" w:hAnsi="Arial"/>
                <w:sz w:val="17"/>
                <w:szCs w:val="17"/>
                <w:color w:val="auto"/>
              </w:rPr>
              <w:t>Other income, net</w:t>
            </w:r>
          </w:p>
        </w:tc>
        <w:tc>
          <w:tcPr>
            <w:tcW w:w="15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$3,369</w:t>
            </w: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$(947)</w:t>
            </w:r>
          </w:p>
        </w:tc>
        <w:tc>
          <w:tcPr>
            <w:tcW w:w="12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$4,202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$2,782</w:t>
            </w:r>
          </w:p>
        </w:tc>
      </w:tr>
      <w:tr>
        <w:trPr>
          <w:trHeight w:val="20"/>
        </w:trPr>
        <w:tc>
          <w:tcPr>
            <w:tcW w:w="2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Fair Value Measurements</w:t>
      </w:r>
    </w:p>
    <w:p>
      <w:pPr>
        <w:spacing w:after="0" w:line="243"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company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Level 1 — Unadjusted quoted prices in active markets for identical assets or liabilities.</w:t>
      </w:r>
    </w:p>
    <w:p>
      <w:pPr>
        <w:spacing w:after="0" w:line="9" w:lineRule="exact"/>
        <w:rPr>
          <w:sz w:val="20"/>
          <w:szCs w:val="20"/>
          <w:color w:val="auto"/>
        </w:rPr>
      </w:pPr>
    </w:p>
    <w:p>
      <w:pPr>
        <w:ind w:right="260"/>
        <w:spacing w:after="0" w:line="251" w:lineRule="auto"/>
        <w:rPr>
          <w:sz w:val="20"/>
          <w:szCs w:val="20"/>
          <w:color w:val="auto"/>
        </w:rPr>
      </w:pPr>
      <w:r>
        <w:rPr>
          <w:rFonts w:ascii="Arial" w:cs="Arial" w:eastAsia="Arial" w:hAnsi="Arial"/>
          <w:sz w:val="17"/>
          <w:szCs w:val="17"/>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Level 3 — Unobservable inputs reflecting management’s assumptions about the inputs used in pricing the asset or liability.</w:t>
      </w:r>
    </w:p>
    <w:p>
      <w:pPr>
        <w:spacing w:after="0" w:line="9" w:lineRule="exact"/>
        <w:rPr>
          <w:sz w:val="20"/>
          <w:szCs w:val="20"/>
          <w:color w:val="auto"/>
        </w:rPr>
      </w:pPr>
    </w:p>
    <w:p>
      <w:pPr>
        <w:jc w:val="both"/>
        <w:ind w:right="60" w:firstLine="213"/>
        <w:spacing w:after="0" w:line="251" w:lineRule="auto"/>
        <w:rPr>
          <w:sz w:val="20"/>
          <w:szCs w:val="20"/>
          <w:color w:val="auto"/>
        </w:rPr>
      </w:pPr>
      <w:r>
        <w:rPr>
          <w:rFonts w:ascii="Arial" w:cs="Arial" w:eastAsia="Arial" w:hAnsi="Arial"/>
          <w:sz w:val="17"/>
          <w:szCs w:val="17"/>
          <w:color w:val="auto"/>
        </w:rPr>
        <w:t>Cash and cash equivalents are valued at their carrying amounts in the consolidated balance sheets, which are reasonable estimates of their fair value due to their short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fixed-income investment contracts based on current yields.</w:t>
      </w:r>
    </w:p>
    <w:p>
      <w:pPr>
        <w:spacing w:after="0" w:line="1" w:lineRule="exact"/>
        <w:rPr>
          <w:sz w:val="20"/>
          <w:szCs w:val="20"/>
          <w:color w:val="auto"/>
        </w:rPr>
      </w:pPr>
    </w:p>
    <w:p>
      <w:pPr>
        <w:ind w:right="280" w:firstLine="210"/>
        <w:spacing w:after="0" w:line="266" w:lineRule="auto"/>
        <w:rPr>
          <w:sz w:val="20"/>
          <w:szCs w:val="20"/>
          <w:color w:val="auto"/>
        </w:rPr>
      </w:pPr>
      <w:r>
        <w:rPr>
          <w:rFonts w:ascii="Arial" w:cs="Arial" w:eastAsia="Arial" w:hAnsi="Arial"/>
          <w:sz w:val="16"/>
          <w:szCs w:val="16"/>
          <w:color w:val="auto"/>
        </w:rPr>
        <w:t>The company adopted the provisions of Statement of Financial Accounting Standards (SFAS) No. 157, “Fair Value Measurements” for nonfinancial assets and liabilities that are not required to be measured on a recurring basis during the first quarter of fiscal 2010, as required. The company also adopted the provision of Accounting Standards Update (ASU) No. 2010-06 for Level 1 and Level 2 fair value measurements during the second quarter of fiscal 2010, as required. The adoption of these provisions had no impact on the company’s financial position or results of operations.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Assets and liabilities measured at fair value on a recurring basis, as of April 30, 2010, are summarized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7"/>
                <w:szCs w:val="17"/>
                <w:color w:val="auto"/>
                <w:w w:val="95"/>
              </w:rPr>
              <w:t>Fair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7"/>
                <w:szCs w:val="17"/>
                <w:color w:val="auto"/>
                <w:w w:val="91"/>
              </w:rPr>
              <w:t>Value</w:t>
            </w:r>
          </w:p>
        </w:tc>
        <w:tc>
          <w:tcPr>
            <w:tcW w:w="200" w:type="dxa"/>
            <w:vAlign w:val="bottom"/>
          </w:tcPr>
          <w:p>
            <w:pPr>
              <w:spacing w:after="0"/>
              <w:rPr>
                <w:sz w:val="19"/>
                <w:szCs w:val="19"/>
                <w:color w:val="auto"/>
              </w:rPr>
            </w:pPr>
          </w:p>
        </w:tc>
        <w:tc>
          <w:tcPr>
            <w:tcW w:w="960" w:type="dxa"/>
            <w:vAlign w:val="bottom"/>
          </w:tcPr>
          <w:p>
            <w:pPr>
              <w:jc w:val="right"/>
              <w:ind w:right="235"/>
              <w:spacing w:after="0"/>
              <w:rPr>
                <w:sz w:val="20"/>
                <w:szCs w:val="20"/>
                <w:color w:val="auto"/>
              </w:rPr>
            </w:pPr>
            <w:r>
              <w:rPr>
                <w:rFonts w:ascii="Arial" w:cs="Arial" w:eastAsia="Arial" w:hAnsi="Arial"/>
                <w:sz w:val="17"/>
                <w:szCs w:val="17"/>
                <w:color w:val="auto"/>
              </w:rPr>
              <w:t>Level 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Level 2</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192"/>
        </w:trPr>
        <w:tc>
          <w:tcPr>
            <w:tcW w:w="5960" w:type="dxa"/>
            <w:vAlign w:val="bottom"/>
            <w:tcBorders>
              <w:top w:val="single" w:sz="8" w:color="auto"/>
            </w:tcBorders>
          </w:tcPr>
          <w:p>
            <w:pPr>
              <w:spacing w:after="0" w:line="193" w:lineRule="exact"/>
              <w:rPr>
                <w:sz w:val="20"/>
                <w:szCs w:val="20"/>
                <w:color w:val="auto"/>
              </w:rPr>
            </w:pPr>
            <w:r>
              <w:rPr>
                <w:rFonts w:ascii="Arial" w:cs="Arial" w:eastAsia="Arial" w:hAnsi="Arial"/>
                <w:sz w:val="17"/>
                <w:szCs w:val="17"/>
                <w:color w:val="auto"/>
              </w:rPr>
              <w:t>Assets:</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180,385</w:t>
            </w:r>
          </w:p>
        </w:tc>
        <w:tc>
          <w:tcPr>
            <w:tcW w:w="2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180,385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9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180,385</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180,385</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w w:val="82"/>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7"/>
                <w:szCs w:val="17"/>
                <w:color w:val="auto"/>
              </w:rPr>
              <w:t>Liabilities:</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960" w:type="dxa"/>
            <w:vAlign w:val="bottom"/>
          </w:tcPr>
          <w:p>
            <w:pPr>
              <w:ind w:left="40"/>
              <w:spacing w:after="0"/>
              <w:rPr>
                <w:sz w:val="20"/>
                <w:szCs w:val="20"/>
                <w:color w:val="auto"/>
              </w:rPr>
            </w:pPr>
            <w:r>
              <w:rPr>
                <w:rFonts w:ascii="Arial" w:cs="Arial" w:eastAsia="Arial" w:hAnsi="Arial"/>
                <w:sz w:val="17"/>
                <w:szCs w:val="17"/>
                <w:color w:val="auto"/>
              </w:rPr>
              <w:t>Foreign exchange contracts</w:t>
            </w: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598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598</w:t>
            </w:r>
          </w:p>
        </w:tc>
        <w:tc>
          <w:tcPr>
            <w:tcW w:w="1140" w:type="dxa"/>
            <w:vAlign w:val="bottom"/>
            <w:gridSpan w:val="2"/>
          </w:tcPr>
          <w:p>
            <w:pPr>
              <w:ind w:left="9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3"/>
        </w:trPr>
        <w:tc>
          <w:tcPr>
            <w:tcW w:w="5960" w:type="dxa"/>
            <w:vAlign w:val="bottom"/>
          </w:tcPr>
          <w:p>
            <w:pPr>
              <w:ind w:left="40"/>
              <w:spacing w:after="0"/>
              <w:rPr>
                <w:sz w:val="20"/>
                <w:szCs w:val="20"/>
                <w:color w:val="auto"/>
              </w:rPr>
            </w:pPr>
            <w:r>
              <w:rPr>
                <w:rFonts w:ascii="Arial" w:cs="Arial" w:eastAsia="Arial" w:hAnsi="Arial"/>
                <w:sz w:val="17"/>
                <w:szCs w:val="17"/>
                <w:color w:val="auto"/>
              </w:rPr>
              <w:t>Deferred compensation liabilities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5,401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5,401</w:t>
            </w:r>
          </w:p>
        </w:tc>
        <w:tc>
          <w:tcPr>
            <w:tcW w:w="1140" w:type="dxa"/>
            <w:vAlign w:val="bottom"/>
            <w:gridSpan w:val="2"/>
          </w:tcPr>
          <w:p>
            <w:pPr>
              <w:ind w:left="960"/>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5"/>
        </w:trPr>
        <w:tc>
          <w:tcPr>
            <w:tcW w:w="5960" w:type="dxa"/>
            <w:vAlign w:val="bottom"/>
          </w:tcPr>
          <w:p>
            <w:pPr>
              <w:ind w:left="1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5,999</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5,999</w:t>
            </w:r>
          </w:p>
        </w:tc>
        <w:tc>
          <w:tcPr>
            <w:tcW w:w="220" w:type="dxa"/>
            <w:vAlign w:val="bottom"/>
          </w:tcPr>
          <w:p>
            <w:pPr>
              <w:spacing w:after="0"/>
              <w:rPr>
                <w:sz w:val="17"/>
                <w:szCs w:val="17"/>
                <w:color w:val="auto"/>
              </w:rPr>
            </w:pPr>
          </w:p>
        </w:tc>
        <w:tc>
          <w:tcPr>
            <w:tcW w:w="11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w w:val="82"/>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43" w:lineRule="exact"/>
        <w:rPr>
          <w:sz w:val="20"/>
          <w:szCs w:val="20"/>
          <w:color w:val="auto"/>
        </w:rPr>
      </w:pPr>
    </w:p>
    <w:p>
      <w:pPr>
        <w:jc w:val="both"/>
        <w:ind w:right="60"/>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ind w:right="60"/>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 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00" w:lineRule="exact"/>
        <w:rPr>
          <w:sz w:val="20"/>
          <w:szCs w:val="20"/>
          <w:color w:val="auto"/>
        </w:rPr>
      </w:pPr>
    </w:p>
    <w:p>
      <w:pPr>
        <w:spacing w:after="0" w:line="241"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 xml:space="preserve">Lawnmower Engine Horsepower Marketing and Sales Practices Litigation. </w:t>
      </w:r>
      <w:r>
        <w:rPr>
          <w:rFonts w:ascii="Arial" w:cs="Arial" w:eastAsia="Arial" w:hAnsi="Arial"/>
          <w:sz w:val="17"/>
          <w:szCs w:val="17"/>
          <w:color w:val="auto"/>
        </w:rPr>
        <w:t>In June 2004, individuals who claim to have purchased lawnmowers in Illinois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w:t>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494" w:right="339" w:bottom="1440" w:gutter="0" w:footer="0" w:header="0"/>
        </w:sectPr>
      </w:pPr>
    </w:p>
    <w:bookmarkStart w:id="15" w:name="page16"/>
    <w:bookmarkEnd w:id="15"/>
    <w:p>
      <w:pPr>
        <w:jc w:val="both"/>
        <w:ind w:right="100"/>
        <w:spacing w:after="0" w:line="258" w:lineRule="auto"/>
        <w:rPr>
          <w:sz w:val="20"/>
          <w:szCs w:val="20"/>
          <w:color w:val="auto"/>
        </w:rPr>
      </w:pPr>
      <w:r>
        <w:rPr>
          <w:rFonts w:ascii="Arial" w:cs="Arial" w:eastAsia="Arial" w:hAnsi="Arial"/>
          <w:sz w:val="17"/>
          <w:szCs w:val="17"/>
          <w:color w:val="auto"/>
        </w:rPr>
        <w:t>by the defendants. The amended complaint also sought an injunction, unspecified compensatory and punitive damages, treble damages under RICO, and attorneys’ fees.</w:t>
      </w:r>
    </w:p>
    <w:p>
      <w:pPr>
        <w:jc w:val="both"/>
        <w:ind w:right="120" w:firstLine="213"/>
        <w:spacing w:after="0" w:line="266" w:lineRule="auto"/>
        <w:rPr>
          <w:sz w:val="20"/>
          <w:szCs w:val="20"/>
          <w:color w:val="auto"/>
        </w:rPr>
      </w:pPr>
      <w:r>
        <w:rPr>
          <w:rFonts w:ascii="Arial" w:cs="Arial" w:eastAsia="Arial" w:hAnsi="Arial"/>
          <w:sz w:val="16"/>
          <w:szCs w:val="16"/>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and the other defendants that it had reached a settlement agreement with the plaintiffs.</w:t>
      </w:r>
    </w:p>
    <w:p>
      <w:pPr>
        <w:spacing w:after="0" w:line="3" w:lineRule="exact"/>
        <w:rPr>
          <w:sz w:val="20"/>
          <w:szCs w:val="20"/>
          <w:color w:val="auto"/>
        </w:rPr>
      </w:pPr>
    </w:p>
    <w:p>
      <w:pPr>
        <w:ind w:right="100" w:firstLine="213"/>
        <w:spacing w:after="0" w:line="284" w:lineRule="auto"/>
        <w:rPr>
          <w:sz w:val="20"/>
          <w:szCs w:val="20"/>
          <w:color w:val="auto"/>
        </w:rPr>
      </w:pPr>
      <w:r>
        <w:rPr>
          <w:rFonts w:ascii="Arial" w:cs="Arial" w:eastAsia="Arial" w:hAnsi="Arial"/>
          <w:sz w:val="15"/>
          <w:szCs w:val="15"/>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2" w:lineRule="exact"/>
        <w:rPr>
          <w:sz w:val="20"/>
          <w:szCs w:val="20"/>
          <w:color w:val="auto"/>
        </w:rPr>
      </w:pPr>
    </w:p>
    <w:p>
      <w:pPr>
        <w:ind w:right="140" w:firstLine="213"/>
        <w:spacing w:after="0" w:line="251" w:lineRule="auto"/>
        <w:rPr>
          <w:sz w:val="20"/>
          <w:szCs w:val="20"/>
          <w:color w:val="auto"/>
        </w:rPr>
      </w:pPr>
      <w:r>
        <w:rPr>
          <w:rFonts w:ascii="Arial" w:cs="Arial" w:eastAsia="Arial" w:hAnsi="Arial"/>
          <w:sz w:val="17"/>
          <w:szCs w:val="17"/>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Lawsuits were subsequently filed in federal and state courts throughout the United States, which collectively assert claims under the laws of each state.</w:t>
      </w:r>
    </w:p>
    <w:p>
      <w:pPr>
        <w:spacing w:after="0" w:line="1" w:lineRule="exact"/>
        <w:rPr>
          <w:sz w:val="20"/>
          <w:szCs w:val="20"/>
          <w:color w:val="auto"/>
        </w:rPr>
      </w:pPr>
    </w:p>
    <w:p>
      <w:pPr>
        <w:ind w:right="6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ind w:right="20" w:firstLine="204"/>
        <w:spacing w:after="0" w:line="266" w:lineRule="auto"/>
        <w:rPr>
          <w:sz w:val="20"/>
          <w:szCs w:val="20"/>
          <w:color w:val="auto"/>
        </w:rPr>
      </w:pPr>
      <w:r>
        <w:rPr>
          <w:rFonts w:ascii="Arial" w:cs="Arial" w:eastAsia="Arial" w:hAnsi="Arial"/>
          <w:sz w:val="16"/>
          <w:szCs w:val="16"/>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were commenced, settlement discussions were conducted, and ultimately all defendants entered into various settlement agreements with the plaintiffs in February 2010. The settlement agreement entered into by the company and certain other defendants provides for, among other things, (i) a monetary settlement, (ii) an additional warranty period for some engines that are subject to the litigation, and (iii) injunctive relief relating to power rating labeling practices. The plaintiffs filed a motion for prelim inary approval of the settlement agreement and certification of a settlement class, and the court granted the motion. The settlement is not final for all purposes until after members of the proposed settlement class receive notice of the settlement, the Court determines that the settlement is fair, reasonable and adequate, and applicable appeal periods expire without appeal. The Court has scheduled a hearing in June 2010, at which it is expected that the Court will consider whether the settlement is fair, reasonable and adequate. At this time, management is unable to provide assurance that the Court will approve the settlement or that the settlement will become final for all purposes.</w:t>
      </w:r>
    </w:p>
    <w:p>
      <w:pPr>
        <w:spacing w:after="0" w:line="8" w:lineRule="exact"/>
        <w:rPr>
          <w:sz w:val="20"/>
          <w:szCs w:val="20"/>
          <w:color w:val="auto"/>
        </w:rPr>
      </w:pPr>
    </w:p>
    <w:p>
      <w:pPr>
        <w:ind w:right="80" w:firstLine="213"/>
        <w:spacing w:after="0" w:line="251" w:lineRule="auto"/>
        <w:rPr>
          <w:sz w:val="20"/>
          <w:szCs w:val="20"/>
          <w:color w:val="auto"/>
        </w:rPr>
      </w:pPr>
      <w:r>
        <w:rPr>
          <w:rFonts w:ascii="Arial" w:cs="Arial" w:eastAsia="Arial" w:hAnsi="Arial"/>
          <w:sz w:val="17"/>
          <w:szCs w:val="17"/>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through the present, purchased a lawnmower containing a gas combustible engine up to 30 horsepower that was manufactured or sold by the defendants, and (iii) seeks under applicable Canadian law unspecified compensatory and punitive damages, attorneys’ costs and fees, and equitable relief.</w:t>
      </w:r>
    </w:p>
    <w:p>
      <w:pPr>
        <w:spacing w:after="0" w:line="1" w:lineRule="exact"/>
        <w:rPr>
          <w:sz w:val="20"/>
          <w:szCs w:val="20"/>
          <w:color w:val="auto"/>
        </w:rPr>
      </w:pPr>
    </w:p>
    <w:p>
      <w:pPr>
        <w:ind w:firstLine="213"/>
        <w:spacing w:after="0" w:line="253" w:lineRule="auto"/>
        <w:rPr>
          <w:sz w:val="20"/>
          <w:szCs w:val="20"/>
          <w:color w:val="auto"/>
        </w:rPr>
      </w:pPr>
      <w:r>
        <w:rPr>
          <w:rFonts w:ascii="Arial" w:cs="Arial" w:eastAsia="Arial" w:hAnsi="Arial"/>
          <w:sz w:val="17"/>
          <w:szCs w:val="17"/>
          <w:color w:val="auto"/>
        </w:rPr>
        <w:t>Management continues to evaluate this litigation. If the settlement with the United States plaintiffs becomes final, the company’s obligations under the settlement agreement will not have a material adverse effect on the company’s operating results or financial position. The expected costs of the company’s settlement obligations are consistent with accruals established in prior periods. In the event the settlement with the United States plaintiffs does not become final for all purposes or in the event that the company is unable to favorably resolve the Canadian litigation, management is unable to assess at this time whether this litigation would have a material adverse effect on the company’s annual consolidated operating results or financial condition, although an unfavorable resolu tion or outcome could be material to the company’s consolidated operating results for a particular period.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24"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The company evaluated all subsequent events and concluded that no additional subsequent events have occurred that would require recognition in the financial statements or disclosure in the notes to the financial statements.</w:t>
      </w:r>
    </w:p>
    <w:p>
      <w:pPr>
        <w:spacing w:after="0" w:line="34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498" w:right="419" w:bottom="1440" w:gutter="0" w:footer="0" w:header="0"/>
        </w:sectPr>
      </w:pPr>
    </w:p>
    <w:bookmarkStart w:id="16" w:name="page17"/>
    <w:bookmarkEnd w:id="16"/>
    <w:p>
      <w:pPr>
        <w:jc w:val="center"/>
        <w:ind w:right="120"/>
        <w:spacing w:after="0"/>
        <w:rPr>
          <w:sz w:val="20"/>
          <w:szCs w:val="20"/>
          <w:color w:val="auto"/>
        </w:rPr>
      </w:pPr>
      <w:r>
        <w:rPr>
          <w:rFonts w:ascii="Arial" w:cs="Arial" w:eastAsia="Arial" w:hAnsi="Arial"/>
          <w:sz w:val="20"/>
          <w:szCs w:val="20"/>
          <w:b w:val="1"/>
          <w:bCs w:val="1"/>
          <w:color w:val="auto"/>
        </w:rPr>
        <w:t>Item 2. MANAGEMENT'S DISCUSSION AND ANALYSIS OF FINANCIAL CONDITION</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w:t>
      </w:r>
    </w:p>
    <w:p>
      <w:pPr>
        <w:spacing w:after="0" w:line="243"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 Toro Company is in the business of designing, manufacturing, and marketing professional turf maintenance equipment and services, turf and agricultural micro-irrigation systems, landscaping equipment, and residential yard and snow removal products. We sell our products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distribution company, has been combined with our corporate activities. Our emphasis is to provide innovative, well-built, and dependable products supported by an extensive service network. A significant portion of our revenues has historically been, and we expect it to cont inue to be, attributable to new and enhanced products.</w:t>
      </w:r>
    </w:p>
    <w:p>
      <w:pPr>
        <w:spacing w:after="0" w:line="2" w:lineRule="exact"/>
        <w:rPr>
          <w:sz w:val="20"/>
          <w:szCs w:val="20"/>
          <w:color w:val="auto"/>
        </w:rPr>
      </w:pPr>
    </w:p>
    <w:p>
      <w:pPr>
        <w:ind w:right="340" w:firstLine="210"/>
        <w:spacing w:after="0" w:line="262" w:lineRule="auto"/>
        <w:rPr>
          <w:sz w:val="20"/>
          <w:szCs w:val="20"/>
          <w:color w:val="auto"/>
        </w:rPr>
      </w:pPr>
      <w:r>
        <w:rPr>
          <w:rFonts w:ascii="Arial" w:cs="Arial" w:eastAsia="Arial" w:hAnsi="Arial"/>
          <w:sz w:val="17"/>
          <w:szCs w:val="17"/>
          <w:color w:val="auto"/>
        </w:rPr>
        <w:t>The Management’s Discussion and Analysis of Financial Condition and Results of Operations (MD&amp;A) for the second quarter of fiscal 2010 should be read in conjunction with the MD&amp;A included in our Annual Report on Form 10-K for the fiscal year ended October 31, 2009.</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Our results for the second quarter of fiscal 2010 were generally positive with a net sales growth rate of 12.6 percent and a net earnings growth rate of 23.9 percent compared to the second quarter of fiscal 2009. Year-to-date net earnings increased 29.8 percent in fiscal 2010 compared to the same period in the last fiscal year on a year-to-date sales growth rate of 6.4 percent. Shipments of most professional segment products were up primarily from improved economic conditions, increased demand for our products, the successful introduction of new products, and customers who aligned their orders closer to retail demand. Net sales of micro-irrigation products continued to gain momentum with our investment in addition manufacturing capacity to increase production of our water conserving products to meet the growing worldwide market demand. Re sidential segment net sales also increased due to favorable weather conditions, as well as increased demand and additional product placement for riding products. In addition, shipments of snow thrower products were up for the second quarter and year-to-date period of fiscal 2010 compared to the same periods in the prior fiscal year due to increased demand from heavy snow falls during the winter season of 2009-2010 and the timing of the introduction of our new redesigned offering of snow thrower products that shipped to customers in the first quarter of fiscal 2010. Net earnings as a percentage of net sales rose to 8.1 percent and 6.3 percent in the second quarter and year-to-date period of fiscal 2010, respectively, compared to 7.4 percent and 5.2 percent in the second quarter and year-to-date period of fiscal 2009, respectively. Higher gross margins, leveraging of selling, general, and administrative expenses, and a lower effective tax rate also contributed to the earnings improvement.</w:t>
      </w:r>
    </w:p>
    <w:p>
      <w:pPr>
        <w:spacing w:after="0" w:line="2" w:lineRule="exact"/>
        <w:rPr>
          <w:sz w:val="20"/>
          <w:szCs w:val="20"/>
          <w:color w:val="auto"/>
        </w:rPr>
      </w:pPr>
    </w:p>
    <w:p>
      <w:pPr>
        <w:ind w:firstLine="210"/>
        <w:spacing w:after="0" w:line="266" w:lineRule="auto"/>
        <w:rPr>
          <w:sz w:val="20"/>
          <w:szCs w:val="20"/>
          <w:color w:val="auto"/>
        </w:rPr>
      </w:pPr>
      <w:r>
        <w:rPr>
          <w:rFonts w:ascii="Arial" w:cs="Arial" w:eastAsia="Arial" w:hAnsi="Arial"/>
          <w:sz w:val="16"/>
          <w:szCs w:val="16"/>
          <w:color w:val="auto"/>
        </w:rPr>
        <w:t>We continued to focus on reducing working capital and improving asset management. As a result of our efforts, as of the end of our fiscal 2010 second quarter we achieved our long-term goal to reduce average net working capital (accounts receivable plus inventory less trade payables) as a percentage of net sales to below 20 percent, or “in the teens.” Our average net working capital as a percentage of net sales for the twelve months ended April 30, 2010 was 19.0 percent. The impact of our efforts to reduce working capital resulted in a significant improvement of our cash flows from operating activities for the first six months of fiscal 2010 compared to the first six months of fiscal 2009. We also paid a cash dividend of $0.18 per share during the second quarter of fiscal 2010, which was an increas e of 20 percent over our cash dividend of $0.15 per share for the second quarter of fiscal 2009.</w:t>
      </w:r>
    </w:p>
    <w:p>
      <w:pPr>
        <w:spacing w:after="0" w:line="5" w:lineRule="exact"/>
        <w:rPr>
          <w:sz w:val="20"/>
          <w:szCs w:val="20"/>
          <w:color w:val="auto"/>
        </w:rPr>
      </w:pPr>
    </w:p>
    <w:p>
      <w:pPr>
        <w:ind w:firstLine="213"/>
        <w:spacing w:after="0" w:line="271" w:lineRule="auto"/>
        <w:rPr>
          <w:sz w:val="20"/>
          <w:szCs w:val="20"/>
          <w:color w:val="auto"/>
        </w:rPr>
      </w:pPr>
      <w:r>
        <w:rPr>
          <w:rFonts w:ascii="Arial" w:cs="Arial" w:eastAsia="Arial" w:hAnsi="Arial"/>
          <w:sz w:val="16"/>
          <w:szCs w:val="16"/>
          <w:color w:val="auto"/>
        </w:rPr>
        <w:t>Our fiscal 2010 second quarter financial results were positive, and we are generally optimistic that the positive momentum from our second quarter should continue through the remainder of fiscal 2010. We are off to a good start with our new one-year initiative, “5 in One: Back on Course,” which is intended to guide us through this year of anticipated recovery with an even stronger focus on the customer and a single financial goal: five percent profit after tax as a percentage of net sales for fiscal 2010. We believe we have taken the necessary proactive measures through our continued focus on asset management, reductions to our cost structure, and our commitment to product innovation, to position us well to benefit if our markets continue to improve. We will continue to keep a cautionary eye on th e global economies, and particularly Europe, retail demand, field inventory levels, commodity prices, weather, competitive actions, and other factors identified below under the heading “Forward-Looking Information,” which could cause our actual results to differ from our outlook.</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Net Earnings</w:t>
      </w:r>
    </w:p>
    <w:p>
      <w:pPr>
        <w:spacing w:after="0" w:line="243" w:lineRule="exact"/>
        <w:rPr>
          <w:sz w:val="20"/>
          <w:szCs w:val="20"/>
          <w:color w:val="auto"/>
        </w:rPr>
      </w:pPr>
    </w:p>
    <w:p>
      <w:pPr>
        <w:ind w:right="420"/>
        <w:spacing w:after="0" w:line="253" w:lineRule="auto"/>
        <w:rPr>
          <w:sz w:val="20"/>
          <w:szCs w:val="20"/>
          <w:color w:val="auto"/>
        </w:rPr>
      </w:pPr>
      <w:r>
        <w:rPr>
          <w:rFonts w:ascii="Arial" w:cs="Arial" w:eastAsia="Arial" w:hAnsi="Arial"/>
          <w:sz w:val="17"/>
          <w:szCs w:val="17"/>
          <w:color w:val="auto"/>
        </w:rPr>
        <w:t>Net earnings for the second quarter of fiscal 2010 were $45.7 million, or $1.34 per diluted share, compared to $36.9 million, or $1.00 per diluted share, for the second quarter of fiscal 2009, resulting in net earnings per diluted share increase of 34.0 percent. Year-to-date net earnings in fiscal 2010 were $56.6 million, or $1.65 per diluted share, compared to $43.6 million, or $1.18 per diluted share, last fiscal year, resulting in net earnings per diluted share increase of 39.8 percent. The primary factors contributing to these earnings improvement were higher sales volumes, an increase in gross margin, and a lower effective tax rate, somewhat offset by an increase in SG&amp;A expense. In addition, second quarter and year-to-date fiscal 2010 net earnings per diluted share were benefited by approximately $0.10 per share and $0.11 per share, respectively, compared to the same periods in fiscal 2009, as a result of reduced shares outstanding from repurchases of our common stock.</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major operating costs and other income as a percentage of net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19"/>
                <w:szCs w:val="19"/>
                <w:color w:val="auto"/>
              </w:rPr>
            </w:pPr>
          </w:p>
        </w:tc>
        <w:tc>
          <w:tcPr>
            <w:tcW w:w="2760" w:type="dxa"/>
            <w:vAlign w:val="bottom"/>
            <w:gridSpan w:val="5"/>
          </w:tcPr>
          <w:p>
            <w:pPr>
              <w:jc w:val="right"/>
              <w:ind w:right="780"/>
              <w:spacing w:after="0"/>
              <w:rPr>
                <w:sz w:val="20"/>
                <w:szCs w:val="20"/>
                <w:color w:val="auto"/>
              </w:rPr>
            </w:pPr>
            <w:r>
              <w:rPr>
                <w:rFonts w:ascii="Arial" w:cs="Arial" w:eastAsia="Arial" w:hAnsi="Arial"/>
                <w:sz w:val="17"/>
                <w:szCs w:val="17"/>
                <w:color w:val="auto"/>
              </w:rPr>
              <w:t>Three Months Ended</w:t>
            </w:r>
          </w:p>
        </w:tc>
        <w:tc>
          <w:tcPr>
            <w:tcW w:w="2660" w:type="dxa"/>
            <w:vAlign w:val="bottom"/>
            <w:gridSpan w:val="4"/>
          </w:tcPr>
          <w:p>
            <w:pPr>
              <w:jc w:val="right"/>
              <w:ind w:right="76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2"/>
        </w:trPr>
        <w:tc>
          <w:tcPr>
            <w:tcW w:w="600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500"/>
              <w:spacing w:after="0" w:line="193" w:lineRule="exact"/>
              <w:rPr>
                <w:sz w:val="20"/>
                <w:szCs w:val="20"/>
                <w:color w:val="auto"/>
              </w:rPr>
            </w:pPr>
            <w:r>
              <w:rPr>
                <w:rFonts w:ascii="Arial" w:cs="Arial" w:eastAsia="Arial" w:hAnsi="Arial"/>
                <w:sz w:val="17"/>
                <w:szCs w:val="17"/>
                <w:color w:val="auto"/>
              </w:rPr>
              <w:t>April 30,</w:t>
            </w:r>
          </w:p>
        </w:tc>
        <w:tc>
          <w:tcPr>
            <w:tcW w:w="112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1,</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00"/>
              <w:spacing w:after="0" w:line="193" w:lineRule="exact"/>
              <w:rPr>
                <w:sz w:val="20"/>
                <w:szCs w:val="20"/>
                <w:color w:val="auto"/>
              </w:rPr>
            </w:pPr>
            <w:r>
              <w:rPr>
                <w:rFonts w:ascii="Arial" w:cs="Arial" w:eastAsia="Arial" w:hAnsi="Arial"/>
                <w:sz w:val="17"/>
                <w:szCs w:val="17"/>
                <w:color w:val="auto"/>
              </w:rPr>
              <w:t>April 30,</w:t>
            </w:r>
          </w:p>
        </w:tc>
        <w:tc>
          <w:tcPr>
            <w:tcW w:w="1140" w:type="dxa"/>
            <w:vAlign w:val="bottom"/>
            <w:tcBorders>
              <w:top w:val="single" w:sz="8" w:color="auto"/>
            </w:tcBorders>
          </w:tcPr>
          <w:p>
            <w:pPr>
              <w:jc w:val="right"/>
              <w:ind w:right="235"/>
              <w:spacing w:after="0" w:line="193" w:lineRule="exact"/>
              <w:rPr>
                <w:sz w:val="20"/>
                <w:szCs w:val="20"/>
                <w:color w:val="auto"/>
              </w:rPr>
            </w:pPr>
            <w:r>
              <w:rPr>
                <w:rFonts w:ascii="Arial" w:cs="Arial" w:eastAsia="Arial" w:hAnsi="Arial"/>
                <w:sz w:val="17"/>
                <w:szCs w:val="17"/>
                <w:color w:val="auto"/>
              </w:rPr>
              <w:t>May 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2009</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2010</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00" w:type="dxa"/>
            <w:vAlign w:val="bottom"/>
          </w:tcPr>
          <w:p>
            <w:pPr>
              <w:spacing w:after="0" w:line="193" w:lineRule="exact"/>
              <w:rPr>
                <w:sz w:val="20"/>
                <w:szCs w:val="20"/>
                <w:color w:val="auto"/>
              </w:rPr>
            </w:pPr>
            <w:r>
              <w:rPr>
                <w:rFonts w:ascii="Arial" w:cs="Arial" w:eastAsia="Arial" w:hAnsi="Arial"/>
                <w:sz w:val="17"/>
                <w:szCs w:val="17"/>
                <w:color w:val="auto"/>
              </w:rPr>
              <w:t>Net sales</w:t>
            </w:r>
          </w:p>
        </w:tc>
        <w:tc>
          <w:tcPr>
            <w:tcW w:w="1380" w:type="dxa"/>
            <w:vAlign w:val="bottom"/>
            <w:gridSpan w:val="3"/>
          </w:tcPr>
          <w:p>
            <w:pPr>
              <w:jc w:val="right"/>
              <w:ind w:right="120"/>
              <w:spacing w:after="0" w:line="193" w:lineRule="exact"/>
              <w:rPr>
                <w:sz w:val="20"/>
                <w:szCs w:val="20"/>
                <w:color w:val="auto"/>
              </w:rPr>
            </w:pPr>
            <w:r>
              <w:rPr>
                <w:rFonts w:ascii="Arial" w:cs="Arial" w:eastAsia="Arial" w:hAnsi="Arial"/>
                <w:sz w:val="17"/>
                <w:szCs w:val="17"/>
                <w:color w:val="auto"/>
              </w:rPr>
              <w:t>100.0%</w:t>
            </w:r>
          </w:p>
        </w:tc>
        <w:tc>
          <w:tcPr>
            <w:tcW w:w="138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100.0%</w:t>
            </w:r>
          </w:p>
        </w:tc>
        <w:tc>
          <w:tcPr>
            <w:tcW w:w="1380" w:type="dxa"/>
            <w:vAlign w:val="bottom"/>
            <w:gridSpan w:val="2"/>
          </w:tcPr>
          <w:p>
            <w:pPr>
              <w:jc w:val="right"/>
              <w:ind w:right="100"/>
              <w:spacing w:after="0" w:line="193" w:lineRule="exact"/>
              <w:rPr>
                <w:sz w:val="20"/>
                <w:szCs w:val="20"/>
                <w:color w:val="auto"/>
              </w:rPr>
            </w:pPr>
            <w:r>
              <w:rPr>
                <w:rFonts w:ascii="Arial" w:cs="Arial" w:eastAsia="Arial" w:hAnsi="Arial"/>
                <w:sz w:val="17"/>
                <w:szCs w:val="17"/>
                <w:color w:val="auto"/>
              </w:rPr>
              <w:t>100.0%</w:t>
            </w:r>
          </w:p>
        </w:tc>
        <w:tc>
          <w:tcPr>
            <w:tcW w:w="12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7"/>
                <w:szCs w:val="17"/>
                <w:color w:val="auto"/>
              </w:rPr>
              <w:t>Cost of sales</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(66.7)</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(67.7)</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(66.0)</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192"/>
        </w:trPr>
        <w:tc>
          <w:tcPr>
            <w:tcW w:w="6000" w:type="dxa"/>
            <w:vAlign w:val="bottom"/>
          </w:tcPr>
          <w:p>
            <w:pPr>
              <w:ind w:left="80"/>
              <w:spacing w:after="0" w:line="193" w:lineRule="exact"/>
              <w:rPr>
                <w:sz w:val="20"/>
                <w:szCs w:val="20"/>
                <w:color w:val="auto"/>
              </w:rPr>
            </w:pPr>
            <w:r>
              <w:rPr>
                <w:rFonts w:ascii="Arial" w:cs="Arial" w:eastAsia="Arial" w:hAnsi="Arial"/>
                <w:sz w:val="17"/>
                <w:szCs w:val="17"/>
                <w:color w:val="auto"/>
              </w:rPr>
              <w:t>Gross margin</w:t>
            </w:r>
          </w:p>
        </w:tc>
        <w:tc>
          <w:tcPr>
            <w:tcW w:w="1140" w:type="dxa"/>
            <w:vAlign w:val="bottom"/>
            <w:tcBorders>
              <w:top w:val="single" w:sz="8" w:color="auto"/>
            </w:tcBorders>
            <w:gridSpan w:val="2"/>
          </w:tcPr>
          <w:p>
            <w:pPr>
              <w:jc w:val="right"/>
              <w:ind w:right="20"/>
              <w:spacing w:after="0" w:line="193" w:lineRule="exact"/>
              <w:rPr>
                <w:sz w:val="20"/>
                <w:szCs w:val="20"/>
                <w:color w:val="auto"/>
              </w:rPr>
            </w:pPr>
            <w:r>
              <w:rPr>
                <w:rFonts w:ascii="Arial" w:cs="Arial" w:eastAsia="Arial" w:hAnsi="Arial"/>
                <w:sz w:val="17"/>
                <w:szCs w:val="17"/>
                <w:color w:val="auto"/>
              </w:rPr>
              <w:t>33.3</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32.3</w:t>
            </w:r>
          </w:p>
        </w:tc>
        <w:tc>
          <w:tcPr>
            <w:tcW w:w="260" w:type="dxa"/>
            <w:vAlign w:val="bottom"/>
          </w:tcPr>
          <w:p>
            <w:pPr>
              <w:spacing w:after="0"/>
              <w:rPr>
                <w:sz w:val="16"/>
                <w:szCs w:val="16"/>
                <w:color w:val="auto"/>
              </w:rPr>
            </w:pPr>
          </w:p>
        </w:tc>
        <w:tc>
          <w:tcPr>
            <w:tcW w:w="11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34.0</w:t>
            </w:r>
          </w:p>
        </w:tc>
        <w:tc>
          <w:tcPr>
            <w:tcW w:w="2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33.3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SG&amp;A expense</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(20.5)</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(20.5)</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(23.7)</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(0.8)</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(0.9)</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Other income, net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0.3</w:t>
            </w: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c>
          <w:tcPr>
            <w:tcW w:w="2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gridSpan w:val="3"/>
          </w:tcPr>
          <w:p>
            <w:pPr>
              <w:jc w:val="right"/>
              <w:ind w:right="200"/>
              <w:spacing w:after="0"/>
              <w:rPr>
                <w:sz w:val="20"/>
                <w:szCs w:val="20"/>
                <w:color w:val="auto"/>
              </w:rPr>
            </w:pPr>
            <w:r>
              <w:rPr>
                <w:rFonts w:ascii="Arial" w:cs="Arial" w:eastAsia="Arial" w:hAnsi="Arial"/>
                <w:sz w:val="17"/>
                <w:szCs w:val="17"/>
                <w:color w:val="auto"/>
              </w:rPr>
              <w:t>(4.1)</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(3.8)</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(3.2)</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7"/>
        </w:trPr>
        <w:tc>
          <w:tcPr>
            <w:tcW w:w="6000" w:type="dxa"/>
            <w:vAlign w:val="bottom"/>
            <w:vMerge w:val="restart"/>
          </w:tcPr>
          <w:p>
            <w:pPr>
              <w:ind w:left="80"/>
              <w:spacing w:after="0"/>
              <w:rPr>
                <w:sz w:val="20"/>
                <w:szCs w:val="20"/>
                <w:color w:val="auto"/>
              </w:rPr>
            </w:pPr>
            <w:r>
              <w:rPr>
                <w:rFonts w:ascii="Arial" w:cs="Arial" w:eastAsia="Arial" w:hAnsi="Arial"/>
                <w:sz w:val="17"/>
                <w:szCs w:val="17"/>
                <w:color w:val="auto"/>
              </w:rPr>
              <w:t>Net earnings</w:t>
            </w:r>
          </w:p>
        </w:tc>
        <w:tc>
          <w:tcPr>
            <w:tcW w:w="1120" w:type="dxa"/>
            <w:vAlign w:val="bottom"/>
            <w:shd w:val="clear" w:color="auto" w:fill="000000"/>
          </w:tcPr>
          <w:p>
            <w:pPr>
              <w:spacing w:after="0"/>
              <w:rPr>
                <w:sz w:val="2"/>
                <w:szCs w:val="2"/>
                <w:color w:val="auto"/>
              </w:rPr>
            </w:pPr>
          </w:p>
        </w:tc>
        <w:tc>
          <w:tcPr>
            <w:tcW w:w="260" w:type="dxa"/>
            <w:vAlign w:val="bottom"/>
            <w:gridSpan w:val="2"/>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000" w:type="dxa"/>
            <w:vAlign w:val="bottom"/>
            <w:vMerge w:val="continue"/>
          </w:tcPr>
          <w:p>
            <w:pPr>
              <w:spacing w:after="0"/>
              <w:rPr>
                <w:sz w:val="17"/>
                <w:szCs w:val="17"/>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7"/>
                <w:szCs w:val="17"/>
                <w:color w:val="auto"/>
              </w:rPr>
              <w:t>8.1%</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6.3%</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3"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Worldwide consolidated net sales for the second quarter and year-to-date periods of fiscal 2010 were up 12.6 percent and 6.4 percent, respectively, from the same periods in the prior fiscal year. Worldwide professional segment net sales were up 12.6 percent and 4.2 percent for the second quarter and year-to-date periods of fiscal 2010, respectively, compared to the same periods in the prior fiscal year. Shipments of most professional segment products were up as a result of improved economic conditions, the successful introduction of new products, and customers who aligned their orders closer to retail demand, all of which resulted in increased demand for our products. Retail sales increased for the second quarter and year-to-date periods of fiscal 2010 compared to the same periods in fiscal 2009, mainly as the result of increased retail demand for landscape contractor equipment. Professional segment field inventory levels were down as of the end of the second quarter of fiscal 2010 compared to the end of the second quarter of fiscal 2009. Net sales of micro-irrigation products were up due to our investments in additional manufacturing capacity that increased production of our water conserving products to meet the growing worldwide market demand. Residential segment net sales increased 14.5 percent and 12.5 percent for the second quarter and year-to-date periods of fiscal 2010, respectively, compared to the same periods in fiscal 2009 as a result of favorable weather conditions, increased demand and additional product placement for riding products, and the introduction of our new cordless electric walk power mower. In addition, shipments of snow thrower products were up for the second quarter and year-to-date periods of fiscal 2010 compared to the same periods in the prior fiscal year due to increased demand from heavy snow falls during the winter season of 2009-2010 and the timing of the introduction of our new redesigned offering of snow thrower products that shipped to customers in the first quarter of fiscal 2010. Net sales of Pope irrigation products sold in Australia also increased for the year-to-date period of fiscal 2010 compared to the year-to-date period of fiscal 2009 as a result of dry weather conditions in that region. International net sales for the second quarter and year-to-date periods of fiscal 2010 increased 13.5 percent and 6.5 percent, respectively, from the same periods in the prior fiscal year due in part to a weaker U.S. dollar compared to other currencies in which we transact business that accounted for approximately $4.7 million and $14.2 million of additional net sales for the second quarter and year-to-date periods of fiscal 2010,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Gross Profit</w:t>
      </w:r>
    </w:p>
    <w:p>
      <w:pPr>
        <w:spacing w:after="0" w:line="24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As a percentage of net sales, gross profit for the second quarter of fiscal 2010 increased to 33.3 percent compared to 32.3 percent in the second quarter of fiscal 2009. Gross profit as a percent of net sales for the year-to-date period of fiscal 2010 also increased to 34.0 percent compared to 33.3 percent for year-to-date period of fiscal 2009. These improvements were due to the following factors: (i) lower average commodity costs in the first half of fiscal 2010 compared to the first half of fiscal 2009, primarily from lower steel and aluminum costs; (ii) lower manufacturing costs from increased plant utilization due to increased demand for our products; (iii) a weaker U.S. dollar compared to other currencies in which we transact business; and (iv) resulting effects from cost reduction efforts implemented in fiscal 2009. Somewhat offs etting those positive factors was an increase in freight expense.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43"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SG&amp;A expense increased $13.1 million, or 12.8 percent, for the second quarter of fiscal 2010 compared to the second quarter of fiscal 2009 due to an increase in employee incentive compensation expense, but was even as a percentage of net sales at 20.5 percent as compared to the second quarter of fiscal 2009. SG&amp;A expense increased $5.1 million, or 2.5 percent for the year-to-date period of fiscal 2010 compared to the year-to-date period of fiscal 2009. SG&amp;A expense as a percentage of net sales for the year-to-date period of fiscal 2010 decreased to 23.7 percent compared to 24.6 percent for the year-to-date period of fiscal 2009. This decrease was primarily attributable to our leaner cost structure resulting from cost reduction efforts taken in fiscal 2009, costs incurred in fiscal 2009 for workforce adjustments of $2.1 milli on that were not duplicated in fiscal 2010, and a decrease in bad debt expense of $1.1 million. Somewhat offsetting those decreases was an increase in employee incentive compensation expense of $9.0 million from anticipated improved financial performance in fiscal 2010, as compared to fiscal 2009.</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3"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Interest expense for the second quarter and year-to-date periods of fiscal 2010 decreased 3.4 percent and 3.0 percent, respectively, compared to the same periods in the prior fiscal year as a result of lower average debt levels.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243"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Other income, net for the second quarter and year-to-date periods of fiscal 2010 decreased $0.6 million and $0.5 million, respectively, compared to the same periods in the prior fiscal year. These decreases were due to lower foreign currency exchange rate gains, a decrease in finance charge revenue, somewhat offset by income from our investment in Red Iron.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3"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The effective tax rate for the second quarter and year-to-date period of fiscal 2010 was 33.6 percent compared to 34.2 percent for the same periods in fiscal 2009. The decrease in the effective tax rate was primarily the result of a valuation allowance for foreign net operating losses and provision adjustments in fiscal 2009, somewhat offset by the expiration of the domestic research tax credit.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described previously, we operate in three reportable business segments: professional, residential, and distribution. Our distribution segment, which consists of our wholly owned domestic distribution company, has been combined with our corporate activities that is shown as “Other” in the following tables. Operating earnings for our professional and residential segments are defined as earnings from operations plus other income, net. Operating loss for “Other” includes earnings (loss) from operations, corporate activities, other income, net, and interest expense.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6060" w:type="dxa"/>
            <w:vAlign w:val="bottom"/>
          </w:tcPr>
          <w:p>
            <w:pPr>
              <w:ind w:left="220"/>
              <w:spacing w:after="0"/>
              <w:rPr>
                <w:sz w:val="20"/>
                <w:szCs w:val="20"/>
                <w:color w:val="auto"/>
              </w:rPr>
            </w:pPr>
            <w:r>
              <w:rPr>
                <w:rFonts w:ascii="Arial" w:cs="Arial" w:eastAsia="Arial" w:hAnsi="Arial"/>
                <w:sz w:val="17"/>
                <w:szCs w:val="17"/>
                <w:color w:val="auto"/>
              </w:rPr>
              <w:t>The following table summarizes net sales by segment: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6"/>
            <w:vMerge w:val="restart"/>
          </w:tcPr>
          <w:p>
            <w:pPr>
              <w:jc w:val="center"/>
              <w:ind w:right="480"/>
              <w:spacing w:after="0"/>
              <w:rPr>
                <w:sz w:val="20"/>
                <w:szCs w:val="20"/>
                <w:color w:val="auto"/>
              </w:rPr>
            </w:pPr>
            <w:r>
              <w:rPr>
                <w:rFonts w:ascii="Arial" w:cs="Arial" w:eastAsia="Arial" w:hAnsi="Arial"/>
                <w:sz w:val="17"/>
                <w:szCs w:val="17"/>
                <w:color w:val="auto"/>
                <w:w w:val="90"/>
              </w:rPr>
              <w:t>Three Months Ended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vMerge w:val="continue"/>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16"/>
                <w:szCs w:val="16"/>
                <w:color w:val="auto"/>
              </w:rPr>
            </w:pPr>
          </w:p>
        </w:tc>
        <w:tc>
          <w:tcPr>
            <w:tcW w:w="1200" w:type="dxa"/>
            <w:vAlign w:val="bottom"/>
            <w:gridSpan w:val="3"/>
          </w:tcPr>
          <w:p>
            <w:pPr>
              <w:jc w:val="center"/>
              <w:ind w:right="400"/>
              <w:spacing w:after="0" w:line="193" w:lineRule="exact"/>
              <w:rPr>
                <w:sz w:val="20"/>
                <w:szCs w:val="20"/>
                <w:color w:val="auto"/>
              </w:rPr>
            </w:pPr>
            <w:r>
              <w:rPr>
                <w:rFonts w:ascii="Arial" w:cs="Arial" w:eastAsia="Arial" w:hAnsi="Arial"/>
                <w:sz w:val="17"/>
                <w:szCs w:val="17"/>
                <w:color w:val="auto"/>
                <w:w w:val="96"/>
              </w:rPr>
              <w:t>April 30,</w:t>
            </w:r>
          </w:p>
        </w:tc>
        <w:tc>
          <w:tcPr>
            <w:tcW w:w="220" w:type="dxa"/>
            <w:vAlign w:val="bottom"/>
          </w:tcPr>
          <w:p>
            <w:pPr>
              <w:spacing w:after="0"/>
              <w:rPr>
                <w:sz w:val="16"/>
                <w:szCs w:val="16"/>
                <w:color w:val="auto"/>
              </w:rPr>
            </w:pPr>
          </w:p>
        </w:tc>
        <w:tc>
          <w:tcPr>
            <w:tcW w:w="1080" w:type="dxa"/>
            <w:vAlign w:val="bottom"/>
            <w:gridSpan w:val="2"/>
          </w:tcPr>
          <w:p>
            <w:pPr>
              <w:ind w:left="120"/>
              <w:spacing w:after="0" w:line="193" w:lineRule="exact"/>
              <w:rPr>
                <w:sz w:val="20"/>
                <w:szCs w:val="20"/>
                <w:color w:val="auto"/>
              </w:rPr>
            </w:pPr>
            <w:r>
              <w:rPr>
                <w:rFonts w:ascii="Arial" w:cs="Arial" w:eastAsia="Arial" w:hAnsi="Arial"/>
                <w:sz w:val="17"/>
                <w:szCs w:val="17"/>
                <w:color w:val="auto"/>
              </w:rPr>
              <w:t>May 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4"/>
              </w:rPr>
              <w:t>$ Change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Professional</w:t>
            </w: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349,576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jc w:val="right"/>
              <w:ind w:right="35"/>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310,377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3" w:lineRule="exact"/>
              <w:rPr>
                <w:sz w:val="20"/>
                <w:szCs w:val="20"/>
                <w:color w:val="auto"/>
              </w:rPr>
            </w:pPr>
            <w:r>
              <w:rPr>
                <w:rFonts w:ascii="Arial" w:cs="Arial" w:eastAsia="Arial" w:hAnsi="Arial"/>
                <w:sz w:val="17"/>
                <w:szCs w:val="17"/>
                <w:color w:val="auto"/>
              </w:rPr>
              <w:t>39,199</w:t>
            </w:r>
          </w:p>
        </w:tc>
        <w:tc>
          <w:tcPr>
            <w:tcW w:w="200" w:type="dxa"/>
            <w:vAlign w:val="bottom"/>
          </w:tcPr>
          <w:p>
            <w:pPr>
              <w:spacing w:after="0"/>
              <w:rPr>
                <w:sz w:val="16"/>
                <w:szCs w:val="16"/>
                <w:color w:val="auto"/>
              </w:rPr>
            </w:pPr>
          </w:p>
        </w:tc>
        <w:tc>
          <w:tcPr>
            <w:tcW w:w="12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210,098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183,557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26,541</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3,145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(2,773)</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562,819</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499,852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62,967</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168,883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148,756</w:t>
            </w:r>
          </w:p>
        </w:tc>
        <w:tc>
          <w:tcPr>
            <w:tcW w:w="140" w:type="dxa"/>
            <w:vAlign w:val="bottom"/>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20,127</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7"/>
                <w:szCs w:val="17"/>
                <w:color w:val="auto"/>
                <w:w w:val="91"/>
              </w:rPr>
              <w:t>Six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16"/>
                <w:szCs w:val="16"/>
                <w:color w:val="auto"/>
              </w:rPr>
            </w:pPr>
          </w:p>
        </w:tc>
        <w:tc>
          <w:tcPr>
            <w:tcW w:w="1200" w:type="dxa"/>
            <w:vAlign w:val="bottom"/>
            <w:gridSpan w:val="3"/>
          </w:tcPr>
          <w:p>
            <w:pPr>
              <w:jc w:val="center"/>
              <w:ind w:right="260"/>
              <w:spacing w:after="0" w:line="193" w:lineRule="exact"/>
              <w:rPr>
                <w:sz w:val="20"/>
                <w:szCs w:val="20"/>
                <w:color w:val="auto"/>
              </w:rPr>
            </w:pPr>
            <w:r>
              <w:rPr>
                <w:rFonts w:ascii="Arial" w:cs="Arial" w:eastAsia="Arial" w:hAnsi="Arial"/>
                <w:sz w:val="17"/>
                <w:szCs w:val="17"/>
                <w:color w:val="auto"/>
                <w:w w:val="99"/>
              </w:rPr>
              <w:t>April 30,</w:t>
            </w:r>
          </w:p>
        </w:tc>
        <w:tc>
          <w:tcPr>
            <w:tcW w:w="220" w:type="dxa"/>
            <w:vAlign w:val="bottom"/>
          </w:tcPr>
          <w:p>
            <w:pPr>
              <w:spacing w:after="0"/>
              <w:rPr>
                <w:sz w:val="16"/>
                <w:szCs w:val="16"/>
                <w:color w:val="auto"/>
              </w:rPr>
            </w:pPr>
          </w:p>
        </w:tc>
        <w:tc>
          <w:tcPr>
            <w:tcW w:w="1080" w:type="dxa"/>
            <w:vAlign w:val="bottom"/>
            <w:gridSpan w:val="2"/>
          </w:tcPr>
          <w:p>
            <w:pPr>
              <w:ind w:left="200"/>
              <w:spacing w:after="0" w:line="193" w:lineRule="exact"/>
              <w:rPr>
                <w:sz w:val="20"/>
                <w:szCs w:val="20"/>
                <w:color w:val="auto"/>
              </w:rPr>
            </w:pPr>
            <w:r>
              <w:rPr>
                <w:rFonts w:ascii="Arial" w:cs="Arial" w:eastAsia="Arial" w:hAnsi="Arial"/>
                <w:sz w:val="17"/>
                <w:szCs w:val="17"/>
                <w:color w:val="auto"/>
              </w:rPr>
              <w:t>May 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4"/>
              </w:rPr>
              <w:t>$ Change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Professional</w:t>
            </w: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562,376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jc w:val="right"/>
              <w:ind w:right="35"/>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539,746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3" w:lineRule="exact"/>
              <w:rPr>
                <w:sz w:val="20"/>
                <w:szCs w:val="20"/>
                <w:color w:val="auto"/>
              </w:rPr>
            </w:pPr>
            <w:r>
              <w:rPr>
                <w:rFonts w:ascii="Arial" w:cs="Arial" w:eastAsia="Arial" w:hAnsi="Arial"/>
                <w:sz w:val="17"/>
                <w:szCs w:val="17"/>
                <w:color w:val="auto"/>
              </w:rPr>
              <w:t>22,630</w:t>
            </w:r>
          </w:p>
        </w:tc>
        <w:tc>
          <w:tcPr>
            <w:tcW w:w="200" w:type="dxa"/>
            <w:vAlign w:val="bottom"/>
          </w:tcPr>
          <w:p>
            <w:pPr>
              <w:spacing w:after="0"/>
              <w:rPr>
                <w:sz w:val="16"/>
                <w:szCs w:val="16"/>
                <w:color w:val="auto"/>
              </w:rPr>
            </w:pPr>
          </w:p>
        </w:tc>
        <w:tc>
          <w:tcPr>
            <w:tcW w:w="12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326,854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290,581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36,273</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4,947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9,697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(4,750)</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894,177</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840,024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54,153</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297,266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279,147</w:t>
            </w:r>
          </w:p>
        </w:tc>
        <w:tc>
          <w:tcPr>
            <w:tcW w:w="140" w:type="dxa"/>
            <w:vAlign w:val="bottom"/>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18,119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40" w:type="dxa"/>
            <w:vAlign w:val="bottom"/>
            <w:gridSpan w:val="5"/>
          </w:tcPr>
          <w:p>
            <w:pPr>
              <w:ind w:left="220"/>
              <w:spacing w:after="0"/>
              <w:rPr>
                <w:sz w:val="20"/>
                <w:szCs w:val="20"/>
                <w:color w:val="auto"/>
              </w:rPr>
            </w:pPr>
            <w:r>
              <w:rPr>
                <w:rFonts w:ascii="Arial" w:cs="Arial" w:eastAsia="Arial" w:hAnsi="Arial"/>
                <w:sz w:val="17"/>
                <w:szCs w:val="17"/>
                <w:color w:val="auto"/>
              </w:rPr>
              <w:t>The following table summarizes operating earnings (loss) before income taxes by segment: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7"/>
                <w:szCs w:val="17"/>
                <w:color w:val="auto"/>
                <w:w w:val="90"/>
              </w:rPr>
              <w:t>Three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16"/>
                <w:szCs w:val="16"/>
                <w:color w:val="auto"/>
              </w:rPr>
            </w:pPr>
          </w:p>
        </w:tc>
        <w:tc>
          <w:tcPr>
            <w:tcW w:w="1200" w:type="dxa"/>
            <w:vAlign w:val="bottom"/>
            <w:gridSpan w:val="3"/>
          </w:tcPr>
          <w:p>
            <w:pPr>
              <w:jc w:val="center"/>
              <w:ind w:right="400"/>
              <w:spacing w:after="0" w:line="193" w:lineRule="exact"/>
              <w:rPr>
                <w:sz w:val="20"/>
                <w:szCs w:val="20"/>
                <w:color w:val="auto"/>
              </w:rPr>
            </w:pPr>
            <w:r>
              <w:rPr>
                <w:rFonts w:ascii="Arial" w:cs="Arial" w:eastAsia="Arial" w:hAnsi="Arial"/>
                <w:sz w:val="17"/>
                <w:szCs w:val="17"/>
                <w:color w:val="auto"/>
                <w:w w:val="96"/>
              </w:rPr>
              <w:t>April 30,</w:t>
            </w:r>
          </w:p>
        </w:tc>
        <w:tc>
          <w:tcPr>
            <w:tcW w:w="220" w:type="dxa"/>
            <w:vAlign w:val="bottom"/>
          </w:tcPr>
          <w:p>
            <w:pPr>
              <w:spacing w:after="0"/>
              <w:rPr>
                <w:sz w:val="16"/>
                <w:szCs w:val="16"/>
                <w:color w:val="auto"/>
              </w:rPr>
            </w:pPr>
          </w:p>
        </w:tc>
        <w:tc>
          <w:tcPr>
            <w:tcW w:w="1080" w:type="dxa"/>
            <w:vAlign w:val="bottom"/>
            <w:gridSpan w:val="2"/>
          </w:tcPr>
          <w:p>
            <w:pPr>
              <w:ind w:left="120"/>
              <w:spacing w:after="0" w:line="193" w:lineRule="exact"/>
              <w:rPr>
                <w:sz w:val="20"/>
                <w:szCs w:val="20"/>
                <w:color w:val="auto"/>
              </w:rPr>
            </w:pPr>
            <w:r>
              <w:rPr>
                <w:rFonts w:ascii="Arial" w:cs="Arial" w:eastAsia="Arial" w:hAnsi="Arial"/>
                <w:sz w:val="17"/>
                <w:szCs w:val="17"/>
                <w:color w:val="auto"/>
              </w:rPr>
              <w:t>May 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4"/>
              </w:rPr>
              <w:t>$ Change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Professional</w:t>
            </w: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67,603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jc w:val="right"/>
              <w:ind w:right="35"/>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56,859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3" w:lineRule="exact"/>
              <w:rPr>
                <w:sz w:val="20"/>
                <w:szCs w:val="20"/>
                <w:color w:val="auto"/>
              </w:rPr>
            </w:pPr>
            <w:r>
              <w:rPr>
                <w:rFonts w:ascii="Arial" w:cs="Arial" w:eastAsia="Arial" w:hAnsi="Arial"/>
                <w:sz w:val="17"/>
                <w:szCs w:val="17"/>
                <w:color w:val="auto"/>
              </w:rPr>
              <w:t>10,744</w:t>
            </w:r>
          </w:p>
        </w:tc>
        <w:tc>
          <w:tcPr>
            <w:tcW w:w="200" w:type="dxa"/>
            <w:vAlign w:val="bottom"/>
          </w:tcPr>
          <w:p>
            <w:pPr>
              <w:spacing w:after="0"/>
              <w:rPr>
                <w:sz w:val="16"/>
                <w:szCs w:val="16"/>
                <w:color w:val="auto"/>
              </w:rPr>
            </w:pPr>
          </w:p>
        </w:tc>
        <w:tc>
          <w:tcPr>
            <w:tcW w:w="12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25,113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16,581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8,532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(23,959)</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(17,383)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(6,576)</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68,757</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56,057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12,700</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7"/>
                <w:szCs w:val="17"/>
                <w:color w:val="auto"/>
                <w:w w:val="91"/>
              </w:rPr>
              <w:t>Six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16"/>
                <w:szCs w:val="16"/>
                <w:color w:val="auto"/>
              </w:rPr>
            </w:pPr>
          </w:p>
        </w:tc>
        <w:tc>
          <w:tcPr>
            <w:tcW w:w="1200" w:type="dxa"/>
            <w:vAlign w:val="bottom"/>
            <w:gridSpan w:val="3"/>
          </w:tcPr>
          <w:p>
            <w:pPr>
              <w:jc w:val="center"/>
              <w:ind w:right="220"/>
              <w:spacing w:after="0" w:line="193" w:lineRule="exact"/>
              <w:rPr>
                <w:sz w:val="20"/>
                <w:szCs w:val="20"/>
                <w:color w:val="auto"/>
              </w:rPr>
            </w:pPr>
            <w:r>
              <w:rPr>
                <w:rFonts w:ascii="Arial" w:cs="Arial" w:eastAsia="Arial" w:hAnsi="Arial"/>
                <w:sz w:val="17"/>
                <w:szCs w:val="17"/>
                <w:color w:val="auto"/>
                <w:w w:val="99"/>
              </w:rPr>
              <w:t>April 30,</w:t>
            </w:r>
          </w:p>
        </w:tc>
        <w:tc>
          <w:tcPr>
            <w:tcW w:w="220" w:type="dxa"/>
            <w:vAlign w:val="bottom"/>
          </w:tcPr>
          <w:p>
            <w:pPr>
              <w:spacing w:after="0"/>
              <w:rPr>
                <w:sz w:val="16"/>
                <w:szCs w:val="16"/>
                <w:color w:val="auto"/>
              </w:rPr>
            </w:pPr>
          </w:p>
        </w:tc>
        <w:tc>
          <w:tcPr>
            <w:tcW w:w="1080" w:type="dxa"/>
            <w:vAlign w:val="bottom"/>
            <w:gridSpan w:val="2"/>
          </w:tcPr>
          <w:p>
            <w:pPr>
              <w:ind w:left="200"/>
              <w:spacing w:after="0" w:line="193" w:lineRule="exact"/>
              <w:rPr>
                <w:sz w:val="20"/>
                <w:szCs w:val="20"/>
                <w:color w:val="auto"/>
              </w:rPr>
            </w:pPr>
            <w:r>
              <w:rPr>
                <w:rFonts w:ascii="Arial" w:cs="Arial" w:eastAsia="Arial" w:hAnsi="Arial"/>
                <w:sz w:val="17"/>
                <w:szCs w:val="17"/>
                <w:color w:val="auto"/>
              </w:rPr>
              <w:t>May 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4"/>
              </w:rPr>
              <w:t>$ Change</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 Change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Professional</w:t>
            </w: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93,413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jc w:val="right"/>
              <w:ind w:right="35"/>
              <w:spacing w:after="0" w:line="193" w:lineRule="exact"/>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line="193" w:lineRule="exact"/>
              <w:rPr>
                <w:sz w:val="20"/>
                <w:szCs w:val="20"/>
                <w:color w:val="auto"/>
              </w:rPr>
            </w:pPr>
            <w:r>
              <w:rPr>
                <w:rFonts w:ascii="Arial" w:cs="Arial" w:eastAsia="Arial" w:hAnsi="Arial"/>
                <w:sz w:val="17"/>
                <w:szCs w:val="17"/>
                <w:color w:val="auto"/>
              </w:rPr>
              <w:t>86,988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3" w:lineRule="exact"/>
              <w:rPr>
                <w:sz w:val="20"/>
                <w:szCs w:val="20"/>
                <w:color w:val="auto"/>
              </w:rPr>
            </w:pPr>
            <w:r>
              <w:rPr>
                <w:rFonts w:ascii="Arial" w:cs="Arial" w:eastAsia="Arial" w:hAnsi="Arial"/>
                <w:sz w:val="17"/>
                <w:szCs w:val="17"/>
                <w:color w:val="auto"/>
              </w:rPr>
              <w:t>6,425</w:t>
            </w:r>
          </w:p>
        </w:tc>
        <w:tc>
          <w:tcPr>
            <w:tcW w:w="200" w:type="dxa"/>
            <w:vAlign w:val="bottom"/>
          </w:tcPr>
          <w:p>
            <w:pPr>
              <w:spacing w:after="0"/>
              <w:rPr>
                <w:sz w:val="16"/>
                <w:szCs w:val="16"/>
                <w:color w:val="auto"/>
              </w:rPr>
            </w:pPr>
          </w:p>
        </w:tc>
        <w:tc>
          <w:tcPr>
            <w:tcW w:w="12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38,540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21,421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17,119</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7"/>
                <w:szCs w:val="17"/>
                <w:color w:val="auto"/>
              </w:rPr>
              <w:t>(46,748)</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(42,199)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(4,549)</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85,205</w:t>
            </w: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66,210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18,995</w:t>
            </w:r>
          </w:p>
        </w:tc>
        <w:tc>
          <w:tcPr>
            <w:tcW w:w="20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w:t>
      </w:r>
    </w:p>
    <w:p>
      <w:pPr>
        <w:spacing w:after="0" w:line="243"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second quarter and year-to-date periods of fiscal 2010 increased 12.6 percent and 4.2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in the last fiscal year. Shipments of most professional segment products were up as a result of improved economic conditions, increased demand for our products, the successful introduction of new products, and customers who aligned their orders closer to retail demand. Retail sales increased for the second quarter and year-to-date periods of fiscal 2010 compared to the same periods in fiscal 2009, mainly as the result of increased retail demand for landscape contractor equipment. Professional segme nt field inventory levels were down as of the end of the second quarter of fiscal 2010 compared to the end of the second quarter of fiscal 2009. Net sales of micro-irrigation products were up due to our investments in additional manufacturing capacity that increased production of our water conserving products to meet the growing worldwide market demand.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0" w:name="page21"/>
    <w:bookmarkEnd w:id="20"/>
    <w:p>
      <w:pPr>
        <w:ind w:right="20"/>
        <w:spacing w:after="0" w:line="275"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second quarter and year-to-date periods of fiscal 2010 increased 18.9 percent and 7.4</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compared to the same periods in the last fiscal year. Expressed as a percentage of net sales, professional segment operating margin increased to 19.3 percent compared to 18.3 percent in the second quarter of fiscal 2009, and fiscal 2010 year-to-date professional segment operating margin also increased to 16.6 percent compared to 16.1 percent from the same period in the last fiscal year. These profit improvements were primarily attributable to higher gross margins due to the same factors discussed previously in the Gros s Profit section. In addition, a decline in SG&amp;A expense as a percentage of net sales also contributed to the operating earnings improvement, which was due mainly to leveraging SG&amp;A costs over higher sales volumes.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w:t>
      </w:r>
    </w:p>
    <w:p>
      <w:pPr>
        <w:spacing w:after="0" w:line="243" w:lineRule="exact"/>
        <w:rPr>
          <w:sz w:val="20"/>
          <w:szCs w:val="20"/>
          <w:color w:val="auto"/>
        </w:rPr>
      </w:pPr>
    </w:p>
    <w:p>
      <w:pPr>
        <w:spacing w:after="0" w:line="294" w:lineRule="auto"/>
        <w:rPr>
          <w:sz w:val="20"/>
          <w:szCs w:val="20"/>
          <w:color w:val="auto"/>
        </w:rPr>
      </w:pPr>
      <w:r>
        <w:rPr>
          <w:rFonts w:ascii="Arial" w:cs="Arial" w:eastAsia="Arial" w:hAnsi="Arial"/>
          <w:sz w:val="15"/>
          <w:szCs w:val="15"/>
          <w:i w:val="1"/>
          <w:iCs w:val="1"/>
          <w:u w:val="single" w:color="auto"/>
          <w:color w:val="auto"/>
        </w:rPr>
        <w:t>Net Sales</w:t>
      </w:r>
      <w:r>
        <w:rPr>
          <w:rFonts w:ascii="Arial" w:cs="Arial" w:eastAsia="Arial" w:hAnsi="Arial"/>
          <w:sz w:val="15"/>
          <w:szCs w:val="15"/>
          <w:i w:val="1"/>
          <w:iCs w:val="1"/>
          <w:color w:val="auto"/>
        </w:rPr>
        <w:t xml:space="preserve">. </w:t>
      </w:r>
      <w:r>
        <w:rPr>
          <w:rFonts w:ascii="Arial" w:cs="Arial" w:eastAsia="Arial" w:hAnsi="Arial"/>
          <w:sz w:val="15"/>
          <w:szCs w:val="15"/>
          <w:color w:val="auto"/>
        </w:rPr>
        <w:t>Worldwide net sales for the residential segment in the second quarter and year-to-date periods of fiscal 2010 increased 14.5 percent and 12.5 percent,</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compared to the same periods in the last fiscal year. These sales increases were due mainly to favorable weather conditions, additional product placement for riding products, and the introduction of our new cordless electric walk power mower, all of which contributed to an increase in demand for our products. In addition, shipments of snow thrower products were up for the second quarter and year-to-date period of fiscal 2010 compared to the same periods in the prior fiscal year due to increased demand from heavy snow falls dur ing the winter season of 2009-2010 and the timing of the introduction of our new redesigned offering of snow thrower products that shipped to customers in the first quarter of fiscal 2010. Net sales of Pope irrigation products sold in Australia also increased for the year-to-date period of fiscal 2010 compared to the year-to-date period of fiscal 2009 as a result of dry weather conditions in that region.</w:t>
      </w:r>
    </w:p>
    <w:p>
      <w:pPr>
        <w:spacing w:after="0" w:line="184" w:lineRule="exact"/>
        <w:rPr>
          <w:sz w:val="20"/>
          <w:szCs w:val="20"/>
          <w:color w:val="auto"/>
        </w:rPr>
      </w:pPr>
    </w:p>
    <w:p>
      <w:pPr>
        <w:ind w:right="280"/>
        <w:spacing w:after="0" w:line="292" w:lineRule="auto"/>
        <w:rPr>
          <w:sz w:val="20"/>
          <w:szCs w:val="20"/>
          <w:color w:val="auto"/>
        </w:rPr>
      </w:pPr>
      <w:r>
        <w:rPr>
          <w:rFonts w:ascii="Arial" w:cs="Arial" w:eastAsia="Arial" w:hAnsi="Arial"/>
          <w:sz w:val="15"/>
          <w:szCs w:val="15"/>
          <w:i w:val="1"/>
          <w:iCs w:val="1"/>
          <w:u w:val="single" w:color="auto"/>
          <w:color w:val="auto"/>
        </w:rPr>
        <w:t>Operating Earnings</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earnings for the residential segment in the second quarter and year-to-date periods of fiscal 2010 increased 51.5 percent and 79.9</w:t>
      </w:r>
      <w:r>
        <w:rPr>
          <w:rFonts w:ascii="Arial" w:cs="Arial" w:eastAsia="Arial" w:hAnsi="Arial"/>
          <w:sz w:val="15"/>
          <w:szCs w:val="15"/>
          <w:i w:val="1"/>
          <w:iCs w:val="1"/>
          <w:color w:val="auto"/>
        </w:rPr>
        <w:t xml:space="preserve"> </w:t>
      </w:r>
      <w:r>
        <w:rPr>
          <w:rFonts w:ascii="Arial" w:cs="Arial" w:eastAsia="Arial" w:hAnsi="Arial"/>
          <w:sz w:val="15"/>
          <w:szCs w:val="15"/>
          <w:color w:val="auto"/>
        </w:rPr>
        <w:t>percent, respectively, compared to the same periods in the last fiscal year. Expressed as a percentage of net sales, residential segment operating margin increased to</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12.0 percent compared to 9.0 percent in the second quarter of fiscal 2009, and fiscal 2010 year-to-date residential segment operating margin increased to 11.8 percent compared to 7.4 percent last fiscal year. These profit improvements were due to higher gross margins primarily from lower average commodity costs in the first half of fiscal 2010 compared to the first half of fisc al 2009, a weaker U.S. dollar compared to other currencies in which we transact business, resulting effects of cost reduction efforts implemented in fiscal 2009, and increased sales volumes of higher-margin products. Somewhat offsetting the profit improvements were higher freight expense and an increase in SG&amp;A expense.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Net sales for the other segment include sales from our wholly owned domestic distribution company less sales from the professional and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segments to that distribution company. In fiscal 2009, “Other” also included elimination of the professional and residential segments’ floor plan interest costs from Toro Credit Company (TCC), our wholly owned financing company. With the establishment of Red Iron, net sales for the “Other” segment no longer includes corporate financing activities, including the elimination of floor plan costs from TCC, which results in lower net sales for the other segment. Net sales for the “Other” segment were down for the second quarter and year-to-date periods of fiscal 2 010 compared to the same periods in the last fiscal year by $2.8 million, or 46.9 percent, and $4.8 million, or 49.0 percent, respectively, as a result of the elimination of TCC floor plan interest costs, as well as lower net sales at our wholly owned distributorship.</w:t>
      </w:r>
    </w:p>
    <w:p>
      <w:pPr>
        <w:spacing w:after="0" w:line="209" w:lineRule="exact"/>
        <w:rPr>
          <w:sz w:val="20"/>
          <w:szCs w:val="20"/>
          <w:color w:val="auto"/>
        </w:rPr>
      </w:pPr>
    </w:p>
    <w:p>
      <w:pPr>
        <w:ind w:right="160"/>
        <w:spacing w:after="0" w:line="299" w:lineRule="auto"/>
        <w:rPr>
          <w:sz w:val="20"/>
          <w:szCs w:val="20"/>
          <w:color w:val="auto"/>
        </w:rPr>
      </w:pPr>
      <w:r>
        <w:rPr>
          <w:rFonts w:ascii="Arial" w:cs="Arial" w:eastAsia="Arial" w:hAnsi="Arial"/>
          <w:sz w:val="15"/>
          <w:szCs w:val="15"/>
          <w:i w:val="1"/>
          <w:iCs w:val="1"/>
          <w:u w:val="single" w:color="auto"/>
          <w:color w:val="auto"/>
        </w:rPr>
        <w:t>Operating Losses.</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losses for the other segment were up for the second quarter and year-to-date periods of fiscal 2010 by $6.6 million, or 37.8 percent, and</w:t>
      </w:r>
      <w:r>
        <w:rPr>
          <w:rFonts w:ascii="Arial" w:cs="Arial" w:eastAsia="Arial" w:hAnsi="Arial"/>
          <w:sz w:val="15"/>
          <w:szCs w:val="15"/>
          <w:i w:val="1"/>
          <w:iCs w:val="1"/>
          <w:color w:val="auto"/>
        </w:rPr>
        <w:t xml:space="preserve"> </w:t>
      </w:r>
      <w:r>
        <w:rPr>
          <w:rFonts w:ascii="Arial" w:cs="Arial" w:eastAsia="Arial" w:hAnsi="Arial"/>
          <w:sz w:val="15"/>
          <w:szCs w:val="15"/>
          <w:color w:val="auto"/>
        </w:rPr>
        <w:t>$4.5 million, or 10.8 percent, respectively, compared to the same periods in the last fiscal year. These loss increases were primarily attributable to an increase in employee incentive compensation expense due to anticipated improved financial performance in fiscal 2010, as compared to fiscal 2009, lower foreign currency exchange rate gains, and the elimination of TCC floor plan interest costs, as described above. Somewhat offsetting those factors was overall reduced spending from our leaner cost structure as a result of actions we implemented in fiscal 2009, as well as elimination of costs i ncurred in fiscal 2009 for workforce adjustments.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3"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have taken proactive measures to improve working capital utilization, including adjusting production plans, controlling costs, and managing our assets. As such, our financial condition remains strong. We continue to place emphasis on asset management, with a focus on minimizing the amount of working capital in the supply chain and maintaining or improving order replenishment and service levels to end users. In connection with the establishment of Red Iron, our financing joint venture with TCFIF, we sold certain receivables, including floor plan and open account receivables, from most U.S. and Canadian distributors and dealers of our products at a purchase price equal to the face value of the receivables or the purchase price paid for such receivables. Red Iron generally began financing floor plan receivables in the fourth quarter of fi scal 2009. Red Iron also began financing open account receivables, as well as floor plan receivables previously financed by a third party financing company, during our first quarter of fiscal 2010. The sale of these receivables enables us to use our working capital for other strategic purposes, such as strategic acquisitions, research and development of innovative new products, improvements in the quality and performance of existing products, and general corporate purposes.</w:t>
      </w:r>
    </w:p>
    <w:p>
      <w:pPr>
        <w:spacing w:after="0" w:line="6" w:lineRule="exact"/>
        <w:rPr>
          <w:sz w:val="20"/>
          <w:szCs w:val="20"/>
          <w:color w:val="auto"/>
        </w:rPr>
      </w:pPr>
    </w:p>
    <w:p>
      <w:pPr>
        <w:ind w:right="20" w:firstLine="213"/>
        <w:spacing w:after="0" w:line="290" w:lineRule="auto"/>
        <w:rPr>
          <w:sz w:val="20"/>
          <w:szCs w:val="20"/>
          <w:color w:val="auto"/>
        </w:rPr>
      </w:pPr>
      <w:r>
        <w:rPr>
          <w:rFonts w:ascii="Arial" w:cs="Arial" w:eastAsia="Arial" w:hAnsi="Arial"/>
          <w:sz w:val="15"/>
          <w:szCs w:val="15"/>
          <w:color w:val="auto"/>
        </w:rPr>
        <w:t>Receivables as of the end of the second quarter of fiscal 2010 were down 36.0 percent compared to the end of the second quarter of fiscal 2009, and our average days sales outstanding for receivables improved to 50 days based on sales for the last twelve months ended April 30, 2010, compared to 69 days for the twelve months ended May 1, 2009. These improvements were due mainly to the sale of our floor plan receivables and certain open account receivables to Red Iron. Inventory was also down as of the end of the second quarter of fiscal 2010 by 19.2 percent compared to the end of the second quarter of fiscal 2009 as a result of our asset management efforts, and average inventory turnover improved 19.0 percent for the twelve months ended April 30, 2010 compared to the twelve months ended May 1, 2009. In addition , as part of our working capital initiative, accounts payable increased as of the end of our second quarter of fiscal 2010 by $72.7 million, driven by our supply chain initiatives and higher levels of production due to increased demand for our products. As a result of these efforts, as of the end of the second quarter of fiscal 2010 we achieved our long-term goal to reduce average net working capital (accounts receivable plus inventory less trade payables) as a percentage of net sales to below 20 percent, or “in the teens.” Our average net working capital as a percentage of net sales for the twelve months ended April 30, 2010 was 19.0 percent.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businesses are working capital intensive and require funding for purchases of raw materials used in production, replacement parts inventory, payroll and other administrative costs, capital expenditures, expansion and upgrading of existing facilities, as well as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One of the purposes of establishing Red Iron was to free up our working capital for other strategic purposes, which may include, among other things, strategic acquisitions, research and development of innovative new products, improvements in the quality and performance of existing products , and general corporate purposes. We believe that the funds available through existing financing arrangements and forecasted cash flows will be sufficient to provide the necessary capital resources for our anticipated working capital needs, capital expenditures, investments, debt repayments, and quarterly cash dividend payments for at least the next twelve months.</w:t>
      </w:r>
    </w:p>
    <w:p>
      <w:pPr>
        <w:spacing w:after="0" w:line="5" w:lineRule="exact"/>
        <w:rPr>
          <w:sz w:val="20"/>
          <w:szCs w:val="20"/>
          <w:color w:val="auto"/>
        </w:rPr>
      </w:pPr>
    </w:p>
    <w:p>
      <w:pPr>
        <w:ind w:right="440" w:firstLine="213"/>
        <w:spacing w:after="0" w:line="262" w:lineRule="auto"/>
        <w:rPr>
          <w:sz w:val="20"/>
          <w:szCs w:val="20"/>
          <w:color w:val="auto"/>
        </w:rPr>
      </w:pPr>
      <w:r>
        <w:rPr>
          <w:rFonts w:ascii="Arial" w:cs="Arial" w:eastAsia="Arial" w:hAnsi="Arial"/>
          <w:sz w:val="17"/>
          <w:szCs w:val="17"/>
          <w:color w:val="auto"/>
        </w:rPr>
        <w:t>Our Board of Directors approved a cash dividend of $0.18 per share for the second quarter of fiscal 2010 paid on April 12, 2010, which was an increase of 20 percent over our cash dividend of $0.15 per share for the second quarter of fiscal 2009.</w:t>
      </w:r>
    </w:p>
    <w:p>
      <w:pPr>
        <w:spacing w:after="0" w:line="200" w:lineRule="exact"/>
        <w:rPr>
          <w:sz w:val="20"/>
          <w:szCs w:val="20"/>
          <w:color w:val="auto"/>
        </w:rPr>
      </w:pP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half of our fiscal year historically used more operating cash than the second half of our fiscal year. However, as a result of our efforts to reduce</w:t>
      </w:r>
      <w:r>
        <w:rPr>
          <w:rFonts w:ascii="Arial" w:cs="Arial" w:eastAsia="Arial" w:hAnsi="Arial"/>
          <w:sz w:val="17"/>
          <w:szCs w:val="17"/>
          <w:i w:val="1"/>
          <w:iCs w:val="1"/>
          <w:color w:val="auto"/>
        </w:rPr>
        <w:t xml:space="preserve"> </w:t>
      </w:r>
      <w:r>
        <w:rPr>
          <w:rFonts w:ascii="Arial" w:cs="Arial" w:eastAsia="Arial" w:hAnsi="Arial"/>
          <w:sz w:val="17"/>
          <w:szCs w:val="17"/>
          <w:color w:val="auto"/>
        </w:rPr>
        <w:t>working capital, we generated cash from operating activities in the amount of $80.8 million during the first six months of fiscal 2010 compared to cash used in operating activities in the amount of $72.9 million during the first six months of fiscal 2009. This improvement was due to declines in receivables and inventory levels and an increase in accounts payable, as previously discussed, as well as higher net earnings, all for the first six months of fiscal 2010 compared to the first six months of fiscal 2009. Cash used in investing activities was up by $15.6 million compared to the first six months of fiscal 2009, due mainly to an increase in investments in affiliates and cash utilized for acquisitions. Cash used in financing activities for the first six months of fiscal 2010 was $53.5 million compared to cash provided by financing activities for the first six months of fiscal 2009 of $20.1 million. During the first half of fiscal 2010, we repurchased $54.1 million of our common stock compared to $4.8 million of common stock repurchases during the first six months of fiscal 2009. In addition, we did not have any short-term debt outstanding under our revolving credit facility as of the end of the second quarter of fiscal 2010, whereas we had $32.9 million of short-term debt outstanding as of the end of the second quarter of fiscal 2009.</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2" w:name="page23"/>
    <w:bookmarkEnd w:id="22"/>
    <w:p>
      <w:pPr>
        <w:ind w:right="20"/>
        <w:spacing w:after="0" w:line="268"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higher sales volumes and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a $225.0 million unsecured senior five-year revolving credit f acility that expires in January 2012. Interest expense on this credit line is determined based on a LIBOR rate plus a basis point spread defined in the credit agreement. In addition, our non-U.S. operations maintain unsecured short-term lines of credit of approximately $15 million. These facilities bear interest at various rates depending on the rates in their respective countries of operation. We also have a letter of credit subfacility as part of our credit agreement. As of April 30, 2010, we had $10.4 million of outstanding standby letters of credit. We had no outstanding short-term debt as of April 30, 2010 and $32.9 million outstanding short-term debt as of May 1, 2009, under these lines of credit. As of April 30, 2010, we had $240 million of unutilized availability under our credit agreements. In addition, we had $0.5 million in short-term debt for certain receivables we provided recourse to Red Iron as of April 30, 2010.</w:t>
      </w:r>
    </w:p>
    <w:p>
      <w:pPr>
        <w:spacing w:after="0" w:line="3" w:lineRule="exact"/>
        <w:rPr>
          <w:sz w:val="20"/>
          <w:szCs w:val="20"/>
          <w:color w:val="auto"/>
        </w:rPr>
      </w:pPr>
    </w:p>
    <w:p>
      <w:pPr>
        <w:ind w:right="40" w:firstLine="213"/>
        <w:spacing w:after="0" w:line="262" w:lineRule="auto"/>
        <w:rPr>
          <w:sz w:val="20"/>
          <w:szCs w:val="20"/>
          <w:color w:val="auto"/>
        </w:rPr>
      </w:pPr>
      <w:r>
        <w:rPr>
          <w:rFonts w:ascii="Arial" w:cs="Arial" w:eastAsia="Arial" w:hAnsi="Arial"/>
          <w:sz w:val="17"/>
          <w:szCs w:val="17"/>
          <w:color w:val="auto"/>
        </w:rPr>
        <w:t>Significant financial covenants in our credit agreement include interest coverage and debt-to-capitalization ratios. We were in compliance with all covenants related to our credit agreements as of April 30, 2010, and expect to be in compliance with all covenants during the remainder of fiscal 2010.</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 Arrangements and Contractual Obligations</w:t>
      </w:r>
    </w:p>
    <w:p>
      <w:pPr>
        <w:spacing w:after="0" w:line="243" w:lineRule="exact"/>
        <w:rPr>
          <w:sz w:val="20"/>
          <w:szCs w:val="20"/>
          <w:color w:val="auto"/>
        </w:rPr>
      </w:pPr>
    </w:p>
    <w:p>
      <w:pPr>
        <w:jc w:val="both"/>
        <w:ind w:right="400"/>
        <w:spacing w:after="0" w:line="263" w:lineRule="auto"/>
        <w:rPr>
          <w:sz w:val="20"/>
          <w:szCs w:val="20"/>
          <w:color w:val="auto"/>
        </w:rPr>
      </w:pPr>
      <w:r>
        <w:rPr>
          <w:rFonts w:ascii="Arial" w:cs="Arial" w:eastAsia="Arial" w:hAnsi="Arial"/>
          <w:sz w:val="17"/>
          <w:szCs w:val="17"/>
          <w:color w:val="auto"/>
        </w:rPr>
        <w:t>Third party financing companies and Red Iron purchased $416.3 million of receivables from us during the first six months of fiscal 2010, and $236.5 million was outstanding as of April 30, 2010. See our most recently filed Annual Report on Form 10-K for further details regarding our customer financing arrangements and contractual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4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are subject to the effects of inflation and changing prices. In the first half of fiscal 2010, average prices paid for commodities we purchase, primarily steel and aluminum, were lower compared to the average prices paid for commodities in the first half of fiscal 2009, which benefited our gross margin rate in the first six months of fiscal 2010 compared to the first six months of fiscal 2009. We will continue to closely follow the commodities that affect our product lines, and we anticipate average prices paid for commodities to be slightly higher for the remainder of fiscal 2010 as compared to fiscal 2009. We plan to attempt to mitigate the impact of any inflationary pressures by engaging in proactive vendor negotiations, reviewing alternative sourcing options, substituting materials, engaging in internal cost reduction efforts, and increasing prices on some of our products, as appropriate.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Accounting Policies and Estimates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See our most recent Annual Report on Form 10-K for the fiscal year ended October 31, 2009 for a discussion of our critical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to be Adopted</w:t>
      </w:r>
    </w:p>
    <w:p>
      <w:pPr>
        <w:spacing w:after="0" w:line="24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January 2010, the Financial Accounting Standards Board (FASB) issued Accounting Standards Update (ASU) No. 2010-06, “Fair Value Measurements and Disclosures (Topic 820).” ASU No. 2010-06 requires new disclosures about recurring and nonrecurring fair-value measurements including significant transfers in and out of Level 1 and Level 2 fair-value measurements and a description of the reasons for the transfers. In addition, ASU No. 2010-06 requires new disclosures regarding activity in Level 3 fair value measurements, including information on purchases, sales, issuances, and settlements on a gross basis in the reconciliation of Level 3 fair-value measurements. We adopted the provision of ASU No. 2010-06 for Level 1 and Level 2 fair-value measurements in our second fiscal quarter ended April 30, 2010, as required. We will adopt the provision of ASU No. 2010-06 for Level 3 fair-value measurements for our second fiscal quarter beginning on January 30, 2011, as required. We do not expect the adoption of ASU No. 2010-06 will have a material impact on our disclosures for fair-value measurements.</w:t>
      </w:r>
    </w:p>
    <w:p>
      <w:pPr>
        <w:ind w:right="120" w:firstLine="213"/>
        <w:spacing w:after="0" w:line="299" w:lineRule="auto"/>
        <w:rPr>
          <w:sz w:val="20"/>
          <w:szCs w:val="20"/>
          <w:color w:val="auto"/>
        </w:rPr>
      </w:pPr>
      <w:r>
        <w:rPr>
          <w:rFonts w:ascii="Arial" w:cs="Arial" w:eastAsia="Arial" w:hAnsi="Arial"/>
          <w:sz w:val="15"/>
          <w:szCs w:val="15"/>
          <w:color w:val="auto"/>
        </w:rPr>
        <w:t>In December 2009, the FASB issued ASU No. 2009-16, “Accounting for Transfers of Financial Assets,” which amends Accounting Standards Codification (ASC) 860, “Transfers and Servicing (FASB Statement No. 166, Accounting for Transfers of Financial Assets an amendment of FASB Statement No. 140).” This ASU eliminates the qualifying special purpose entities from the consolidation guidance and clarifies the requirements for isolation and limitations on portions of financial assets that are eligible for sale accounting. It requires additional disclosures about the risks from continuing involvement in transferred financial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3" w:name="page24"/>
    <w:bookmarkEnd w:id="23"/>
    <w:p>
      <w:pPr>
        <w:ind w:right="560"/>
        <w:spacing w:after="0" w:line="258" w:lineRule="auto"/>
        <w:rPr>
          <w:sz w:val="20"/>
          <w:szCs w:val="20"/>
          <w:color w:val="auto"/>
        </w:rPr>
      </w:pPr>
      <w:r>
        <w:rPr>
          <w:rFonts w:ascii="Arial" w:cs="Arial" w:eastAsia="Arial" w:hAnsi="Arial"/>
          <w:sz w:val="17"/>
          <w:szCs w:val="17"/>
          <w:color w:val="auto"/>
        </w:rPr>
        <w:t>assets accounted for as sales. We will adopt ASU No. 2009-16 on November 1, 2010, as required. The adoption is not expected to have a material effect on our consolidated financial statements.</w:t>
      </w:r>
    </w:p>
    <w:p>
      <w:pPr>
        <w:ind w:firstLine="213"/>
        <w:spacing w:after="0" w:line="266" w:lineRule="auto"/>
        <w:rPr>
          <w:sz w:val="20"/>
          <w:szCs w:val="20"/>
          <w:color w:val="auto"/>
        </w:rPr>
      </w:pPr>
      <w:r>
        <w:rPr>
          <w:rFonts w:ascii="Arial" w:cs="Arial" w:eastAsia="Arial" w:hAnsi="Arial"/>
          <w:sz w:val="16"/>
          <w:szCs w:val="16"/>
          <w:color w:val="auto"/>
        </w:rPr>
        <w:t>In December 2009, the FASB issued ASU No. 2009-17, “Improvements to Financial Reporting by Enterprises Involved with Variable Interest Entities,” which amends ASC 810, “Consolidation (FASB Statement No. 167, Amendments to FASB Interpretation No. 46(R)).” This ASU requires a qualitative analysis to determine the primary beneficiary of a variable interest entity (VIE). The analysis identifies the primary beneficiary as the enterprise that has both the power to direct the activities of a VIE that most significantly impact the VIE’s economic performance and the obligation to absorb losses or the right to receive benefits that could be significant to the VIE. The ASU also requires additional disclosures about an enterprise’s involvement in a VIE. 60;We will adopt ASU No. 2009-17 on November 1, 2010, as required. The adoption is not expected to have a material effect on our consolidated financial statements.</w:t>
      </w:r>
    </w:p>
    <w:p>
      <w:pPr>
        <w:spacing w:after="0" w:line="5" w:lineRule="exact"/>
        <w:rPr>
          <w:sz w:val="20"/>
          <w:szCs w:val="20"/>
          <w:color w:val="auto"/>
        </w:rPr>
      </w:pPr>
    </w:p>
    <w:p>
      <w:pPr>
        <w:ind w:firstLine="256"/>
        <w:spacing w:after="0" w:line="262" w:lineRule="auto"/>
        <w:rPr>
          <w:sz w:val="20"/>
          <w:szCs w:val="20"/>
          <w:color w:val="auto"/>
        </w:rPr>
      </w:pPr>
      <w:r>
        <w:rPr>
          <w:rFonts w:ascii="Arial" w:cs="Arial" w:eastAsia="Arial" w:hAnsi="Arial"/>
          <w:sz w:val="17"/>
          <w:szCs w:val="17"/>
          <w:color w:val="auto"/>
        </w:rPr>
        <w:t>No other new accounting pronouncement that has been issued but not yet effective for us during fiscal 2010 has had or is expected to have a material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24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 e by using words such as “expect,” “strive,” “looking ahead,” “outlook,” ”forecast,” “optimistic,” “plan,” “anticipate,” “continue,” “estimate,” “believe,” “could,” “should,” ”will,” ”would,” “may,” “possible,” “likely,” “intend,” and similar expression and the use of future dates.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9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ind w:left="300" w:right="6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conditions and outlook in the United States and around the world could adversely affect our net sales and earnings, which includes but is not limited to recessionary conditions in the U.S. and other regions around the world and worldwide slow or negative economic growth rates; slow down or reductions in levels of golf course development, renovation, and improvement; slow down or reductions in levels of home ownership, construction, and home sales; consumer spending levels; credit availability or credit terms for our distributors, dealers, and end-user customers; short-term, mortgage, and other interest rates; unemployment rates; inflation; consumer confidence; and general economic and political conditions and expectations in the U.S. and the foreign economies in which we conduct business.</w:t>
      </w:r>
    </w:p>
    <w:p>
      <w:pPr>
        <w:spacing w:after="0" w:line="1" w:lineRule="exact"/>
        <w:rPr>
          <w:rFonts w:ascii="Arial" w:cs="Arial" w:eastAsia="Arial" w:hAnsi="Arial"/>
          <w:sz w:val="17"/>
          <w:szCs w:val="17"/>
          <w:color w:val="auto"/>
        </w:rPr>
      </w:pPr>
    </w:p>
    <w:p>
      <w:pPr>
        <w:ind w:left="300" w:right="60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or disruption in the availability of raw materials and components that we purchase and increases in our other costs of doing business, including transportation costs, may adversely affect our profit margins and business.</w:t>
      </w:r>
    </w:p>
    <w:p>
      <w:pPr>
        <w:ind w:left="300" w:hanging="29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Weather conditions may reduce demand for some of our products and adversely affect our net sales.</w:t>
      </w:r>
    </w:p>
    <w:p>
      <w:pPr>
        <w:spacing w:after="0" w:line="9" w:lineRule="exact"/>
        <w:rPr>
          <w:rFonts w:ascii="Arial" w:cs="Arial" w:eastAsia="Arial" w:hAnsi="Arial"/>
          <w:sz w:val="17"/>
          <w:szCs w:val="17"/>
          <w:color w:val="auto"/>
        </w:rPr>
      </w:pPr>
    </w:p>
    <w:p>
      <w:pPr>
        <w:ind w:left="300" w:right="6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the level of residential and commercial construction, the level of homeowners’ outsourcing lawn care, the amount of investment in golf course renovations and improvements, new golf course development, golf course closures, availability of credit on acceptable credit terms to finance product purchases, and the level of government and municipal revenue, budget, and spending levels for grounds maintenance equipment and other factors.</w:t>
      </w:r>
    </w:p>
    <w:p>
      <w:pPr>
        <w:ind w:left="300" w:right="60" w:hanging="29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 spending levels, consumer confidence, home construction and existing home sales, the amount of product placement at retailers, changing buying patterns of customers, and The Home Depot, Inc. as a major customer.</w:t>
      </w:r>
    </w:p>
    <w:p>
      <w:pPr>
        <w:ind w:left="300" w:hanging="298"/>
        <w:spacing w:after="0" w:line="256"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24" w:name="page25"/>
    <w:bookmarkEnd w:id="24"/>
    <w:p>
      <w:pPr>
        <w:ind w:left="300" w:right="120" w:hanging="298"/>
        <w:spacing w:after="0" w:line="274" w:lineRule="auto"/>
        <w:tabs>
          <w:tab w:leader="none" w:pos="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operations and financial resources than us. We may not be able to compete effectively against competitors’ actions, which could harm our business and operating results.</w:t>
      </w:r>
    </w:p>
    <w:p>
      <w:pPr>
        <w:ind w:left="300" w:right="60" w:hanging="298"/>
        <w:spacing w:after="0" w:line="266" w:lineRule="auto"/>
        <w:tabs>
          <w:tab w:leader="none" w:pos="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cultural,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300" w:hanging="298"/>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foreign currency exchange rates could result in declines in our reported net sales and net earnings.</w:t>
      </w:r>
    </w:p>
    <w:p>
      <w:pPr>
        <w:spacing w:after="0" w:line="9" w:lineRule="exact"/>
        <w:rPr>
          <w:rFonts w:ascii="Arial" w:cs="Arial" w:eastAsia="Arial" w:hAnsi="Arial"/>
          <w:sz w:val="17"/>
          <w:szCs w:val="17"/>
          <w:color w:val="auto"/>
        </w:rPr>
      </w:pPr>
    </w:p>
    <w:p>
      <w:pPr>
        <w:ind w:left="300" w:right="2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ind w:left="300" w:right="140" w:hanging="298"/>
        <w:spacing w:after="0" w:line="284"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intend to grow our business in part through additional acquisitions, alliances, stronger customer relations, and new joint ventures and partnerships, which are risky and could harm our business, particularly if we are not able to successfully integrate such acquisitions, alliances, joint ventures, and partnerships.</w:t>
      </w:r>
    </w:p>
    <w:p>
      <w:pPr>
        <w:spacing w:after="0" w:line="1" w:lineRule="exact"/>
        <w:rPr>
          <w:rFonts w:ascii="Arial" w:cs="Arial" w:eastAsia="Arial" w:hAnsi="Arial"/>
          <w:sz w:val="15"/>
          <w:szCs w:val="15"/>
          <w:color w:val="auto"/>
        </w:rPr>
      </w:pPr>
    </w:p>
    <w:p>
      <w:pPr>
        <w:ind w:left="300" w:right="500" w:hanging="298"/>
        <w:spacing w:after="0" w:line="284"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5"/>
          <w:szCs w:val="15"/>
          <w:color w:val="auto"/>
        </w:rPr>
      </w:pPr>
    </w:p>
    <w:p>
      <w:pPr>
        <w:ind w:left="30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 a result of our recently established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ind w:left="300" w:right="16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ind w:left="300" w:right="28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300" w:right="12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ind w:left="300" w:hanging="298"/>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Legislative enactments could impact the competitive landscape within our markets and affect demand for our products.</w:t>
      </w:r>
    </w:p>
    <w:p>
      <w:pPr>
        <w:spacing w:after="0" w:line="9" w:lineRule="exact"/>
        <w:rPr>
          <w:rFonts w:ascii="Arial" w:cs="Arial" w:eastAsia="Arial" w:hAnsi="Arial"/>
          <w:sz w:val="17"/>
          <w:szCs w:val="17"/>
          <w:color w:val="auto"/>
        </w:rPr>
      </w:pPr>
    </w:p>
    <w:p>
      <w:pPr>
        <w:ind w:left="300" w:hanging="298"/>
        <w:spacing w:after="0" w:line="266" w:lineRule="auto"/>
        <w:tabs>
          <w:tab w:leader="none" w:pos="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labels on the products the plaintiffs purchased were inaccurate. In the event that settlement discussions with the United States plaintiffs do not result in a court approved settlement agreement or in the event that the company is unable to favorably resolve the Canadian litigation and one or more of these lawsuits go to trial, even if the plaintiffs’ claims are found to be without merit, we have incurred, and expect to continue to incur, substantial costs in defending the lawsuits. The lawsuits could divert the time and attention of our management and could result in adverse publicity, either of which could significan tly harm our operating results and financial condition. In addition, an unfavorable resolution or outcome could have a material adverse effect on our operating results or financial condition.</w:t>
      </w:r>
    </w:p>
    <w:p>
      <w:pPr>
        <w:spacing w:after="0" w:line="5" w:lineRule="exact"/>
        <w:rPr>
          <w:rFonts w:ascii="Arial" w:cs="Arial" w:eastAsia="Arial" w:hAnsi="Arial"/>
          <w:sz w:val="16"/>
          <w:szCs w:val="16"/>
          <w:color w:val="auto"/>
        </w:rPr>
      </w:pPr>
    </w:p>
    <w:p>
      <w:pPr>
        <w:ind w:left="300" w:right="32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retain our key employees, and attract and retain other qualified personnel, we may not be able to meet strategic objectives and our business could suffer.</w:t>
      </w:r>
    </w:p>
    <w:p>
      <w:pPr>
        <w:ind w:left="300" w:right="60" w:hanging="29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40" w:right="20" w:hanging="238"/>
        <w:spacing w:after="0" w:line="253" w:lineRule="auto"/>
        <w:tabs>
          <w:tab w:leader="none" w:pos="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is subject to a number of other factors that may adversely affect our operating results, financial condition, or business, such as natural or man-made disasters or global pandemics that may result in shortages of raw materials, higher fuel costs, and an increase in insurance premiums; financial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 urity and higher costs for import and export shipments of components or finished goods, reduced leisure travel, and contraction of the U.S. and world economies.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5" w:name="page26"/>
    <w:bookmarkEnd w:id="25"/>
    <w:p>
      <w:pPr>
        <w:jc w:val="both"/>
        <w:ind w:right="200"/>
        <w:spacing w:after="0" w:line="255"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2" w:lineRule="exact"/>
        <w:rPr>
          <w:sz w:val="20"/>
          <w:szCs w:val="20"/>
          <w:color w:val="auto"/>
        </w:rPr>
      </w:pPr>
    </w:p>
    <w:p>
      <w:pPr>
        <w:ind w:firstLine="213"/>
        <w:spacing w:after="0" w:line="291"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 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 We are also exposed to equity market risk pertaining to the trading price of our common stock.</w:t>
      </w:r>
    </w:p>
    <w:p>
      <w:pPr>
        <w:spacing w:after="0" w:line="202"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i w:val="1"/>
          <w:iCs w:val="1"/>
          <w:u w:val="single" w:color="auto"/>
          <w:color w:val="auto"/>
        </w:rPr>
        <w:t>Foreign Currency Exchange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normal course of business, we actively manage the exposure of our foreign currency exchange rate market risk by</w:t>
      </w:r>
      <w:r>
        <w:rPr>
          <w:rFonts w:ascii="Arial" w:cs="Arial" w:eastAsia="Arial" w:hAnsi="Arial"/>
          <w:sz w:val="16"/>
          <w:szCs w:val="16"/>
          <w:i w:val="1"/>
          <w:iCs w:val="1"/>
          <w:color w:val="auto"/>
        </w:rPr>
        <w:t xml:space="preserve"> </w:t>
      </w:r>
      <w:r>
        <w:rPr>
          <w:rFonts w:ascii="Arial" w:cs="Arial" w:eastAsia="Arial" w:hAnsi="Arial"/>
          <w:sz w:val="16"/>
          <w:szCs w:val="16"/>
          <w:color w:val="auto"/>
        </w:rPr>
        <w:t>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 te risk arising from transactions in the normal course of business, such as sales and loans to wholly owned foreign subsidiaries, foreign plant operations,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exposures are with the Euro, the Australian dollar, the Canadian dollar, the British pound, the Mexican peso, and the Japanese yen against the U.S. dollar.</w:t>
      </w:r>
    </w:p>
    <w:p>
      <w:pPr>
        <w:spacing w:after="0" w:line="4" w:lineRule="exact"/>
        <w:rPr>
          <w:sz w:val="20"/>
          <w:szCs w:val="20"/>
          <w:color w:val="auto"/>
        </w:rPr>
      </w:pPr>
    </w:p>
    <w:p>
      <w:pPr>
        <w:ind w:right="180" w:firstLine="210"/>
        <w:spacing w:after="0" w:line="292" w:lineRule="auto"/>
        <w:rPr>
          <w:sz w:val="20"/>
          <w:szCs w:val="20"/>
          <w:color w:val="auto"/>
        </w:rPr>
      </w:pPr>
      <w:r>
        <w:rPr>
          <w:rFonts w:ascii="Arial" w:cs="Arial" w:eastAsia="Arial" w:hAnsi="Arial"/>
          <w:sz w:val="15"/>
          <w:szCs w:val="15"/>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market values of the related exposures. Therefore, changes in market values of these hedge instruments are highly correlated with changes in market values of underlying hedged items both at inception of the hedge and over the life of the hedge contract. Additional info 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6" w:name="page27"/>
    <w:bookmarkEnd w:id="26"/>
    <w:p>
      <w:pPr>
        <w:ind w:right="180" w:firstLine="213"/>
        <w:spacing w:after="0" w:line="254" w:lineRule="auto"/>
        <w:rPr>
          <w:sz w:val="20"/>
          <w:szCs w:val="20"/>
          <w:color w:val="auto"/>
        </w:rPr>
      </w:pPr>
      <w:r>
        <w:rPr>
          <w:rFonts w:ascii="Arial" w:cs="Arial" w:eastAsia="Arial" w:hAnsi="Arial"/>
          <w:sz w:val="17"/>
          <w:szCs w:val="17"/>
          <w:color w:val="auto"/>
        </w:rPr>
        <w:t>The following foreign currency exchange contracts held by us have maturity dates in fiscal 2010 and 2011.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April 30, 2010 were as follows:</w:t>
      </w: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40"/>
              <w:spacing w:after="0" w:line="192" w:lineRule="exact"/>
              <w:rPr>
                <w:sz w:val="20"/>
                <w:szCs w:val="20"/>
                <w:color w:val="auto"/>
              </w:rPr>
            </w:pPr>
            <w:r>
              <w:rPr>
                <w:rFonts w:ascii="Arial" w:cs="Arial" w:eastAsia="Arial" w:hAnsi="Arial"/>
                <w:sz w:val="17"/>
                <w:szCs w:val="17"/>
                <w:b w:val="1"/>
                <w:bCs w:val="1"/>
                <w:color w:val="auto"/>
                <w:w w:val="91"/>
              </w:rPr>
              <w:t>Value 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5960" w:type="dxa"/>
            <w:vAlign w:val="bottom"/>
          </w:tcPr>
          <w:p>
            <w:pPr>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Contracted</w:t>
            </w:r>
          </w:p>
        </w:tc>
        <w:tc>
          <w:tcPr>
            <w:tcW w:w="18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Notional</w:t>
            </w:r>
          </w:p>
        </w:tc>
        <w:tc>
          <w:tcPr>
            <w:tcW w:w="13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4"/>
              </w:rPr>
              <w:t>Impact</w:t>
            </w:r>
          </w:p>
        </w:tc>
      </w:tr>
      <w:tr>
        <w:trPr>
          <w:trHeight w:val="227"/>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(except average contracted rate)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Gain (Loss)</w:t>
            </w:r>
          </w:p>
        </w:tc>
        <w:tc>
          <w:tcPr>
            <w:tcW w:w="60" w:type="dxa"/>
            <w:vAlign w:val="bottom"/>
          </w:tcPr>
          <w:p>
            <w:pPr>
              <w:spacing w:after="0"/>
              <w:rPr>
                <w:sz w:val="19"/>
                <w:szCs w:val="19"/>
                <w:color w:val="auto"/>
              </w:rPr>
            </w:pPr>
          </w:p>
        </w:tc>
      </w:tr>
      <w:tr>
        <w:trPr>
          <w:trHeight w:val="192"/>
        </w:trPr>
        <w:tc>
          <w:tcPr>
            <w:tcW w:w="5960" w:type="dxa"/>
            <w:vAlign w:val="bottom"/>
          </w:tcPr>
          <w:p>
            <w:pPr>
              <w:spacing w:after="0" w:line="193" w:lineRule="exact"/>
              <w:rPr>
                <w:sz w:val="20"/>
                <w:szCs w:val="20"/>
                <w:color w:val="auto"/>
              </w:rPr>
            </w:pPr>
            <w:r>
              <w:rPr>
                <w:rFonts w:ascii="Arial" w:cs="Arial" w:eastAsia="Arial" w:hAnsi="Arial"/>
                <w:sz w:val="17"/>
                <w:szCs w:val="17"/>
                <w:color w:val="auto"/>
              </w:rPr>
              <w:t>Buy US dollar/Sell Australian dollar</w:t>
            </w:r>
          </w:p>
        </w:tc>
        <w:tc>
          <w:tcPr>
            <w:tcW w:w="10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7"/>
                <w:szCs w:val="17"/>
                <w:color w:val="auto"/>
              </w:rPr>
              <w:t>0.8411</w:t>
            </w:r>
          </w:p>
        </w:tc>
        <w:tc>
          <w:tcPr>
            <w:tcW w:w="220" w:type="dxa"/>
            <w:vAlign w:val="bottom"/>
          </w:tcPr>
          <w:p>
            <w:pPr>
              <w:spacing w:after="0"/>
              <w:rPr>
                <w:sz w:val="16"/>
                <w:szCs w:val="16"/>
                <w:color w:val="auto"/>
              </w:rPr>
            </w:pPr>
          </w:p>
        </w:tc>
        <w:tc>
          <w:tcPr>
            <w:tcW w:w="18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line="193" w:lineRule="exact"/>
              <w:rPr>
                <w:sz w:val="20"/>
                <w:szCs w:val="20"/>
                <w:color w:val="auto"/>
              </w:rPr>
            </w:pPr>
            <w:r>
              <w:rPr>
                <w:rFonts w:ascii="Arial" w:cs="Arial" w:eastAsia="Arial" w:hAnsi="Arial"/>
                <w:sz w:val="17"/>
                <w:szCs w:val="17"/>
                <w:color w:val="auto"/>
              </w:rPr>
              <w:t>30,732.1</w:t>
            </w:r>
          </w:p>
        </w:tc>
        <w:tc>
          <w:tcPr>
            <w:tcW w:w="220" w:type="dxa"/>
            <w:vAlign w:val="bottom"/>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80"/>
              <w:spacing w:after="0" w:line="193" w:lineRule="exact"/>
              <w:rPr>
                <w:sz w:val="20"/>
                <w:szCs w:val="20"/>
                <w:color w:val="auto"/>
              </w:rPr>
            </w:pPr>
            <w:r>
              <w:rPr>
                <w:rFonts w:ascii="Arial" w:cs="Arial" w:eastAsia="Arial" w:hAnsi="Arial"/>
                <w:sz w:val="17"/>
                <w:szCs w:val="17"/>
                <w:color w:val="auto"/>
              </w:rPr>
              <w:t>(1,676.4)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(2,419.6)</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Canadian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0.9457</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5,154.0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(248.3)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(182.3)</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Euro</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1.3604</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66,385.3</w:t>
            </w: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1,105.7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913.0</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British pound</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1.5194</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3,342.6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0.6</w:t>
            </w: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Buy Mexican peso/Sell US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12.7404</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12,950.9</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(45.8)</w:t>
            </w:r>
          </w:p>
        </w:tc>
      </w:tr>
    </w:tbl>
    <w:p>
      <w:pPr>
        <w:spacing w:after="0" w:line="193" w:lineRule="exact"/>
        <w:rPr>
          <w:sz w:val="20"/>
          <w:szCs w:val="20"/>
          <w:color w:val="auto"/>
        </w:rPr>
      </w:pPr>
    </w:p>
    <w:p>
      <w:pPr>
        <w:ind w:firstLine="213"/>
        <w:spacing w:after="0" w:line="308"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from commercial banks, as well as the potential increase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 steel,</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fuel, petroleum-based resin, and linerboard. In addition, we are a purchaser of components and parts containing various commodities, including steel, aluminum, copper, lead, rubber, and others which are integrated into our end products. Further information regarding rising prices for commodities is presented in Item 2 of this Quarterly Report on Form 10-Q, in the section entitled “Inflation.”</w:t>
      </w:r>
    </w:p>
    <w:p>
      <w:pPr>
        <w:spacing w:after="0" w:line="2" w:lineRule="exact"/>
        <w:rPr>
          <w:sz w:val="20"/>
          <w:szCs w:val="20"/>
          <w:color w:val="auto"/>
        </w:rPr>
      </w:pPr>
    </w:p>
    <w:p>
      <w:pPr>
        <w:ind w:right="540" w:firstLine="210"/>
        <w:spacing w:after="0" w:line="329" w:lineRule="auto"/>
        <w:rPr>
          <w:sz w:val="20"/>
          <w:szCs w:val="20"/>
          <w:color w:val="auto"/>
        </w:rPr>
      </w:pPr>
      <w:r>
        <w:rPr>
          <w:rFonts w:ascii="Arial" w:cs="Arial" w:eastAsia="Arial" w:hAnsi="Arial"/>
          <w:sz w:val="15"/>
          <w:szCs w:val="15"/>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ind w:right="160"/>
        <w:spacing w:after="0" w:line="289" w:lineRule="auto"/>
        <w:rPr>
          <w:sz w:val="20"/>
          <w:szCs w:val="20"/>
          <w:color w:val="auto"/>
        </w:rPr>
      </w:pPr>
      <w:r>
        <w:rPr>
          <w:rFonts w:ascii="Arial" w:cs="Arial" w:eastAsia="Arial" w:hAnsi="Arial"/>
          <w:sz w:val="15"/>
          <w:szCs w:val="15"/>
          <w:color w:val="auto"/>
        </w:rPr>
        <w:t>We maintain disclosure controls and procedures (as defined in Exchange Act Rules 13a-15(e) and 15d-15(e)) that are designed to provide reasonably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 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 as appropriate to allow timely decisions regarding required disclosures. There was no change in our internal control over financial reporting that occurred during our fiscal second quarter ended April 30, 2010 that has materially affected, or is reasonably likely to materially affect, our internal control over financial reporting.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7" w:name="page28"/>
    <w:bookmarkEnd w:id="27"/>
    <w:p>
      <w:pPr>
        <w:jc w:val="center"/>
        <w:ind w:right="-159"/>
        <w:spacing w:after="0"/>
        <w:rPr>
          <w:sz w:val="20"/>
          <w:szCs w:val="20"/>
          <w:color w:val="auto"/>
        </w:rPr>
      </w:pPr>
      <w:r>
        <w:rPr>
          <w:rFonts w:ascii="Arial" w:cs="Arial" w:eastAsia="Arial" w:hAnsi="Arial"/>
          <w:sz w:val="20"/>
          <w:szCs w:val="20"/>
          <w:b w:val="1"/>
          <w:bCs w:val="1"/>
          <w:color w:val="auto"/>
        </w:rPr>
        <w:t>PART II. OTHER INFORMATION</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Item 1. LEGAL PROCEEDINGS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company is party to litigation in the ordinary course of business. Litigation occasionally involves claims for punitive as well as compensatory damages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w:t>
      </w:r>
    </w:p>
    <w:p>
      <w:pPr>
        <w:spacing w:after="0" w:line="253" w:lineRule="auto"/>
        <w:rPr>
          <w:sz w:val="20"/>
          <w:szCs w:val="20"/>
          <w:color w:val="auto"/>
        </w:rPr>
      </w:pPr>
      <w:r>
        <w:rPr>
          <w:rFonts w:ascii="Arial" w:cs="Arial" w:eastAsia="Arial" w:hAnsi="Arial"/>
          <w:sz w:val="17"/>
          <w:szCs w:val="17"/>
          <w:color w:val="auto"/>
        </w:rPr>
        <w:t>Some of these claims assert damages and liability for remedial investigations and clean up costs. The company is also typically involved in commercial disputes, employment disputes, and patent litigation cases in the ordinary course of business. To prevent possible infringemen 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200" w:lineRule="exact"/>
        <w:rPr>
          <w:sz w:val="20"/>
          <w:szCs w:val="20"/>
          <w:color w:val="auto"/>
        </w:rPr>
      </w:pPr>
    </w:p>
    <w:p>
      <w:pPr>
        <w:spacing w:after="0" w:line="24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b w:val="1"/>
          <w:bCs w:val="1"/>
          <w:i w:val="1"/>
          <w:iCs w:val="1"/>
          <w:color w:val="auto"/>
        </w:rPr>
        <w:t xml:space="preserve">Lawnmower Engine Horsepower Marketing and Sales Practices Litigation. </w:t>
      </w:r>
      <w:r>
        <w:rPr>
          <w:rFonts w:ascii="Arial" w:cs="Arial" w:eastAsia="Arial" w:hAnsi="Arial"/>
          <w:sz w:val="16"/>
          <w:szCs w:val="16"/>
          <w:color w:val="auto"/>
        </w:rPr>
        <w:t>In June 2004, individuals who claim to have purchased lawnmowers in Illinois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jc w:val="both"/>
        <w:ind w:right="140" w:firstLine="213"/>
        <w:spacing w:after="0" w:line="266" w:lineRule="auto"/>
        <w:rPr>
          <w:sz w:val="20"/>
          <w:szCs w:val="20"/>
          <w:color w:val="auto"/>
        </w:rPr>
      </w:pPr>
      <w:r>
        <w:rPr>
          <w:rFonts w:ascii="Arial" w:cs="Arial" w:eastAsia="Arial" w:hAnsi="Arial"/>
          <w:sz w:val="16"/>
          <w:szCs w:val="16"/>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and the other defendants that it had reached a settlement agreement with the plaintiffs.</w:t>
      </w:r>
    </w:p>
    <w:p>
      <w:pPr>
        <w:spacing w:after="0" w:line="3" w:lineRule="exact"/>
        <w:rPr>
          <w:sz w:val="20"/>
          <w:szCs w:val="20"/>
          <w:color w:val="auto"/>
        </w:rPr>
      </w:pPr>
    </w:p>
    <w:p>
      <w:pPr>
        <w:ind w:right="120" w:firstLine="213"/>
        <w:spacing w:after="0" w:line="284" w:lineRule="auto"/>
        <w:rPr>
          <w:sz w:val="20"/>
          <w:szCs w:val="20"/>
          <w:color w:val="auto"/>
        </w:rPr>
      </w:pPr>
      <w:r>
        <w:rPr>
          <w:rFonts w:ascii="Arial" w:cs="Arial" w:eastAsia="Arial" w:hAnsi="Arial"/>
          <w:sz w:val="15"/>
          <w:szCs w:val="15"/>
          <w:color w:val="auto"/>
        </w:rPr>
        <w:t>In May 2008, the court issued a memorandum and order that (i) dismissed the RICO claim in its entirety; (ii) dismissed all non-Illinois state-law claims but with instructions that such claims could be re-filed in local courts; and (iii) rejected the proposed settlement with MTD. The proposed Honda settlement was not under consideration by the court and was not addressed in the memorandum and order. Also in May 2008, the plaintiffs (i) re-filed the Illinois claims with the court; and</w:t>
      </w:r>
    </w:p>
    <w:p>
      <w:pPr>
        <w:spacing w:after="0" w:line="2" w:lineRule="exact"/>
        <w:rPr>
          <w:sz w:val="20"/>
          <w:szCs w:val="20"/>
          <w:color w:val="auto"/>
        </w:rPr>
      </w:pPr>
    </w:p>
    <w:p>
      <w:pPr>
        <w:ind w:left="220" w:right="460" w:hanging="218"/>
        <w:spacing w:after="0" w:line="284" w:lineRule="auto"/>
        <w:tabs>
          <w:tab w:leader="none" w:pos="258" w:val="left"/>
        </w:tabs>
        <w:numPr>
          <w:ilvl w:val="0"/>
          <w:numId w:val="3"/>
        </w:numPr>
        <w:rPr>
          <w:rFonts w:ascii="Arial" w:cs="Arial" w:eastAsia="Arial" w:hAnsi="Arial"/>
          <w:sz w:val="15"/>
          <w:szCs w:val="15"/>
          <w:color w:val="auto"/>
        </w:rPr>
      </w:pPr>
      <w:r>
        <w:rPr>
          <w:rFonts w:ascii="Arial" w:cs="Arial" w:eastAsia="Arial" w:hAnsi="Arial"/>
          <w:sz w:val="15"/>
          <w:szCs w:val="15"/>
          <w:color w:val="auto"/>
        </w:rPr>
        <w:t>filed non-Illinois claims in federal courts in the District of New Jersey and the Northern District of California with essentially the same state law claims. In June 2008, the plaintiffs filed a motion with the United States Judicial Panel on Multidistrict Litigation (the MDL Panel) that (i) stated their intent to file</w:t>
      </w:r>
    </w:p>
    <w:p>
      <w:pPr>
        <w:spacing w:after="0" w:line="1"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lawsuits in all 50 states and the District of Columbia; and (ii) sought to have all of the cases transferred for coordinated pretrial proceedings. In August 2008, the MDL Panel issued an order denying the transfer request. Additional lawsuits, some of which included additional plaintiffs, were filed in various federal and state courts asserting essentially the same state law claims. Lawsuits were subsequently filed in federal and state courts throughout the United States, which collectively assert claims under the laws of each state.</w:t>
      </w:r>
    </w:p>
    <w:p>
      <w:pPr>
        <w:spacing w:after="0" w:line="1" w:lineRule="exact"/>
        <w:rPr>
          <w:sz w:val="20"/>
          <w:szCs w:val="20"/>
          <w:color w:val="auto"/>
        </w:rPr>
      </w:pPr>
    </w:p>
    <w:p>
      <w:pPr>
        <w:ind w:right="80" w:firstLine="213"/>
        <w:spacing w:after="0" w:line="266" w:lineRule="auto"/>
        <w:rPr>
          <w:sz w:val="20"/>
          <w:szCs w:val="20"/>
          <w:color w:val="auto"/>
        </w:rPr>
      </w:pPr>
      <w:r>
        <w:rPr>
          <w:rFonts w:ascii="Arial" w:cs="Arial" w:eastAsia="Arial" w:hAnsi="Arial"/>
          <w:sz w:val="16"/>
          <w:szCs w:val="16"/>
          <w:color w:val="auto"/>
        </w:rPr>
        <w:t>In September 2008, the company and other defendants filed a motion with the MDL Panel that sought to transfer the multiple actions for coordinated pretrial proceedings. In early December 2008, the MDL Panel issued an order that (i) transferred 23 lawsuits, which collectively asserted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w:t>
      </w:r>
    </w:p>
    <w:p>
      <w:pPr>
        <w:spacing w:after="0" w:line="3" w:lineRule="exact"/>
        <w:rPr>
          <w:sz w:val="20"/>
          <w:szCs w:val="20"/>
          <w:color w:val="auto"/>
        </w:rPr>
      </w:pPr>
    </w:p>
    <w:p>
      <w:pPr>
        <w:ind w:right="40" w:firstLine="204"/>
        <w:spacing w:after="0" w:line="270" w:lineRule="auto"/>
        <w:rPr>
          <w:sz w:val="20"/>
          <w:szCs w:val="20"/>
          <w:color w:val="auto"/>
        </w:rPr>
      </w:pPr>
      <w:r>
        <w:rPr>
          <w:rFonts w:ascii="Arial" w:cs="Arial" w:eastAsia="Arial" w:hAnsi="Arial"/>
          <w:sz w:val="16"/>
          <w:szCs w:val="16"/>
          <w:color w:val="auto"/>
        </w:rPr>
        <w:t>An initial hearing was held in the United States District Court for the Eastern District of Wisconsin in January 2009. At that hearing, the Court (i) appointed lead plaintiffs’ counsel, and (ii) entered a stay of all litigation so that the parties could explore mediation. Formal mediation proceedings were commenced, settlement discussions were conducted, and ultimately all defendants entered into various settlement agreements with the plaintiffs in February 2010. The settlement agreement entered into by the company and certain other defendants provides for, among other things, (i) a monetary settlement, (ii) an additional warranty period for some engines that are subject to the litigation, and (iii) injunctive relief relating to power rating labeling practices. The plaintiffs filed a motion for prelim inary approval of the settlement agreement and certification of a settlement class, and the court granted the motion. The settlement is not final for all purposes until after members of the proposed settlement class receive notice of the settlement, the Court determines that the settlement is fair, reasonable and adequate, and applicable appeal periods expire without appeal. The Court has scheduled a hearing in June 2010, at which it is expected that</w:t>
      </w: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485" w:right="399" w:bottom="1440" w:gutter="0" w:footer="0" w:header="0"/>
        </w:sectPr>
      </w:pPr>
    </w:p>
    <w:bookmarkStart w:id="28" w:name="page29"/>
    <w:bookmarkEnd w:id="28"/>
    <w:p>
      <w:pPr>
        <w:ind w:right="260"/>
        <w:spacing w:after="0" w:line="258" w:lineRule="auto"/>
        <w:rPr>
          <w:sz w:val="20"/>
          <w:szCs w:val="20"/>
          <w:color w:val="auto"/>
        </w:rPr>
      </w:pPr>
      <w:r>
        <w:rPr>
          <w:rFonts w:ascii="Arial" w:cs="Arial" w:eastAsia="Arial" w:hAnsi="Arial"/>
          <w:sz w:val="17"/>
          <w:szCs w:val="17"/>
          <w:color w:val="auto"/>
        </w:rPr>
        <w:t>the Court will consider whether the settlement is fair, reasonable and adequate. At this time, management is unable to provide assurance that the Court will approve the settlement or that the settlement will become final for all purposes.</w:t>
      </w:r>
    </w:p>
    <w:p>
      <w:pPr>
        <w:ind w:right="260" w:firstLine="213"/>
        <w:spacing w:after="0" w:line="251" w:lineRule="auto"/>
        <w:rPr>
          <w:sz w:val="20"/>
          <w:szCs w:val="20"/>
          <w:color w:val="auto"/>
        </w:rPr>
      </w:pPr>
      <w:r>
        <w:rPr>
          <w:rFonts w:ascii="Arial" w:cs="Arial" w:eastAsia="Arial" w:hAnsi="Arial"/>
          <w:sz w:val="17"/>
          <w:szCs w:val="17"/>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through the present, purchased a lawnmower containing a gas combustible engine up to 30 horsepower that was manufactured or sold by the defendants, and (iii) seeks under applicable Canadian law unspecified compensatory and punitive damages, attorneys’ costs and fees, and equitable relief.</w:t>
      </w:r>
    </w:p>
    <w:p>
      <w:pPr>
        <w:spacing w:after="0" w:line="1" w:lineRule="exact"/>
        <w:rPr>
          <w:sz w:val="20"/>
          <w:szCs w:val="20"/>
          <w:color w:val="auto"/>
        </w:rPr>
      </w:pPr>
    </w:p>
    <w:p>
      <w:pPr>
        <w:ind w:right="180" w:firstLine="213"/>
        <w:spacing w:after="0" w:line="253" w:lineRule="auto"/>
        <w:rPr>
          <w:sz w:val="20"/>
          <w:szCs w:val="20"/>
          <w:color w:val="auto"/>
        </w:rPr>
      </w:pPr>
      <w:r>
        <w:rPr>
          <w:rFonts w:ascii="Arial" w:cs="Arial" w:eastAsia="Arial" w:hAnsi="Arial"/>
          <w:sz w:val="17"/>
          <w:szCs w:val="17"/>
          <w:color w:val="auto"/>
        </w:rPr>
        <w:t>Management continues to evaluate this litigation. If the settlement with the United States plaintiffs becomes final, the company’s obligations under the settlement agreement will not have a material adverse effect on the company’s operating results or financial position. The expected costs of the company’s settlement obligations are consistent with accruals established in prior periods. In the event the settlement with the United States plaintiffs does not become final for all purposes or in the event that the company is unable to favorably resolve the Canadian litigation, management is unable to assess at this time whether this litigation would have a material adverse effect on the company’s annual consolidated operating results or financial condition, although an unfavorable resolu tion or outcome could be material to the company’s consolidated operating results for a particular period.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00" w:lineRule="exact"/>
        <w:rPr>
          <w:sz w:val="20"/>
          <w:szCs w:val="20"/>
          <w:color w:val="auto"/>
        </w:r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There has been no material change in those risk factors.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7"/>
                <w:szCs w:val="17"/>
                <w:color w:val="auto"/>
                <w:w w:val="92"/>
              </w:rPr>
              <w:t>The following table shows our second quarter of fiscal 2010 stock repurchase activity.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24"/>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Total Number</w:t>
            </w:r>
          </w:p>
        </w:tc>
        <w:tc>
          <w:tcPr>
            <w:tcW w:w="1120" w:type="dxa"/>
            <w:vAlign w:val="bottom"/>
          </w:tcPr>
          <w:p>
            <w:pPr>
              <w:jc w:val="center"/>
              <w:spacing w:after="0"/>
              <w:rPr>
                <w:sz w:val="20"/>
                <w:szCs w:val="20"/>
                <w:color w:val="auto"/>
              </w:rPr>
            </w:pPr>
            <w:r>
              <w:rPr>
                <w:rFonts w:ascii="Arial" w:cs="Arial" w:eastAsia="Arial" w:hAnsi="Arial"/>
                <w:sz w:val="17"/>
                <w:szCs w:val="17"/>
                <w:color w:val="auto"/>
                <w:w w:val="97"/>
              </w:rPr>
              <w:t>Maximum</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of</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Number</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Shares</w:t>
            </w:r>
          </w:p>
        </w:tc>
        <w:tc>
          <w:tcPr>
            <w:tcW w:w="1120" w:type="dxa"/>
            <w:vAlign w:val="bottom"/>
          </w:tcPr>
          <w:p>
            <w:pPr>
              <w:jc w:val="center"/>
              <w:spacing w:after="0"/>
              <w:rPr>
                <w:sz w:val="20"/>
                <w:szCs w:val="20"/>
                <w:color w:val="auto"/>
              </w:rPr>
            </w:pPr>
            <w:r>
              <w:rPr>
                <w:rFonts w:ascii="Arial" w:cs="Arial" w:eastAsia="Arial" w:hAnsi="Arial"/>
                <w:sz w:val="17"/>
                <w:szCs w:val="17"/>
                <w:color w:val="auto"/>
                <w:w w:val="86"/>
              </w:rPr>
              <w:t>of Shares that</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Purchased</w:t>
            </w:r>
          </w:p>
        </w:tc>
        <w:tc>
          <w:tcPr>
            <w:tcW w:w="1120" w:type="dxa"/>
            <w:vAlign w:val="bottom"/>
          </w:tcPr>
          <w:p>
            <w:pPr>
              <w:jc w:val="center"/>
              <w:spacing w:after="0"/>
              <w:rPr>
                <w:sz w:val="20"/>
                <w:szCs w:val="20"/>
                <w:color w:val="auto"/>
              </w:rPr>
            </w:pPr>
            <w:r>
              <w:rPr>
                <w:rFonts w:ascii="Arial" w:cs="Arial" w:eastAsia="Arial" w:hAnsi="Arial"/>
                <w:sz w:val="17"/>
                <w:szCs w:val="17"/>
                <w:color w:val="auto"/>
                <w:w w:val="99"/>
              </w:rPr>
              <w:t>May</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As Part of</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Yet Be</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Publicly</w:t>
            </w:r>
          </w:p>
        </w:tc>
        <w:tc>
          <w:tcPr>
            <w:tcW w:w="1120" w:type="dxa"/>
            <w:vAlign w:val="bottom"/>
          </w:tcPr>
          <w:p>
            <w:pPr>
              <w:jc w:val="center"/>
              <w:spacing w:after="0"/>
              <w:rPr>
                <w:sz w:val="20"/>
                <w:szCs w:val="20"/>
                <w:color w:val="auto"/>
              </w:rPr>
            </w:pPr>
            <w:r>
              <w:rPr>
                <w:rFonts w:ascii="Arial" w:cs="Arial" w:eastAsia="Arial" w:hAnsi="Arial"/>
                <w:sz w:val="17"/>
                <w:szCs w:val="17"/>
                <w:color w:val="auto"/>
                <w:w w:val="86"/>
              </w:rPr>
              <w:t>Purchased</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Number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Announced</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Under the Plans</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81"/>
              </w:rPr>
              <w:t>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w w:val="88"/>
              </w:rPr>
              <w:t>Average Price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Plans</w:t>
            </w:r>
          </w:p>
        </w:tc>
        <w:tc>
          <w:tcPr>
            <w:tcW w:w="1120" w:type="dxa"/>
            <w:vAlign w:val="bottom"/>
          </w:tcPr>
          <w:p>
            <w:pPr>
              <w:jc w:val="center"/>
              <w:spacing w:after="0"/>
              <w:rPr>
                <w:sz w:val="20"/>
                <w:szCs w:val="20"/>
                <w:color w:val="auto"/>
              </w:rPr>
            </w:pPr>
            <w:r>
              <w:rPr>
                <w:rFonts w:ascii="Arial" w:cs="Arial" w:eastAsia="Arial" w:hAnsi="Arial"/>
                <w:sz w:val="17"/>
                <w:szCs w:val="17"/>
                <w:color w:val="auto"/>
              </w:rPr>
              <w:t>or</w:t>
            </w:r>
          </w:p>
        </w:tc>
      </w:tr>
      <w:tr>
        <w:trPr>
          <w:trHeight w:val="223"/>
        </w:trPr>
        <w:tc>
          <w:tcPr>
            <w:tcW w:w="5960" w:type="dxa"/>
            <w:vAlign w:val="bottom"/>
          </w:tcPr>
          <w:p>
            <w:pPr>
              <w:ind w:left="2760"/>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Purchased (1)</w:t>
            </w:r>
          </w:p>
        </w:tc>
        <w:tc>
          <w:tcPr>
            <w:tcW w:w="6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w w:val="91"/>
              </w:rPr>
              <w:t>Paid per Share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or Programs</w:t>
            </w: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Programs (1)</w:t>
            </w:r>
          </w:p>
        </w:tc>
      </w:tr>
      <w:tr>
        <w:trPr>
          <w:trHeight w:val="397"/>
        </w:trPr>
        <w:tc>
          <w:tcPr>
            <w:tcW w:w="59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January 30, 2010 through</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February 26, 2010</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3,916,367</w:t>
            </w:r>
          </w:p>
        </w:tc>
      </w:tr>
      <w:tr>
        <w:trPr>
          <w:trHeight w:val="398"/>
        </w:trPr>
        <w:tc>
          <w:tcPr>
            <w:tcW w:w="5960" w:type="dxa"/>
            <w:vAlign w:val="bottom"/>
          </w:tcPr>
          <w:p>
            <w:pPr>
              <w:spacing w:after="0"/>
              <w:rPr>
                <w:sz w:val="20"/>
                <w:szCs w:val="20"/>
                <w:color w:val="auto"/>
              </w:rPr>
            </w:pPr>
            <w:r>
              <w:rPr>
                <w:rFonts w:ascii="Arial" w:cs="Arial" w:eastAsia="Arial" w:hAnsi="Arial"/>
                <w:sz w:val="17"/>
                <w:szCs w:val="17"/>
                <w:color w:val="auto"/>
              </w:rPr>
              <w:t>February 27, 2010 through</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March 26, 2010</w:t>
            </w:r>
          </w:p>
        </w:tc>
        <w:tc>
          <w:tcPr>
            <w:tcW w:w="1520" w:type="dxa"/>
            <w:vAlign w:val="bottom"/>
            <w:gridSpan w:val="3"/>
          </w:tcPr>
          <w:p>
            <w:pPr>
              <w:jc w:val="right"/>
              <w:ind w:right="260"/>
              <w:spacing w:after="0"/>
              <w:rPr>
                <w:sz w:val="20"/>
                <w:szCs w:val="20"/>
                <w:color w:val="auto"/>
              </w:rPr>
            </w:pPr>
            <w:r>
              <w:rPr>
                <w:rFonts w:ascii="Arial" w:cs="Arial" w:eastAsia="Arial" w:hAnsi="Arial"/>
                <w:sz w:val="17"/>
                <w:szCs w:val="17"/>
                <w:color w:val="auto"/>
              </w:rPr>
              <w:t>564,457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46.58</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564,457</w:t>
            </w:r>
          </w:p>
        </w:tc>
        <w:tc>
          <w:tcPr>
            <w:tcW w:w="1120" w:type="dxa"/>
            <w:vAlign w:val="bottom"/>
          </w:tcPr>
          <w:p>
            <w:pPr>
              <w:jc w:val="right"/>
              <w:spacing w:after="0"/>
              <w:rPr>
                <w:sz w:val="20"/>
                <w:szCs w:val="20"/>
                <w:color w:val="auto"/>
              </w:rPr>
            </w:pPr>
            <w:r>
              <w:rPr>
                <w:rFonts w:ascii="Arial" w:cs="Arial" w:eastAsia="Arial" w:hAnsi="Arial"/>
                <w:sz w:val="17"/>
                <w:szCs w:val="17"/>
                <w:color w:val="auto"/>
              </w:rPr>
              <w:t>3,351,910</w:t>
            </w:r>
          </w:p>
        </w:tc>
      </w:tr>
      <w:tr>
        <w:trPr>
          <w:trHeight w:val="398"/>
        </w:trPr>
        <w:tc>
          <w:tcPr>
            <w:tcW w:w="5960" w:type="dxa"/>
            <w:vAlign w:val="bottom"/>
          </w:tcPr>
          <w:p>
            <w:pPr>
              <w:spacing w:after="0"/>
              <w:rPr>
                <w:sz w:val="20"/>
                <w:szCs w:val="20"/>
                <w:color w:val="auto"/>
              </w:rPr>
            </w:pPr>
            <w:r>
              <w:rPr>
                <w:rFonts w:ascii="Arial" w:cs="Arial" w:eastAsia="Arial" w:hAnsi="Arial"/>
                <w:sz w:val="17"/>
                <w:szCs w:val="17"/>
                <w:color w:val="auto"/>
              </w:rPr>
              <w:t>March 27, 2010 through</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7"/>
                <w:szCs w:val="17"/>
                <w:color w:val="auto"/>
              </w:rPr>
              <w:t>April 30, 2010</w:t>
            </w:r>
          </w:p>
        </w:tc>
        <w:tc>
          <w:tcPr>
            <w:tcW w:w="1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479,269(2)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50.51</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477,753</w:t>
            </w:r>
          </w:p>
        </w:tc>
        <w:tc>
          <w:tcPr>
            <w:tcW w:w="1120" w:type="dxa"/>
            <w:vAlign w:val="bottom"/>
          </w:tcPr>
          <w:p>
            <w:pPr>
              <w:jc w:val="right"/>
              <w:spacing w:after="0"/>
              <w:rPr>
                <w:sz w:val="20"/>
                <w:szCs w:val="20"/>
                <w:color w:val="auto"/>
              </w:rPr>
            </w:pPr>
            <w:r>
              <w:rPr>
                <w:rFonts w:ascii="Arial" w:cs="Arial" w:eastAsia="Arial" w:hAnsi="Arial"/>
                <w:sz w:val="17"/>
                <w:szCs w:val="17"/>
                <w:color w:val="auto"/>
              </w:rPr>
              <w:t>2,874,157</w:t>
            </w:r>
          </w:p>
        </w:tc>
      </w:tr>
      <w:tr>
        <w:trPr>
          <w:trHeight w:val="409"/>
        </w:trPr>
        <w:tc>
          <w:tcPr>
            <w:tcW w:w="596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1,043,726</w:t>
            </w:r>
          </w:p>
        </w:tc>
        <w:tc>
          <w:tcPr>
            <w:tcW w:w="2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48.39</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1,042,210</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18" w:lineRule="exact"/>
        <w:rPr>
          <w:sz w:val="20"/>
          <w:szCs w:val="20"/>
          <w:color w:val="auto"/>
        </w:rPr>
      </w:pPr>
    </w:p>
    <w:p>
      <w:pPr>
        <w:ind w:left="620" w:right="360" w:hanging="311"/>
        <w:spacing w:after="0" w:line="345"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July 21, 2009,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pacing w:after="0" w:line="143" w:lineRule="exact"/>
        <w:rPr>
          <w:rFonts w:ascii="Arial" w:cs="Arial" w:eastAsia="Arial" w:hAnsi="Arial"/>
          <w:sz w:val="15"/>
          <w:szCs w:val="15"/>
          <w:color w:val="auto"/>
        </w:rPr>
      </w:pPr>
    </w:p>
    <w:p>
      <w:pPr>
        <w:ind w:left="620" w:right="180" w:hanging="311"/>
        <w:spacing w:after="0" w:line="263"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1,516 units (shares) of the company’s common stock purchased in open-market transactions at an average price of $51.96 per share on behalf of a rabbi trust formed to pay benefit obligations of the company to participants in deferred compensation plans. These 1,516 shares were not repurchased under the company’s repurchase program described in footnote (1) above.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Item 6. EXHIBITS</w:t>
      </w:r>
    </w:p>
    <w:p>
      <w:pPr>
        <w:spacing w:after="0" w:line="243" w:lineRule="exact"/>
        <w:rPr>
          <w:sz w:val="20"/>
          <w:szCs w:val="20"/>
          <w:color w:val="auto"/>
        </w:rPr>
      </w:pPr>
    </w:p>
    <w:p>
      <w:pPr>
        <w:ind w:left="460" w:hanging="458"/>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Exhibits</w:t>
      </w:r>
    </w:p>
    <w:p>
      <w:pPr>
        <w:spacing w:after="0" w:line="213" w:lineRule="exact"/>
        <w:rPr>
          <w:rFonts w:ascii="Arial" w:cs="Arial" w:eastAsia="Arial" w:hAnsi="Arial"/>
          <w:sz w:val="17"/>
          <w:szCs w:val="17"/>
          <w:color w:val="auto"/>
        </w:rPr>
      </w:pPr>
    </w:p>
    <w:p>
      <w:pPr>
        <w:ind w:left="1640" w:right="160" w:hanging="1177"/>
        <w:spacing w:after="0" w:line="276" w:lineRule="auto"/>
        <w:rPr>
          <w:rFonts w:ascii="Arial" w:cs="Arial" w:eastAsia="Arial" w:hAnsi="Arial"/>
          <w:sz w:val="17"/>
          <w:szCs w:val="17"/>
          <w:color w:val="auto"/>
        </w:rPr>
      </w:pPr>
      <w:r>
        <w:rPr>
          <w:rFonts w:ascii="Arial" w:cs="Arial" w:eastAsia="Arial" w:hAnsi="Arial"/>
          <w:sz w:val="17"/>
          <w:szCs w:val="17"/>
          <w:color w:val="auto"/>
        </w:rPr>
        <w:t>3.1 and 4.1Restated Certificate of Incorporation of The Toro Company (incorporated by reference to Exhibit 3.1 to Registrant’s Current Report on Form 8-K dated June 17, 2008, Commission File No. 1-8649).</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980" w:type="dxa"/>
            <w:vAlign w:val="bottom"/>
          </w:tcPr>
          <w:p>
            <w:pPr>
              <w:spacing w:after="0"/>
              <w:rPr>
                <w:sz w:val="20"/>
                <w:szCs w:val="20"/>
                <w:color w:val="auto"/>
              </w:rPr>
            </w:pPr>
            <w:r>
              <w:rPr>
                <w:rFonts w:ascii="Arial" w:cs="Arial" w:eastAsia="Arial" w:hAnsi="Arial"/>
                <w:sz w:val="17"/>
                <w:szCs w:val="17"/>
                <w:color w:val="auto"/>
              </w:rPr>
              <w:t>3.2 and 4.2</w:t>
            </w:r>
          </w:p>
        </w:tc>
        <w:tc>
          <w:tcPr>
            <w:tcW w:w="9980" w:type="dxa"/>
            <w:vAlign w:val="bottom"/>
          </w:tcPr>
          <w:p>
            <w:pPr>
              <w:ind w:left="200"/>
              <w:spacing w:after="0"/>
              <w:rPr>
                <w:sz w:val="20"/>
                <w:szCs w:val="20"/>
                <w:color w:val="auto"/>
              </w:rPr>
            </w:pPr>
            <w:r>
              <w:rPr>
                <w:rFonts w:ascii="Arial" w:cs="Arial" w:eastAsia="Arial" w:hAnsi="Arial"/>
                <w:sz w:val="17"/>
                <w:szCs w:val="17"/>
                <w:color w:val="auto"/>
                <w:w w:val="93"/>
              </w:rPr>
              <w:t>Amended and Restated Bylaws of The Toro Company (incorporated by reference to Exhibit 3.2 to Registrant’s Current Report on Form 8-K</w:t>
            </w:r>
          </w:p>
        </w:tc>
      </w:tr>
      <w:tr>
        <w:trPr>
          <w:trHeight w:val="216"/>
        </w:trPr>
        <w:tc>
          <w:tcPr>
            <w:tcW w:w="98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rPr>
              <w:t>dated June 17, 2008, Commission File No. 1-8649).</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4.3</w:t>
            </w:r>
          </w:p>
        </w:tc>
        <w:tc>
          <w:tcPr>
            <w:tcW w:w="9980" w:type="dxa"/>
            <w:vAlign w:val="bottom"/>
          </w:tcPr>
          <w:p>
            <w:pPr>
              <w:ind w:left="200"/>
              <w:spacing w:after="0"/>
              <w:rPr>
                <w:sz w:val="20"/>
                <w:szCs w:val="20"/>
                <w:color w:val="auto"/>
              </w:rPr>
            </w:pPr>
            <w:r>
              <w:rPr>
                <w:rFonts w:ascii="Arial" w:cs="Arial" w:eastAsia="Arial" w:hAnsi="Arial"/>
                <w:sz w:val="17"/>
                <w:szCs w:val="17"/>
                <w:color w:val="auto"/>
                <w:w w:val="91"/>
              </w:rPr>
              <w:t>Specimen Form of Common Stock Certificate (incorporated by reference to Exhibit 4(c) to Registrant’s Quarterly Report on Form 10-Q for the</w:t>
            </w:r>
          </w:p>
        </w:tc>
      </w:tr>
      <w:tr>
        <w:trPr>
          <w:trHeight w:val="216"/>
        </w:trPr>
        <w:tc>
          <w:tcPr>
            <w:tcW w:w="98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rPr>
              <w:t>fiscal quarter ended August 1, 2008, Commission File No. 1-8649).</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4.4</w:t>
            </w:r>
          </w:p>
        </w:tc>
        <w:tc>
          <w:tcPr>
            <w:tcW w:w="9980" w:type="dxa"/>
            <w:vAlign w:val="bottom"/>
          </w:tcPr>
          <w:p>
            <w:pPr>
              <w:ind w:left="200"/>
              <w:spacing w:after="0"/>
              <w:rPr>
                <w:sz w:val="20"/>
                <w:szCs w:val="20"/>
                <w:color w:val="auto"/>
              </w:rPr>
            </w:pPr>
            <w:r>
              <w:rPr>
                <w:rFonts w:ascii="Arial" w:cs="Arial" w:eastAsia="Arial" w:hAnsi="Arial"/>
                <w:sz w:val="17"/>
                <w:szCs w:val="17"/>
                <w:color w:val="auto"/>
                <w:w w:val="91"/>
              </w:rPr>
              <w:t>Indenture dated as of January 31, 1997, between Registrant and First National Trust Association, as Trustee, relating to The Toro Company’s</w:t>
            </w:r>
          </w:p>
        </w:tc>
      </w:tr>
      <w:tr>
        <w:trPr>
          <w:trHeight w:val="205"/>
        </w:trPr>
        <w:tc>
          <w:tcPr>
            <w:tcW w:w="980" w:type="dxa"/>
            <w:vAlign w:val="bottom"/>
          </w:tcPr>
          <w:p>
            <w:pPr>
              <w:spacing w:after="0"/>
              <w:rPr>
                <w:sz w:val="17"/>
                <w:szCs w:val="17"/>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w w:val="93"/>
              </w:rPr>
              <w:t>7.80% Debentures due June 15, 2027 (incorporated by reference to Exhibit 4(a) to Registrant’s Current Report on Form 8-K dated June 24,</w:t>
            </w:r>
          </w:p>
        </w:tc>
      </w:tr>
      <w:tr>
        <w:trPr>
          <w:trHeight w:val="216"/>
        </w:trPr>
        <w:tc>
          <w:tcPr>
            <w:tcW w:w="98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rPr>
              <w:t>1997, Commission File No. 1-8649).</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4.5</w:t>
            </w:r>
          </w:p>
        </w:tc>
        <w:tc>
          <w:tcPr>
            <w:tcW w:w="9980" w:type="dxa"/>
            <w:vAlign w:val="bottom"/>
          </w:tcPr>
          <w:p>
            <w:pPr>
              <w:ind w:left="200"/>
              <w:spacing w:after="0"/>
              <w:rPr>
                <w:sz w:val="20"/>
                <w:szCs w:val="20"/>
                <w:color w:val="auto"/>
              </w:rPr>
            </w:pPr>
            <w:r>
              <w:rPr>
                <w:rFonts w:ascii="Arial" w:cs="Arial" w:eastAsia="Arial" w:hAnsi="Arial"/>
                <w:sz w:val="17"/>
                <w:szCs w:val="17"/>
                <w:color w:val="auto"/>
                <w:w w:val="93"/>
              </w:rPr>
              <w:t>Indenture dated as of April 20, 2007, between Registrant and The Bank of New York Trust Company, N.A., as Trustee, relating to The Toro</w:t>
            </w:r>
          </w:p>
        </w:tc>
      </w:tr>
      <w:tr>
        <w:trPr>
          <w:trHeight w:val="205"/>
        </w:trPr>
        <w:tc>
          <w:tcPr>
            <w:tcW w:w="980" w:type="dxa"/>
            <w:vAlign w:val="bottom"/>
          </w:tcPr>
          <w:p>
            <w:pPr>
              <w:spacing w:after="0"/>
              <w:rPr>
                <w:sz w:val="17"/>
                <w:szCs w:val="17"/>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w w:val="91"/>
              </w:rPr>
              <w:t>Company’s 6.625% Notes due May 1, 2037 (incorporated by reference to Exhibit 4.3 to Registrant’s Registration Statement on Form S-3 filed</w:t>
            </w:r>
          </w:p>
        </w:tc>
      </w:tr>
      <w:tr>
        <w:trPr>
          <w:trHeight w:val="216"/>
        </w:trPr>
        <w:tc>
          <w:tcPr>
            <w:tcW w:w="98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rPr>
              <w:t>with the Securities and Exchange Commission on April 23, 2007, Registration No. 333-142282).</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4.6</w:t>
            </w:r>
          </w:p>
        </w:tc>
        <w:tc>
          <w:tcPr>
            <w:tcW w:w="9980" w:type="dxa"/>
            <w:vAlign w:val="bottom"/>
          </w:tcPr>
          <w:p>
            <w:pPr>
              <w:ind w:left="200"/>
              <w:spacing w:after="0"/>
              <w:rPr>
                <w:sz w:val="20"/>
                <w:szCs w:val="20"/>
                <w:color w:val="auto"/>
              </w:rPr>
            </w:pPr>
            <w:r>
              <w:rPr>
                <w:rFonts w:ascii="Arial" w:cs="Arial" w:eastAsia="Arial" w:hAnsi="Arial"/>
                <w:sz w:val="17"/>
                <w:szCs w:val="17"/>
                <w:color w:val="auto"/>
                <w:w w:val="93"/>
              </w:rPr>
              <w:t>First Supplemental Indenture dated as of April 26, 2007, between Registrant and The Bank of New York Trust Company, N.A., as Trustee,</w:t>
            </w:r>
          </w:p>
        </w:tc>
      </w:tr>
      <w:tr>
        <w:trPr>
          <w:trHeight w:val="205"/>
        </w:trPr>
        <w:tc>
          <w:tcPr>
            <w:tcW w:w="980" w:type="dxa"/>
            <w:vAlign w:val="bottom"/>
          </w:tcPr>
          <w:p>
            <w:pPr>
              <w:spacing w:after="0"/>
              <w:rPr>
                <w:sz w:val="17"/>
                <w:szCs w:val="17"/>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w w:val="93"/>
              </w:rPr>
              <w:t>relating to The Toro Company’s 6.625% Notes due May 1, 2037 (incorporated by reference to Exhibit 4.1 to Registrant’s Current Report on</w:t>
            </w:r>
          </w:p>
        </w:tc>
      </w:tr>
      <w:tr>
        <w:trPr>
          <w:trHeight w:val="216"/>
        </w:trPr>
        <w:tc>
          <w:tcPr>
            <w:tcW w:w="98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rPr>
              <w:t>Form 8-K dated April 23, 2007, Commission File No. 1-8649).</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4.7</w:t>
            </w:r>
          </w:p>
        </w:tc>
        <w:tc>
          <w:tcPr>
            <w:tcW w:w="9980" w:type="dxa"/>
            <w:vAlign w:val="bottom"/>
          </w:tcPr>
          <w:p>
            <w:pPr>
              <w:ind w:left="200"/>
              <w:spacing w:after="0"/>
              <w:rPr>
                <w:sz w:val="20"/>
                <w:szCs w:val="20"/>
                <w:color w:val="auto"/>
              </w:rPr>
            </w:pPr>
            <w:r>
              <w:rPr>
                <w:rFonts w:ascii="Arial" w:cs="Arial" w:eastAsia="Arial" w:hAnsi="Arial"/>
                <w:sz w:val="17"/>
                <w:szCs w:val="17"/>
                <w:color w:val="auto"/>
                <w:w w:val="92"/>
              </w:rPr>
              <w:t>Form of The Toro Company 6.625% Note due May 1, 2037 (incorporated by reference to Exhibit 4.2 to Registrant’s Current Report on Form</w:t>
            </w:r>
          </w:p>
        </w:tc>
      </w:tr>
      <w:tr>
        <w:trPr>
          <w:trHeight w:val="216"/>
        </w:trPr>
        <w:tc>
          <w:tcPr>
            <w:tcW w:w="98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rPr>
              <w:t>8-K dated April 23, 2007, Commission File No. 1-8649).</w:t>
            </w:r>
          </w:p>
        </w:tc>
      </w:tr>
      <w:tr>
        <w:trPr>
          <w:trHeight w:val="398"/>
        </w:trPr>
        <w:tc>
          <w:tcPr>
            <w:tcW w:w="980" w:type="dxa"/>
            <w:vAlign w:val="bottom"/>
          </w:tcPr>
          <w:p>
            <w:pPr>
              <w:spacing w:after="0"/>
              <w:rPr>
                <w:sz w:val="20"/>
                <w:szCs w:val="20"/>
                <w:color w:val="auto"/>
              </w:rPr>
            </w:pPr>
            <w:r>
              <w:rPr>
                <w:rFonts w:ascii="Arial" w:cs="Arial" w:eastAsia="Arial" w:hAnsi="Arial"/>
                <w:sz w:val="17"/>
                <w:szCs w:val="17"/>
                <w:color w:val="auto"/>
              </w:rPr>
              <w:t>10.1</w:t>
            </w:r>
          </w:p>
        </w:tc>
        <w:tc>
          <w:tcPr>
            <w:tcW w:w="9980" w:type="dxa"/>
            <w:vAlign w:val="bottom"/>
          </w:tcPr>
          <w:p>
            <w:pPr>
              <w:ind w:left="200"/>
              <w:spacing w:after="0"/>
              <w:rPr>
                <w:sz w:val="20"/>
                <w:szCs w:val="20"/>
                <w:color w:val="auto"/>
              </w:rPr>
            </w:pPr>
            <w:r>
              <w:rPr>
                <w:rFonts w:ascii="Arial" w:cs="Arial" w:eastAsia="Arial" w:hAnsi="Arial"/>
                <w:sz w:val="17"/>
                <w:szCs w:val="17"/>
                <w:color w:val="auto"/>
                <w:w w:val="94"/>
              </w:rPr>
              <w:t>The Toro Company 2010 Equity and Incentive Plan (incorporated by reference to Exhibit 10.1 to Registrant’s Current Report on Form 8-K</w:t>
            </w:r>
          </w:p>
        </w:tc>
      </w:tr>
      <w:tr>
        <w:trPr>
          <w:trHeight w:val="216"/>
        </w:trPr>
        <w:tc>
          <w:tcPr>
            <w:tcW w:w="980" w:type="dxa"/>
            <w:vAlign w:val="bottom"/>
          </w:tcPr>
          <w:p>
            <w:pPr>
              <w:spacing w:after="0"/>
              <w:rPr>
                <w:sz w:val="18"/>
                <w:szCs w:val="18"/>
                <w:color w:val="auto"/>
              </w:rPr>
            </w:pPr>
          </w:p>
        </w:tc>
        <w:tc>
          <w:tcPr>
            <w:tcW w:w="9980" w:type="dxa"/>
            <w:vAlign w:val="bottom"/>
          </w:tcPr>
          <w:p>
            <w:pPr>
              <w:ind w:left="200"/>
              <w:spacing w:after="0"/>
              <w:rPr>
                <w:sz w:val="20"/>
                <w:szCs w:val="20"/>
                <w:color w:val="auto"/>
              </w:rPr>
            </w:pPr>
            <w:r>
              <w:rPr>
                <w:rFonts w:ascii="Arial" w:cs="Arial" w:eastAsia="Arial" w:hAnsi="Arial"/>
                <w:sz w:val="17"/>
                <w:szCs w:val="17"/>
                <w:color w:val="auto"/>
              </w:rPr>
              <w:t>dated March 16, 2010, Commission File No. 1-8649).</w:t>
            </w:r>
          </w:p>
        </w:tc>
      </w:tr>
      <w:tr>
        <w:trPr>
          <w:trHeight w:val="409"/>
        </w:trPr>
        <w:tc>
          <w:tcPr>
            <w:tcW w:w="980" w:type="dxa"/>
            <w:vAlign w:val="bottom"/>
          </w:tcPr>
          <w:p>
            <w:pPr>
              <w:spacing w:after="0"/>
              <w:rPr>
                <w:sz w:val="20"/>
                <w:szCs w:val="20"/>
                <w:color w:val="auto"/>
              </w:rPr>
            </w:pPr>
            <w:r>
              <w:rPr>
                <w:rFonts w:ascii="Arial" w:cs="Arial" w:eastAsia="Arial" w:hAnsi="Arial"/>
                <w:sz w:val="17"/>
                <w:szCs w:val="17"/>
                <w:color w:val="auto"/>
              </w:rPr>
              <w:t>31.1</w:t>
            </w:r>
          </w:p>
        </w:tc>
        <w:tc>
          <w:tcPr>
            <w:tcW w:w="9980" w:type="dxa"/>
            <w:vAlign w:val="bottom"/>
          </w:tcPr>
          <w:p>
            <w:pPr>
              <w:ind w:left="200"/>
              <w:spacing w:after="0"/>
              <w:rPr>
                <w:sz w:val="20"/>
                <w:szCs w:val="20"/>
                <w:color w:val="auto"/>
              </w:rPr>
            </w:pPr>
            <w:r>
              <w:rPr>
                <w:rFonts w:ascii="Arial" w:cs="Arial" w:eastAsia="Arial" w:hAnsi="Arial"/>
                <w:sz w:val="17"/>
                <w:szCs w:val="17"/>
                <w:color w:val="auto"/>
                <w:w w:val="98"/>
              </w:rPr>
              <w:t>Certification of Chief Executive Officer Pursuant to Rule 13a-14(a) (Section 302 of the Sarbanes-Oxley Act of 2002) (filed herewith).</w:t>
            </w:r>
          </w:p>
        </w:tc>
      </w:tr>
      <w:tr>
        <w:trPr>
          <w:trHeight w:val="409"/>
        </w:trPr>
        <w:tc>
          <w:tcPr>
            <w:tcW w:w="980" w:type="dxa"/>
            <w:vAlign w:val="bottom"/>
          </w:tcPr>
          <w:p>
            <w:pPr>
              <w:spacing w:after="0"/>
              <w:rPr>
                <w:sz w:val="20"/>
                <w:szCs w:val="20"/>
                <w:color w:val="auto"/>
              </w:rPr>
            </w:pPr>
            <w:r>
              <w:rPr>
                <w:rFonts w:ascii="Arial" w:cs="Arial" w:eastAsia="Arial" w:hAnsi="Arial"/>
                <w:sz w:val="17"/>
                <w:szCs w:val="17"/>
                <w:color w:val="auto"/>
              </w:rPr>
              <w:t>31.2</w:t>
            </w:r>
          </w:p>
        </w:tc>
        <w:tc>
          <w:tcPr>
            <w:tcW w:w="9980" w:type="dxa"/>
            <w:vAlign w:val="bottom"/>
          </w:tcPr>
          <w:p>
            <w:pPr>
              <w:ind w:left="200"/>
              <w:spacing w:after="0"/>
              <w:rPr>
                <w:sz w:val="20"/>
                <w:szCs w:val="20"/>
                <w:color w:val="auto"/>
              </w:rPr>
            </w:pPr>
            <w:r>
              <w:rPr>
                <w:rFonts w:ascii="Arial" w:cs="Arial" w:eastAsia="Arial" w:hAnsi="Arial"/>
                <w:sz w:val="17"/>
                <w:szCs w:val="17"/>
                <w:color w:val="auto"/>
                <w:w w:val="99"/>
              </w:rPr>
              <w:t>Certification of Chief Financial Officer Pursuant to Rule 13a-14(a) (Section 302 of the Sarbanes-Oxley Act of 2002) (filed herewith).</w:t>
            </w:r>
          </w:p>
        </w:tc>
      </w:tr>
    </w:tbl>
    <w:p>
      <w:pPr>
        <w:spacing w:after="0" w:line="193" w:lineRule="exact"/>
        <w:rPr>
          <w:sz w:val="20"/>
          <w:szCs w:val="20"/>
          <w:color w:val="auto"/>
        </w:rPr>
      </w:pPr>
    </w:p>
    <w:p>
      <w:pPr>
        <w:ind w:left="1640" w:right="140" w:hanging="1177"/>
        <w:spacing w:after="0" w:line="276" w:lineRule="auto"/>
        <w:tabs>
          <w:tab w:leader="none" w:pos="1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Certification of Chief Executive Officer and Chief Financial Officer Pursuant to 18 U.S.C. Section 1350, as Adopted Pursuant to Section 906 of the Sarbanes-Oxley Act of 2002 (furnished herewith).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0" w:name="page31"/>
    <w:bookmarkEnd w:id="30"/>
    <w:p>
      <w:pPr>
        <w:jc w:val="center"/>
        <w:ind w:right="-579"/>
        <w:spacing w:after="0"/>
        <w:rPr>
          <w:sz w:val="20"/>
          <w:szCs w:val="20"/>
          <w:color w:val="auto"/>
        </w:rPr>
      </w:pPr>
      <w:r>
        <w:rPr>
          <w:rFonts w:ascii="Arial" w:cs="Arial" w:eastAsia="Arial" w:hAnsi="Arial"/>
          <w:sz w:val="17"/>
          <w:szCs w:val="17"/>
          <w:b w:val="1"/>
          <w:bCs w:val="1"/>
          <w:color w:val="auto"/>
        </w:rPr>
        <w:t>SIGNATURES</w:t>
      </w:r>
    </w:p>
    <w:p>
      <w:pPr>
        <w:spacing w:after="0" w:line="243" w:lineRule="exact"/>
        <w:rPr>
          <w:sz w:val="20"/>
          <w:szCs w:val="20"/>
          <w:color w:val="auto"/>
        </w:rPr>
      </w:pPr>
    </w:p>
    <w:p>
      <w:pPr>
        <w:ind w:left="18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00" w:type="dxa"/>
            <w:vAlign w:val="bottom"/>
          </w:tcPr>
          <w:p>
            <w:pPr>
              <w:spacing w:after="0"/>
              <w:rPr>
                <w:sz w:val="17"/>
                <w:szCs w:val="17"/>
                <w:color w:val="auto"/>
              </w:rPr>
            </w:pPr>
          </w:p>
        </w:tc>
        <w:tc>
          <w:tcPr>
            <w:tcW w:w="6360" w:type="dxa"/>
            <w:vAlign w:val="bottom"/>
            <w:gridSpan w:val="3"/>
          </w:tcPr>
          <w:p>
            <w:pPr>
              <w:ind w:left="1760"/>
              <w:spacing w:after="0"/>
              <w:rPr>
                <w:sz w:val="20"/>
                <w:szCs w:val="20"/>
                <w:color w:val="auto"/>
              </w:rPr>
            </w:pPr>
            <w:r>
              <w:rPr>
                <w:rFonts w:ascii="Arial" w:cs="Arial" w:eastAsia="Arial" w:hAnsi="Arial"/>
                <w:sz w:val="17"/>
                <w:szCs w:val="17"/>
                <w:color w:val="auto"/>
              </w:rPr>
              <w:t>THE TORO COMPANY</w:t>
            </w:r>
          </w:p>
        </w:tc>
      </w:tr>
      <w:tr>
        <w:trPr>
          <w:trHeight w:val="216"/>
        </w:trPr>
        <w:tc>
          <w:tcPr>
            <w:tcW w:w="3100" w:type="dxa"/>
            <w:vAlign w:val="bottom"/>
          </w:tcPr>
          <w:p>
            <w:pPr>
              <w:spacing w:after="0"/>
              <w:rPr>
                <w:sz w:val="18"/>
                <w:szCs w:val="18"/>
                <w:color w:val="auto"/>
              </w:rPr>
            </w:pPr>
          </w:p>
        </w:tc>
        <w:tc>
          <w:tcPr>
            <w:tcW w:w="6360" w:type="dxa"/>
            <w:vAlign w:val="bottom"/>
            <w:gridSpan w:val="3"/>
          </w:tcPr>
          <w:p>
            <w:pPr>
              <w:ind w:left="2200"/>
              <w:spacing w:after="0"/>
              <w:rPr>
                <w:sz w:val="20"/>
                <w:szCs w:val="20"/>
                <w:color w:val="auto"/>
              </w:rPr>
            </w:pPr>
            <w:r>
              <w:rPr>
                <w:rFonts w:ascii="Arial" w:cs="Arial" w:eastAsia="Arial" w:hAnsi="Arial"/>
                <w:sz w:val="17"/>
                <w:szCs w:val="17"/>
                <w:color w:val="auto"/>
              </w:rPr>
              <w:t>(Registrant)</w:t>
            </w:r>
          </w:p>
        </w:tc>
      </w:tr>
      <w:tr>
        <w:trPr>
          <w:trHeight w:val="398"/>
        </w:trPr>
        <w:tc>
          <w:tcPr>
            <w:tcW w:w="3100" w:type="dxa"/>
            <w:vAlign w:val="bottom"/>
          </w:tcPr>
          <w:p>
            <w:pPr>
              <w:spacing w:after="0"/>
              <w:rPr>
                <w:sz w:val="20"/>
                <w:szCs w:val="20"/>
                <w:color w:val="auto"/>
              </w:rPr>
            </w:pPr>
            <w:r>
              <w:rPr>
                <w:rFonts w:ascii="Arial" w:cs="Arial" w:eastAsia="Arial" w:hAnsi="Arial"/>
                <w:sz w:val="17"/>
                <w:szCs w:val="17"/>
                <w:color w:val="auto"/>
              </w:rPr>
              <w:t>Date: June 4, 2010</w:t>
            </w:r>
          </w:p>
        </w:tc>
        <w:tc>
          <w:tcPr>
            <w:tcW w:w="6360" w:type="dxa"/>
            <w:vAlign w:val="bottom"/>
            <w:gridSpan w:val="3"/>
          </w:tcPr>
          <w:p>
            <w:pPr>
              <w:ind w:left="2600"/>
              <w:spacing w:after="0"/>
              <w:rPr>
                <w:sz w:val="20"/>
                <w:szCs w:val="20"/>
                <w:color w:val="auto"/>
              </w:rPr>
            </w:pPr>
            <w:r>
              <w:rPr>
                <w:rFonts w:ascii="Arial" w:cs="Arial" w:eastAsia="Arial" w:hAnsi="Arial"/>
                <w:sz w:val="17"/>
                <w:szCs w:val="17"/>
                <w:color w:val="auto"/>
              </w:rPr>
              <w:t>By /s/ Stephen P. Wolfe</w:t>
            </w:r>
          </w:p>
        </w:tc>
      </w:tr>
      <w:tr>
        <w:trPr>
          <w:trHeight w:val="20"/>
        </w:trPr>
        <w:tc>
          <w:tcPr>
            <w:tcW w:w="3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1"/>
        </w:trPr>
        <w:tc>
          <w:tcPr>
            <w:tcW w:w="3100" w:type="dxa"/>
            <w:vAlign w:val="bottom"/>
          </w:tcPr>
          <w:p>
            <w:pPr>
              <w:spacing w:after="0"/>
              <w:rPr>
                <w:sz w:val="18"/>
                <w:szCs w:val="18"/>
                <w:color w:val="auto"/>
              </w:rPr>
            </w:pPr>
          </w:p>
        </w:tc>
        <w:tc>
          <w:tcPr>
            <w:tcW w:w="6360" w:type="dxa"/>
            <w:vAlign w:val="bottom"/>
            <w:gridSpan w:val="3"/>
          </w:tcPr>
          <w:p>
            <w:pPr>
              <w:ind w:left="2600"/>
              <w:spacing w:after="0"/>
              <w:rPr>
                <w:sz w:val="20"/>
                <w:szCs w:val="20"/>
                <w:color w:val="auto"/>
              </w:rPr>
            </w:pPr>
            <w:r>
              <w:rPr>
                <w:rFonts w:ascii="Arial" w:cs="Arial" w:eastAsia="Arial" w:hAnsi="Arial"/>
                <w:sz w:val="17"/>
                <w:szCs w:val="17"/>
                <w:color w:val="auto"/>
              </w:rPr>
              <w:t>Stephen P. Wolfe</w:t>
            </w:r>
          </w:p>
        </w:tc>
      </w:tr>
      <w:tr>
        <w:trPr>
          <w:trHeight w:val="205"/>
        </w:trPr>
        <w:tc>
          <w:tcPr>
            <w:tcW w:w="3100" w:type="dxa"/>
            <w:vAlign w:val="bottom"/>
          </w:tcPr>
          <w:p>
            <w:pPr>
              <w:spacing w:after="0"/>
              <w:rPr>
                <w:sz w:val="17"/>
                <w:szCs w:val="17"/>
                <w:color w:val="auto"/>
              </w:rPr>
            </w:pPr>
          </w:p>
        </w:tc>
        <w:tc>
          <w:tcPr>
            <w:tcW w:w="6360" w:type="dxa"/>
            <w:vAlign w:val="bottom"/>
            <w:gridSpan w:val="3"/>
          </w:tcPr>
          <w:p>
            <w:pPr>
              <w:ind w:left="2600"/>
              <w:spacing w:after="0"/>
              <w:rPr>
                <w:sz w:val="20"/>
                <w:szCs w:val="20"/>
                <w:color w:val="auto"/>
              </w:rPr>
            </w:pPr>
            <w:r>
              <w:rPr>
                <w:rFonts w:ascii="Arial" w:cs="Arial" w:eastAsia="Arial" w:hAnsi="Arial"/>
                <w:sz w:val="17"/>
                <w:szCs w:val="17"/>
                <w:color w:val="auto"/>
              </w:rPr>
              <w:t>Vice President, Finance</w:t>
            </w:r>
          </w:p>
        </w:tc>
      </w:tr>
      <w:tr>
        <w:trPr>
          <w:trHeight w:val="205"/>
        </w:trPr>
        <w:tc>
          <w:tcPr>
            <w:tcW w:w="3100" w:type="dxa"/>
            <w:vAlign w:val="bottom"/>
          </w:tcPr>
          <w:p>
            <w:pPr>
              <w:spacing w:after="0"/>
              <w:rPr>
                <w:sz w:val="17"/>
                <w:szCs w:val="17"/>
                <w:color w:val="auto"/>
              </w:rPr>
            </w:pPr>
          </w:p>
        </w:tc>
        <w:tc>
          <w:tcPr>
            <w:tcW w:w="6360" w:type="dxa"/>
            <w:vAlign w:val="bottom"/>
            <w:gridSpan w:val="3"/>
          </w:tcPr>
          <w:p>
            <w:pPr>
              <w:ind w:left="2600"/>
              <w:spacing w:after="0"/>
              <w:rPr>
                <w:sz w:val="20"/>
                <w:szCs w:val="20"/>
                <w:color w:val="auto"/>
              </w:rPr>
            </w:pPr>
            <w:r>
              <w:rPr>
                <w:rFonts w:ascii="Arial" w:cs="Arial" w:eastAsia="Arial" w:hAnsi="Arial"/>
                <w:sz w:val="17"/>
                <w:szCs w:val="17"/>
                <w:color w:val="auto"/>
              </w:rPr>
              <w:t>and Chief Financial Officer</w:t>
            </w:r>
          </w:p>
        </w:tc>
      </w:tr>
      <w:tr>
        <w:trPr>
          <w:trHeight w:val="216"/>
        </w:trPr>
        <w:tc>
          <w:tcPr>
            <w:tcW w:w="3100" w:type="dxa"/>
            <w:vAlign w:val="bottom"/>
          </w:tcPr>
          <w:p>
            <w:pPr>
              <w:spacing w:after="0"/>
              <w:rPr>
                <w:sz w:val="18"/>
                <w:szCs w:val="18"/>
                <w:color w:val="auto"/>
              </w:rPr>
            </w:pPr>
          </w:p>
        </w:tc>
        <w:tc>
          <w:tcPr>
            <w:tcW w:w="6360" w:type="dxa"/>
            <w:vAlign w:val="bottom"/>
            <w:gridSpan w:val="3"/>
          </w:tcPr>
          <w:p>
            <w:pPr>
              <w:ind w:left="2600"/>
              <w:spacing w:after="0"/>
              <w:rPr>
                <w:sz w:val="20"/>
                <w:szCs w:val="20"/>
                <w:color w:val="auto"/>
              </w:rPr>
            </w:pPr>
            <w:r>
              <w:rPr>
                <w:rFonts w:ascii="Arial" w:cs="Arial" w:eastAsia="Arial" w:hAnsi="Arial"/>
                <w:sz w:val="17"/>
                <w:szCs w:val="17"/>
                <w:color w:val="auto"/>
                <w:w w:val="94"/>
              </w:rPr>
              <w:t>(duly authorized officer and principal financial officer)</w:t>
            </w:r>
          </w:p>
        </w:tc>
      </w:tr>
    </w:tbl>
    <w:p>
      <w:pPr>
        <w:sectPr>
          <w:pgSz w:w="11900" w:h="16838" w:orient="portrait"/>
          <w:cols w:equalWidth="0" w:num="1">
            <w:col w:w="10840"/>
          </w:cols>
          <w:pgMar w:left="240" w:top="494" w:right="819"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Michael J. Hoffman, certify that:</w:t>
      </w:r>
    </w:p>
    <w:p>
      <w:pPr>
        <w:spacing w:after="0" w:line="200" w:lineRule="exact"/>
        <w:rPr>
          <w:sz w:val="20"/>
          <w:szCs w:val="20"/>
          <w:color w:val="auto"/>
        </w:rPr>
      </w:pPr>
    </w:p>
    <w:p>
      <w:pPr>
        <w:spacing w:after="0" w:line="244" w:lineRule="exact"/>
        <w:rPr>
          <w:sz w:val="20"/>
          <w:szCs w:val="20"/>
          <w:color w:val="auto"/>
        </w:rPr>
      </w:pPr>
    </w:p>
    <w:p>
      <w:pPr>
        <w:ind w:left="180" w:hanging="178"/>
        <w:spacing w:after="0"/>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June 4, 2010</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Hoffman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123"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00" w:lineRule="exact"/>
        <w:rPr>
          <w:sz w:val="20"/>
          <w:szCs w:val="20"/>
          <w:color w:val="auto"/>
        </w:rPr>
      </w:pPr>
    </w:p>
    <w:p>
      <w:pPr>
        <w:spacing w:after="0" w:line="244" w:lineRule="exact"/>
        <w:rPr>
          <w:sz w:val="20"/>
          <w:szCs w:val="20"/>
          <w:color w:val="auto"/>
        </w:rPr>
      </w:pPr>
    </w:p>
    <w:p>
      <w:pPr>
        <w:ind w:left="180" w:hanging="178"/>
        <w:spacing w:after="0"/>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56" w:lineRule="auto"/>
        <w:tabs>
          <w:tab w:leader="none" w:pos="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Arial" w:cs="Arial" w:eastAsia="Arial" w:hAnsi="Arial"/>
          <w:sz w:val="17"/>
          <w:szCs w:val="17"/>
          <w:color w:val="auto"/>
        </w:rPr>
      </w:pPr>
    </w:p>
    <w:p>
      <w:pPr>
        <w:ind w:right="240" w:firstLine="2"/>
        <w:spacing w:after="0" w:line="258" w:lineRule="auto"/>
        <w:tabs>
          <w:tab w:leader="none" w:pos="17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20" w:hanging="221"/>
        <w:spacing w:after="0" w:line="251" w:lineRule="auto"/>
        <w:tabs>
          <w:tab w:leader="none" w:pos="620" w:val="left"/>
        </w:tabs>
        <w:numPr>
          <w:ilvl w:val="2"/>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20" w:hanging="231"/>
        <w:spacing w:after="0" w:line="262" w:lineRule="auto"/>
        <w:tabs>
          <w:tab w:leader="none" w:pos="620" w:val="left"/>
        </w:tabs>
        <w:numPr>
          <w:ilvl w:val="2"/>
          <w:numId w:val="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June 4, 2010</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Stephen P. Wolfe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123"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April 30, 2010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5" w:lineRule="exact"/>
        <w:rPr>
          <w:sz w:val="20"/>
          <w:szCs w:val="20"/>
          <w:color w:val="auto"/>
        </w:rPr>
      </w:pPr>
    </w:p>
    <w:p>
      <w:pPr>
        <w:ind w:left="920" w:hanging="281"/>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9" w:lineRule="exact"/>
        <w:rPr>
          <w:rFonts w:ascii="Arial" w:cs="Arial" w:eastAsia="Arial" w:hAnsi="Arial"/>
          <w:sz w:val="17"/>
          <w:szCs w:val="17"/>
          <w:color w:val="auto"/>
        </w:rPr>
      </w:pPr>
    </w:p>
    <w:p>
      <w:pPr>
        <w:ind w:left="920" w:hanging="281"/>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459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June 4, 2010</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54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June 4, 2010</w:t>
      </w:r>
    </w:p>
    <w:p>
      <w:pPr>
        <w:spacing w:after="0" w:line="200" w:lineRule="exact"/>
        <w:rPr>
          <w:sz w:val="20"/>
          <w:szCs w:val="20"/>
          <w:color w:val="auto"/>
        </w:rPr>
      </w:pPr>
    </w:p>
    <w:p>
      <w:pPr>
        <w:spacing w:after="0" w:line="258" w:lineRule="exact"/>
        <w:rPr>
          <w:sz w:val="20"/>
          <w:szCs w:val="20"/>
          <w:color w:val="auto"/>
        </w:rPr>
      </w:pPr>
    </w:p>
    <w:p>
      <w:pPr>
        <w:ind w:right="360"/>
        <w:spacing w:after="0" w:line="308"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2"/>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32"/>
    </w:lvl>
  </w:abstractNum>
  <w:abstractNum w:abstractNumId="6">
    <w:nsid w:val="7545E14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2019-12-10T05:46:46Z</dcterms:created>
  <dcterms:modified xsi:type="dcterms:W3CDTF">2019-12-10T05:46:46Z</dcterms:modified>
</cp:coreProperties>
</file>