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31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31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PETERSON RENEE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12/19/2013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3"/>
        <w:spacing w:after="0"/>
        <w:rPr>
          <w:sz w:val="20"/>
          <w:szCs w:val="20"/>
          <w:color w:val="auto"/>
        </w:rPr>
      </w:pPr>
      <w:r>
        <w:rPr>
          <w:rFonts w:ascii="Arial" w:cs="Arial" w:eastAsia="Arial" w:hAnsi="Arial"/>
          <w:sz w:val="18"/>
          <w:szCs w:val="18"/>
          <w:color w:val="0000FF"/>
        </w:rPr>
        <w:t>VP, Treasurer &amp; CFO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55420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4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12/19/2013</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14"/>
                <w:szCs w:val="14"/>
                <w:color w:val="0000FF"/>
              </w:rPr>
              <w:t>M</w:t>
            </w: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8,000</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28.225</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43,866.2</w:t>
            </w:r>
            <w:r>
              <w:rPr>
                <w:rFonts w:ascii="Arial" w:cs="Arial" w:eastAsia="Arial" w:hAnsi="Arial"/>
                <w:sz w:val="22"/>
                <w:szCs w:val="22"/>
                <w:color w:val="008000"/>
                <w:w w:val="84"/>
                <w:vertAlign w:val="superscript"/>
              </w:rPr>
              <w:t>(1)</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12/19/2013</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S</w:t>
            </w: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8,000</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61.218</w:t>
            </w:r>
            <w:r>
              <w:rPr>
                <w:rFonts w:ascii="Arial" w:cs="Arial" w:eastAsia="Arial" w:hAnsi="Arial"/>
                <w:sz w:val="22"/>
                <w:szCs w:val="22"/>
                <w:color w:val="008000"/>
                <w:w w:val="86"/>
                <w:vertAlign w:val="superscript"/>
              </w:rPr>
              <w:t>(2)</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35,866.2</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80.719</w:t>
            </w:r>
          </w:p>
        </w:tc>
        <w:tc>
          <w:tcPr>
            <w:tcW w:w="320" w:type="dxa"/>
            <w:vAlign w:val="bottom"/>
          </w:tcPr>
          <w:p>
            <w:pPr>
              <w:spacing w:after="0"/>
              <w:rPr>
                <w:sz w:val="18"/>
                <w:szCs w:val="18"/>
                <w:color w:val="auto"/>
              </w:rPr>
            </w:pPr>
          </w:p>
        </w:tc>
        <w:tc>
          <w:tcPr>
            <w:tcW w:w="600" w:type="dxa"/>
            <w:vAlign w:val="bottom"/>
          </w:tcPr>
          <w:p>
            <w:pPr>
              <w:jc w:val="center"/>
              <w:ind w:right="310"/>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800" w:type="dxa"/>
            <w:vAlign w:val="bottom"/>
            <w:tcBorders>
              <w:bottom w:val="single" w:sz="8" w:color="2C2C2C"/>
            </w:tcBorders>
            <w:gridSpan w:val="5"/>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28.225</w:t>
            </w:r>
          </w:p>
        </w:tc>
        <w:tc>
          <w:tcPr>
            <w:tcW w:w="1140" w:type="dxa"/>
            <w:vAlign w:val="bottom"/>
          </w:tcPr>
          <w:p>
            <w:pPr>
              <w:ind w:left="260"/>
              <w:spacing w:after="0"/>
              <w:rPr>
                <w:sz w:val="20"/>
                <w:szCs w:val="20"/>
                <w:color w:val="auto"/>
              </w:rPr>
            </w:pPr>
            <w:r>
              <w:rPr>
                <w:rFonts w:ascii="Arial" w:cs="Arial" w:eastAsia="Arial" w:hAnsi="Arial"/>
                <w:sz w:val="14"/>
                <w:szCs w:val="14"/>
                <w:color w:val="0000FF"/>
              </w:rPr>
              <w:t>12/19/2013</w:t>
            </w:r>
          </w:p>
        </w:tc>
        <w:tc>
          <w:tcPr>
            <w:tcW w:w="1140" w:type="dxa"/>
            <w:vAlign w:val="bottom"/>
          </w:tcPr>
          <w:p>
            <w:pPr>
              <w:spacing w:after="0"/>
              <w:rPr>
                <w:sz w:val="17"/>
                <w:szCs w:val="17"/>
                <w:color w:val="auto"/>
              </w:rPr>
            </w:pPr>
          </w:p>
        </w:tc>
        <w:tc>
          <w:tcPr>
            <w:tcW w:w="400" w:type="dxa"/>
            <w:vAlign w:val="bottom"/>
          </w:tcPr>
          <w:p>
            <w:pPr>
              <w:ind w:left="160"/>
              <w:spacing w:after="0"/>
              <w:rPr>
                <w:sz w:val="20"/>
                <w:szCs w:val="20"/>
                <w:color w:val="auto"/>
              </w:rPr>
            </w:pPr>
            <w:r>
              <w:rPr>
                <w:rFonts w:ascii="Arial" w:cs="Arial" w:eastAsia="Arial" w:hAnsi="Arial"/>
                <w:sz w:val="14"/>
                <w:szCs w:val="14"/>
                <w:color w:val="0000FF"/>
              </w:rPr>
              <w:t>M</w:t>
            </w:r>
          </w:p>
        </w:tc>
        <w:tc>
          <w:tcPr>
            <w:tcW w:w="440" w:type="dxa"/>
            <w:vAlign w:val="bottom"/>
          </w:tcPr>
          <w:p>
            <w:pPr>
              <w:spacing w:after="0"/>
              <w:rPr>
                <w:sz w:val="17"/>
                <w:szCs w:val="17"/>
                <w:color w:val="auto"/>
              </w:rPr>
            </w:pPr>
          </w:p>
        </w:tc>
        <w:tc>
          <w:tcPr>
            <w:tcW w:w="720" w:type="dxa"/>
            <w:vAlign w:val="bottom"/>
            <w:gridSpan w:val="2"/>
          </w:tcPr>
          <w:p>
            <w:pPr>
              <w:ind w:left="380"/>
              <w:spacing w:after="0"/>
              <w:rPr>
                <w:sz w:val="20"/>
                <w:szCs w:val="20"/>
                <w:color w:val="auto"/>
              </w:rPr>
            </w:pPr>
            <w:r>
              <w:rPr>
                <w:rFonts w:ascii="Arial" w:cs="Arial" w:eastAsia="Arial" w:hAnsi="Arial"/>
                <w:sz w:val="14"/>
                <w:szCs w:val="14"/>
                <w:color w:val="0000FF"/>
                <w:w w:val="91"/>
              </w:rPr>
              <w:t>8,000</w:t>
            </w:r>
          </w:p>
        </w:tc>
        <w:tc>
          <w:tcPr>
            <w:tcW w:w="800" w:type="dxa"/>
            <w:vAlign w:val="bottom"/>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ind w:left="140"/>
              <w:spacing w:after="0"/>
              <w:rPr>
                <w:sz w:val="20"/>
                <w:szCs w:val="20"/>
                <w:color w:val="auto"/>
              </w:rPr>
            </w:pPr>
            <w:r>
              <w:rPr>
                <w:rFonts w:ascii="Arial" w:cs="Arial" w:eastAsia="Arial" w:hAnsi="Arial"/>
                <w:sz w:val="14"/>
                <w:szCs w:val="14"/>
                <w:color w:val="0000FF"/>
                <w:w w:val="91"/>
              </w:rPr>
              <w:t>12/07/2021</w:t>
            </w:r>
          </w:p>
        </w:tc>
        <w:tc>
          <w:tcPr>
            <w:tcW w:w="1320" w:type="dxa"/>
            <w:vAlign w:val="bottom"/>
            <w:gridSpan w:val="3"/>
          </w:tcPr>
          <w:p>
            <w:pPr>
              <w:ind w:left="100"/>
              <w:spacing w:after="0" w:line="200" w:lineRule="exact"/>
              <w:rPr>
                <w:sz w:val="20"/>
                <w:szCs w:val="20"/>
                <w:color w:val="auto"/>
              </w:rPr>
            </w:pPr>
            <w:r>
              <w:rPr>
                <w:rFonts w:ascii="Arial" w:cs="Arial" w:eastAsia="Arial" w:hAnsi="Arial"/>
                <w:sz w:val="11"/>
                <w:szCs w:val="11"/>
                <w:color w:val="0000FF"/>
              </w:rPr>
              <w:t xml:space="preserve">Common   </w:t>
            </w:r>
            <w:r>
              <w:rPr>
                <w:rFonts w:ascii="Arial" w:cs="Arial" w:eastAsia="Arial" w:hAnsi="Arial"/>
                <w:sz w:val="23"/>
                <w:szCs w:val="23"/>
                <w:color w:val="0000FF"/>
                <w:vertAlign w:val="subscript"/>
              </w:rPr>
              <w:t>8,000</w:t>
            </w:r>
          </w:p>
        </w:tc>
        <w:tc>
          <w:tcPr>
            <w:tcW w:w="7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gridSpan w:val="2"/>
          </w:tcPr>
          <w:p>
            <w:pPr>
              <w:ind w:left="220"/>
              <w:spacing w:after="0"/>
              <w:rPr>
                <w:sz w:val="20"/>
                <w:szCs w:val="20"/>
                <w:color w:val="auto"/>
              </w:rPr>
            </w:pPr>
            <w:r>
              <w:rPr>
                <w:rFonts w:ascii="Arial" w:cs="Arial" w:eastAsia="Arial" w:hAnsi="Arial"/>
                <w:sz w:val="14"/>
                <w:szCs w:val="14"/>
                <w:color w:val="0000FF"/>
              </w:rPr>
              <w:t>28,200</w:t>
            </w: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ind w:left="180"/>
              <w:spacing w:after="0" w:line="110" w:lineRule="exact"/>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15,421.859 shares of restricted stock and related dividend reinvestment shares that will vest on August 22, 2014. The restricted stock is the third vesting tranche of an employment inducement grant awarded to the reporting person on August 22, 2011, and which vests in three equal installments on the first, second and third anniversaries of the date of grant.</w:t>
      </w: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$61.10 to $61.38,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date of grant, which was December 7, 2011.</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12/20/2013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800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2019-12-17T02:26:38Z</dcterms:created>
  <dcterms:modified xsi:type="dcterms:W3CDTF">2019-12-17T02:26:38Z</dcterms:modified>
</cp:coreProperties>
</file>