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151765</wp:posOffset>
            </wp:positionH>
            <wp:positionV relativeFrom="page">
              <wp:posOffset>257175</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July 31, 2009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1440" w:right="239" w:bottom="1440" w:gutter="0" w:footer="0" w:header="0"/>
        </w:sect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1-8649</w:t>
      </w:r>
    </w:p>
    <w:p>
      <w:pPr>
        <w:spacing w:after="0" w:line="24"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auto"/>
        </w:rPr>
        <w:t>41-0580470</w:t>
      </w:r>
    </w:p>
    <w:p>
      <w:pPr>
        <w:spacing w:after="0" w:line="24"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40" w:space="720"/>
            <w:col w:w="3300"/>
          </w:cols>
          <w:pgMar w:left="240" w:top="1440" w:right="23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8111 Lyndale Avenue South</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1420"/>
          </w:cols>
          <w:pgMar w:left="240" w:top="1440" w:right="239" w:bottom="1440"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S</w:t>
        <w:tab/>
        <w:t>No £</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440" w:right="239" w:bottom="1440" w:gutter="0" w:footer="0" w:header="0"/>
          <w:type w:val="continuous"/>
        </w:sectPr>
      </w:pP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 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w:t>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7"/>
          <w:szCs w:val="17"/>
          <w:color w:val="auto"/>
        </w:rPr>
        <w:t>reporting company)</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Smaller reporting company £</w:t>
      </w:r>
    </w:p>
    <w:p>
      <w:pPr>
        <w:spacing w:after="0" w:line="643" w:lineRule="exact"/>
        <w:rPr>
          <w:sz w:val="24"/>
          <w:szCs w:val="24"/>
          <w:color w:val="auto"/>
        </w:rPr>
      </w:pPr>
    </w:p>
    <w:p>
      <w:pPr>
        <w:sectPr>
          <w:pgSz w:w="11900" w:h="16838" w:orient="portrait"/>
          <w:cols w:equalWidth="0" w:num="4">
            <w:col w:w="2300" w:space="720"/>
            <w:col w:w="1640" w:space="720"/>
            <w:col w:w="2160" w:space="720"/>
            <w:col w:w="3160"/>
          </w:cols>
          <w:pgMar w:left="240" w:top="1440"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6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S</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outstanding as of August 28, 2009 was 34,224,232.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25868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1010285</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56"/>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gridSpan w:val="7"/>
          </w:tcPr>
          <w:p>
            <w:pPr>
              <w:jc w:val="center"/>
              <w:ind w:right="2220"/>
              <w:spacing w:after="0"/>
              <w:rPr>
                <w:sz w:val="20"/>
                <w:szCs w:val="20"/>
                <w:color w:val="auto"/>
              </w:rPr>
            </w:pPr>
            <w:r>
              <w:rPr>
                <w:rFonts w:ascii="Arial" w:cs="Arial" w:eastAsia="Arial" w:hAnsi="Arial"/>
                <w:sz w:val="31"/>
                <w:szCs w:val="31"/>
                <w:b w:val="1"/>
                <w:bCs w:val="1"/>
                <w:color w:val="auto"/>
              </w:rPr>
              <w:t>THE TORO COMPANY</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gridSpan w:val="7"/>
          </w:tcPr>
          <w:p>
            <w:pPr>
              <w:jc w:val="center"/>
              <w:ind w:right="2220"/>
              <w:spacing w:after="0"/>
              <w:rPr>
                <w:sz w:val="20"/>
                <w:szCs w:val="20"/>
                <w:color w:val="auto"/>
              </w:rPr>
            </w:pPr>
            <w:r>
              <w:rPr>
                <w:rFonts w:ascii="Arial" w:cs="Arial" w:eastAsia="Arial" w:hAnsi="Arial"/>
                <w:sz w:val="31"/>
                <w:szCs w:val="31"/>
                <w:b w:val="1"/>
                <w:bCs w:val="1"/>
                <w:color w:val="auto"/>
              </w:rPr>
              <w:t>INDEX TO FORM 10-Q</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Borders>
              <w:bottom w:val="single" w:sz="8" w:color="auto"/>
            </w:tcBorders>
            <w:gridSpan w:val="6"/>
          </w:tcPr>
          <w:p>
            <w:pPr>
              <w:ind w:left="200"/>
              <w:spacing w:after="0"/>
              <w:rPr>
                <w:sz w:val="20"/>
                <w:szCs w:val="20"/>
                <w:color w:val="auto"/>
              </w:rPr>
            </w:pPr>
            <w:r>
              <w:rPr>
                <w:rFonts w:ascii="Arial" w:cs="Arial" w:eastAsia="Arial" w:hAnsi="Arial"/>
                <w:sz w:val="17"/>
                <w:szCs w:val="17"/>
                <w:color w:val="auto"/>
              </w:rPr>
              <w:t>Page Number</w:t>
            </w:r>
          </w:p>
        </w:tc>
        <w:tc>
          <w:tcPr>
            <w:tcW w:w="0" w:type="dxa"/>
            <w:vAlign w:val="bottom"/>
          </w:tcPr>
          <w:p>
            <w:pPr>
              <w:spacing w:after="0"/>
              <w:rPr>
                <w:sz w:val="1"/>
                <w:szCs w:val="1"/>
                <w:color w:val="auto"/>
              </w:rPr>
            </w:pPr>
          </w:p>
        </w:tc>
      </w:tr>
      <w:tr>
        <w:trPr>
          <w:trHeight w:val="408"/>
        </w:trPr>
        <w:tc>
          <w:tcPr>
            <w:tcW w:w="112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8980" w:type="dxa"/>
            <w:vAlign w:val="bottom"/>
            <w:gridSpan w:val="16"/>
          </w:tcPr>
          <w:p>
            <w:pPr>
              <w:ind w:left="460"/>
              <w:spacing w:after="0"/>
              <w:rPr>
                <w:sz w:val="20"/>
                <w:szCs w:val="20"/>
                <w:color w:val="auto"/>
              </w:rPr>
            </w:pPr>
            <w:r>
              <w:rPr>
                <w:rFonts w:ascii="Arial" w:cs="Arial" w:eastAsia="Arial" w:hAnsi="Arial"/>
                <w:sz w:val="17"/>
                <w:szCs w:val="17"/>
                <w:b w:val="1"/>
                <w:bCs w:val="1"/>
                <w:color w:val="auto"/>
              </w:rPr>
              <w:t>FINANCIAL INFORMATION: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8980" w:type="dxa"/>
            <w:vAlign w:val="bottom"/>
            <w:gridSpan w:val="16"/>
          </w:tcPr>
          <w:p>
            <w:pPr>
              <w:ind w:left="460"/>
              <w:spacing w:after="0"/>
              <w:rPr>
                <w:sz w:val="20"/>
                <w:szCs w:val="20"/>
                <w:color w:val="auto"/>
              </w:rPr>
            </w:pPr>
            <w:r>
              <w:rPr>
                <w:rFonts w:ascii="Arial" w:cs="Arial" w:eastAsia="Arial" w:hAnsi="Arial"/>
                <w:sz w:val="17"/>
                <w:szCs w:val="17"/>
                <w:color w:val="auto"/>
              </w:rPr>
              <w:t>Financial Statements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20" w:type="dxa"/>
            <w:vAlign w:val="bottom"/>
            <w:tcBorders>
              <w:bottom w:val="single" w:sz="8" w:color="0000EE"/>
            </w:tcBorders>
            <w:gridSpan w:val="15"/>
          </w:tcPr>
          <w:p>
            <w:pPr>
              <w:spacing w:after="0" w:line="179" w:lineRule="exact"/>
              <w:rPr>
                <w:rFonts w:ascii="Arial" w:cs="Arial" w:eastAsia="Arial" w:hAnsi="Arial"/>
                <w:sz w:val="17"/>
                <w:szCs w:val="17"/>
                <w:color w:val="0000EE"/>
                <w:w w:val="90"/>
              </w:rPr>
            </w:pPr>
            <w:hyperlink w:anchor="page3">
              <w:r>
                <w:rPr>
                  <w:rFonts w:ascii="Arial" w:cs="Arial" w:eastAsia="Arial" w:hAnsi="Arial"/>
                  <w:sz w:val="17"/>
                  <w:szCs w:val="17"/>
                  <w:color w:val="0000EE"/>
                  <w:w w:val="90"/>
                </w:rPr>
                <w:t>Condensed Consolidated Statements of Earnings (Unaudited) –Three and Nine Months Ended July 31, 2009 and August</w:t>
              </w:r>
            </w:hyperlink>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520" w:type="dxa"/>
            <w:vAlign w:val="bottom"/>
            <w:gridSpan w:val="4"/>
          </w:tcPr>
          <w:p>
            <w:pPr>
              <w:spacing w:after="0" w:line="185" w:lineRule="exact"/>
              <w:rPr>
                <w:rFonts w:ascii="Arial" w:cs="Arial" w:eastAsia="Arial" w:hAnsi="Arial"/>
                <w:sz w:val="17"/>
                <w:szCs w:val="17"/>
                <w:color w:val="0000EE"/>
                <w:w w:val="88"/>
              </w:rPr>
            </w:pPr>
            <w:hyperlink w:anchor="page3">
              <w:r>
                <w:rPr>
                  <w:rFonts w:ascii="Arial" w:cs="Arial" w:eastAsia="Arial" w:hAnsi="Arial"/>
                  <w:sz w:val="17"/>
                  <w:szCs w:val="17"/>
                  <w:color w:val="0000EE"/>
                  <w:w w:val="88"/>
                </w:rPr>
                <w:t>1, 2008</w:t>
              </w:r>
            </w:hyperlink>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gridSpan w:val="3"/>
          </w:tcPr>
          <w:p>
            <w:pPr>
              <w:spacing w:after="0"/>
              <w:rPr>
                <w:sz w:val="16"/>
                <w:szCs w:val="16"/>
                <w:color w:val="auto"/>
              </w:rPr>
            </w:pPr>
          </w:p>
        </w:tc>
        <w:tc>
          <w:tcPr>
            <w:tcW w:w="200" w:type="dxa"/>
            <w:vAlign w:val="bottom"/>
            <w:gridSpan w:val="2"/>
          </w:tcPr>
          <w:p>
            <w:pPr>
              <w:jc w:val="center"/>
              <w:ind w:right="120"/>
              <w:spacing w:after="0" w:line="185" w:lineRule="exact"/>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w w:val="99"/>
              </w:rPr>
            </w:pPr>
            <w:hyperlink w:anchor="page4">
              <w:r>
                <w:rPr>
                  <w:rFonts w:ascii="Arial" w:cs="Arial" w:eastAsia="Arial" w:hAnsi="Arial"/>
                  <w:sz w:val="17"/>
                  <w:szCs w:val="17"/>
                  <w:color w:val="0000EE"/>
                  <w:w w:val="99"/>
                </w:rPr>
                <w:t>Condensed Consolidated Balance Sheets (Unaudited) - July 31, 2009, August 1, 2008, and October 31, 2008</w:t>
              </w:r>
            </w:hyperlink>
          </w:p>
        </w:tc>
        <w:tc>
          <w:tcPr>
            <w:tcW w:w="820" w:type="dxa"/>
            <w:vAlign w:val="bottom"/>
            <w:gridSpan w:val="5"/>
          </w:tcPr>
          <w:p>
            <w:pPr>
              <w:jc w:val="center"/>
              <w:ind w:left="415"/>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4</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w w:val="94"/>
              </w:rPr>
            </w:pPr>
            <w:hyperlink w:anchor="page5">
              <w:r>
                <w:rPr>
                  <w:rFonts w:ascii="Arial" w:cs="Arial" w:eastAsia="Arial" w:hAnsi="Arial"/>
                  <w:sz w:val="17"/>
                  <w:szCs w:val="17"/>
                  <w:color w:val="0000EE"/>
                  <w:w w:val="94"/>
                </w:rPr>
                <w:t>Condensed Consolidated Statements of Cash Flows (Unaudited) - Nine Months Ended July 31, 2009 and August 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gridSpan w:val="2"/>
          </w:tcPr>
          <w:p>
            <w:pPr>
              <w:spacing w:after="0" w:line="185" w:lineRule="exact"/>
              <w:rPr>
                <w:rFonts w:ascii="Arial" w:cs="Arial" w:eastAsia="Arial" w:hAnsi="Arial"/>
                <w:sz w:val="17"/>
                <w:szCs w:val="17"/>
                <w:color w:val="0000EE"/>
                <w:w w:val="89"/>
              </w:rPr>
            </w:pPr>
            <w:hyperlink w:anchor="page5">
              <w:r>
                <w:rPr>
                  <w:rFonts w:ascii="Arial" w:cs="Arial" w:eastAsia="Arial" w:hAnsi="Arial"/>
                  <w:sz w:val="17"/>
                  <w:szCs w:val="17"/>
                  <w:color w:val="0000EE"/>
                  <w:w w:val="89"/>
                </w:rPr>
                <w:t>2008</w:t>
              </w:r>
            </w:hyperlink>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gridSpan w:val="3"/>
          </w:tcPr>
          <w:p>
            <w:pPr>
              <w:spacing w:after="0"/>
              <w:rPr>
                <w:sz w:val="16"/>
                <w:szCs w:val="16"/>
                <w:color w:val="auto"/>
              </w:rPr>
            </w:pPr>
          </w:p>
        </w:tc>
        <w:tc>
          <w:tcPr>
            <w:tcW w:w="200" w:type="dxa"/>
            <w:vAlign w:val="bottom"/>
            <w:gridSpan w:val="2"/>
          </w:tcPr>
          <w:p>
            <w:pPr>
              <w:jc w:val="center"/>
              <w:ind w:right="120"/>
              <w:spacing w:after="0" w:line="185" w:lineRule="exact"/>
              <w:rPr>
                <w:rFonts w:ascii="Arial" w:cs="Arial" w:eastAsia="Arial" w:hAnsi="Arial"/>
                <w:sz w:val="17"/>
                <w:szCs w:val="17"/>
                <w:color w:val="0000EE"/>
                <w:w w:val="84"/>
              </w:rPr>
            </w:pPr>
            <w:hyperlink w:anchor="page5">
              <w:r>
                <w:rPr>
                  <w:rFonts w:ascii="Arial" w:cs="Arial" w:eastAsia="Arial" w:hAnsi="Arial"/>
                  <w:sz w:val="17"/>
                  <w:szCs w:val="17"/>
                  <w:color w:val="0000EE"/>
                  <w:w w:val="84"/>
                </w:rPr>
                <w:t>5</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60" w:type="dxa"/>
            <w:vAlign w:val="bottom"/>
            <w:gridSpan w:val="11"/>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Condensed Consolidated Financial Statements (Unaudited)</w:t>
              </w:r>
            </w:hyperlink>
          </w:p>
        </w:tc>
        <w:tc>
          <w:tcPr>
            <w:tcW w:w="3560" w:type="dxa"/>
            <w:vAlign w:val="bottom"/>
            <w:gridSpan w:val="4"/>
          </w:tcPr>
          <w:p>
            <w:pPr>
              <w:spacing w:after="0"/>
              <w:rPr>
                <w:sz w:val="24"/>
                <w:szCs w:val="24"/>
                <w:color w:val="auto"/>
              </w:rPr>
            </w:pPr>
          </w:p>
        </w:tc>
        <w:tc>
          <w:tcPr>
            <w:tcW w:w="820" w:type="dxa"/>
            <w:vAlign w:val="bottom"/>
            <w:gridSpan w:val="5"/>
          </w:tcPr>
          <w:p>
            <w:pPr>
              <w:jc w:val="center"/>
              <w:ind w:left="435"/>
              <w:spacing w:after="0"/>
              <w:rPr>
                <w:rFonts w:ascii="Arial" w:cs="Arial" w:eastAsia="Arial" w:hAnsi="Arial"/>
                <w:sz w:val="17"/>
                <w:szCs w:val="17"/>
                <w:color w:val="0000EE"/>
                <w:w w:val="88"/>
              </w:rPr>
            </w:pPr>
            <w:hyperlink w:anchor="page6">
              <w:r>
                <w:rPr>
                  <w:rFonts w:ascii="Arial" w:cs="Arial" w:eastAsia="Arial" w:hAnsi="Arial"/>
                  <w:sz w:val="17"/>
                  <w:szCs w:val="17"/>
                  <w:color w:val="0000EE"/>
                  <w:w w:val="88"/>
                </w:rPr>
                <w:t>6-16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2.</w:t>
            </w: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Management's Discussion and Analysis of Financial Condition and Results of Operations</w:t>
              </w:r>
            </w:hyperlink>
          </w:p>
        </w:tc>
        <w:tc>
          <w:tcPr>
            <w:tcW w:w="1320" w:type="dxa"/>
            <w:vAlign w:val="bottom"/>
            <w:gridSpan w:val="6"/>
          </w:tcPr>
          <w:p>
            <w:pPr>
              <w:jc w:val="center"/>
              <w:spacing w:after="0"/>
              <w:rPr>
                <w:rFonts w:ascii="Arial" w:cs="Arial" w:eastAsia="Arial" w:hAnsi="Arial"/>
                <w:sz w:val="17"/>
                <w:szCs w:val="17"/>
                <w:color w:val="0000EE"/>
                <w:w w:val="91"/>
              </w:rPr>
            </w:pPr>
            <w:hyperlink w:anchor="page17">
              <w:r>
                <w:rPr>
                  <w:rFonts w:ascii="Arial" w:cs="Arial" w:eastAsia="Arial" w:hAnsi="Arial"/>
                  <w:sz w:val="17"/>
                  <w:szCs w:val="17"/>
                  <w:color w:val="0000EE"/>
                  <w:w w:val="91"/>
                </w:rPr>
                <w:t>16-25</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3.</w:t>
            </w: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12"/>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Quantitative and Qualitative Disclosures about Market Risk</w:t>
              </w:r>
            </w:hyperlink>
          </w:p>
        </w:tc>
        <w:tc>
          <w:tcPr>
            <w:tcW w:w="212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5"/>
          </w:tcPr>
          <w:p>
            <w:pPr>
              <w:jc w:val="center"/>
              <w:ind w:right="460"/>
              <w:spacing w:after="0"/>
              <w:rPr>
                <w:rFonts w:ascii="Arial" w:cs="Arial" w:eastAsia="Arial" w:hAnsi="Arial"/>
                <w:sz w:val="17"/>
                <w:szCs w:val="17"/>
                <w:color w:val="0000EE"/>
                <w:w w:val="91"/>
              </w:rPr>
            </w:pPr>
            <w:hyperlink w:anchor="page26">
              <w:r>
                <w:rPr>
                  <w:rFonts w:ascii="Arial" w:cs="Arial" w:eastAsia="Arial" w:hAnsi="Arial"/>
                  <w:sz w:val="17"/>
                  <w:szCs w:val="17"/>
                  <w:color w:val="0000EE"/>
                  <w:w w:val="91"/>
                </w:rPr>
                <w:t>25-26</w:t>
              </w:r>
            </w:hyperlink>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4.</w:t>
            </w:r>
          </w:p>
        </w:tc>
        <w:tc>
          <w:tcPr>
            <w:tcW w:w="76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88"/>
              </w:rPr>
            </w:pPr>
            <w:hyperlink w:anchor="page28">
              <w:r>
                <w:rPr>
                  <w:rFonts w:ascii="Arial" w:cs="Arial" w:eastAsia="Arial" w:hAnsi="Arial"/>
                  <w:sz w:val="17"/>
                  <w:szCs w:val="17"/>
                  <w:color w:val="0000EE"/>
                  <w:w w:val="88"/>
                </w:rPr>
                <w:t>Controls and Procedures</w:t>
              </w:r>
            </w:hyperlink>
          </w:p>
        </w:tc>
        <w:tc>
          <w:tcPr>
            <w:tcW w:w="2400" w:type="dxa"/>
            <w:vAlign w:val="bottom"/>
            <w:tcBorders>
              <w:top w:val="single" w:sz="8" w:color="0000EE"/>
            </w:tcBorders>
          </w:tcPr>
          <w:p>
            <w:pPr>
              <w:spacing w:after="0"/>
              <w:rPr>
                <w:sz w:val="24"/>
                <w:szCs w:val="24"/>
                <w:color w:val="auto"/>
              </w:rPr>
            </w:pPr>
          </w:p>
        </w:tc>
        <w:tc>
          <w:tcPr>
            <w:tcW w:w="41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bottom w:val="single" w:sz="8" w:color="0000EE"/>
            </w:tcBorders>
            <w:gridSpan w:val="3"/>
          </w:tcPr>
          <w:p>
            <w:pPr>
              <w:jc w:val="center"/>
              <w:ind w:right="60"/>
              <w:spacing w:after="0"/>
              <w:rPr>
                <w:rFonts w:ascii="Arial" w:cs="Arial" w:eastAsia="Arial" w:hAnsi="Arial"/>
                <w:sz w:val="17"/>
                <w:szCs w:val="17"/>
                <w:color w:val="0000EE"/>
                <w:w w:val="94"/>
              </w:rPr>
            </w:pPr>
            <w:hyperlink w:anchor="page28">
              <w:r>
                <w:rPr>
                  <w:rFonts w:ascii="Arial" w:cs="Arial" w:eastAsia="Arial" w:hAnsi="Arial"/>
                  <w:sz w:val="17"/>
                  <w:szCs w:val="17"/>
                  <w:color w:val="0000EE"/>
                  <w:w w:val="94"/>
                </w:rPr>
                <w:t>27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2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980" w:type="dxa"/>
            <w:vAlign w:val="bottom"/>
            <w:gridSpan w:val="16"/>
          </w:tcPr>
          <w:p>
            <w:pPr>
              <w:ind w:left="460"/>
              <w:spacing w:after="0"/>
              <w:rPr>
                <w:sz w:val="20"/>
                <w:szCs w:val="20"/>
                <w:color w:val="auto"/>
              </w:rPr>
            </w:pPr>
            <w:r>
              <w:rPr>
                <w:rFonts w:ascii="Arial" w:cs="Arial" w:eastAsia="Arial" w:hAnsi="Arial"/>
                <w:sz w:val="17"/>
                <w:szCs w:val="17"/>
                <w:b w:val="1"/>
                <w:bCs w:val="1"/>
                <w:color w:val="auto"/>
              </w:rPr>
              <w:t>OTHER INFORMATION: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Legal Proceedings</w:t>
              </w:r>
            </w:hyperlink>
          </w:p>
        </w:tc>
        <w:tc>
          <w:tcPr>
            <w:tcW w:w="1320" w:type="dxa"/>
            <w:vAlign w:val="bottom"/>
            <w:gridSpan w:val="6"/>
          </w:tcPr>
          <w:p>
            <w:pPr>
              <w:jc w:val="center"/>
              <w:spacing w:after="0"/>
              <w:rPr>
                <w:rFonts w:ascii="Arial" w:cs="Arial" w:eastAsia="Arial" w:hAnsi="Arial"/>
                <w:sz w:val="17"/>
                <w:szCs w:val="17"/>
                <w:color w:val="0000EE"/>
                <w:w w:val="91"/>
              </w:rPr>
            </w:pPr>
            <w:hyperlink w:anchor="page28">
              <w:r>
                <w:rPr>
                  <w:rFonts w:ascii="Arial" w:cs="Arial" w:eastAsia="Arial" w:hAnsi="Arial"/>
                  <w:sz w:val="17"/>
                  <w:szCs w:val="17"/>
                  <w:color w:val="0000EE"/>
                  <w:w w:val="91"/>
                </w:rPr>
                <w:t>27-28</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1A.</w:t>
            </w: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6"/>
          </w:tcPr>
          <w:p>
            <w:pPr>
              <w:spacing w:after="0"/>
              <w:rPr>
                <w:rFonts w:ascii="Arial" w:cs="Arial" w:eastAsia="Arial" w:hAnsi="Arial"/>
                <w:sz w:val="17"/>
                <w:szCs w:val="17"/>
                <w:color w:val="0000EE"/>
                <w:w w:val="88"/>
              </w:rPr>
            </w:pPr>
            <w:hyperlink w:anchor="page29">
              <w:r>
                <w:rPr>
                  <w:rFonts w:ascii="Arial" w:cs="Arial" w:eastAsia="Arial" w:hAnsi="Arial"/>
                  <w:sz w:val="17"/>
                  <w:szCs w:val="17"/>
                  <w:color w:val="0000EE"/>
                  <w:w w:val="88"/>
                </w:rPr>
                <w:t>Risk Factors</w:t>
              </w:r>
            </w:hyperlink>
          </w:p>
        </w:tc>
        <w:tc>
          <w:tcPr>
            <w:tcW w:w="400" w:type="dxa"/>
            <w:vAlign w:val="bottom"/>
          </w:tcPr>
          <w:p>
            <w:pPr>
              <w:spacing w:after="0"/>
              <w:rPr>
                <w:sz w:val="24"/>
                <w:szCs w:val="24"/>
                <w:color w:val="auto"/>
              </w:rPr>
            </w:pPr>
          </w:p>
        </w:tc>
        <w:tc>
          <w:tcPr>
            <w:tcW w:w="696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5"/>
          </w:tcPr>
          <w:p>
            <w:pPr>
              <w:jc w:val="center"/>
              <w:ind w:right="460"/>
              <w:spacing w:after="0"/>
              <w:rPr>
                <w:rFonts w:ascii="Arial" w:cs="Arial" w:eastAsia="Arial" w:hAnsi="Arial"/>
                <w:sz w:val="17"/>
                <w:szCs w:val="17"/>
                <w:color w:val="0000EE"/>
                <w:w w:val="91"/>
              </w:rPr>
            </w:pPr>
            <w:hyperlink w:anchor="page29">
              <w:r>
                <w:rPr>
                  <w:rFonts w:ascii="Arial" w:cs="Arial" w:eastAsia="Arial" w:hAnsi="Arial"/>
                  <w:sz w:val="17"/>
                  <w:szCs w:val="17"/>
                  <w:color w:val="0000EE"/>
                  <w:w w:val="91"/>
                </w:rPr>
                <w:t>28-29</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2.</w:t>
            </w: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Unregistered Sales of Equity Securities and Use of Proceeds</w:t>
              </w:r>
            </w:hyperlink>
          </w:p>
        </w:tc>
        <w:tc>
          <w:tcPr>
            <w:tcW w:w="820" w:type="dxa"/>
            <w:vAlign w:val="bottom"/>
            <w:gridSpan w:val="5"/>
          </w:tcPr>
          <w:p>
            <w:pPr>
              <w:jc w:val="center"/>
              <w:ind w:left="435"/>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29</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76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Exhibits</w:t>
              </w:r>
            </w:hyperlink>
          </w:p>
        </w:tc>
        <w:tc>
          <w:tcPr>
            <w:tcW w:w="3540" w:type="dxa"/>
            <w:vAlign w:val="bottom"/>
            <w:tcBorders>
              <w:top w:val="single" w:sz="8" w:color="0000EE"/>
            </w:tcBorders>
            <w:gridSpan w:val="8"/>
          </w:tcPr>
          <w:p>
            <w:pPr>
              <w:spacing w:after="0"/>
              <w:rPr>
                <w:sz w:val="24"/>
                <w:szCs w:val="24"/>
                <w:color w:val="auto"/>
              </w:rPr>
            </w:pPr>
          </w:p>
        </w:tc>
        <w:tc>
          <w:tcPr>
            <w:tcW w:w="4100" w:type="dxa"/>
            <w:vAlign w:val="bottom"/>
            <w:gridSpan w:val="5"/>
          </w:tcPr>
          <w:p>
            <w:pPr>
              <w:spacing w:after="0"/>
              <w:rPr>
                <w:sz w:val="24"/>
                <w:szCs w:val="24"/>
                <w:color w:val="auto"/>
              </w:rPr>
            </w:pPr>
          </w:p>
        </w:tc>
        <w:tc>
          <w:tcPr>
            <w:tcW w:w="580" w:type="dxa"/>
            <w:vAlign w:val="bottom"/>
            <w:gridSpan w:val="2"/>
          </w:tcPr>
          <w:p>
            <w:pPr>
              <w:spacing w:after="0"/>
              <w:rPr>
                <w:sz w:val="24"/>
                <w:szCs w:val="24"/>
                <w:color w:val="auto"/>
              </w:rPr>
            </w:pPr>
          </w:p>
        </w:tc>
        <w:tc>
          <w:tcPr>
            <w:tcW w:w="240" w:type="dxa"/>
            <w:vAlign w:val="bottom"/>
            <w:tcBorders>
              <w:top w:val="single" w:sz="8" w:color="0000EE"/>
              <w:bottom w:val="single" w:sz="8" w:color="0000EE"/>
            </w:tcBorders>
            <w:gridSpan w:val="3"/>
          </w:tcPr>
          <w:p>
            <w:pPr>
              <w:jc w:val="center"/>
              <w:ind w:right="60"/>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30</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Signatures</w:t>
              </w:r>
            </w:hyperlink>
          </w:p>
        </w:tc>
        <w:tc>
          <w:tcPr>
            <w:tcW w:w="820" w:type="dxa"/>
            <w:vAlign w:val="bottom"/>
            <w:gridSpan w:val="5"/>
          </w:tcPr>
          <w:p>
            <w:pPr>
              <w:jc w:val="center"/>
              <w:ind w:left="435"/>
              <w:spacing w:after="0"/>
              <w:rPr>
                <w:rFonts w:ascii="Arial" w:cs="Arial" w:eastAsia="Arial" w:hAnsi="Arial"/>
                <w:sz w:val="17"/>
                <w:szCs w:val="17"/>
                <w:color w:val="0000EE"/>
                <w:w w:val="94"/>
              </w:rPr>
            </w:pPr>
            <w:hyperlink w:anchor="page32">
              <w:r>
                <w:rPr>
                  <w:rFonts w:ascii="Arial" w:cs="Arial" w:eastAsia="Arial" w:hAnsi="Arial"/>
                  <w:sz w:val="17"/>
                  <w:szCs w:val="17"/>
                  <w:color w:val="0000EE"/>
                  <w:w w:val="94"/>
                </w:rPr>
                <w:t>31</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top w:val="single" w:sz="8" w:color="0000EE"/>
            </w:tcBorders>
            <w:gridSpan w:val="4"/>
          </w:tcPr>
          <w:p>
            <w:pPr>
              <w:spacing w:after="0"/>
              <w:rPr>
                <w:sz w:val="24"/>
                <w:szCs w:val="24"/>
                <w:color w:val="auto"/>
              </w:rPr>
            </w:pPr>
          </w:p>
        </w:tc>
        <w:tc>
          <w:tcPr>
            <w:tcW w:w="3360" w:type="dxa"/>
            <w:vAlign w:val="bottom"/>
            <w:gridSpan w:val="5"/>
          </w:tcPr>
          <w:p>
            <w:pPr>
              <w:jc w:val="center"/>
              <w:ind w:left="2795"/>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60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20"/>
              <w:spacing w:after="0" w:line="193" w:lineRule="exact"/>
              <w:rPr>
                <w:sz w:val="20"/>
                <w:szCs w:val="20"/>
                <w:color w:val="auto"/>
              </w:rPr>
            </w:pPr>
            <w:r>
              <w:rPr>
                <w:rFonts w:ascii="Arial" w:cs="Arial" w:eastAsia="Arial" w:hAnsi="Arial"/>
                <w:sz w:val="17"/>
                <w:szCs w:val="17"/>
                <w:color w:val="auto"/>
              </w:rPr>
              <w:t>July 31,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93" w:lineRule="exact"/>
              <w:rPr>
                <w:sz w:val="20"/>
                <w:szCs w:val="20"/>
                <w:color w:val="auto"/>
              </w:rPr>
            </w:pPr>
            <w:r>
              <w:rPr>
                <w:rFonts w:ascii="Arial" w:cs="Arial" w:eastAsia="Arial" w:hAnsi="Arial"/>
                <w:sz w:val="17"/>
                <w:szCs w:val="17"/>
                <w:color w:val="auto"/>
                <w:w w:val="92"/>
              </w:rPr>
              <w:t>July 31,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1,</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394,859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492,635</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1,234,883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1,536,944</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Cost of sales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261,061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318,695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821,600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986,101</w:t>
            </w:r>
          </w:p>
        </w:tc>
      </w:tr>
      <w:tr>
        <w:trPr>
          <w:trHeight w:val="26"/>
        </w:trPr>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133,798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413,283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550,843</w:t>
            </w: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94,181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110,874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300,971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352,934</w:t>
            </w:r>
          </w:p>
        </w:tc>
      </w:tr>
      <w:tr>
        <w:trPr>
          <w:trHeight w:val="26"/>
        </w:trPr>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Earnings from operations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112,312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197,909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(4,429)</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(4,645)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(13,207)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(14,947)</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(4,018)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Earnings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31,170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58,053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97,380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183,494</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34,011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63,856</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Net earnings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19,777</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38,227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63,369</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119,638</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Basic net earnings per share of common stock</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0.55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1.01</w:t>
            </w:r>
          </w:p>
        </w:tc>
        <w:tc>
          <w:tcPr>
            <w:tcW w:w="2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1.75</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3.13</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Diluted net earnings per share of common stock</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0.54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0.99</w:t>
            </w:r>
          </w:p>
        </w:tc>
        <w:tc>
          <w:tcPr>
            <w:tcW w:w="2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1.73</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3.06</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of common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stock outstanding – Basic</w:t>
            </w: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35,981</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37,901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36,248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38,177</w:t>
            </w:r>
          </w:p>
        </w:tc>
      </w:tr>
      <w:tr>
        <w:trPr>
          <w:trHeight w:val="205"/>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Weighted-average number of shares of common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outstanding – Diluted</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36,357</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38,708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ind w:right="-159"/>
        <w:spacing w:after="0"/>
        <w:rPr>
          <w:sz w:val="20"/>
          <w:szCs w:val="20"/>
          <w:color w:val="auto"/>
        </w:rPr>
      </w:pPr>
      <w:r>
        <w:rPr>
          <w:rFonts w:ascii="Arial" w:cs="Arial" w:eastAsia="Arial" w:hAnsi="Arial"/>
          <w:sz w:val="20"/>
          <w:szCs w:val="20"/>
          <w:b w:val="1"/>
          <w:bCs w:val="1"/>
          <w:color w:val="auto"/>
        </w:rPr>
        <w:t>(Dollars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July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August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10"/>
        </w:trPr>
        <w:tc>
          <w:tcPr>
            <w:tcW w:w="620" w:type="dxa"/>
            <w:vAlign w:val="bottom"/>
            <w:tcBorders>
              <w:bottom w:val="single" w:sz="8" w:color="auto"/>
            </w:tcBorders>
            <w:shd w:val="clear" w:color="auto" w:fill="CCEEFF"/>
          </w:tcPr>
          <w:p>
            <w:pPr>
              <w:spacing w:after="0" w:line="167" w:lineRule="exact"/>
              <w:rPr>
                <w:sz w:val="20"/>
                <w:szCs w:val="20"/>
                <w:color w:val="auto"/>
              </w:rPr>
            </w:pPr>
            <w:r>
              <w:rPr>
                <w:rFonts w:ascii="Arial" w:cs="Arial" w:eastAsia="Arial" w:hAnsi="Arial"/>
                <w:sz w:val="17"/>
                <w:szCs w:val="17"/>
                <w:color w:val="auto"/>
                <w:w w:val="89"/>
              </w:rPr>
              <w:t>ASSETS</w:t>
            </w:r>
          </w:p>
        </w:tc>
        <w:tc>
          <w:tcPr>
            <w:tcW w:w="68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130,735</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55,013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99,359</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364,988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256,259</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160,589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211,760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207,084</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14,811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27,491</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58,542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56,147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53,755</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702,719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643,948</w:t>
            </w:r>
          </w:p>
        </w:tc>
      </w:tr>
      <w:tr>
        <w:trPr>
          <w:trHeight w:val="205"/>
        </w:trPr>
        <w:tc>
          <w:tcPr>
            <w:tcW w:w="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539,717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608,554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518,536</w:t>
            </w: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Less accumulated depreciation</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373,742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434,742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349,669</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165,975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173,812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168,867</w:t>
            </w: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6,476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7,538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7,949</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86,321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86,099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86,192</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17,660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15,682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18,828</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917,695</w:t>
            </w:r>
          </w:p>
        </w:tc>
        <w:tc>
          <w:tcPr>
            <w:tcW w:w="1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992,335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932,260</w:t>
            </w:r>
          </w:p>
        </w:tc>
      </w:tr>
      <w:tr>
        <w:trPr>
          <w:trHeight w:val="196"/>
        </w:trPr>
        <w:tc>
          <w:tcPr>
            <w:tcW w:w="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85"/>
        </w:trPr>
        <w:tc>
          <w:tcPr>
            <w:tcW w:w="7440" w:type="dxa"/>
            <w:vAlign w:val="bottom"/>
            <w:gridSpan w:val="3"/>
            <w:shd w:val="clear" w:color="auto" w:fill="CCEEFF"/>
          </w:tcPr>
          <w:p>
            <w:pPr>
              <w:spacing w:after="0" w:line="167" w:lineRule="exact"/>
              <w:rPr>
                <w:sz w:val="20"/>
                <w:szCs w:val="20"/>
                <w:color w:val="auto"/>
              </w:rPr>
            </w:pPr>
            <w:r>
              <w:rPr>
                <w:rFonts w:ascii="Arial" w:cs="Arial" w:eastAsia="Arial" w:hAnsi="Arial"/>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34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3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3,027</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2,441</w:t>
            </w: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3,276</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68,304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86,824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92,997</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258,246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225,852</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308,590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347,511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324,451</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225,521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227,266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227,515</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9,363</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Other long-term liabilities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6,464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6,256</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7440" w:type="dxa"/>
            <w:vAlign w:val="bottom"/>
            <w:gridSpan w:val="3"/>
            <w:shd w:val="clear" w:color="auto" w:fill="CCEEFF"/>
          </w:tcPr>
          <w:p>
            <w:pPr>
              <w:ind w:left="80"/>
              <w:spacing w:after="0" w:line="193" w:lineRule="exact"/>
              <w:rPr>
                <w:sz w:val="20"/>
                <w:szCs w:val="20"/>
                <w:color w:val="auto"/>
              </w:rPr>
            </w:pPr>
            <w:r>
              <w:rPr>
                <w:rFonts w:ascii="Arial" w:cs="Arial" w:eastAsia="Arial" w:hAnsi="Arial"/>
                <w:sz w:val="17"/>
                <w:szCs w:val="17"/>
                <w:color w:val="auto"/>
              </w:rPr>
              <w:t>Preferred stock, par value $1.00, authorized 1,000,000 voting</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and 850,000 non-voting shares, none issued and outstanding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2"/>
        </w:trPr>
        <w:tc>
          <w:tcPr>
            <w:tcW w:w="7440" w:type="dxa"/>
            <w:vAlign w:val="bottom"/>
            <w:gridSpan w:val="3"/>
          </w:tcPr>
          <w:p>
            <w:pPr>
              <w:ind w:left="140"/>
              <w:spacing w:after="0" w:line="193" w:lineRule="exact"/>
              <w:rPr>
                <w:sz w:val="20"/>
                <w:szCs w:val="20"/>
                <w:color w:val="auto"/>
              </w:rPr>
            </w:pPr>
            <w:r>
              <w:rPr>
                <w:rFonts w:ascii="Arial" w:cs="Arial" w:eastAsia="Arial" w:hAnsi="Arial"/>
                <w:sz w:val="17"/>
                <w:szCs w:val="17"/>
                <w:color w:val="auto"/>
              </w:rPr>
              <w:t>Common stock, par value $1.00, authorized 100,000,000 shares,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issued and outstanding 34,441,771 shares as of July 31,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2009, 36,123,341 shares as of August 1, 2008,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35,484,766 shares as of October 31, 2008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34,442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36,123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35,485</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Retained earnings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343,102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364,384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337,734</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Accumulated other comprehensive (loss) income</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(8,751)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1,215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(8,544)</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401,722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364,675</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917,695</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992,335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932,260</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7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60"/>
              <w:spacing w:after="0" w:line="193" w:lineRule="exact"/>
              <w:rPr>
                <w:sz w:val="20"/>
                <w:szCs w:val="20"/>
                <w:color w:val="auto"/>
              </w:rPr>
            </w:pPr>
            <w:r>
              <w:rPr>
                <w:rFonts w:ascii="Arial" w:cs="Arial" w:eastAsia="Arial" w:hAnsi="Arial"/>
                <w:sz w:val="17"/>
                <w:szCs w:val="17"/>
                <w:color w:val="auto"/>
              </w:rPr>
              <w:t>July 31,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1,</w:t>
            </w:r>
          </w:p>
        </w:tc>
        <w:tc>
          <w:tcPr>
            <w:tcW w:w="100" w:type="dxa"/>
            <w:vAlign w:val="bottom"/>
          </w:tcPr>
          <w:p>
            <w:pPr>
              <w:spacing w:after="0"/>
              <w:rPr>
                <w:sz w:val="16"/>
                <w:szCs w:val="16"/>
                <w:color w:val="auto"/>
              </w:rPr>
            </w:pPr>
          </w:p>
        </w:tc>
      </w:tr>
      <w:tr>
        <w:trPr>
          <w:trHeight w:val="223"/>
        </w:trPr>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4"/>
        </w:trPr>
        <w:tc>
          <w:tcPr>
            <w:tcW w:w="728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72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119,638</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Adjustments to reconcile net earnings to net cash</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provided by operating activities: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Equity losses from investments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439</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depreciation and amortization</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32,196</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Gain on disposal of property, plant, and equipment</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(89)</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business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(113)</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Stock-based compensation expense</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2,959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4,366</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Decrease (increase) in deferred income taxes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(1,490)</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 net</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(79,252)</w:t>
            </w:r>
          </w:p>
        </w:tc>
      </w:tr>
      <w:tr>
        <w:trPr>
          <w:trHeight w:val="205"/>
        </w:trPr>
        <w:tc>
          <w:tcPr>
            <w:tcW w:w="7280" w:type="dxa"/>
            <w:vAlign w:val="bottom"/>
          </w:tcPr>
          <w:p>
            <w:pPr>
              <w:ind w:left="300"/>
              <w:spacing w:after="0"/>
              <w:rPr>
                <w:sz w:val="20"/>
                <w:szCs w:val="20"/>
                <w:color w:val="auto"/>
              </w:rPr>
            </w:pPr>
            <w:r>
              <w:rPr>
                <w:rFonts w:ascii="Arial" w:cs="Arial" w:eastAsia="Arial" w:hAnsi="Arial"/>
                <w:sz w:val="17"/>
                <w:szCs w:val="17"/>
                <w:color w:val="auto"/>
              </w:rPr>
              <w:t>Inventories, net</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51,841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39,663</w:t>
            </w:r>
          </w:p>
        </w:tc>
      </w:tr>
      <w:tr>
        <w:trPr>
          <w:trHeight w:val="205"/>
        </w:trPr>
        <w:tc>
          <w:tcPr>
            <w:tcW w:w="7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assets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(3,712)</w:t>
            </w:r>
          </w:p>
        </w:tc>
      </w:tr>
      <w:tr>
        <w:trPr>
          <w:trHeight w:val="192"/>
        </w:trPr>
        <w:tc>
          <w:tcPr>
            <w:tcW w:w="7280" w:type="dxa"/>
            <w:vAlign w:val="bottom"/>
          </w:tcPr>
          <w:p>
            <w:pPr>
              <w:ind w:left="300"/>
              <w:spacing w:after="0" w:line="193" w:lineRule="exact"/>
              <w:rPr>
                <w:sz w:val="20"/>
                <w:szCs w:val="20"/>
                <w:color w:val="auto"/>
              </w:rPr>
            </w:pPr>
            <w:r>
              <w:rPr>
                <w:rFonts w:ascii="Arial" w:cs="Arial" w:eastAsia="Arial" w:hAnsi="Arial"/>
                <w:sz w:val="17"/>
                <w:szCs w:val="17"/>
                <w:color w:val="auto"/>
              </w:rPr>
              <w:t>Accounts payable, accrued expenses, and deferred revenue and other long-term</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280" w:type="dxa"/>
            <w:vAlign w:val="bottom"/>
          </w:tcPr>
          <w:p>
            <w:pPr>
              <w:ind w:left="400"/>
              <w:spacing w:after="0"/>
              <w:rPr>
                <w:sz w:val="20"/>
                <w:szCs w:val="20"/>
                <w:color w:val="auto"/>
              </w:rPr>
            </w:pPr>
            <w:r>
              <w:rPr>
                <w:rFonts w:ascii="Arial" w:cs="Arial" w:eastAsia="Arial" w:hAnsi="Arial"/>
                <w:sz w:val="17"/>
                <w:szCs w:val="17"/>
                <w:color w:val="auto"/>
              </w:rPr>
              <w:t>liabilities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(17,816)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14,059</w:t>
            </w:r>
          </w:p>
        </w:tc>
      </w:tr>
      <w:tr>
        <w:trPr>
          <w:trHeight w:val="26"/>
        </w:trPr>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provided by operating activities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125,705</w:t>
            </w:r>
          </w:p>
        </w:tc>
      </w:tr>
      <w:tr>
        <w:trPr>
          <w:trHeight w:val="205"/>
        </w:trPr>
        <w:tc>
          <w:tcPr>
            <w:tcW w:w="728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(24,003)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(34,304)</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asset disposals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880</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Increase in investment in affiliates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(250)</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Decrease (increase) in other assets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(288)</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Proceeds from sale of a business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1,048</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Acquisitions, net of cash acquired</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r>
      <w:tr>
        <w:trPr>
          <w:trHeight w:val="26"/>
        </w:trPr>
        <w:tc>
          <w:tcPr>
            <w:tcW w:w="7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280" w:type="dxa"/>
            <w:vAlign w:val="bottom"/>
          </w:tcPr>
          <w:p>
            <w:pPr>
              <w:ind w:left="460"/>
              <w:spacing w:after="0"/>
              <w:rPr>
                <w:sz w:val="20"/>
                <w:szCs w:val="20"/>
                <w:color w:val="auto"/>
              </w:rPr>
            </w:pPr>
            <w:r>
              <w:rPr>
                <w:rFonts w:ascii="Arial" w:cs="Arial" w:eastAsia="Arial" w:hAnsi="Arial"/>
                <w:sz w:val="17"/>
                <w:szCs w:val="17"/>
                <w:color w:val="auto"/>
              </w:rPr>
              <w:t>Net cash used in investing activities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(23,681)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(33,914)</w:t>
            </w:r>
          </w:p>
        </w:tc>
      </w:tr>
      <w:tr>
        <w:trPr>
          <w:trHeight w:val="205"/>
        </w:trPr>
        <w:tc>
          <w:tcPr>
            <w:tcW w:w="7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2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Decrease in short-term debt</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(372)</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Repayments of long-term debt, net of costs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(2,206)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(1,124)</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Excess tax benefits from stock-based awards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3,511</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Proceeds from exercise of stock-based awards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4,877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3,506</w:t>
            </w:r>
          </w:p>
        </w:tc>
      </w:tr>
      <w:tr>
        <w:trPr>
          <w:trHeight w:val="205"/>
        </w:trPr>
        <w:tc>
          <w:tcPr>
            <w:tcW w:w="7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Toro common stock</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(55,044)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(86,679)</w:t>
            </w:r>
          </w:p>
        </w:tc>
      </w:tr>
      <w:tr>
        <w:trPr>
          <w:trHeight w:val="205"/>
        </w:trPr>
        <w:tc>
          <w:tcPr>
            <w:tcW w:w="7280" w:type="dxa"/>
            <w:vAlign w:val="bottom"/>
          </w:tcPr>
          <w:p>
            <w:pPr>
              <w:ind w:left="160"/>
              <w:spacing w:after="0"/>
              <w:rPr>
                <w:sz w:val="20"/>
                <w:szCs w:val="20"/>
                <w:color w:val="auto"/>
              </w:rPr>
            </w:pPr>
            <w:r>
              <w:rPr>
                <w:rFonts w:ascii="Arial" w:cs="Arial" w:eastAsia="Arial" w:hAnsi="Arial"/>
                <w:sz w:val="17"/>
                <w:szCs w:val="17"/>
                <w:color w:val="auto"/>
              </w:rPr>
              <w:t>Dividends paid on Toro common stock</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(16,313)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(17,170)</w:t>
            </w:r>
          </w:p>
        </w:tc>
      </w:tr>
      <w:tr>
        <w:trPr>
          <w:trHeight w:val="26"/>
        </w:trPr>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financing activities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(98,328)</w:t>
            </w:r>
          </w:p>
        </w:tc>
      </w:tr>
      <w:tr>
        <w:trPr>
          <w:trHeight w:val="205"/>
        </w:trPr>
        <w:tc>
          <w:tcPr>
            <w:tcW w:w="728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rates on cash</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(497)</w:t>
            </w:r>
          </w:p>
        </w:tc>
      </w:tr>
      <w:tr>
        <w:trPr>
          <w:trHeight w:val="205"/>
        </w:trPr>
        <w:tc>
          <w:tcPr>
            <w:tcW w:w="728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(7,034)</w:t>
            </w:r>
          </w:p>
        </w:tc>
      </w:tr>
      <w:tr>
        <w:trPr>
          <w:trHeight w:val="205"/>
        </w:trPr>
        <w:tc>
          <w:tcPr>
            <w:tcW w:w="7280" w:type="dxa"/>
            <w:vAlign w:val="bottom"/>
          </w:tcPr>
          <w:p>
            <w:pPr>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99,359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62,047</w:t>
            </w:r>
          </w:p>
        </w:tc>
      </w:tr>
      <w:tr>
        <w:trPr>
          <w:trHeight w:val="26"/>
        </w:trPr>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as of the end of the fiscal period</w:t>
            </w: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130,735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55,013</w:t>
            </w:r>
          </w:p>
        </w:tc>
      </w:tr>
      <w:tr>
        <w:trPr>
          <w:trHeight w:val="207"/>
        </w:trPr>
        <w:tc>
          <w:tcPr>
            <w:tcW w:w="72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See accompanying notes to condensed consolidated financial statements.</w:t>
            </w: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563"/>
        </w:trPr>
        <w:tc>
          <w:tcPr>
            <w:tcW w:w="7280" w:type="dxa"/>
            <w:vAlign w:val="bottom"/>
          </w:tcPr>
          <w:p>
            <w:pPr>
              <w:ind w:left="5680"/>
              <w:spacing w:after="0"/>
              <w:rPr>
                <w:sz w:val="20"/>
                <w:szCs w:val="20"/>
                <w:color w:val="auto"/>
              </w:rPr>
            </w:pPr>
            <w:r>
              <w:rPr>
                <w:rFonts w:ascii="Arial" w:cs="Arial" w:eastAsia="Arial" w:hAnsi="Arial"/>
                <w:sz w:val="17"/>
                <w:szCs w:val="17"/>
                <w:color w:val="auto"/>
              </w:rPr>
              <w:t>5</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7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jc w:val="center"/>
        <w:ind w:left="440" w:right="2560"/>
        <w:spacing w:after="0" w:line="258" w:lineRule="auto"/>
        <w:rPr>
          <w:sz w:val="20"/>
          <w:szCs w:val="20"/>
          <w:color w:val="auto"/>
        </w:rPr>
      </w:pPr>
      <w:r>
        <w:rPr>
          <w:rFonts w:ascii="Arial" w:cs="Arial" w:eastAsia="Arial" w:hAnsi="Arial"/>
          <w:sz w:val="20"/>
          <w:szCs w:val="20"/>
          <w:b w:val="1"/>
          <w:bCs w:val="1"/>
          <w:color w:val="auto"/>
        </w:rPr>
        <w:t>THE TORO COMPANY AND SUBSIDIARIES Notes to Condensed Consolidated Financial Statements (Unaudited) July 31, 2009</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4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Certain amounts from prior periods’ financial statements have been reclassified to conform to this period’s presentation. Since the company’s business is seasonal, operating results for the nine months ended July 31, 2009 cannot be annualized to determine the expected results for the fiscal year ending October 31, 2009. Additional factors that could cause our actual results to differ materially from our expected results, including any forward-looking statements made in this report, are described in our most recently filed Annual Report on Form 10-K, Part I, Item 1A, “Risk Factors” and later in this report under Part I, Item 2, “Management’s Discussion and Analysis of Financial Condition and Results of Operations – Forward-Looking Information” and Part II, Item IA, “Risk Factors.”</w:t>
      </w:r>
    </w:p>
    <w:p>
      <w:pPr>
        <w:spacing w:after="0" w:line="3" w:lineRule="exact"/>
        <w:rPr>
          <w:sz w:val="20"/>
          <w:szCs w:val="20"/>
          <w:color w:val="auto"/>
        </w:rPr>
      </w:pPr>
    </w:p>
    <w:p>
      <w:pPr>
        <w:ind w:right="40" w:firstLine="210"/>
        <w:spacing w:after="0" w:line="251" w:lineRule="auto"/>
        <w:rPr>
          <w:sz w:val="20"/>
          <w:szCs w:val="20"/>
          <w:color w:val="auto"/>
        </w:rPr>
      </w:pPr>
      <w:r>
        <w:rPr>
          <w:rFonts w:ascii="Arial" w:cs="Arial" w:eastAsia="Arial" w:hAnsi="Arial"/>
          <w:sz w:val="17"/>
          <w:szCs w:val="17"/>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firstLine="213"/>
        <w:spacing w:after="0" w:line="262" w:lineRule="auto"/>
        <w:rPr>
          <w:sz w:val="20"/>
          <w:szCs w:val="20"/>
          <w:color w:val="auto"/>
        </w:rPr>
      </w:pPr>
      <w:r>
        <w:rPr>
          <w:rFonts w:ascii="Arial" w:cs="Arial" w:eastAsia="Arial" w:hAnsi="Arial"/>
          <w:sz w:val="17"/>
          <w:szCs w:val="17"/>
          <w:color w:val="auto"/>
        </w:rPr>
        <w:t>For further information, refer to the consolidated financial statements and notes included in the company’s Annual Report on Form 10-K for the fiscal year ended October 31, 2008. The policies described in that report are used for preparing quarterly reports.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4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preparing the consolidated financial statements in conformity with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allowance for doubtful accounts, pension and postretirement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We adjust such estimates and assumptions when facts and circumstances dictate. A number of these factors are discussed in our Annual Report on Form 10-K, Part I, Item 1A, “Risk Factors” for the fiscal year ended October 31, 2008, which include, among others, the continued recessionary economic conditions, tight credit markets, unfavorable foreign currency exchange rate changes, higher commodity costs, and a decline in consumer spending and confidence, all of which have combined to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continuing changes in the economic environment will be reflected in the financial statements in future periods. Note 1 to the consolidated financial statements in the company’s most recent Annual Report on Form 10-K provides a summary of the significant accounting policies followed in the preparation of the financial statements. Other notes to the consolidated financial statements in the company’s Annual Report on Form 10-K describe various elements of the financial statements and the assumptions made in determining specific amounts.</w:t>
      </w: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715"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7440" w:type="dxa"/>
            <w:vAlign w:val="bottom"/>
            <w:gridSpan w:val="4"/>
          </w:tcPr>
          <w:p>
            <w:pPr>
              <w:spacing w:after="0"/>
              <w:rPr>
                <w:sz w:val="20"/>
                <w:szCs w:val="20"/>
                <w:color w:val="auto"/>
              </w:rPr>
            </w:pPr>
            <w:r>
              <w:rPr>
                <w:rFonts w:ascii="Arial" w:cs="Arial" w:eastAsia="Arial" w:hAnsi="Arial"/>
                <w:sz w:val="17"/>
                <w:szCs w:val="17"/>
                <w:color w:val="auto"/>
                <w:w w:val="98"/>
              </w:rPr>
              <w:t>Comprehensive income and the components of other comprehensive income (loss) were as follows: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20"/>
              <w:spacing w:after="0" w:line="193" w:lineRule="exact"/>
              <w:rPr>
                <w:sz w:val="20"/>
                <w:szCs w:val="20"/>
                <w:color w:val="auto"/>
              </w:rPr>
            </w:pPr>
            <w:r>
              <w:rPr>
                <w:rFonts w:ascii="Arial" w:cs="Arial" w:eastAsia="Arial" w:hAnsi="Arial"/>
                <w:sz w:val="17"/>
                <w:szCs w:val="17"/>
                <w:color w:val="auto"/>
              </w:rPr>
              <w:t>July 31,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93" w:lineRule="exact"/>
              <w:rPr>
                <w:sz w:val="20"/>
                <w:szCs w:val="20"/>
                <w:color w:val="auto"/>
              </w:rPr>
            </w:pPr>
            <w:r>
              <w:rPr>
                <w:rFonts w:ascii="Arial" w:cs="Arial" w:eastAsia="Arial" w:hAnsi="Arial"/>
                <w:sz w:val="17"/>
                <w:szCs w:val="17"/>
                <w:color w:val="auto"/>
                <w:w w:val="92"/>
              </w:rPr>
              <w:t>July 31,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1,</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19,777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38,227</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63,369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119,638</w:t>
            </w: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Other comprehensive income (loss):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Cumulative translation adjustments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6,716</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w:t>
            </w:r>
          </w:p>
        </w:tc>
      </w:tr>
      <w:tr>
        <w:trPr>
          <w:trHeight w:val="192"/>
        </w:trPr>
        <w:tc>
          <w:tcPr>
            <w:tcW w:w="6060" w:type="dxa"/>
            <w:vAlign w:val="bottom"/>
          </w:tcPr>
          <w:p>
            <w:pPr>
              <w:ind w:left="300"/>
              <w:spacing w:after="0" w:line="193" w:lineRule="exact"/>
              <w:rPr>
                <w:sz w:val="20"/>
                <w:szCs w:val="20"/>
                <w:color w:val="auto"/>
              </w:rPr>
            </w:pPr>
            <w:r>
              <w:rPr>
                <w:rFonts w:ascii="Arial" w:cs="Arial" w:eastAsia="Arial" w:hAnsi="Arial"/>
                <w:sz w:val="17"/>
                <w:szCs w:val="17"/>
                <w:color w:val="auto"/>
              </w:rPr>
              <w:t>Pension liability adjustment,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6060" w:type="dxa"/>
            <w:vAlign w:val="bottom"/>
          </w:tcPr>
          <w:p>
            <w:pPr>
              <w:ind w:left="440"/>
              <w:spacing w:after="0"/>
              <w:rPr>
                <w:sz w:val="20"/>
                <w:szCs w:val="20"/>
                <w:color w:val="auto"/>
              </w:rPr>
            </w:pPr>
            <w:r>
              <w:rPr>
                <w:rFonts w:ascii="Arial" w:cs="Arial" w:eastAsia="Arial" w:hAnsi="Arial"/>
                <w:sz w:val="17"/>
                <w:szCs w:val="17"/>
                <w:color w:val="auto"/>
              </w:rPr>
              <w:t>net of tax</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595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Unrealized (loss) gain on derivative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440"/>
              <w:spacing w:after="0"/>
              <w:rPr>
                <w:sz w:val="20"/>
                <w:szCs w:val="20"/>
                <w:color w:val="auto"/>
              </w:rPr>
            </w:pPr>
            <w:r>
              <w:rPr>
                <w:rFonts w:ascii="Arial" w:cs="Arial" w:eastAsia="Arial" w:hAnsi="Arial"/>
                <w:sz w:val="17"/>
                <w:szCs w:val="17"/>
                <w:color w:val="auto"/>
              </w:rPr>
              <w:t>instruments, net of tax</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(2,470)</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(9,243)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2,941</w:t>
            </w:r>
          </w:p>
        </w:tc>
      </w:tr>
      <w:tr>
        <w:trPr>
          <w:trHeight w:val="26"/>
        </w:trPr>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Comprehensive income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24,618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38,998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63,162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123,750</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3"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The company accounts for stock-based compensation awards in accordance with the provisions of Statement of Financial Accounting Standards (SFAS) No. 123 (Revised 2004), “Share-Based Payment.” Option awards are granted with an exercise price equal to the closing price of the company’s common stock on the date of grant, as reported by the New York Stock Exchange. Options are generally granted to directors, officers, and other key employees in the first quarter of the company’s fiscal year. For all options granted during the first quarter of fiscal 2009, the options vest one-third each year over a three-year period and have a ten-year term. Compensation expense equal to the grant date fair value is generally recognized for these awards over the vesting period. However, if a director has served on the company’s Board of Directors for ten full fiscal years or longer, the fair value of the options granted is fully expensed as of the date of the grant. Similarly, options granted to officers and other key employees are also subject to accelerated expensing if the option holder meets the retirement definition set forth in The Toro Company 2000 Stock Option Plan. In that case, the fair value of the options is expensed in the year of grant because the option holder must be employed as of the end of the fiscal year in which the options are granted in order for the option to continue to vest following retirement. The company also generally issues performance share awards to officers and other key employees in the first quarter of the company’s fiscal year. The company determines the fair value of these performance share awards as of the date of grant and recognizes the expense over the three-year vesting period. Total compensation expense for option and performance share awards for the third quarter of fiscal 2009 and 2008 was $0.9 million and $1.1 million, respectively. Year-to-date compensation expense for option and performance share awards through the third quarter of fiscal 2009 and 2008 was $3.0 million and $4.4 million, respectively.</w:t>
      </w:r>
    </w:p>
    <w:p>
      <w:pPr>
        <w:spacing w:after="0" w:line="9" w:lineRule="exact"/>
        <w:rPr>
          <w:sz w:val="20"/>
          <w:szCs w:val="20"/>
          <w:color w:val="auto"/>
        </w:rPr>
      </w:pPr>
    </w:p>
    <w:p>
      <w:pPr>
        <w:ind w:right="160" w:firstLine="210"/>
        <w:spacing w:after="0" w:line="27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23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Fiscal 2009</w:t>
            </w:r>
          </w:p>
        </w:tc>
        <w:tc>
          <w:tcPr>
            <w:tcW w:w="240" w:type="dxa"/>
            <w:vAlign w:val="bottom"/>
          </w:tcPr>
          <w:p>
            <w:pPr>
              <w:spacing w:after="0"/>
              <w:rPr>
                <w:sz w:val="19"/>
                <w:szCs w:val="19"/>
                <w:color w:val="auto"/>
              </w:rPr>
            </w:pPr>
          </w:p>
        </w:tc>
        <w:tc>
          <w:tcPr>
            <w:tcW w:w="23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2008</w:t>
            </w:r>
          </w:p>
        </w:tc>
      </w:tr>
      <w:tr>
        <w:trPr>
          <w:trHeight w:val="192"/>
        </w:trPr>
        <w:tc>
          <w:tcPr>
            <w:tcW w:w="6560" w:type="dxa"/>
            <w:vAlign w:val="bottom"/>
          </w:tcPr>
          <w:p>
            <w:pPr>
              <w:spacing w:after="0" w:line="193" w:lineRule="exact"/>
              <w:rPr>
                <w:sz w:val="20"/>
                <w:szCs w:val="20"/>
                <w:color w:val="auto"/>
              </w:rPr>
            </w:pPr>
            <w:r>
              <w:rPr>
                <w:rFonts w:ascii="Arial" w:cs="Arial" w:eastAsia="Arial" w:hAnsi="Arial"/>
                <w:sz w:val="17"/>
                <w:szCs w:val="17"/>
                <w:color w:val="auto"/>
              </w:rPr>
              <w:t>Expected life of option in years</w:t>
            </w:r>
          </w:p>
        </w:tc>
        <w:tc>
          <w:tcPr>
            <w:tcW w:w="230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84"/>
              </w:rPr>
              <w:t>6</w:t>
            </w:r>
          </w:p>
        </w:tc>
        <w:tc>
          <w:tcPr>
            <w:tcW w:w="240" w:type="dxa"/>
            <w:vAlign w:val="bottom"/>
          </w:tcPr>
          <w:p>
            <w:pPr>
              <w:spacing w:after="0"/>
              <w:rPr>
                <w:sz w:val="16"/>
                <w:szCs w:val="16"/>
                <w:color w:val="auto"/>
              </w:rPr>
            </w:pPr>
          </w:p>
        </w:tc>
        <w:tc>
          <w:tcPr>
            <w:tcW w:w="232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92"/>
              </w:rPr>
              <w:t>3 – 6.5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volatility</w:t>
            </w:r>
          </w:p>
        </w:tc>
        <w:tc>
          <w:tcPr>
            <w:tcW w:w="2300" w:type="dxa"/>
            <w:vAlign w:val="bottom"/>
          </w:tcPr>
          <w:p>
            <w:pPr>
              <w:ind w:left="520"/>
              <w:spacing w:after="0"/>
              <w:rPr>
                <w:sz w:val="20"/>
                <w:szCs w:val="20"/>
                <w:color w:val="auto"/>
              </w:rPr>
            </w:pPr>
            <w:r>
              <w:rPr>
                <w:rFonts w:ascii="Arial" w:cs="Arial" w:eastAsia="Arial" w:hAnsi="Arial"/>
                <w:sz w:val="17"/>
                <w:szCs w:val="17"/>
                <w:color w:val="auto"/>
              </w:rPr>
              <w:t>30.57% - 30.60%</w:t>
            </w:r>
          </w:p>
        </w:tc>
        <w:tc>
          <w:tcPr>
            <w:tcW w:w="2560" w:type="dxa"/>
            <w:vAlign w:val="bottom"/>
            <w:gridSpan w:val="2"/>
          </w:tcPr>
          <w:p>
            <w:pPr>
              <w:jc w:val="right"/>
              <w:ind w:right="515"/>
              <w:spacing w:after="0"/>
              <w:rPr>
                <w:sz w:val="20"/>
                <w:szCs w:val="20"/>
                <w:color w:val="auto"/>
              </w:rPr>
            </w:pPr>
            <w:r>
              <w:rPr>
                <w:rFonts w:ascii="Arial" w:cs="Arial" w:eastAsia="Arial" w:hAnsi="Arial"/>
                <w:sz w:val="17"/>
                <w:szCs w:val="17"/>
                <w:color w:val="auto"/>
              </w:rPr>
              <w:t>24.84% - 25.75%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2300" w:type="dxa"/>
            <w:vAlign w:val="bottom"/>
          </w:tcPr>
          <w:p>
            <w:pPr>
              <w:jc w:val="center"/>
              <w:ind w:right="95"/>
              <w:spacing w:after="0"/>
              <w:rPr>
                <w:sz w:val="20"/>
                <w:szCs w:val="20"/>
                <w:color w:val="auto"/>
              </w:rPr>
            </w:pPr>
            <w:r>
              <w:rPr>
                <w:rFonts w:ascii="Arial" w:cs="Arial" w:eastAsia="Arial" w:hAnsi="Arial"/>
                <w:sz w:val="17"/>
                <w:szCs w:val="17"/>
                <w:color w:val="auto"/>
                <w:w w:val="90"/>
              </w:rPr>
              <w:t>30.60%</w:t>
            </w:r>
          </w:p>
        </w:tc>
        <w:tc>
          <w:tcPr>
            <w:tcW w:w="2560" w:type="dxa"/>
            <w:vAlign w:val="bottom"/>
            <w:gridSpan w:val="2"/>
          </w:tcPr>
          <w:p>
            <w:pPr>
              <w:jc w:val="center"/>
              <w:spacing w:after="0"/>
              <w:rPr>
                <w:sz w:val="20"/>
                <w:szCs w:val="20"/>
                <w:color w:val="auto"/>
              </w:rPr>
            </w:pPr>
            <w:r>
              <w:rPr>
                <w:rFonts w:ascii="Arial" w:cs="Arial" w:eastAsia="Arial" w:hAnsi="Arial"/>
                <w:sz w:val="17"/>
                <w:szCs w:val="17"/>
                <w:color w:val="auto"/>
                <w:w w:val="90"/>
              </w:rPr>
              <w:t>25.26%</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300" w:type="dxa"/>
            <w:vAlign w:val="bottom"/>
          </w:tcPr>
          <w:p>
            <w:pPr>
              <w:ind w:left="520"/>
              <w:spacing w:after="0"/>
              <w:rPr>
                <w:sz w:val="20"/>
                <w:szCs w:val="20"/>
                <w:color w:val="auto"/>
              </w:rPr>
            </w:pPr>
            <w:r>
              <w:rPr>
                <w:rFonts w:ascii="Arial" w:cs="Arial" w:eastAsia="Arial" w:hAnsi="Arial"/>
                <w:sz w:val="17"/>
                <w:szCs w:val="17"/>
                <w:color w:val="auto"/>
              </w:rPr>
              <w:t>2.26% - 3.155%</w:t>
            </w:r>
          </w:p>
        </w:tc>
        <w:tc>
          <w:tcPr>
            <w:tcW w:w="2560" w:type="dxa"/>
            <w:vAlign w:val="bottom"/>
            <w:gridSpan w:val="2"/>
          </w:tcPr>
          <w:p>
            <w:pPr>
              <w:jc w:val="right"/>
              <w:ind w:right="635"/>
              <w:spacing w:after="0"/>
              <w:rPr>
                <w:sz w:val="20"/>
                <w:szCs w:val="20"/>
                <w:color w:val="auto"/>
              </w:rPr>
            </w:pPr>
            <w:r>
              <w:rPr>
                <w:rFonts w:ascii="Arial" w:cs="Arial" w:eastAsia="Arial" w:hAnsi="Arial"/>
                <w:sz w:val="17"/>
                <w:szCs w:val="17"/>
                <w:color w:val="auto"/>
              </w:rPr>
              <w:t>3.10% - 4.08%</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300" w:type="dxa"/>
            <w:vAlign w:val="bottom"/>
          </w:tcPr>
          <w:p>
            <w:pPr>
              <w:jc w:val="center"/>
              <w:ind w:right="75"/>
              <w:spacing w:after="0"/>
              <w:rPr>
                <w:sz w:val="20"/>
                <w:szCs w:val="20"/>
                <w:color w:val="auto"/>
              </w:rPr>
            </w:pPr>
            <w:r>
              <w:rPr>
                <w:rFonts w:ascii="Arial" w:cs="Arial" w:eastAsia="Arial" w:hAnsi="Arial"/>
                <w:sz w:val="17"/>
                <w:szCs w:val="17"/>
                <w:color w:val="auto"/>
                <w:w w:val="91"/>
              </w:rPr>
              <w:t>1.53%- 1.81%</w:t>
            </w:r>
          </w:p>
        </w:tc>
        <w:tc>
          <w:tcPr>
            <w:tcW w:w="256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0.92%- 0.95%</w:t>
            </w:r>
          </w:p>
        </w:tc>
      </w:tr>
      <w:tr>
        <w:trPr>
          <w:trHeight w:val="216"/>
        </w:trPr>
        <w:tc>
          <w:tcPr>
            <w:tcW w:w="6560" w:type="dxa"/>
            <w:vAlign w:val="bottom"/>
          </w:tcPr>
          <w:p>
            <w:pPr>
              <w:spacing w:after="0"/>
              <w:rPr>
                <w:sz w:val="20"/>
                <w:szCs w:val="20"/>
                <w:color w:val="auto"/>
              </w:rPr>
            </w:pPr>
            <w:r>
              <w:rPr>
                <w:rFonts w:ascii="Arial" w:cs="Arial" w:eastAsia="Arial" w:hAnsi="Arial"/>
                <w:sz w:val="17"/>
                <w:szCs w:val="17"/>
                <w:color w:val="auto"/>
              </w:rPr>
              <w:t>Weighted-average dividend yield</w:t>
            </w:r>
          </w:p>
        </w:tc>
        <w:tc>
          <w:tcPr>
            <w:tcW w:w="2300" w:type="dxa"/>
            <w:vAlign w:val="bottom"/>
          </w:tcPr>
          <w:p>
            <w:pPr>
              <w:jc w:val="center"/>
              <w:ind w:right="95"/>
              <w:spacing w:after="0"/>
              <w:rPr>
                <w:sz w:val="20"/>
                <w:szCs w:val="20"/>
                <w:color w:val="auto"/>
              </w:rPr>
            </w:pPr>
            <w:r>
              <w:rPr>
                <w:rFonts w:ascii="Arial" w:cs="Arial" w:eastAsia="Arial" w:hAnsi="Arial"/>
                <w:sz w:val="17"/>
                <w:szCs w:val="17"/>
                <w:color w:val="auto"/>
                <w:w w:val="91"/>
              </w:rPr>
              <w:t>1.79%</w:t>
            </w:r>
          </w:p>
        </w:tc>
        <w:tc>
          <w:tcPr>
            <w:tcW w:w="2560" w:type="dxa"/>
            <w:vAlign w:val="bottom"/>
            <w:gridSpan w:val="2"/>
          </w:tcPr>
          <w:p>
            <w:pPr>
              <w:jc w:val="center"/>
              <w:spacing w:after="0"/>
              <w:rPr>
                <w:sz w:val="20"/>
                <w:szCs w:val="20"/>
                <w:color w:val="auto"/>
              </w:rPr>
            </w:pPr>
            <w:r>
              <w:rPr>
                <w:rFonts w:ascii="Arial" w:cs="Arial" w:eastAsia="Arial" w:hAnsi="Arial"/>
                <w:sz w:val="17"/>
                <w:szCs w:val="17"/>
                <w:color w:val="auto"/>
                <w:w w:val="91"/>
              </w:rPr>
              <w:t>0.94%</w:t>
            </w:r>
          </w:p>
        </w:tc>
      </w:tr>
    </w:tbl>
    <w:p>
      <w:pPr>
        <w:ind w:right="400" w:firstLine="210"/>
        <w:spacing w:after="0" w:line="256" w:lineRule="auto"/>
        <w:rPr>
          <w:sz w:val="20"/>
          <w:szCs w:val="20"/>
          <w:color w:val="auto"/>
        </w:rPr>
      </w:pPr>
      <w:r>
        <w:rPr>
          <w:rFonts w:ascii="Arial" w:cs="Arial" w:eastAsia="Arial" w:hAnsi="Arial"/>
          <w:sz w:val="17"/>
          <w:szCs w:val="17"/>
          <w:color w:val="auto"/>
        </w:rPr>
        <w:t>The weighted-average fair value of options granted during fiscal 2009 and 2008 was $7.93 per share and $13.90 per share, respectively. The fair value of performance share awards granted during the first quarter of fiscal 2009 and 2008 was $28.62 per share and $58.96 per share, respectively. No performance share awards were granted during the second or third quarters of fiscal 2009 or fiscal 2008.</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(Dollars in thousands)</w:t>
            </w:r>
          </w:p>
        </w:tc>
        <w:tc>
          <w:tcPr>
            <w:tcW w:w="2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July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August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7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work in process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54,780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59,615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63,268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Finished goods and service parts</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156,112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195,034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194,118</w:t>
            </w:r>
          </w:p>
        </w:tc>
      </w:tr>
      <w:tr>
        <w:trPr>
          <w:trHeight w:val="26"/>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FIFO value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254,649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257,386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Less: adjustment to LIFO value</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50,303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42,889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50,302</w:t>
            </w:r>
          </w:p>
        </w:tc>
      </w:tr>
      <w:tr>
        <w:trPr>
          <w:trHeight w:val="26"/>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160,589</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211,760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207,084</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 Share Data</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basic and diluted weighted-average shares of common stock outstanding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300" w:type="dxa"/>
            <w:vAlign w:val="bottom"/>
            <w:gridSpan w:val="4"/>
          </w:tcPr>
          <w:p>
            <w:pPr>
              <w:ind w:left="740"/>
              <w:spacing w:after="0"/>
              <w:rPr>
                <w:sz w:val="20"/>
                <w:szCs w:val="20"/>
                <w:color w:val="auto"/>
              </w:rPr>
            </w:pPr>
            <w:r>
              <w:rPr>
                <w:rFonts w:ascii="Arial" w:cs="Arial" w:eastAsia="Arial" w:hAnsi="Arial"/>
                <w:sz w:val="17"/>
                <w:szCs w:val="17"/>
                <w:color w:val="auto"/>
              </w:rPr>
              <w:t>Three Months Ended</w:t>
            </w:r>
          </w:p>
        </w:tc>
        <w:tc>
          <w:tcPr>
            <w:tcW w:w="2860" w:type="dxa"/>
            <w:vAlign w:val="bottom"/>
            <w:gridSpan w:val="4"/>
          </w:tcPr>
          <w:p>
            <w:pPr>
              <w:ind w:left="74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2"/>
        </w:trPr>
        <w:tc>
          <w:tcPr>
            <w:tcW w:w="5280" w:type="dxa"/>
            <w:vAlign w:val="bottom"/>
            <w:gridSpan w:val="3"/>
          </w:tcPr>
          <w:p>
            <w:pPr>
              <w:spacing w:after="0" w:line="193" w:lineRule="exact"/>
              <w:rPr>
                <w:sz w:val="20"/>
                <w:szCs w:val="20"/>
                <w:color w:val="auto"/>
              </w:rPr>
            </w:pPr>
            <w:r>
              <w:rPr>
                <w:rFonts w:ascii="Arial" w:cs="Arial" w:eastAsia="Arial" w:hAnsi="Arial"/>
                <w:sz w:val="17"/>
                <w:szCs w:val="17"/>
                <w:color w:val="auto"/>
              </w:rPr>
              <w:t>(Shares in thousands)</w:t>
            </w:r>
          </w:p>
        </w:tc>
        <w:tc>
          <w:tcPr>
            <w:tcW w:w="1640" w:type="dxa"/>
            <w:vAlign w:val="bottom"/>
            <w:tcBorders>
              <w:top w:val="single" w:sz="8" w:color="auto"/>
            </w:tcBorders>
            <w:gridSpan w:val="2"/>
          </w:tcPr>
          <w:p>
            <w:pPr>
              <w:jc w:val="right"/>
              <w:ind w:right="680"/>
              <w:spacing w:after="0" w:line="193" w:lineRule="exact"/>
              <w:rPr>
                <w:sz w:val="20"/>
                <w:szCs w:val="20"/>
                <w:color w:val="auto"/>
              </w:rPr>
            </w:pPr>
            <w:r>
              <w:rPr>
                <w:rFonts w:ascii="Arial" w:cs="Arial" w:eastAsia="Arial" w:hAnsi="Arial"/>
                <w:sz w:val="17"/>
                <w:szCs w:val="17"/>
                <w:color w:val="auto"/>
              </w:rPr>
              <w:t>July 31,</w:t>
            </w:r>
          </w:p>
        </w:tc>
        <w:tc>
          <w:tcPr>
            <w:tcW w:w="130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August 1,</w:t>
            </w:r>
          </w:p>
        </w:tc>
        <w:tc>
          <w:tcPr>
            <w:tcW w:w="360" w:type="dxa"/>
            <w:vAlign w:val="bottom"/>
          </w:tcPr>
          <w:p>
            <w:pPr>
              <w:spacing w:after="0"/>
              <w:rPr>
                <w:sz w:val="16"/>
                <w:szCs w:val="16"/>
                <w:color w:val="auto"/>
              </w:rPr>
            </w:pPr>
          </w:p>
        </w:tc>
        <w:tc>
          <w:tcPr>
            <w:tcW w:w="1540" w:type="dxa"/>
            <w:vAlign w:val="bottom"/>
            <w:tcBorders>
              <w:top w:val="single" w:sz="8" w:color="auto"/>
            </w:tcBorders>
            <w:gridSpan w:val="2"/>
          </w:tcPr>
          <w:p>
            <w:pPr>
              <w:ind w:left="380"/>
              <w:spacing w:after="0" w:line="193" w:lineRule="exact"/>
              <w:rPr>
                <w:sz w:val="20"/>
                <w:szCs w:val="20"/>
                <w:color w:val="auto"/>
              </w:rPr>
            </w:pPr>
            <w:r>
              <w:rPr>
                <w:rFonts w:ascii="Arial" w:cs="Arial" w:eastAsia="Arial" w:hAnsi="Arial"/>
                <w:sz w:val="17"/>
                <w:szCs w:val="17"/>
                <w:color w:val="auto"/>
              </w:rPr>
              <w:t>July 31,</w:t>
            </w:r>
          </w:p>
        </w:tc>
        <w:tc>
          <w:tcPr>
            <w:tcW w:w="130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August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80" w:type="dxa"/>
            <w:vAlign w:val="bottom"/>
            <w:gridSpan w:val="3"/>
          </w:tcPr>
          <w:p>
            <w:pPr>
              <w:spacing w:after="0" w:line="179" w:lineRule="exact"/>
              <w:rPr>
                <w:sz w:val="20"/>
                <w:szCs w:val="20"/>
                <w:color w:val="auto"/>
              </w:rPr>
            </w:pPr>
            <w:r>
              <w:rPr>
                <w:rFonts w:ascii="Arial" w:cs="Arial" w:eastAsia="Arial" w:hAnsi="Arial"/>
                <w:sz w:val="17"/>
                <w:szCs w:val="17"/>
                <w:i w:val="1"/>
                <w:iCs w:val="1"/>
                <w:color w:val="auto"/>
              </w:rPr>
              <w:t>Basic</w:t>
            </w:r>
          </w:p>
        </w:tc>
        <w:tc>
          <w:tcPr>
            <w:tcW w:w="1400" w:type="dxa"/>
            <w:vAlign w:val="bottom"/>
          </w:tcPr>
          <w:p>
            <w:pPr>
              <w:jc w:val="right"/>
              <w:ind w:right="455"/>
              <w:spacing w:after="0" w:line="179" w:lineRule="exact"/>
              <w:rPr>
                <w:sz w:val="20"/>
                <w:szCs w:val="20"/>
                <w:color w:val="auto"/>
              </w:rPr>
            </w:pPr>
            <w:r>
              <w:rPr>
                <w:rFonts w:ascii="Arial" w:cs="Arial" w:eastAsia="Arial" w:hAnsi="Arial"/>
                <w:sz w:val="17"/>
                <w:szCs w:val="17"/>
                <w:color w:val="auto"/>
              </w:rPr>
              <w:t>2009</w:t>
            </w:r>
          </w:p>
        </w:tc>
        <w:tc>
          <w:tcPr>
            <w:tcW w:w="240" w:type="dxa"/>
            <w:vAlign w:val="bottom"/>
          </w:tcPr>
          <w:p>
            <w:pPr>
              <w:spacing w:after="0"/>
              <w:rPr>
                <w:sz w:val="15"/>
                <w:szCs w:val="15"/>
                <w:color w:val="auto"/>
              </w:rPr>
            </w:pPr>
          </w:p>
        </w:tc>
        <w:tc>
          <w:tcPr>
            <w:tcW w:w="1300" w:type="dxa"/>
            <w:vAlign w:val="bottom"/>
          </w:tcPr>
          <w:p>
            <w:pPr>
              <w:jc w:val="right"/>
              <w:ind w:right="395"/>
              <w:spacing w:after="0" w:line="179" w:lineRule="exact"/>
              <w:rPr>
                <w:sz w:val="20"/>
                <w:szCs w:val="20"/>
                <w:color w:val="auto"/>
              </w:rPr>
            </w:pPr>
            <w:r>
              <w:rPr>
                <w:rFonts w:ascii="Arial" w:cs="Arial" w:eastAsia="Arial" w:hAnsi="Arial"/>
                <w:sz w:val="17"/>
                <w:szCs w:val="17"/>
                <w:color w:val="auto"/>
              </w:rPr>
              <w:t>2008</w:t>
            </w:r>
          </w:p>
        </w:tc>
        <w:tc>
          <w:tcPr>
            <w:tcW w:w="360" w:type="dxa"/>
            <w:vAlign w:val="bottom"/>
          </w:tcPr>
          <w:p>
            <w:pPr>
              <w:spacing w:after="0"/>
              <w:rPr>
                <w:sz w:val="15"/>
                <w:szCs w:val="15"/>
                <w:color w:val="auto"/>
              </w:rPr>
            </w:pPr>
          </w:p>
        </w:tc>
        <w:tc>
          <w:tcPr>
            <w:tcW w:w="1300" w:type="dxa"/>
            <w:vAlign w:val="bottom"/>
          </w:tcPr>
          <w:p>
            <w:pPr>
              <w:jc w:val="right"/>
              <w:ind w:right="395"/>
              <w:spacing w:after="0" w:line="179" w:lineRule="exact"/>
              <w:rPr>
                <w:sz w:val="20"/>
                <w:szCs w:val="20"/>
                <w:color w:val="auto"/>
              </w:rPr>
            </w:pPr>
            <w:r>
              <w:rPr>
                <w:rFonts w:ascii="Arial" w:cs="Arial" w:eastAsia="Arial" w:hAnsi="Arial"/>
                <w:sz w:val="17"/>
                <w:szCs w:val="17"/>
                <w:color w:val="auto"/>
              </w:rPr>
              <w:t>2009</w:t>
            </w:r>
          </w:p>
        </w:tc>
        <w:tc>
          <w:tcPr>
            <w:tcW w:w="240" w:type="dxa"/>
            <w:vAlign w:val="bottom"/>
          </w:tcPr>
          <w:p>
            <w:pPr>
              <w:spacing w:after="0"/>
              <w:rPr>
                <w:sz w:val="15"/>
                <w:szCs w:val="15"/>
                <w:color w:val="auto"/>
              </w:rPr>
            </w:pPr>
          </w:p>
        </w:tc>
        <w:tc>
          <w:tcPr>
            <w:tcW w:w="1300" w:type="dxa"/>
            <w:vAlign w:val="bottom"/>
          </w:tcPr>
          <w:p>
            <w:pPr>
              <w:jc w:val="right"/>
              <w:ind w:right="395"/>
              <w:spacing w:after="0" w:line="179" w:lineRule="exact"/>
              <w:rPr>
                <w:sz w:val="20"/>
                <w:szCs w:val="20"/>
                <w:color w:val="auto"/>
              </w:rPr>
            </w:pPr>
            <w:r>
              <w:rPr>
                <w:rFonts w:ascii="Arial" w:cs="Arial" w:eastAsia="Arial" w:hAnsi="Arial"/>
                <w:sz w:val="17"/>
                <w:szCs w:val="17"/>
                <w:color w:val="auto"/>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Weighted-average number of shares of common stock</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35,981</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37,901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36,243</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gridSpan w:val="3"/>
          </w:tcPr>
          <w:p>
            <w:pPr>
              <w:spacing w:after="0"/>
              <w:rPr>
                <w:sz w:val="20"/>
                <w:szCs w:val="20"/>
                <w:color w:val="auto"/>
              </w:rPr>
            </w:pPr>
            <w:r>
              <w:rPr>
                <w:rFonts w:ascii="Arial" w:cs="Arial" w:eastAsia="Arial" w:hAnsi="Arial"/>
                <w:sz w:val="17"/>
                <w:szCs w:val="17"/>
                <w:color w:val="auto"/>
              </w:rPr>
              <w:t>Assumed issuance of contingent shares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28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89"/>
              </w:rPr>
              <w:t>Weighted-average number of shares of common stock and assumed issuance</w:t>
            </w:r>
          </w:p>
        </w:tc>
        <w:tc>
          <w:tcPr>
            <w:tcW w:w="1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35,981</w:t>
            </w:r>
          </w:p>
        </w:tc>
        <w:tc>
          <w:tcPr>
            <w:tcW w:w="16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7"/>
                <w:szCs w:val="17"/>
                <w:color w:val="auto"/>
              </w:rPr>
              <w:t>37,901</w:t>
            </w:r>
          </w:p>
        </w:tc>
        <w:tc>
          <w:tcPr>
            <w:tcW w:w="1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36,248</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38,177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80" w:type="dxa"/>
            <w:vAlign w:val="bottom"/>
            <w:gridSpan w:val="3"/>
            <w:shd w:val="clear" w:color="auto" w:fill="CCEEFF"/>
          </w:tcPr>
          <w:p>
            <w:pPr>
              <w:ind w:left="160"/>
              <w:spacing w:after="0" w:line="146" w:lineRule="exact"/>
              <w:rPr>
                <w:sz w:val="20"/>
                <w:szCs w:val="20"/>
                <w:color w:val="auto"/>
              </w:rPr>
            </w:pPr>
            <w:r>
              <w:rPr>
                <w:rFonts w:ascii="Arial" w:cs="Arial" w:eastAsia="Arial" w:hAnsi="Arial"/>
                <w:sz w:val="16"/>
                <w:szCs w:val="16"/>
                <w:color w:val="auto"/>
              </w:rPr>
              <w:t>of contingent shares</w:t>
            </w:r>
          </w:p>
        </w:tc>
        <w:tc>
          <w:tcPr>
            <w:tcW w:w="1640" w:type="dxa"/>
            <w:vAlign w:val="bottom"/>
            <w:gridSpan w:val="2"/>
            <w:vMerge w:val="continue"/>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20" w:type="dxa"/>
            <w:vAlign w:val="bottom"/>
            <w:tcBorders>
              <w:top w:val="single" w:sz="8" w:color="CCEEFF"/>
              <w:bottom w:val="single" w:sz="8" w:color="auto"/>
            </w:tcBorders>
            <w:gridSpan w:val="2"/>
          </w:tcPr>
          <w:p>
            <w:pPr>
              <w:spacing w:after="0" w:line="158" w:lineRule="exact"/>
              <w:rPr>
                <w:sz w:val="20"/>
                <w:szCs w:val="20"/>
                <w:color w:val="auto"/>
              </w:rPr>
            </w:pPr>
            <w:r>
              <w:rPr>
                <w:rFonts w:ascii="Arial" w:cs="Arial" w:eastAsia="Arial" w:hAnsi="Arial"/>
                <w:sz w:val="17"/>
                <w:szCs w:val="17"/>
                <w:i w:val="1"/>
                <w:iCs w:val="1"/>
                <w:color w:val="auto"/>
                <w:w w:val="94"/>
              </w:rPr>
              <w:t>Diluted</w:t>
            </w:r>
          </w:p>
        </w:tc>
        <w:tc>
          <w:tcPr>
            <w:tcW w:w="4760" w:type="dxa"/>
            <w:vAlign w:val="bottom"/>
            <w:tcBorders>
              <w:top w:val="single" w:sz="8" w:color="CCEEFF"/>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2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89"/>
              </w:rPr>
              <w:t>Weighted-average number of shares of common stock and assumed issuance</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of contingent shares</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35,981</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37,901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36,248</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3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28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0"/>
              </w:rPr>
              <w:t>Weighted-average number of shares of common stock, assumed issuance of</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36,357</w:t>
            </w:r>
          </w:p>
        </w:tc>
        <w:tc>
          <w:tcPr>
            <w:tcW w:w="240" w:type="dxa"/>
            <w:vAlign w:val="bottom"/>
            <w:vMerge w:val="restart"/>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38,708</w:t>
            </w:r>
          </w:p>
        </w:tc>
        <w:tc>
          <w:tcPr>
            <w:tcW w:w="360" w:type="dxa"/>
            <w:vAlign w:val="bottom"/>
            <w:vMerge w:val="restart"/>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36,626</w:t>
            </w:r>
          </w:p>
        </w:tc>
        <w:tc>
          <w:tcPr>
            <w:tcW w:w="240" w:type="dxa"/>
            <w:vAlign w:val="bottom"/>
            <w:vMerge w:val="restart"/>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39,039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80" w:type="dxa"/>
            <w:vAlign w:val="bottom"/>
            <w:tcBorders>
              <w:bottom w:val="single" w:sz="8" w:color="CCEEFF"/>
            </w:tcBorders>
            <w:gridSpan w:val="3"/>
            <w:shd w:val="clear" w:color="auto" w:fill="CCEEFF"/>
          </w:tcPr>
          <w:p>
            <w:pPr>
              <w:ind w:left="160"/>
              <w:spacing w:after="0" w:line="146" w:lineRule="exact"/>
              <w:rPr>
                <w:sz w:val="20"/>
                <w:szCs w:val="20"/>
                <w:color w:val="auto"/>
              </w:rPr>
            </w:pPr>
            <w:r>
              <w:rPr>
                <w:rFonts w:ascii="Arial" w:cs="Arial" w:eastAsia="Arial" w:hAnsi="Arial"/>
                <w:sz w:val="16"/>
                <w:szCs w:val="16"/>
                <w:color w:val="auto"/>
              </w:rPr>
              <w:t>contingent shares, and effect of dilutive securities</w:t>
            </w: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CCEEFF"/>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180" w:firstLine="213"/>
        <w:spacing w:after="0" w:line="299" w:lineRule="auto"/>
        <w:rPr>
          <w:sz w:val="20"/>
          <w:szCs w:val="20"/>
          <w:color w:val="auto"/>
        </w:rPr>
      </w:pPr>
      <w:r>
        <w:rPr>
          <w:rFonts w:ascii="Arial" w:cs="Arial" w:eastAsia="Arial" w:hAnsi="Arial"/>
          <w:sz w:val="15"/>
          <w:szCs w:val="15"/>
          <w:color w:val="auto"/>
        </w:rPr>
        <w:t>Options to purchase an aggregate of 1,493,976 and 1,457,742 shares of common stock outstanding during the third quarters of fiscal 2009 and 2008, respectively, were excluded from the diluted net earnings per share calculation because their exercise prices were greater than the average market price of the company’s common stock during the same respective periods. Options to purchase an aggregate of 1,495,271 and 1,457,742 shares of common stock outstanding during the year-to-date periods through the third quarter of fiscal 2009 and 2008, respectively, were excluded from the diluted net earnings per share calculations because their exercise prices were greater than the average market price of the company’s common stock during the same respective periods.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5960" w:type="dxa"/>
            <w:vAlign w:val="bottom"/>
          </w:tcPr>
          <w:p>
            <w:pPr>
              <w:spacing w:after="0"/>
              <w:rPr>
                <w:sz w:val="20"/>
                <w:szCs w:val="20"/>
                <w:color w:val="auto"/>
              </w:rPr>
            </w:pPr>
            <w:r>
              <w:rPr>
                <w:rFonts w:ascii="Arial" w:cs="Arial" w:eastAsia="Arial" w:hAnsi="Arial"/>
                <w:sz w:val="17"/>
                <w:szCs w:val="17"/>
                <w:b w:val="1"/>
                <w:bCs w:val="1"/>
                <w:color w:val="auto"/>
              </w:rPr>
              <w:t>Goodwill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7440" w:type="dxa"/>
            <w:vAlign w:val="bottom"/>
            <w:gridSpan w:val="4"/>
          </w:tcPr>
          <w:p>
            <w:pPr>
              <w:spacing w:after="0"/>
              <w:rPr>
                <w:sz w:val="20"/>
                <w:szCs w:val="20"/>
                <w:color w:val="auto"/>
              </w:rPr>
            </w:pPr>
            <w:r>
              <w:rPr>
                <w:rFonts w:ascii="Arial" w:cs="Arial" w:eastAsia="Arial" w:hAnsi="Arial"/>
                <w:sz w:val="17"/>
                <w:szCs w:val="17"/>
                <w:color w:val="auto"/>
                <w:w w:val="93"/>
              </w:rPr>
              <w:t>The changes in the net carrying amount of goodwill for the first nine months of fiscal 2009 were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5"/>
              <w:spacing w:after="0"/>
              <w:rPr>
                <w:sz w:val="20"/>
                <w:szCs w:val="20"/>
                <w:color w:val="auto"/>
              </w:rPr>
            </w:pPr>
            <w:r>
              <w:rPr>
                <w:rFonts w:ascii="Arial" w:cs="Arial" w:eastAsia="Arial" w:hAnsi="Arial"/>
                <w:sz w:val="17"/>
                <w:szCs w:val="17"/>
                <w:color w:val="auto"/>
                <w:w w:val="91"/>
              </w:rPr>
              <w:t>Professional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Residential</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5"/>
              </w:rPr>
              <w:t>Segment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8"/>
              </w:rPr>
              <w:t>Segment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95"/>
              </w:rPr>
              <w:t>Total</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October 31, 2008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75,456</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10,736</w:t>
            </w:r>
          </w:p>
        </w:tc>
        <w:tc>
          <w:tcPr>
            <w:tcW w:w="160" w:type="dxa"/>
            <w:vAlign w:val="bottom"/>
            <w:tcBorders>
              <w:lef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86,192</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Translation adjustment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r>
      <w:tr>
        <w:trPr>
          <w:trHeight w:val="26"/>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July 31, 2009</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75,488</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10,833</w:t>
            </w:r>
          </w:p>
        </w:tc>
        <w:tc>
          <w:tcPr>
            <w:tcW w:w="160" w:type="dxa"/>
            <w:vAlign w:val="bottom"/>
            <w:tcBorders>
              <w:lef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86,321</w:t>
            </w:r>
          </w:p>
        </w:tc>
      </w:tr>
      <w:tr>
        <w:trPr>
          <w:trHeight w:val="425"/>
        </w:trPr>
        <w:tc>
          <w:tcPr>
            <w:tcW w:w="59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Other Intangible Assets</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5"/>
        </w:trPr>
        <w:tc>
          <w:tcPr>
            <w:tcW w:w="5960" w:type="dxa"/>
            <w:vAlign w:val="bottom"/>
          </w:tcPr>
          <w:p>
            <w:pPr>
              <w:spacing w:after="0"/>
              <w:rPr>
                <w:sz w:val="20"/>
                <w:szCs w:val="20"/>
                <w:color w:val="auto"/>
              </w:rPr>
            </w:pPr>
            <w:r>
              <w:rPr>
                <w:rFonts w:ascii="Arial" w:cs="Arial" w:eastAsia="Arial" w:hAnsi="Arial"/>
                <w:sz w:val="17"/>
                <w:szCs w:val="17"/>
                <w:color w:val="auto"/>
              </w:rPr>
              <w:t>The components of other amortizable intangible assets were as follows: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0"/>
              </w:rPr>
              <w:t>Gross Carrying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July 31, 2009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5"/>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Amortization</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90"/>
              </w:rPr>
              <w:t>Net</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Non-compete agreements</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(1,437)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6,346</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5,021</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Developed technology</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(2,876)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5,056</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25,170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(13,088)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12,082</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 names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5,578</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5,578</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30,748</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(13,088)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17,660</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0"/>
              </w:rPr>
              <w:t>Gross Carrying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October 31, 2008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5"/>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Amortization</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90"/>
              </w:rPr>
              <w:t>Net</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(6,320)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Non-compete agreements</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1,259</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5,399</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Developed technology</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(2,327)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5,259</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24,805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(11,555)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13,250</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 names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5,578</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5,578</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30,383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(11,555)</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18,828</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60" w:firstLine="204"/>
        <w:spacing w:after="0" w:line="263" w:lineRule="auto"/>
        <w:rPr>
          <w:sz w:val="20"/>
          <w:szCs w:val="20"/>
          <w:color w:val="auto"/>
        </w:rPr>
      </w:pPr>
      <w:r>
        <w:rPr>
          <w:rFonts w:ascii="Arial" w:cs="Arial" w:eastAsia="Arial" w:hAnsi="Arial"/>
          <w:sz w:val="17"/>
          <w:szCs w:val="17"/>
          <w:color w:val="auto"/>
        </w:rPr>
        <w:t>Amortization expense for intangible assets during the first nine months of fiscal 2009 was $1.4 million. Estimated amortization expense for the remainder of fiscal 2009 and succeeding fiscal years is expected to be as follows: fiscal 2009 (remainder), $0.5 million; fiscal 2010, $1.7 million; fiscal 2011, $1.7 million; fiscal 2012, $1.6 million; fiscal 2013, $1.5 million; fiscal 2014; $1.1 million; and after fiscal 2014, $4.0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Data</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Company-owned domestic distributorships, which consists of our distribution segment, has been combined with our corporate activities, financing functions, and elimination of intersegment revenues and expenses that is shown as “Other” in the following tables.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9" w:name="page10"/>
    <w:bookmarkEnd w:id="9"/>
    <w:p>
      <w:pPr>
        <w:ind w:left="2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Three months ended July 31, 2009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1"/>
              </w:rPr>
              <w:t>Professional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5"/>
              </w:rPr>
              <w:t>Residential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260,884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126,181</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7,794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394,859</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5,226</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(5,356)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39,436</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31,170</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Three months ended August 1, 2008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91"/>
              </w:rPr>
              <w:t>Professional</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95"/>
              </w:rPr>
              <w:t>Residential</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Total</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359,070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124,671</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8,894</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492,635</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9,626</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71,179</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(16,496)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58,053</w:t>
            </w:r>
          </w:p>
        </w:tc>
      </w:tr>
      <w:tr>
        <w:trPr>
          <w:trHeight w:val="205"/>
        </w:trPr>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Nine months ended July 31, 2009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1"/>
              </w:rPr>
              <w:t>Professional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5"/>
              </w:rPr>
              <w:t>Residential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Total</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800,630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416,762</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1,234,883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16,168</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(17,187)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126,424</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32,122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(61,166)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97,380</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460,115</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153,827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303,753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917,695</w:t>
            </w:r>
          </w:p>
        </w:tc>
      </w:tr>
      <w:tr>
        <w:trPr>
          <w:trHeight w:val="205"/>
        </w:trPr>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Nine months ended August 1, 2008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1"/>
              </w:rPr>
              <w:t>Professional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5"/>
              </w:rPr>
              <w:t>Residential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Total</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1,092,767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423,545</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20,632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1,536,944</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25,587</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(32,359)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219,639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27,933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(64,078)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183,494</w:t>
            </w: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536,084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248,606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992,335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details of the other segment operating loss before income taxes: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20"/>
              <w:spacing w:after="0" w:line="193" w:lineRule="exact"/>
              <w:rPr>
                <w:sz w:val="20"/>
                <w:szCs w:val="20"/>
                <w:color w:val="auto"/>
              </w:rPr>
            </w:pPr>
            <w:r>
              <w:rPr>
                <w:rFonts w:ascii="Arial" w:cs="Arial" w:eastAsia="Arial" w:hAnsi="Arial"/>
                <w:sz w:val="17"/>
                <w:szCs w:val="17"/>
                <w:color w:val="auto"/>
              </w:rPr>
              <w:t>July 31,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93" w:lineRule="exact"/>
              <w:rPr>
                <w:sz w:val="20"/>
                <w:szCs w:val="20"/>
                <w:color w:val="auto"/>
              </w:rPr>
            </w:pPr>
            <w:r>
              <w:rPr>
                <w:rFonts w:ascii="Arial" w:cs="Arial" w:eastAsia="Arial" w:hAnsi="Arial"/>
                <w:sz w:val="17"/>
                <w:szCs w:val="17"/>
                <w:color w:val="auto"/>
                <w:w w:val="92"/>
              </w:rPr>
              <w:t>July 31,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1,</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Corporate expenses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(14,931)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(15,303)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(54,744)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(59,191)</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Finance charge revenue</w:t>
            </w: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213</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853</w:t>
            </w:r>
          </w:p>
        </w:tc>
      </w:tr>
      <w:tr>
        <w:trPr>
          <w:trHeight w:val="192"/>
        </w:trPr>
        <w:tc>
          <w:tcPr>
            <w:tcW w:w="60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Elimination of corporate financing</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6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7,778</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(4,429)</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(4,645)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(13,207)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(14,947)</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1,429</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(18,967)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(16,496)</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(61,166)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(64,078)</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Guarantees</w:t>
      </w:r>
    </w:p>
    <w:p>
      <w:pPr>
        <w:spacing w:after="0" w:line="243"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ind w:left="220"/>
        <w:spacing w:after="0"/>
        <w:rPr>
          <w:sz w:val="20"/>
          <w:szCs w:val="20"/>
          <w:color w:val="auto"/>
        </w:rPr>
      </w:pPr>
      <w:r>
        <w:rPr>
          <w:rFonts w:ascii="Arial" w:cs="Arial" w:eastAsia="Arial" w:hAnsi="Arial"/>
          <w:sz w:val="17"/>
          <w:szCs w:val="17"/>
          <w:color w:val="auto"/>
        </w:rPr>
        <w:t>Warranty provisions, claims, and changes in estimates for the first nine-month periods in fiscal 2009 and 2008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Beginning</w:t>
            </w: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Warranty</w:t>
            </w: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Warranty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Changes in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Ending</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Nine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1"/>
              </w:rPr>
              <w:t>Provisions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2"/>
              </w:rPr>
              <w:t>Claims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99"/>
              </w:rPr>
              <w:t>Estimates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1"/>
              </w:rPr>
              <w:t>Balance</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July 31,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58,770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59,995</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August 1,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35,829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68,047</w:t>
            </w:r>
          </w:p>
        </w:tc>
      </w:tr>
      <w:tr>
        <w:trPr>
          <w:trHeight w:val="80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20"/>
                <w:szCs w:val="20"/>
                <w:color w:val="auto"/>
              </w:rPr>
            </w:pPr>
            <w:r>
              <w:rPr>
                <w:rFonts w:ascii="Arial" w:cs="Arial" w:eastAsia="Arial" w:hAnsi="Arial"/>
                <w:sz w:val="17"/>
                <w:szCs w:val="17"/>
                <w:b w:val="1"/>
                <w:bCs w:val="1"/>
                <w:color w:val="auto"/>
              </w:rPr>
              <w:t>Postretirement Benefit and Deferred Compensation Plans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8820" w:type="dxa"/>
            <w:vAlign w:val="bottom"/>
            <w:gridSpan w:val="7"/>
          </w:tcPr>
          <w:p>
            <w:pPr>
              <w:spacing w:after="0"/>
              <w:rPr>
                <w:sz w:val="20"/>
                <w:szCs w:val="20"/>
                <w:color w:val="auto"/>
              </w:rPr>
            </w:pPr>
            <w:r>
              <w:rPr>
                <w:rFonts w:ascii="Arial" w:cs="Arial" w:eastAsia="Arial" w:hAnsi="Arial"/>
                <w:sz w:val="17"/>
                <w:szCs w:val="17"/>
                <w:color w:val="auto"/>
                <w:w w:val="91"/>
              </w:rPr>
              <w:t>The following table presents the components of net periodic benefit costs of the postretirement medical and dental benefit plan: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2760" w:type="dxa"/>
            <w:vAlign w:val="bottom"/>
            <w:gridSpan w:val="6"/>
          </w:tcPr>
          <w:p>
            <w:pPr>
              <w:jc w:val="right"/>
              <w:ind w:right="760"/>
              <w:spacing w:after="0"/>
              <w:rPr>
                <w:sz w:val="20"/>
                <w:szCs w:val="20"/>
                <w:color w:val="auto"/>
              </w:rPr>
            </w:pPr>
            <w:r>
              <w:rPr>
                <w:rFonts w:ascii="Arial" w:cs="Arial" w:eastAsia="Arial" w:hAnsi="Arial"/>
                <w:sz w:val="17"/>
                <w:szCs w:val="17"/>
                <w:color w:val="auto"/>
              </w:rPr>
              <w:t>Three Months Ended</w:t>
            </w:r>
          </w:p>
        </w:tc>
        <w:tc>
          <w:tcPr>
            <w:tcW w:w="200" w:type="dxa"/>
            <w:vAlign w:val="bottom"/>
          </w:tcPr>
          <w:p>
            <w:pPr>
              <w:spacing w:after="0"/>
              <w:rPr>
                <w:sz w:val="24"/>
                <w:szCs w:val="24"/>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8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July 31,</w:t>
            </w: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1,</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93" w:lineRule="exact"/>
              <w:rPr>
                <w:sz w:val="20"/>
                <w:szCs w:val="20"/>
                <w:color w:val="auto"/>
              </w:rPr>
            </w:pPr>
            <w:r>
              <w:rPr>
                <w:rFonts w:ascii="Arial" w:cs="Arial" w:eastAsia="Arial" w:hAnsi="Arial"/>
                <w:sz w:val="17"/>
                <w:szCs w:val="17"/>
                <w:color w:val="auto"/>
                <w:w w:val="92"/>
              </w:rPr>
              <w:t>July 31,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1,</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2009</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cost</w:t>
            </w:r>
          </w:p>
        </w:tc>
        <w:tc>
          <w:tcPr>
            <w:tcW w:w="88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175</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129</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387</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8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Amortization of losses</w:t>
            </w:r>
          </w:p>
        </w:tc>
        <w:tc>
          <w:tcPr>
            <w:tcW w:w="8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159</w:t>
            </w:r>
          </w:p>
        </w:tc>
      </w:tr>
      <w:tr>
        <w:trPr>
          <w:trHeight w:val="26"/>
        </w:trPr>
        <w:tc>
          <w:tcPr>
            <w:tcW w:w="6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expense</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669</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As of July 31, 2009, the company had contributed approximately $0.3 million to its postretirement medical and dental benefit plan in fiscal 2009. The company expects to contribute a total of $0.4 million in fiscal 2009, including contributions made through July 31, 2009.</w:t>
      </w:r>
    </w:p>
    <w:p>
      <w:pPr>
        <w:jc w:val="both"/>
        <w:ind w:right="400" w:firstLine="210"/>
        <w:spacing w:after="0" w:line="25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$3.8 million and $11.9 million for the third quarter and year-to-date periods in fiscal 2009, respectively, and $4.0 million and $12.2 million for the third quarter and year-to-date periods in fiscal 2008, respectively.</w:t>
      </w:r>
    </w:p>
    <w:p>
      <w:pPr>
        <w:spacing w:after="0" w:line="1" w:lineRule="exact"/>
        <w:rPr>
          <w:sz w:val="20"/>
          <w:szCs w:val="20"/>
          <w:color w:val="auto"/>
        </w:rPr>
      </w:pPr>
    </w:p>
    <w:p>
      <w:pPr>
        <w:ind w:right="240" w:firstLine="85"/>
        <w:spacing w:after="0" w:line="256" w:lineRule="auto"/>
        <w:rPr>
          <w:sz w:val="20"/>
          <w:szCs w:val="20"/>
          <w:color w:val="auto"/>
        </w:rPr>
      </w:pPr>
      <w:r>
        <w:rPr>
          <w:rFonts w:ascii="Arial" w:cs="Arial" w:eastAsia="Arial" w:hAnsi="Arial"/>
          <w:sz w:val="17"/>
          <w:szCs w:val="17"/>
          <w:color w:val="auto"/>
        </w:rPr>
        <w:t>The company also offers participants in the company’s deferred compensation plans the ability to invest their deferred compensation in multiple investment funds. The fair value of the investment in the deferred compensation plans as of July 31, 2009 was $14.7 million, which reduced the company’s deferred compensation liability reflected in accrued liabilities on the consolidated balance sheet.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company is subject to U.S. federal income tax as well as income tax of numerous state and foreign jurisdictions. The company is generally no longer subject to U.S. federal tax examinations for taxable years before fiscal 2005 and with limited exceptions, state and foreign income tax examinations for fiscal years before 2004. The Internal Revenue Service is currently examining the company’s income tax returns for the 2006 and 2007 fiscal years. It is possible that the examination phase of the audit may conclude in the next 12 months, and the related unrecognized tax benefits for tax positions taken may change from those recorded as liabilities for uncertain tax positions in the company’s financial statements as of July 31, 2009. Although the outcome of this examination cannot currently be determined, the company believes adequate provisions have been made for any potential unfavorable financial statement impact.</w:t>
      </w:r>
    </w:p>
    <w:p>
      <w:pPr>
        <w:spacing w:after="0" w:line="2" w:lineRule="exact"/>
        <w:rPr>
          <w:sz w:val="20"/>
          <w:szCs w:val="20"/>
          <w:color w:val="auto"/>
        </w:rPr>
      </w:pPr>
    </w:p>
    <w:p>
      <w:pPr>
        <w:ind w:right="40" w:firstLine="204"/>
        <w:spacing w:after="0" w:line="266" w:lineRule="auto"/>
        <w:rPr>
          <w:sz w:val="20"/>
          <w:szCs w:val="20"/>
          <w:color w:val="auto"/>
        </w:rPr>
      </w:pPr>
      <w:r>
        <w:rPr>
          <w:rFonts w:ascii="Arial" w:cs="Arial" w:eastAsia="Arial" w:hAnsi="Arial"/>
          <w:sz w:val="16"/>
          <w:szCs w:val="16"/>
          <w:color w:val="auto"/>
        </w:rPr>
        <w:t>As of July 31, 2009 and August 1, 2008, the company had $5.4 million of liabilities recorded related to unrecognized tax benefits. Accrued interest and penalties on these unrecognized tax benefits was $0.9 million as of both July 31, 2009 and August 1, 2008. The company recognizes potential accrued interest and penalties related to unrecognized tax benefits as a component of the provision for income taxes. To the extent interest and penalties are not assessed with respect to uncertain tax positions, the amounts accrued will be revised and reflected as an adjustment to the provision for income taxes. Included in other long-term liabilities as of July 31, 2009 was approximately $3.0 million of unrecognized tax benefits that, if recognized, will affect the company’s effective tax rate.</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anticipate that total unrecognized tax benefits will change significantly during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In March 2008, the Financial Accounting Standards Board (FASB) issued SFAS No. 161, “Disclosures about Derivative Instruments and Hedging Activities, an amendment of FASB Statement No. 133.” SFAS No. 161 amends and expands the disclosure requirements of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The company adopted the disclosure requirements of this statement beginning in its first fiscal quarter ended January 30, 2009.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1" w:name="page12"/>
    <w:bookmarkEnd w:id="11"/>
    <w:p>
      <w:pPr>
        <w:ind w:right="100" w:firstLine="210"/>
        <w:spacing w:after="0" w:line="272"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is not to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SFAS No. 133, “Accounting for Derivative Instruments and Hedging Activities” requires companies to recognize all derivative instruments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assets or liabilities at fair value on the consolidated balance sheet. The company formally documents all relationships between hedging instruments and hedged items, as well as its risk-management objective and strategy for undertaking hedge transactions. This process includes linking all derivatives to the forecasted transactions, such as sales to third parties and foreign plant operations. Derivative instruments that are designated and qualify as a cash flow hedge, all changes in fair values of outstanding cash flow hedge derivatives, except the ineffective portion, are recorded in other comprehensive income,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3" w:lineRule="exact"/>
        <w:rPr>
          <w:sz w:val="20"/>
          <w:szCs w:val="20"/>
          <w:color w:val="auto"/>
        </w:rPr>
      </w:pPr>
    </w:p>
    <w:p>
      <w:pPr>
        <w:ind w:right="140" w:firstLine="210"/>
        <w:spacing w:after="0" w:line="289" w:lineRule="auto"/>
        <w:rPr>
          <w:sz w:val="20"/>
          <w:szCs w:val="20"/>
          <w:color w:val="auto"/>
        </w:rPr>
      </w:pPr>
      <w:r>
        <w:rPr>
          <w:rFonts w:ascii="Arial" w:cs="Arial" w:eastAsia="Arial" w:hAnsi="Arial"/>
          <w:sz w:val="15"/>
          <w:szCs w:val="15"/>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income (AOCI)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other comprehensive income will be recognized immediately in net earnings. In all situations in which hedge accounting is discontinued and the derivative remains outstanding, the company carries the derivative at its fair value on the balance sheet, recognizing future changes in the fair value in other income, net. For the three and nine month periods of fiscal 2009, there were no gains or losses on contracts reclassified into earnings as a result of the discontinuance of cash flow hedges. As of July 31, 2009, the notional amount outstanding of forward contracts designated as cash flow hedges was $76.5 million.</w:t>
      </w:r>
    </w:p>
    <w:p>
      <w:pPr>
        <w:spacing w:after="0" w:line="186"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under SFAS No. 133. </w:t>
      </w:r>
      <w:r>
        <w:rPr>
          <w:rFonts w:ascii="Arial" w:cs="Arial" w:eastAsia="Arial" w:hAnsi="Arial"/>
          <w:sz w:val="16"/>
          <w:szCs w:val="16"/>
          <w:color w:val="auto"/>
        </w:rPr>
        <w:t>The company also enters into forward currency contracts to mitigate the change in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specific assets and liabilities on the consolidated balance sheet. These contracts are not designated as hedging instruments under SFAS No. 133.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2" w:name="page13"/>
    <w:bookmarkEnd w:id="12"/>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fair value of the company’s derivatives and consolidated balance sheet location.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5"/>
          </w:tcPr>
          <w:p>
            <w:pPr>
              <w:ind w:left="580"/>
              <w:spacing w:after="0"/>
              <w:rPr>
                <w:sz w:val="20"/>
                <w:szCs w:val="20"/>
                <w:color w:val="auto"/>
              </w:rPr>
            </w:pPr>
            <w:r>
              <w:rPr>
                <w:rFonts w:ascii="Arial" w:cs="Arial" w:eastAsia="Arial" w:hAnsi="Arial"/>
                <w:sz w:val="17"/>
                <w:szCs w:val="17"/>
                <w:b w:val="1"/>
                <w:bCs w:val="1"/>
                <w:color w:val="auto"/>
              </w:rPr>
              <w:t>Asset Derivatives</w:t>
            </w: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Liability Derivatives</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210"/>
        </w:trPr>
        <w:tc>
          <w:tcPr>
            <w:tcW w:w="1620" w:type="dxa"/>
            <w:vAlign w:val="bottom"/>
          </w:tcPr>
          <w:p>
            <w:pPr>
              <w:spacing w:after="0"/>
              <w:rPr>
                <w:sz w:val="18"/>
                <w:szCs w:val="18"/>
                <w:color w:val="auto"/>
              </w:rPr>
            </w:pPr>
          </w:p>
        </w:tc>
        <w:tc>
          <w:tcPr>
            <w:tcW w:w="20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July 31, 2009</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7"/>
                <w:szCs w:val="17"/>
                <w:b w:val="1"/>
                <w:bCs w:val="1"/>
                <w:color w:val="auto"/>
              </w:rPr>
              <w:t>August 1, 2008</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ind w:left="760"/>
              <w:spacing w:after="0"/>
              <w:rPr>
                <w:sz w:val="20"/>
                <w:szCs w:val="20"/>
                <w:color w:val="auto"/>
              </w:rPr>
            </w:pPr>
            <w:r>
              <w:rPr>
                <w:rFonts w:ascii="Arial" w:cs="Arial" w:eastAsia="Arial" w:hAnsi="Arial"/>
                <w:sz w:val="17"/>
                <w:szCs w:val="17"/>
                <w:b w:val="1"/>
                <w:bCs w:val="1"/>
                <w:color w:val="auto"/>
                <w:w w:val="89"/>
              </w:rPr>
              <w:t>July 31, 2009</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rPr>
              <w:t>August 1, 2008</w:t>
            </w:r>
          </w:p>
        </w:tc>
        <w:tc>
          <w:tcPr>
            <w:tcW w:w="40" w:type="dxa"/>
            <w:vAlign w:val="bottom"/>
          </w:tcPr>
          <w:p>
            <w:pPr>
              <w:spacing w:after="0"/>
              <w:rPr>
                <w:sz w:val="18"/>
                <w:szCs w:val="18"/>
                <w:color w:val="auto"/>
              </w:rPr>
            </w:pPr>
          </w:p>
        </w:tc>
      </w:tr>
      <w:tr>
        <w:trPr>
          <w:trHeight w:val="192"/>
        </w:trPr>
        <w:tc>
          <w:tcPr>
            <w:tcW w:w="1620" w:type="dxa"/>
            <w:vAlign w:val="bottom"/>
          </w:tcPr>
          <w:p>
            <w:pPr>
              <w:spacing w:after="0"/>
              <w:rPr>
                <w:sz w:val="16"/>
                <w:szCs w:val="16"/>
                <w:color w:val="auto"/>
              </w:rPr>
            </w:pPr>
          </w:p>
        </w:tc>
        <w:tc>
          <w:tcPr>
            <w:tcW w:w="104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16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Fair</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20" w:type="dxa"/>
            <w:vAlign w:val="bottom"/>
          </w:tcPr>
          <w:p>
            <w:pPr>
              <w:spacing w:after="0"/>
              <w:rPr>
                <w:sz w:val="17"/>
                <w:szCs w:val="17"/>
                <w:color w:val="auto"/>
              </w:rPr>
            </w:pPr>
          </w:p>
        </w:tc>
        <w:tc>
          <w:tcPr>
            <w:tcW w:w="920" w:type="dxa"/>
            <w:vAlign w:val="bottom"/>
          </w:tcPr>
          <w:p>
            <w:pPr>
              <w:jc w:val="right"/>
              <w:ind w:right="138"/>
              <w:spacing w:after="0"/>
              <w:rPr>
                <w:sz w:val="20"/>
                <w:szCs w:val="20"/>
                <w:color w:val="auto"/>
              </w:rPr>
            </w:pPr>
            <w:r>
              <w:rPr>
                <w:rFonts w:ascii="Arial" w:cs="Arial" w:eastAsia="Arial" w:hAnsi="Arial"/>
                <w:sz w:val="17"/>
                <w:szCs w:val="17"/>
                <w:color w:val="auto"/>
              </w:rPr>
              <w:t>Fair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335"/>
              <w:spacing w:after="0"/>
              <w:rPr>
                <w:sz w:val="20"/>
                <w:szCs w:val="20"/>
                <w:color w:val="auto"/>
              </w:rPr>
            </w:pPr>
            <w:r>
              <w:rPr>
                <w:rFonts w:ascii="Arial" w:cs="Arial" w:eastAsia="Arial" w:hAnsi="Arial"/>
                <w:sz w:val="17"/>
                <w:szCs w:val="17"/>
                <w:color w:val="auto"/>
              </w:rPr>
              <w:t>Fair</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Fair</w:t>
            </w:r>
          </w:p>
        </w:tc>
      </w:tr>
      <w:tr>
        <w:trPr>
          <w:trHeight w:val="223"/>
        </w:trPr>
        <w:tc>
          <w:tcPr>
            <w:tcW w:w="1620" w:type="dxa"/>
            <w:vAlign w:val="bottom"/>
          </w:tcPr>
          <w:p>
            <w:pPr>
              <w:spacing w:after="0"/>
              <w:rPr>
                <w:sz w:val="20"/>
                <w:szCs w:val="20"/>
                <w:color w:val="auto"/>
              </w:rPr>
            </w:pPr>
            <w:r>
              <w:rPr>
                <w:rFonts w:ascii="Arial" w:cs="Arial" w:eastAsia="Arial" w:hAnsi="Arial"/>
                <w:sz w:val="17"/>
                <w:szCs w:val="17"/>
                <w:color w:val="auto"/>
                <w:w w:val="96"/>
              </w:rPr>
              <w:t>(Dollars in thousands)</w:t>
            </w: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Location</w:t>
            </w:r>
          </w:p>
        </w:tc>
        <w:tc>
          <w:tcPr>
            <w:tcW w:w="10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Value</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Location</w:t>
            </w:r>
          </w:p>
        </w:tc>
        <w:tc>
          <w:tcPr>
            <w:tcW w:w="120" w:type="dxa"/>
            <w:vAlign w:val="bottom"/>
          </w:tcPr>
          <w:p>
            <w:pPr>
              <w:spacing w:after="0"/>
              <w:rPr>
                <w:sz w:val="19"/>
                <w:szCs w:val="19"/>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Value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6"/>
              </w:rPr>
              <w:t>Location</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Value</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3"/>
              </w:rPr>
              <w:t>Location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Value</w:t>
            </w:r>
          </w:p>
        </w:tc>
      </w:tr>
      <w:tr>
        <w:trPr>
          <w:trHeight w:val="205"/>
        </w:trPr>
        <w:tc>
          <w:tcPr>
            <w:tcW w:w="16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Derivatives Designated as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5"/>
        </w:trPr>
        <w:tc>
          <w:tcPr>
            <w:tcW w:w="1620" w:type="dxa"/>
            <w:vAlign w:val="bottom"/>
          </w:tcPr>
          <w:p>
            <w:pPr>
              <w:spacing w:after="0"/>
              <w:rPr>
                <w:sz w:val="20"/>
                <w:szCs w:val="20"/>
                <w:color w:val="auto"/>
              </w:rPr>
            </w:pPr>
            <w:r>
              <w:rPr>
                <w:rFonts w:ascii="Arial" w:cs="Arial" w:eastAsia="Arial" w:hAnsi="Arial"/>
                <w:sz w:val="17"/>
                <w:szCs w:val="17"/>
                <w:b w:val="1"/>
                <w:bCs w:val="1"/>
                <w:color w:val="auto"/>
                <w:w w:val="94"/>
              </w:rPr>
              <w:t>Hedging Instruments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2"/>
        </w:trPr>
        <w:tc>
          <w:tcPr>
            <w:tcW w:w="1620" w:type="dxa"/>
            <w:vAlign w:val="bottom"/>
          </w:tcPr>
          <w:p>
            <w:pPr>
              <w:spacing w:after="0" w:line="193" w:lineRule="exact"/>
              <w:rPr>
                <w:sz w:val="20"/>
                <w:szCs w:val="20"/>
                <w:color w:val="auto"/>
              </w:rPr>
            </w:pPr>
            <w:r>
              <w:rPr>
                <w:rFonts w:ascii="Arial" w:cs="Arial" w:eastAsia="Arial" w:hAnsi="Arial"/>
                <w:sz w:val="17"/>
                <w:szCs w:val="17"/>
                <w:color w:val="auto"/>
              </w:rPr>
              <w:t>Foreign exchange</w:t>
            </w:r>
          </w:p>
        </w:tc>
        <w:tc>
          <w:tcPr>
            <w:tcW w:w="1040" w:type="dxa"/>
            <w:vAlign w:val="bottom"/>
          </w:tcPr>
          <w:p>
            <w:pPr>
              <w:spacing w:after="0" w:line="193" w:lineRule="exact"/>
              <w:rPr>
                <w:sz w:val="20"/>
                <w:szCs w:val="20"/>
                <w:color w:val="auto"/>
              </w:rPr>
            </w:pPr>
            <w:r>
              <w:rPr>
                <w:rFonts w:ascii="Arial" w:cs="Arial" w:eastAsia="Arial" w:hAnsi="Arial"/>
                <w:sz w:val="17"/>
                <w:szCs w:val="17"/>
                <w:color w:val="auto"/>
              </w:rPr>
              <w:t>Prepaid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ind w:left="60"/>
              <w:spacing w:after="0" w:line="193" w:lineRule="exact"/>
              <w:rPr>
                <w:sz w:val="20"/>
                <w:szCs w:val="20"/>
                <w:color w:val="auto"/>
              </w:rPr>
            </w:pPr>
            <w:r>
              <w:rPr>
                <w:rFonts w:ascii="Arial" w:cs="Arial" w:eastAsia="Arial" w:hAnsi="Arial"/>
                <w:sz w:val="17"/>
                <w:szCs w:val="17"/>
                <w:color w:val="auto"/>
              </w:rPr>
              <w:t>Prepaid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line="193" w:lineRule="exact"/>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line="193" w:lineRule="exact"/>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1620" w:type="dxa"/>
            <w:vAlign w:val="bottom"/>
          </w:tcPr>
          <w:p>
            <w:pPr>
              <w:spacing w:after="0"/>
              <w:rPr>
                <w:sz w:val="20"/>
                <w:szCs w:val="20"/>
                <w:color w:val="auto"/>
              </w:rPr>
            </w:pPr>
            <w:r>
              <w:rPr>
                <w:rFonts w:ascii="Arial" w:cs="Arial" w:eastAsia="Arial" w:hAnsi="Arial"/>
                <w:sz w:val="17"/>
                <w:szCs w:val="17"/>
                <w:color w:val="auto"/>
              </w:rPr>
              <w:t>contracts</w:t>
            </w:r>
          </w:p>
        </w:tc>
        <w:tc>
          <w:tcPr>
            <w:tcW w:w="1040" w:type="dxa"/>
            <w:vAlign w:val="bottom"/>
          </w:tcPr>
          <w:p>
            <w:pPr>
              <w:spacing w:after="0"/>
              <w:rPr>
                <w:sz w:val="20"/>
                <w:szCs w:val="20"/>
                <w:color w:val="auto"/>
              </w:rPr>
            </w:pPr>
            <w:r>
              <w:rPr>
                <w:rFonts w:ascii="Arial" w:cs="Arial" w:eastAsia="Arial" w:hAnsi="Arial"/>
                <w:sz w:val="17"/>
                <w:szCs w:val="17"/>
                <w:color w:val="auto"/>
              </w:rPr>
              <w:t>expenses</w:t>
            </w:r>
          </w:p>
        </w:tc>
        <w:tc>
          <w:tcPr>
            <w:tcW w:w="980" w:type="dxa"/>
            <w:vAlign w:val="bottom"/>
            <w:gridSpan w:val="2"/>
          </w:tcPr>
          <w:p>
            <w:pPr>
              <w:jc w:val="right"/>
              <w:ind w:right="695"/>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0"/>
              <w:spacing w:after="0"/>
              <w:rPr>
                <w:sz w:val="20"/>
                <w:szCs w:val="20"/>
                <w:color w:val="auto"/>
              </w:rPr>
            </w:pPr>
            <w:r>
              <w:rPr>
                <w:rFonts w:ascii="Arial" w:cs="Arial" w:eastAsia="Arial" w:hAnsi="Arial"/>
                <w:sz w:val="17"/>
                <w:szCs w:val="17"/>
                <w:color w:val="auto"/>
              </w:rPr>
              <w:t>expenses</w:t>
            </w:r>
          </w:p>
        </w:tc>
        <w:tc>
          <w:tcPr>
            <w:tcW w:w="1040" w:type="dxa"/>
            <w:vAlign w:val="bottom"/>
            <w:gridSpan w:val="2"/>
          </w:tcPr>
          <w:p>
            <w:pPr>
              <w:jc w:val="right"/>
              <w:ind w:right="758"/>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liabilities</w:t>
            </w:r>
          </w:p>
        </w:tc>
        <w:tc>
          <w:tcPr>
            <w:tcW w:w="46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1,789</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liabilities</w:t>
            </w:r>
          </w:p>
        </w:tc>
        <w:tc>
          <w:tcPr>
            <w:tcW w:w="3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816</w:t>
            </w:r>
          </w:p>
        </w:tc>
      </w:tr>
      <w:tr>
        <w:trPr>
          <w:trHeight w:val="205"/>
        </w:trPr>
        <w:tc>
          <w:tcPr>
            <w:tcW w:w="26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5"/>
        </w:trPr>
        <w:tc>
          <w:tcPr>
            <w:tcW w:w="2660" w:type="dxa"/>
            <w:vAlign w:val="bottom"/>
            <w:gridSpan w:val="2"/>
          </w:tcPr>
          <w:p>
            <w:pPr>
              <w:spacing w:after="0"/>
              <w:rPr>
                <w:sz w:val="20"/>
                <w:szCs w:val="20"/>
                <w:color w:val="auto"/>
              </w:rPr>
            </w:pPr>
            <w:r>
              <w:rPr>
                <w:rFonts w:ascii="Arial" w:cs="Arial" w:eastAsia="Arial" w:hAnsi="Arial"/>
                <w:sz w:val="17"/>
                <w:szCs w:val="17"/>
                <w:b w:val="1"/>
                <w:bCs w:val="1"/>
                <w:color w:val="auto"/>
              </w:rPr>
              <w:t>Derivatives Not Designated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8"/>
        </w:trPr>
        <w:tc>
          <w:tcPr>
            <w:tcW w:w="1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 Hedging</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1"/>
        </w:trPr>
        <w:tc>
          <w:tcPr>
            <w:tcW w:w="1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Instruments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5"/>
        </w:trPr>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16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Foreign exchange</w:t>
            </w: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Prepaid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0"/>
              <w:spacing w:after="0" w:line="193" w:lineRule="exact"/>
              <w:rPr>
                <w:sz w:val="20"/>
                <w:szCs w:val="20"/>
                <w:color w:val="auto"/>
              </w:rPr>
            </w:pPr>
            <w:r>
              <w:rPr>
                <w:rFonts w:ascii="Arial" w:cs="Arial" w:eastAsia="Arial" w:hAnsi="Arial"/>
                <w:sz w:val="17"/>
                <w:szCs w:val="17"/>
                <w:color w:val="auto"/>
              </w:rPr>
              <w:t>Prepaid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Accrued</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Accrued</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3"/>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contracts</w:t>
            </w: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980" w:type="dxa"/>
            <w:vAlign w:val="bottom"/>
            <w:gridSpan w:val="2"/>
            <w:shd w:val="clear" w:color="auto" w:fill="CCEEFF"/>
          </w:tcPr>
          <w:p>
            <w:pPr>
              <w:jc w:val="right"/>
              <w:ind w:right="695"/>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expenses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1,542</w:t>
            </w:r>
          </w:p>
        </w:tc>
      </w:tr>
      <w:tr>
        <w:trPr>
          <w:trHeight w:val="205"/>
        </w:trPr>
        <w:tc>
          <w:tcPr>
            <w:tcW w:w="16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45"/>
        </w:trPr>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Derivatives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20" w:firstLine="210"/>
        <w:spacing w:after="0" w:line="308" w:lineRule="auto"/>
        <w:rPr>
          <w:sz w:val="20"/>
          <w:szCs w:val="20"/>
          <w:color w:val="auto"/>
        </w:rPr>
      </w:pPr>
      <w:r>
        <w:rPr>
          <w:rFonts w:ascii="Arial" w:cs="Arial" w:eastAsia="Arial" w:hAnsi="Arial"/>
          <w:sz w:val="16"/>
          <w:szCs w:val="16"/>
          <w:color w:val="auto"/>
        </w:rPr>
        <w:t>The following table presents the impact of derivative instruments on the consolidated statements of earnings for the company’s derivatives designed as cash flow hedging instruments under SFAS No. 133 for the three and nine months ended July 31, 2009 and August 1, 2008, respectively.</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Location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Gain (Loss)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7"/>
                <w:szCs w:val="17"/>
                <w:color w:val="auto"/>
                <w:w w:val="91"/>
              </w:rPr>
              <w:t>Gain (Loss)</w:t>
            </w: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Location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Recognized in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Gain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Income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7"/>
                <w:szCs w:val="17"/>
                <w:color w:val="auto"/>
                <w:w w:val="91"/>
              </w:rPr>
              <w:t>Recognized in Income</w:t>
            </w: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(Loss)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4"/>
          </w:tcPr>
          <w:p>
            <w:pPr>
              <w:jc w:val="center"/>
              <w:ind w:left="135"/>
              <w:spacing w:after="0"/>
              <w:rPr>
                <w:sz w:val="20"/>
                <w:szCs w:val="20"/>
                <w:color w:val="auto"/>
              </w:rPr>
            </w:pPr>
            <w:r>
              <w:rPr>
                <w:rFonts w:ascii="Arial" w:cs="Arial" w:eastAsia="Arial" w:hAnsi="Arial"/>
                <w:sz w:val="17"/>
                <w:szCs w:val="17"/>
                <w:color w:val="auto"/>
                <w:w w:val="91"/>
              </w:rPr>
              <w:t>Gain (Loss)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Reclassified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7"/>
                <w:szCs w:val="17"/>
                <w:color w:val="auto"/>
                <w:w w:val="91"/>
              </w:rPr>
              <w:t>Gain (Loss)</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on Derivatives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7"/>
                <w:szCs w:val="17"/>
                <w:color w:val="auto"/>
                <w:w w:val="92"/>
              </w:rPr>
              <w:t>on Derivatives</w:t>
            </w: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(Ineffective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4"/>
          </w:tcPr>
          <w:p>
            <w:pPr>
              <w:jc w:val="center"/>
              <w:ind w:left="135"/>
              <w:spacing w:after="0"/>
              <w:rPr>
                <w:sz w:val="20"/>
                <w:szCs w:val="20"/>
                <w:color w:val="auto"/>
              </w:rPr>
            </w:pPr>
            <w:r>
              <w:rPr>
                <w:rFonts w:ascii="Arial" w:cs="Arial" w:eastAsia="Arial" w:hAnsi="Arial"/>
                <w:sz w:val="17"/>
                <w:szCs w:val="17"/>
                <w:color w:val="auto"/>
                <w:w w:val="91"/>
              </w:rPr>
              <w:t>Recognized in OCI 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9"/>
              </w:rPr>
              <w:t>from AOCI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7"/>
                <w:szCs w:val="17"/>
                <w:color w:val="auto"/>
                <w:w w:val="92"/>
              </w:rPr>
              <w:t>Reclassified from</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Portion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7"/>
                <w:szCs w:val="17"/>
                <w:color w:val="auto"/>
                <w:w w:val="92"/>
              </w:rPr>
              <w:t>(Ineffective Portion and</w:t>
            </w: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88"/>
              </w:rPr>
              <w:t>and excluded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4"/>
          </w:tcPr>
          <w:p>
            <w:pPr>
              <w:jc w:val="center"/>
              <w:ind w:left="115"/>
              <w:spacing w:after="0"/>
              <w:rPr>
                <w:sz w:val="20"/>
                <w:szCs w:val="20"/>
                <w:color w:val="auto"/>
              </w:rPr>
            </w:pPr>
            <w:r>
              <w:rPr>
                <w:rFonts w:ascii="Arial" w:cs="Arial" w:eastAsia="Arial" w:hAnsi="Arial"/>
                <w:sz w:val="17"/>
                <w:szCs w:val="17"/>
                <w:color w:val="auto"/>
                <w:w w:val="92"/>
              </w:rPr>
              <w:t>Derivatives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into Income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7"/>
                <w:szCs w:val="17"/>
                <w:color w:val="auto"/>
                <w:w w:val="95"/>
              </w:rPr>
              <w:t>AOCI into Income</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from</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7"/>
                <w:szCs w:val="17"/>
                <w:color w:val="auto"/>
                <w:w w:val="93"/>
              </w:rPr>
              <w:t>Excluded from</w:t>
            </w: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(Effective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Effectiveness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4"/>
          </w:tcPr>
          <w:p>
            <w:pPr>
              <w:jc w:val="center"/>
              <w:ind w:left="135"/>
              <w:spacing w:after="0"/>
              <w:rPr>
                <w:sz w:val="20"/>
                <w:szCs w:val="20"/>
                <w:color w:val="auto"/>
              </w:rPr>
            </w:pPr>
            <w:r>
              <w:rPr>
                <w:rFonts w:ascii="Arial" w:cs="Arial" w:eastAsia="Arial" w:hAnsi="Arial"/>
                <w:sz w:val="17"/>
                <w:szCs w:val="17"/>
                <w:color w:val="auto"/>
                <w:w w:val="94"/>
              </w:rPr>
              <w:t>(Effective Portion)</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Portion)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7"/>
                <w:szCs w:val="17"/>
                <w:color w:val="auto"/>
                <w:w w:val="94"/>
              </w:rPr>
              <w:t>(Effective Portion)</w:t>
            </w:r>
          </w:p>
        </w:tc>
        <w:tc>
          <w:tcPr>
            <w:tcW w:w="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Testing)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7"/>
                <w:szCs w:val="17"/>
                <w:color w:val="auto"/>
                <w:w w:val="90"/>
              </w:rPr>
              <w:t>Effectiveness Testing)</w:t>
            </w:r>
          </w:p>
        </w:tc>
      </w:tr>
      <w:tr>
        <w:trPr>
          <w:trHeight w:val="192"/>
        </w:trPr>
        <w:tc>
          <w:tcPr>
            <w:tcW w:w="1260" w:type="dxa"/>
            <w:vAlign w:val="bottom"/>
            <w:gridSpan w:val="2"/>
          </w:tcPr>
          <w:p>
            <w:pPr>
              <w:spacing w:after="0" w:line="193" w:lineRule="exact"/>
              <w:rPr>
                <w:sz w:val="20"/>
                <w:szCs w:val="20"/>
                <w:color w:val="auto"/>
              </w:rPr>
            </w:pPr>
            <w:r>
              <w:rPr>
                <w:rFonts w:ascii="Arial" w:cs="Arial" w:eastAsia="Arial" w:hAnsi="Arial"/>
                <w:sz w:val="17"/>
                <w:szCs w:val="17"/>
                <w:color w:val="auto"/>
              </w:rPr>
              <w:t>(Dollars in</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thousands)</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July 31,</w:t>
            </w:r>
          </w:p>
        </w:tc>
        <w:tc>
          <w:tcPr>
            <w:tcW w:w="10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color w:val="auto"/>
                <w:w w:val="91"/>
              </w:rPr>
              <w:t>August 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July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August 1,</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July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August 1,</w:t>
            </w: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For the three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color w:val="auto"/>
                <w:w w:val="89"/>
              </w:rPr>
              <w:t>2008</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9"/>
              </w:rPr>
              <w:t>2009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r>
      <w:tr>
        <w:trPr>
          <w:trHeight w:val="192"/>
        </w:trPr>
        <w:tc>
          <w:tcPr>
            <w:tcW w:w="126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Foreign</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exchange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2"/>
              </w:rPr>
              <w:t>Other (expense)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12,239</w:t>
            </w: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585</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260" w:type="dxa"/>
            <w:vAlign w:val="bottom"/>
            <w:gridSpan w:val="4"/>
            <w:shd w:val="clear" w:color="auto" w:fill="CCEEFF"/>
          </w:tcPr>
          <w:p>
            <w:pPr>
              <w:ind w:left="540"/>
              <w:spacing w:after="0"/>
              <w:rPr>
                <w:sz w:val="20"/>
                <w:szCs w:val="20"/>
                <w:color w:val="auto"/>
              </w:rPr>
            </w:pPr>
            <w:r>
              <w:rPr>
                <w:rFonts w:ascii="Arial" w:cs="Arial" w:eastAsia="Arial" w:hAnsi="Arial"/>
                <w:sz w:val="17"/>
                <w:szCs w:val="17"/>
                <w:color w:val="auto"/>
              </w:rPr>
              <w:t>(1,499) income, net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(522)</w:t>
            </w:r>
          </w:p>
        </w:tc>
      </w:tr>
      <w:tr>
        <w:trPr>
          <w:trHeight w:val="183"/>
        </w:trPr>
        <w:tc>
          <w:tcPr>
            <w:tcW w:w="1260" w:type="dxa"/>
            <w:vAlign w:val="bottom"/>
            <w:tcBorders>
              <w:top w:val="single" w:sz="8" w:color="CCEEFF"/>
            </w:tcBorders>
            <w:gridSpan w:val="2"/>
          </w:tcPr>
          <w:p>
            <w:pPr>
              <w:spacing w:after="0" w:line="184" w:lineRule="exact"/>
              <w:rPr>
                <w:sz w:val="20"/>
                <w:szCs w:val="20"/>
                <w:color w:val="auto"/>
              </w:rPr>
            </w:pPr>
            <w:r>
              <w:rPr>
                <w:rFonts w:ascii="Arial" w:cs="Arial" w:eastAsia="Arial" w:hAnsi="Arial"/>
                <w:sz w:val="17"/>
                <w:szCs w:val="17"/>
                <w:color w:val="auto"/>
              </w:rPr>
              <w:t>Foreign</w:t>
            </w:r>
          </w:p>
        </w:tc>
        <w:tc>
          <w:tcPr>
            <w:tcW w:w="20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exchange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260" w:type="dxa"/>
            <w:vAlign w:val="bottom"/>
            <w:gridSpan w:val="2"/>
          </w:tcPr>
          <w:p>
            <w:pPr>
              <w:spacing w:after="0"/>
              <w:rPr>
                <w:sz w:val="20"/>
                <w:szCs w:val="20"/>
                <w:color w:val="auto"/>
              </w:rPr>
            </w:pPr>
            <w:r>
              <w:rPr>
                <w:rFonts w:ascii="Arial" w:cs="Arial" w:eastAsia="Arial" w:hAnsi="Arial"/>
                <w:sz w:val="17"/>
                <w:szCs w:val="17"/>
                <w:color w:val="auto"/>
              </w:rPr>
              <w:t>contracts</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(6,365)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Arial" w:cs="Arial" w:eastAsia="Arial" w:hAnsi="Arial"/>
                <w:sz w:val="17"/>
                <w:szCs w:val="17"/>
                <w:color w:val="auto"/>
                <w:w w:val="93"/>
              </w:rPr>
              <w:t>(270) Cost of sales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5,874</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315</w:t>
            </w:r>
          </w:p>
        </w:tc>
        <w:tc>
          <w:tcPr>
            <w:tcW w:w="9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(1,217)</w:t>
            </w: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6"/>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July 31,</w:t>
            </w:r>
          </w:p>
        </w:tc>
        <w:tc>
          <w:tcPr>
            <w:tcW w:w="10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color w:val="auto"/>
                <w:w w:val="91"/>
              </w:rPr>
              <w:t>August 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July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August 1,</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July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August 1,</w:t>
            </w:r>
          </w:p>
        </w:tc>
      </w:tr>
      <w:tr>
        <w:trPr>
          <w:trHeight w:val="192"/>
        </w:trPr>
        <w:tc>
          <w:tcPr>
            <w:tcW w:w="126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For the nine</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1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months ended</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2009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2008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2009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2008</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2009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2"/>
        </w:trPr>
        <w:tc>
          <w:tcPr>
            <w:tcW w:w="1260" w:type="dxa"/>
            <w:vAlign w:val="bottom"/>
            <w:gridSpan w:val="2"/>
          </w:tcPr>
          <w:p>
            <w:pPr>
              <w:spacing w:after="0" w:line="193" w:lineRule="exact"/>
              <w:rPr>
                <w:sz w:val="20"/>
                <w:szCs w:val="20"/>
                <w:color w:val="auto"/>
              </w:rPr>
            </w:pPr>
            <w:r>
              <w:rPr>
                <w:rFonts w:ascii="Arial" w:cs="Arial" w:eastAsia="Arial" w:hAnsi="Arial"/>
                <w:sz w:val="17"/>
                <w:szCs w:val="17"/>
                <w:color w:val="auto"/>
              </w:rPr>
              <w:t>Foreign</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exchange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auto"/>
                <w:w w:val="92"/>
              </w:rPr>
              <w:t>Other (expense)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260" w:type="dxa"/>
            <w:vAlign w:val="bottom"/>
            <w:gridSpan w:val="2"/>
          </w:tcPr>
          <w:p>
            <w:pPr>
              <w:spacing w:after="0"/>
              <w:rPr>
                <w:sz w:val="20"/>
                <w:szCs w:val="20"/>
                <w:color w:val="auto"/>
              </w:rPr>
            </w:pPr>
            <w:r>
              <w:rPr>
                <w:rFonts w:ascii="Arial" w:cs="Arial" w:eastAsia="Arial" w:hAnsi="Arial"/>
                <w:sz w:val="17"/>
                <w:szCs w:val="17"/>
                <w:color w:val="auto"/>
              </w:rPr>
              <w:t>contracts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11,178</w:t>
            </w:r>
          </w:p>
        </w:tc>
        <w:tc>
          <w:tcPr>
            <w:tcW w:w="140" w:type="dxa"/>
            <w:vAlign w:val="bottom"/>
          </w:tcPr>
          <w:p>
            <w:pPr>
              <w:spacing w:after="0"/>
              <w:rPr>
                <w:sz w:val="18"/>
                <w:szCs w:val="18"/>
                <w:color w:val="auto"/>
              </w:rPr>
            </w:pPr>
          </w:p>
        </w:tc>
        <w:tc>
          <w:tcPr>
            <w:tcW w:w="840" w:type="dxa"/>
            <w:vAlign w:val="bottom"/>
            <w:gridSpan w:val="2"/>
          </w:tcPr>
          <w:p>
            <w:pPr>
              <w:jc w:val="right"/>
              <w:ind w:right="575"/>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4,435</w:t>
            </w:r>
          </w:p>
        </w:tc>
        <w:tc>
          <w:tcPr>
            <w:tcW w:w="920" w:type="dxa"/>
            <w:vAlign w:val="bottom"/>
          </w:tcPr>
          <w:p>
            <w:pPr>
              <w:spacing w:after="0"/>
              <w:rPr>
                <w:sz w:val="20"/>
                <w:szCs w:val="20"/>
                <w:color w:val="auto"/>
              </w:rPr>
            </w:pPr>
            <w:r>
              <w:rPr>
                <w:rFonts w:ascii="Arial" w:cs="Arial" w:eastAsia="Arial" w:hAnsi="Arial"/>
                <w:sz w:val="17"/>
                <w:szCs w:val="17"/>
                <w:color w:val="auto"/>
              </w:rPr>
              <w:t>Net sales</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11,043</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260" w:type="dxa"/>
            <w:vAlign w:val="bottom"/>
            <w:gridSpan w:val="4"/>
          </w:tcPr>
          <w:p>
            <w:pPr>
              <w:ind w:left="540"/>
              <w:spacing w:after="0"/>
              <w:rPr>
                <w:sz w:val="20"/>
                <w:szCs w:val="20"/>
                <w:color w:val="auto"/>
              </w:rPr>
            </w:pPr>
            <w:r>
              <w:rPr>
                <w:rFonts w:ascii="Arial" w:cs="Arial" w:eastAsia="Arial" w:hAnsi="Arial"/>
                <w:sz w:val="17"/>
                <w:szCs w:val="17"/>
                <w:color w:val="auto"/>
              </w:rPr>
              <w:t>(7,302) income, net</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397</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(423)</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6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Foreign</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exchange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w w:val="93"/>
              </w:rPr>
              <w:t>(516) Cost of sales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445</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
        </w:trPr>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6,500</w:t>
            </w:r>
          </w:p>
        </w:tc>
        <w:tc>
          <w:tcPr>
            <w:tcW w:w="140" w:type="dxa"/>
            <w:vAlign w:val="bottom"/>
          </w:tcPr>
          <w:p>
            <w:pPr>
              <w:spacing w:after="0"/>
              <w:rPr>
                <w:sz w:val="17"/>
                <w:szCs w:val="17"/>
                <w:color w:val="auto"/>
              </w:rPr>
            </w:pPr>
          </w:p>
        </w:tc>
        <w:tc>
          <w:tcPr>
            <w:tcW w:w="840" w:type="dxa"/>
            <w:vAlign w:val="bottom"/>
            <w:gridSpan w:val="2"/>
          </w:tcPr>
          <w:p>
            <w:pPr>
              <w:jc w:val="right"/>
              <w:ind w:right="575"/>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3,919</w:t>
            </w:r>
          </w:p>
        </w:tc>
        <w:tc>
          <w:tcPr>
            <w:tcW w:w="9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7,542</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(6,857)</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July 31, 2009, the company anticipates to reclassify approximately $1.1 million of losses from AOCI to earnings during the next twelve months.</w:t>
      </w:r>
    </w:p>
    <w:p>
      <w:pPr>
        <w:spacing w:after="0" w:line="20" w:lineRule="exact"/>
        <w:rPr>
          <w:sz w:val="20"/>
          <w:szCs w:val="20"/>
          <w:color w:val="auto"/>
        </w:rPr>
      </w:pPr>
    </w:p>
    <w:p>
      <w:pPr>
        <w:ind w:right="540" w:firstLine="210"/>
        <w:spacing w:after="0" w:line="262" w:lineRule="auto"/>
        <w:rPr>
          <w:sz w:val="20"/>
          <w:szCs w:val="20"/>
          <w:color w:val="auto"/>
        </w:rPr>
      </w:pPr>
      <w:r>
        <w:rPr>
          <w:rFonts w:ascii="Arial" w:cs="Arial" w:eastAsia="Arial" w:hAnsi="Arial"/>
          <w:sz w:val="17"/>
          <w:szCs w:val="17"/>
          <w:color w:val="auto"/>
        </w:rPr>
        <w:t>The following table presents the impact of derivative instruments on the consolidated statements of earnings for the company’s derivatives not designated as hedging instruments under SFAS No. 133.</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gridSpan w:val="2"/>
          </w:tcPr>
          <w:p>
            <w:pPr>
              <w:ind w:left="80"/>
              <w:spacing w:after="0"/>
              <w:rPr>
                <w:sz w:val="20"/>
                <w:szCs w:val="20"/>
                <w:color w:val="auto"/>
              </w:rPr>
            </w:pPr>
            <w:r>
              <w:rPr>
                <w:rFonts w:ascii="Arial" w:cs="Arial" w:eastAsia="Arial" w:hAnsi="Arial"/>
                <w:sz w:val="17"/>
                <w:szCs w:val="17"/>
                <w:color w:val="auto"/>
                <w:w w:val="92"/>
              </w:rPr>
              <w:t>Gain (Loss) Recognized in Net Earnings</w:t>
            </w:r>
          </w:p>
        </w:tc>
        <w:tc>
          <w:tcPr>
            <w:tcW w:w="1000" w:type="dxa"/>
            <w:vAlign w:val="bottom"/>
          </w:tcPr>
          <w:p>
            <w:pPr>
              <w:spacing w:after="0"/>
              <w:rPr>
                <w:sz w:val="17"/>
                <w:szCs w:val="17"/>
                <w:color w:val="auto"/>
              </w:rPr>
            </w:pPr>
          </w:p>
        </w:tc>
      </w:tr>
      <w:tr>
        <w:trPr>
          <w:trHeight w:val="223"/>
        </w:trPr>
        <w:tc>
          <w:tcPr>
            <w:tcW w:w="27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60" w:type="dxa"/>
            <w:vAlign w:val="bottom"/>
            <w:tcBorders>
              <w:bottom w:val="single" w:sz="8" w:color="auto"/>
            </w:tcBorders>
            <w:gridSpan w:val="2"/>
          </w:tcPr>
          <w:p>
            <w:pPr>
              <w:ind w:left="520"/>
              <w:spacing w:after="0"/>
              <w:rPr>
                <w:sz w:val="20"/>
                <w:szCs w:val="20"/>
                <w:color w:val="auto"/>
              </w:rPr>
            </w:pPr>
            <w:r>
              <w:rPr>
                <w:rFonts w:ascii="Arial" w:cs="Arial" w:eastAsia="Arial" w:hAnsi="Arial"/>
                <w:sz w:val="17"/>
                <w:szCs w:val="17"/>
                <w:color w:val="auto"/>
              </w:rPr>
              <w:t>Three Months Ended</w:t>
            </w:r>
          </w:p>
        </w:tc>
        <w:tc>
          <w:tcPr>
            <w:tcW w:w="2400" w:type="dxa"/>
            <w:vAlign w:val="bottom"/>
            <w:tcBorders>
              <w:bottom w:val="single" w:sz="8" w:color="auto"/>
            </w:tcBorders>
            <w:gridSpan w:val="2"/>
          </w:tcPr>
          <w:p>
            <w:pPr>
              <w:ind w:left="520"/>
              <w:spacing w:after="0"/>
              <w:rPr>
                <w:sz w:val="20"/>
                <w:szCs w:val="20"/>
                <w:color w:val="auto"/>
              </w:rPr>
            </w:pPr>
            <w:r>
              <w:rPr>
                <w:rFonts w:ascii="Arial" w:cs="Arial" w:eastAsia="Arial" w:hAnsi="Arial"/>
                <w:sz w:val="17"/>
                <w:szCs w:val="17"/>
                <w:color w:val="auto"/>
              </w:rPr>
              <w:t>Nine Months Ended</w:t>
            </w:r>
          </w:p>
        </w:tc>
      </w:tr>
      <w:tr>
        <w:trPr>
          <w:trHeight w:val="192"/>
        </w:trPr>
        <w:tc>
          <w:tcPr>
            <w:tcW w:w="2720" w:type="dxa"/>
            <w:vAlign w:val="bottom"/>
          </w:tcPr>
          <w:p>
            <w:pPr>
              <w:spacing w:after="0"/>
              <w:rPr>
                <w:sz w:val="16"/>
                <w:szCs w:val="16"/>
                <w:color w:val="auto"/>
              </w:rPr>
            </w:pPr>
          </w:p>
        </w:tc>
        <w:tc>
          <w:tcPr>
            <w:tcW w:w="3840" w:type="dxa"/>
            <w:vAlign w:val="bottom"/>
          </w:tcPr>
          <w:p>
            <w:pPr>
              <w:jc w:val="center"/>
              <w:ind w:left="415"/>
              <w:spacing w:after="0" w:line="193" w:lineRule="exact"/>
              <w:rPr>
                <w:sz w:val="20"/>
                <w:szCs w:val="20"/>
                <w:color w:val="auto"/>
              </w:rPr>
            </w:pPr>
            <w:r>
              <w:rPr>
                <w:rFonts w:ascii="Arial" w:cs="Arial" w:eastAsia="Arial" w:hAnsi="Arial"/>
                <w:sz w:val="17"/>
                <w:szCs w:val="17"/>
                <w:color w:val="auto"/>
                <w:w w:val="94"/>
              </w:rPr>
              <w:t>Location of Gain (Loss)</w:t>
            </w:r>
          </w:p>
        </w:tc>
        <w:tc>
          <w:tcPr>
            <w:tcW w:w="960" w:type="dxa"/>
            <w:vAlign w:val="bottom"/>
          </w:tcPr>
          <w:p>
            <w:pPr>
              <w:jc w:val="center"/>
              <w:ind w:left="135"/>
              <w:spacing w:after="0" w:line="193" w:lineRule="exact"/>
              <w:rPr>
                <w:sz w:val="20"/>
                <w:szCs w:val="20"/>
                <w:color w:val="auto"/>
              </w:rPr>
            </w:pPr>
            <w:r>
              <w:rPr>
                <w:rFonts w:ascii="Arial" w:cs="Arial" w:eastAsia="Arial" w:hAnsi="Arial"/>
                <w:sz w:val="17"/>
                <w:szCs w:val="17"/>
                <w:color w:val="auto"/>
                <w:w w:val="92"/>
              </w:rPr>
              <w:t>July 31,</w:t>
            </w:r>
          </w:p>
        </w:tc>
        <w:tc>
          <w:tcPr>
            <w:tcW w:w="1500" w:type="dxa"/>
            <w:vAlign w:val="bottom"/>
          </w:tcPr>
          <w:p>
            <w:pPr>
              <w:jc w:val="center"/>
              <w:ind w:left="155"/>
              <w:spacing w:after="0" w:line="193" w:lineRule="exact"/>
              <w:rPr>
                <w:sz w:val="20"/>
                <w:szCs w:val="20"/>
                <w:color w:val="auto"/>
              </w:rPr>
            </w:pPr>
            <w:r>
              <w:rPr>
                <w:rFonts w:ascii="Arial" w:cs="Arial" w:eastAsia="Arial" w:hAnsi="Arial"/>
                <w:sz w:val="17"/>
                <w:szCs w:val="17"/>
                <w:color w:val="auto"/>
                <w:w w:val="91"/>
              </w:rPr>
              <w:t>August 1,</w:t>
            </w:r>
          </w:p>
        </w:tc>
        <w:tc>
          <w:tcPr>
            <w:tcW w:w="1400" w:type="dxa"/>
            <w:vAlign w:val="bottom"/>
          </w:tcPr>
          <w:p>
            <w:pPr>
              <w:jc w:val="center"/>
              <w:ind w:right="135"/>
              <w:spacing w:after="0" w:line="193" w:lineRule="exact"/>
              <w:rPr>
                <w:sz w:val="20"/>
                <w:szCs w:val="20"/>
                <w:color w:val="auto"/>
              </w:rPr>
            </w:pPr>
            <w:r>
              <w:rPr>
                <w:rFonts w:ascii="Arial" w:cs="Arial" w:eastAsia="Arial" w:hAnsi="Arial"/>
                <w:sz w:val="17"/>
                <w:szCs w:val="17"/>
                <w:color w:val="auto"/>
                <w:w w:val="92"/>
              </w:rPr>
              <w:t>July 31,</w:t>
            </w:r>
          </w:p>
        </w:tc>
        <w:tc>
          <w:tcPr>
            <w:tcW w:w="1000" w:type="dxa"/>
            <w:vAlign w:val="bottom"/>
          </w:tcPr>
          <w:p>
            <w:pPr>
              <w:jc w:val="center"/>
              <w:ind w:right="135"/>
              <w:spacing w:after="0" w:line="193" w:lineRule="exact"/>
              <w:rPr>
                <w:sz w:val="20"/>
                <w:szCs w:val="20"/>
                <w:color w:val="auto"/>
              </w:rPr>
            </w:pPr>
            <w:r>
              <w:rPr>
                <w:rFonts w:ascii="Arial" w:cs="Arial" w:eastAsia="Arial" w:hAnsi="Arial"/>
                <w:sz w:val="17"/>
                <w:szCs w:val="17"/>
                <w:color w:val="auto"/>
                <w:w w:val="91"/>
              </w:rPr>
              <w:t>August 1,</w:t>
            </w: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(Dollars in thousands)</w:t>
            </w:r>
          </w:p>
        </w:tc>
        <w:tc>
          <w:tcPr>
            <w:tcW w:w="3840" w:type="dxa"/>
            <w:vAlign w:val="bottom"/>
            <w:tcBorders>
              <w:bottom w:val="single" w:sz="8" w:color="auto"/>
            </w:tcBorders>
          </w:tcPr>
          <w:p>
            <w:pPr>
              <w:jc w:val="center"/>
              <w:ind w:left="415"/>
              <w:spacing w:after="0"/>
              <w:rPr>
                <w:sz w:val="20"/>
                <w:szCs w:val="20"/>
                <w:color w:val="auto"/>
              </w:rPr>
            </w:pPr>
            <w:r>
              <w:rPr>
                <w:rFonts w:ascii="Arial" w:cs="Arial" w:eastAsia="Arial" w:hAnsi="Arial"/>
                <w:sz w:val="17"/>
                <w:szCs w:val="17"/>
                <w:color w:val="auto"/>
                <w:w w:val="90"/>
              </w:rPr>
              <w:t>Recognized in Net Earnings</w:t>
            </w: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2009</w:t>
            </w:r>
          </w:p>
        </w:tc>
        <w:tc>
          <w:tcPr>
            <w:tcW w:w="15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2008</w:t>
            </w: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2009</w:t>
            </w: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2008</w:t>
            </w:r>
          </w:p>
        </w:tc>
      </w:tr>
      <w:tr>
        <w:trPr>
          <w:trHeight w:val="243"/>
        </w:trPr>
        <w:tc>
          <w:tcPr>
            <w:tcW w:w="2720" w:type="dxa"/>
            <w:vAlign w:val="bottom"/>
            <w:tcBorders>
              <w:bottom w:val="single" w:sz="8" w:color="CCEEFF"/>
            </w:tcBorders>
          </w:tcPr>
          <w:p>
            <w:pPr>
              <w:spacing w:after="0"/>
              <w:rPr>
                <w:sz w:val="21"/>
                <w:szCs w:val="21"/>
                <w:color w:val="auto"/>
              </w:rPr>
            </w:pPr>
          </w:p>
        </w:tc>
        <w:tc>
          <w:tcPr>
            <w:tcW w:w="38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r>
    </w:tbl>
    <w:p>
      <w:pPr>
        <w:sectPr>
          <w:pgSz w:w="11900" w:h="16900" w:orient="portrait"/>
          <w:cols w:equalWidth="0" w:num="1">
            <w:col w:w="11420"/>
          </w:cols>
          <w:pgMar w:left="240" w:top="498" w:right="239" w:bottom="0" w:gutter="0" w:footer="0" w:header="0"/>
        </w:sectPr>
      </w:pPr>
    </w:p>
    <w:bookmarkStart w:id="13" w:name="page14"/>
    <w:bookmarkEnd w:id="13"/>
    <w:p>
      <w:pPr>
        <w:spacing w:after="0"/>
        <w:tabs>
          <w:tab w:leader="none" w:pos="3200" w:val="left"/>
          <w:tab w:leader="none" w:pos="7140" w:val="left"/>
          <w:tab w:leader="none" w:pos="8440" w:val="left"/>
          <w:tab w:leader="none" w:pos="9580" w:val="left"/>
          <w:tab w:leader="none" w:pos="11040" w:val="left"/>
        </w:tabs>
        <w:rPr>
          <w:sz w:val="20"/>
          <w:szCs w:val="20"/>
          <w:color w:val="auto"/>
        </w:rPr>
      </w:pPr>
      <w:r>
        <w:rPr>
          <w:rFonts w:ascii="Arial" w:cs="Arial" w:eastAsia="Arial" w:hAnsi="Arial"/>
          <w:sz w:val="17"/>
          <w:szCs w:val="17"/>
          <w:color w:val="auto"/>
        </w:rPr>
        <w:t>Foreign exchange contracts</w:t>
      </w:r>
      <w:r>
        <w:rPr>
          <w:sz w:val="20"/>
          <w:szCs w:val="20"/>
          <w:color w:val="auto"/>
        </w:rPr>
        <w:tab/>
      </w:r>
      <w:r>
        <w:rPr>
          <w:rFonts w:ascii="Arial" w:cs="Arial" w:eastAsia="Arial" w:hAnsi="Arial"/>
          <w:sz w:val="17"/>
          <w:szCs w:val="17"/>
          <w:color w:val="auto"/>
        </w:rPr>
        <w:t>Other (expense) income, net</w:t>
      </w:r>
      <w:r>
        <w:rPr>
          <w:sz w:val="20"/>
          <w:szCs w:val="20"/>
          <w:color w:val="auto"/>
        </w:rPr>
        <w:tab/>
      </w:r>
      <w:r>
        <w:rPr>
          <w:rFonts w:ascii="Arial" w:cs="Arial" w:eastAsia="Arial" w:hAnsi="Arial"/>
          <w:sz w:val="17"/>
          <w:szCs w:val="17"/>
          <w:color w:val="auto"/>
        </w:rPr>
        <w:t>$(4,810)</w:t>
      </w:r>
      <w:r>
        <w:rPr>
          <w:sz w:val="20"/>
          <w:szCs w:val="20"/>
          <w:color w:val="auto"/>
        </w:rPr>
        <w:tab/>
      </w:r>
      <w:r>
        <w:rPr>
          <w:rFonts w:ascii="Arial" w:cs="Arial" w:eastAsia="Arial" w:hAnsi="Arial"/>
          <w:sz w:val="17"/>
          <w:szCs w:val="17"/>
          <w:color w:val="auto"/>
        </w:rPr>
        <w:t>$(5,158)</w:t>
      </w:r>
      <w:r>
        <w:rPr>
          <w:sz w:val="20"/>
          <w:szCs w:val="20"/>
          <w:color w:val="auto"/>
        </w:rPr>
        <w:tab/>
      </w:r>
      <w:r>
        <w:rPr>
          <w:rFonts w:ascii="Arial" w:cs="Arial" w:eastAsia="Arial" w:hAnsi="Arial"/>
          <w:sz w:val="17"/>
          <w:szCs w:val="17"/>
          <w:color w:val="auto"/>
        </w:rPr>
        <w:t>$(7,592)</w:t>
      </w:r>
      <w:r>
        <w:rPr>
          <w:sz w:val="20"/>
          <w:szCs w:val="20"/>
          <w:color w:val="auto"/>
        </w:rPr>
        <w:tab/>
      </w: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360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7"/>
          <w:szCs w:val="17"/>
          <w:color w:val="auto"/>
        </w:rPr>
        <w:t>In September 2006, the FASB issued SFAS No. 157 “Fair Value Measurements.” SFAS No. 157 introduces a framework for measuring fair value and expands required disclosures about fair value measurements of assets and liabilities. The company adopted the standard for financial assets and liabilities and nonfinancial assets and liabilities measured at fair value on a recurring basis as of November 1, 2008, and there was no financial statement impact resulting from the adoption.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4" w:name="page15"/>
    <w:bookmarkEnd w:id="14"/>
    <w:p>
      <w:pPr>
        <w:ind w:right="160"/>
        <w:spacing w:after="0" w:line="258" w:lineRule="auto"/>
        <w:rPr>
          <w:sz w:val="20"/>
          <w:szCs w:val="20"/>
          <w:color w:val="auto"/>
        </w:rPr>
      </w:pPr>
      <w:r>
        <w:rPr>
          <w:rFonts w:ascii="Arial" w:cs="Arial" w:eastAsia="Arial" w:hAnsi="Arial"/>
          <w:sz w:val="17"/>
          <w:szCs w:val="17"/>
          <w:color w:val="auto"/>
        </w:rPr>
        <w:t>will adopt the provisions of SFAS No. 157 for nonfinancial assets and liabilities that are not required or permitted to be measured on a recurring basis during the first quarter of fiscal 2010, as required.</w:t>
      </w:r>
    </w:p>
    <w:p>
      <w:pPr>
        <w:ind w:right="380" w:firstLine="213"/>
        <w:spacing w:after="0" w:line="251" w:lineRule="auto"/>
        <w:rPr>
          <w:sz w:val="20"/>
          <w:szCs w:val="20"/>
          <w:color w:val="auto"/>
        </w:rPr>
      </w:pPr>
      <w:r>
        <w:rPr>
          <w:rFonts w:ascii="Arial" w:cs="Arial" w:eastAsia="Arial" w:hAnsi="Arial"/>
          <w:sz w:val="17"/>
          <w:szCs w:val="17"/>
          <w:color w:val="auto"/>
        </w:rPr>
        <w:t>SFAS No. 157 defines fair value as the exchange price that would be received for an asset or paid to transfer a liability (an exit price) in the principal or most advantageous market for the asset or liability in an orderly transaction between market participants on the measurement date. SFAS No. 157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9" w:lineRule="exact"/>
        <w:rPr>
          <w:sz w:val="20"/>
          <w:szCs w:val="20"/>
          <w:color w:val="auto"/>
        </w:rPr>
      </w:pPr>
    </w:p>
    <w:p>
      <w:pPr>
        <w:ind w:right="300" w:firstLine="128"/>
        <w:spacing w:after="0" w:line="251"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ind w:left="1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9" w:lineRule="exact"/>
        <w:rPr>
          <w:sz w:val="20"/>
          <w:szCs w:val="20"/>
          <w:color w:val="auto"/>
        </w:rPr>
      </w:pPr>
    </w:p>
    <w:p>
      <w:pPr>
        <w:ind w:right="500" w:firstLine="210"/>
        <w:spacing w:after="0" w:line="251" w:lineRule="auto"/>
        <w:rPr>
          <w:sz w:val="20"/>
          <w:szCs w:val="20"/>
          <w:color w:val="auto"/>
        </w:rPr>
      </w:pPr>
      <w:r>
        <w:rPr>
          <w:rFonts w:ascii="Arial" w:cs="Arial" w:eastAsia="Arial" w:hAnsi="Arial"/>
          <w:sz w:val="17"/>
          <w:szCs w:val="17"/>
          <w:color w:val="auto"/>
        </w:rPr>
        <w:t>The company utilizes the income approach to measure the fair value of its foreign currency contracts. The income approach uses significant other observable inputs to value derivative instruments that hedge foreign currency transactions.</w:t>
      </w:r>
    </w:p>
    <w:p>
      <w:pPr>
        <w:ind w:left="200"/>
        <w:spacing w:after="0"/>
        <w:rPr>
          <w:sz w:val="20"/>
          <w:szCs w:val="20"/>
          <w:color w:val="auto"/>
        </w:rPr>
      </w:pPr>
      <w:r>
        <w:rPr>
          <w:rFonts w:ascii="Arial" w:cs="Arial" w:eastAsia="Arial" w:hAnsi="Arial"/>
          <w:sz w:val="17"/>
          <w:szCs w:val="17"/>
          <w:color w:val="auto"/>
        </w:rPr>
        <w:t>Assets and liabilities measured at fair value on a recurring basis, as of July 31, 2009, are summarized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20"/>
                <w:szCs w:val="20"/>
                <w:color w:val="auto"/>
              </w:rPr>
            </w:pPr>
            <w:r>
              <w:rPr>
                <w:rFonts w:ascii="Arial" w:cs="Arial" w:eastAsia="Arial" w:hAnsi="Arial"/>
                <w:sz w:val="17"/>
                <w:szCs w:val="17"/>
                <w:color w:val="auto"/>
              </w:rPr>
              <w:t>(Dollars in thousands)</w:t>
            </w:r>
          </w:p>
        </w:tc>
        <w:tc>
          <w:tcPr>
            <w:tcW w:w="1160" w:type="dxa"/>
            <w:vAlign w:val="bottom"/>
          </w:tcPr>
          <w:p>
            <w:pPr>
              <w:jc w:val="right"/>
              <w:ind w:right="555"/>
              <w:spacing w:after="0"/>
              <w:rPr>
                <w:sz w:val="20"/>
                <w:szCs w:val="20"/>
                <w:color w:val="auto"/>
              </w:rPr>
            </w:pPr>
            <w:r>
              <w:rPr>
                <w:rFonts w:ascii="Arial" w:cs="Arial" w:eastAsia="Arial" w:hAnsi="Arial"/>
                <w:sz w:val="17"/>
                <w:szCs w:val="17"/>
                <w:color w:val="auto"/>
                <w:w w:val="91"/>
              </w:rPr>
              <w:t>Level 1</w:t>
            </w:r>
          </w:p>
        </w:tc>
        <w:tc>
          <w:tcPr>
            <w:tcW w:w="2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Level 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color w:val="auto"/>
              </w:rPr>
              <w:t>Level 3</w:t>
            </w:r>
          </w:p>
        </w:tc>
        <w:tc>
          <w:tcPr>
            <w:tcW w:w="1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
        </w:trPr>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 net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(1,743)</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(1,743)</w:t>
            </w:r>
          </w:p>
        </w:tc>
      </w:tr>
      <w:tr>
        <w:trPr>
          <w:trHeight w:val="26"/>
        </w:trPr>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340"/>
              <w:spacing w:after="0"/>
              <w:rPr>
                <w:sz w:val="20"/>
                <w:szCs w:val="20"/>
                <w:color w:val="auto"/>
              </w:rPr>
            </w:pPr>
            <w:r>
              <w:rPr>
                <w:rFonts w:ascii="Arial" w:cs="Arial" w:eastAsia="Arial" w:hAnsi="Arial"/>
                <w:sz w:val="17"/>
                <w:szCs w:val="17"/>
                <w:color w:val="auto"/>
              </w:rPr>
              <w:t>Total</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(1,743)</w:t>
            </w:r>
          </w:p>
        </w:tc>
        <w:tc>
          <w:tcPr>
            <w:tcW w:w="13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(1,743)</w:t>
            </w: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3" w:lineRule="exact"/>
        <w:rPr>
          <w:sz w:val="20"/>
          <w:szCs w:val="20"/>
          <w:color w:val="auto"/>
        </w:rPr>
      </w:pPr>
    </w:p>
    <w:p>
      <w:pPr>
        <w:jc w:val="both"/>
        <w:ind w:right="16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16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00" w:lineRule="exact"/>
        <w:rPr>
          <w:sz w:val="20"/>
          <w:szCs w:val="20"/>
          <w:color w:val="auto"/>
        </w:rPr>
      </w:pPr>
    </w:p>
    <w:p>
      <w:pPr>
        <w:spacing w:after="0" w:line="241"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In June 2004, individuals who claim to have purchased lawnmowers in Illinois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ind w:right="140" w:firstLine="213"/>
        <w:spacing w:after="0" w:line="251"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that it had reached a settlement agreement with the plaintiffs.</w:t>
      </w:r>
    </w:p>
    <w:p>
      <w:pPr>
        <w:spacing w:after="0" w:line="1" w:lineRule="exact"/>
        <w:rPr>
          <w:sz w:val="20"/>
          <w:szCs w:val="20"/>
          <w:color w:val="auto"/>
        </w:rPr>
      </w:pPr>
    </w:p>
    <w:p>
      <w:pPr>
        <w:ind w:right="260" w:firstLine="213"/>
        <w:spacing w:after="0" w:line="254" w:lineRule="auto"/>
        <w:rPr>
          <w:sz w:val="20"/>
          <w:szCs w:val="20"/>
          <w:color w:val="auto"/>
        </w:rPr>
      </w:pPr>
      <w:r>
        <w:rPr>
          <w:rFonts w:ascii="Arial" w:cs="Arial" w:eastAsia="Arial" w:hAnsi="Arial"/>
          <w:sz w:val="17"/>
          <w:szCs w:val="17"/>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5" w:name="page16"/>
    <w:bookmarkEnd w:id="15"/>
    <w:p>
      <w:pPr>
        <w:jc w:val="both"/>
        <w:ind w:right="360" w:firstLine="213"/>
        <w:spacing w:after="0" w:line="254"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w:t>
      </w:r>
    </w:p>
    <w:p>
      <w:pPr>
        <w:spacing w:after="0" w:line="2" w:lineRule="exact"/>
        <w:rPr>
          <w:sz w:val="20"/>
          <w:szCs w:val="20"/>
          <w:color w:val="auto"/>
        </w:rPr>
      </w:pPr>
    </w:p>
    <w:p>
      <w:pPr>
        <w:ind w:right="16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jc w:val="both"/>
        <w:ind w:right="80" w:firstLine="204"/>
        <w:spacing w:after="0" w:line="284" w:lineRule="auto"/>
        <w:rPr>
          <w:sz w:val="20"/>
          <w:szCs w:val="20"/>
          <w:color w:val="auto"/>
        </w:rPr>
      </w:pPr>
      <w:r>
        <w:rPr>
          <w:rFonts w:ascii="Arial" w:cs="Arial" w:eastAsia="Arial" w:hAnsi="Arial"/>
          <w:sz w:val="15"/>
          <w:szCs w:val="15"/>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commenced and those efforts are continuing. To date, lawsuits have been filed in federal and state courts throughout the United States, which collectively assert claims under the laws of each state.</w:t>
      </w:r>
    </w:p>
    <w:p>
      <w:pPr>
        <w:spacing w:after="0" w:line="2" w:lineRule="exact"/>
        <w:rPr>
          <w:sz w:val="20"/>
          <w:szCs w:val="20"/>
          <w:color w:val="auto"/>
        </w:rPr>
      </w:pPr>
    </w:p>
    <w:p>
      <w:pPr>
        <w:ind w:right="80" w:firstLine="213"/>
        <w:spacing w:after="0" w:line="256" w:lineRule="auto"/>
        <w:rPr>
          <w:sz w:val="20"/>
          <w:szCs w:val="20"/>
          <w:color w:val="auto"/>
        </w:rPr>
      </w:pPr>
      <w:r>
        <w:rPr>
          <w:rFonts w:ascii="Arial" w:cs="Arial" w:eastAsia="Arial" w:hAnsi="Arial"/>
          <w:sz w:val="17"/>
          <w:szCs w:val="17"/>
          <w:color w:val="auto"/>
        </w:rPr>
        <w:t>Management continues to evaluate these lawsuits but is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20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b w:val="1"/>
          <w:bCs w:val="1"/>
          <w:i w:val="1"/>
          <w:iCs w:val="1"/>
          <w:color w:val="auto"/>
        </w:rPr>
        <w:t xml:space="preserve">Textron Innovations Inc. v. The Toro Company; The Toro Company v. Textron Inc. and Jacobsen. </w:t>
      </w:r>
      <w:r>
        <w:rPr>
          <w:rFonts w:ascii="Arial" w:cs="Arial" w:eastAsia="Arial" w:hAnsi="Arial"/>
          <w:sz w:val="17"/>
          <w:szCs w:val="17"/>
          <w:color w:val="auto"/>
        </w:rPr>
        <w:t>In July 2005, Textron Innovations Inc., the patent 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of Textron, Inc., filed a lawsuit in Delaware Federal District Court against the company for patent infringement. Textron alleges that the company willfully infringed certain claims of three Textron patents by selling its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the company’s motion to stay the litigation and, in June 2007, denied Textron’s motion for reconsideration of the Court’s order staying the proceedings.</w:t>
      </w:r>
    </w:p>
    <w:p>
      <w:pPr>
        <w:spacing w:after="0" w:line="6" w:lineRule="exact"/>
        <w:rPr>
          <w:sz w:val="20"/>
          <w:szCs w:val="20"/>
          <w:color w:val="auto"/>
        </w:rPr>
      </w:pPr>
    </w:p>
    <w:p>
      <w:pPr>
        <w:ind w:right="160" w:firstLine="213"/>
        <w:spacing w:after="0" w:line="275" w:lineRule="auto"/>
        <w:rPr>
          <w:sz w:val="20"/>
          <w:szCs w:val="20"/>
          <w:color w:val="auto"/>
        </w:rPr>
      </w:pPr>
      <w:r>
        <w:rPr>
          <w:rFonts w:ascii="Arial" w:cs="Arial" w:eastAsia="Arial" w:hAnsi="Arial"/>
          <w:sz w:val="16"/>
          <w:szCs w:val="16"/>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Management is also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2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 August 12, 2009, the company and TCF Inventory Finance, Inc. (TCFIF), an indirect subsidiary of TCF National Bank, established a joint venture in the form of a Delaware limited liability company named Red Iron Acceptance, LLC (“Red Iron”) to provide inventory financing, including floor plan financing and open account financing, to distributors and dealers of the company’s products in the United States and to select distributors of the company’s products in Canada. Additionally, in connection with the joint venture, TCFIF will implement a program to provide inventory financing to dealers of the company’s products in Canada. In connection with the establishment of the joint venture, the company has given the requisite 90 day notice of termination to the third party financing company currently providing floor plan financing to dealers of the company’s products in the United States and Canada. It is expected that Red Iron will begin financing receivables during the company’s fourth quarter of fiscal 2009 and first quarter of fiscal 2010. The company will continue to provide inventory financing to mass market retailer customers, general line irrigation dealers, wholly owned distributors, non-United States and non-Canadian international distributors and dealers, and government entity customers.</w:t>
      </w:r>
    </w:p>
    <w:p>
      <w:pPr>
        <w:spacing w:after="0" w:line="2" w:lineRule="exact"/>
        <w:rPr>
          <w:sz w:val="20"/>
          <w:szCs w:val="20"/>
          <w:color w:val="auto"/>
        </w:rPr>
      </w:pPr>
    </w:p>
    <w:p>
      <w:pPr>
        <w:ind w:firstLine="210"/>
        <w:spacing w:after="0" w:line="271" w:lineRule="auto"/>
        <w:rPr>
          <w:sz w:val="20"/>
          <w:szCs w:val="20"/>
          <w:color w:val="auto"/>
        </w:rPr>
      </w:pPr>
      <w:r>
        <w:rPr>
          <w:rFonts w:ascii="Arial" w:cs="Arial" w:eastAsia="Arial" w:hAnsi="Arial"/>
          <w:sz w:val="16"/>
          <w:szCs w:val="16"/>
          <w:color w:val="auto"/>
        </w:rPr>
        <w:t>With respect to the joint venture, the company expects to sell to Red Iron certain inventory receivables, including floor plan receivables and open account receivables, from distributors and dealers of the company’s products, and certain related assets, including security interests, financing agreements and books and records relating to the receivables, at a purchase price equal to the face value of the receivables or the purchase price paid for such receivables. It is expected that such receivables and related assets will be sold to Red Iron in more than one transaction. The first transaction is expected to occur during the company’s fourth quarter of fiscal 2009. A second transaction is expected to occur during the company’s first quarter of fiscal 2010. Pursuant to FAS No. 140, “Accounting for Transfers and Servicing of Financial Assets and Extinguishments of Liabilities,” as the company sells receivables to Red Iron, the company will derecognize the receivables from its books upon receipt of cash from Red Iron for receivables sold.</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16" w:name="page17"/>
    <w:bookmarkEnd w:id="16"/>
    <w:p>
      <w:pPr>
        <w:ind w:right="240" w:firstLine="210"/>
        <w:spacing w:after="0" w:line="274" w:lineRule="auto"/>
        <w:rPr>
          <w:sz w:val="20"/>
          <w:szCs w:val="20"/>
          <w:color w:val="auto"/>
        </w:rPr>
      </w:pPr>
      <w:r>
        <w:rPr>
          <w:rFonts w:ascii="Arial" w:cs="Arial" w:eastAsia="Arial" w:hAnsi="Arial"/>
          <w:sz w:val="16"/>
          <w:szCs w:val="16"/>
          <w:color w:val="auto"/>
        </w:rPr>
        <w:t>The company owns 45 percent of Red Iron and TCFIF owns 55 percent of Red Iron. The company does not intend to consolidate Red Iron’s financial statements with its consolidated financial statements and instead intends to account for its investment in Red Iron under the equity method of accounting.</w:t>
      </w:r>
    </w:p>
    <w:p>
      <w:pPr>
        <w:spacing w:after="0" w:line="1" w:lineRule="exact"/>
        <w:rPr>
          <w:sz w:val="20"/>
          <w:szCs w:val="20"/>
          <w:color w:val="auto"/>
        </w:rPr>
      </w:pPr>
    </w:p>
    <w:p>
      <w:pPr>
        <w:ind w:right="380" w:firstLine="210"/>
        <w:spacing w:after="0" w:line="329" w:lineRule="auto"/>
        <w:rPr>
          <w:sz w:val="20"/>
          <w:szCs w:val="20"/>
          <w:color w:val="auto"/>
        </w:rPr>
      </w:pPr>
      <w:r>
        <w:rPr>
          <w:rFonts w:ascii="Arial" w:cs="Arial" w:eastAsia="Arial" w:hAnsi="Arial"/>
          <w:sz w:val="15"/>
          <w:szCs w:val="15"/>
          <w:color w:val="auto"/>
        </w:rPr>
        <w:t>The company evaluated all subsequent event activity through September 3, 2009 (the issue date of this Quarterly Report on Form 10-Q) and concluded that no additional subsequent events have occurred that would require recognition in the financial statements or disclosure in the notes to the financial statements.</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Item 2. MANAGEMENT'S DISCUSSION AND ANALYSIS OF FINANCIAL CONDITION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w:t>
      </w:r>
    </w:p>
    <w:p>
      <w:pPr>
        <w:spacing w:after="0" w:line="24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agricultural micro-irrigation systems, landscaping equipment, and residential yard and irrigation products worldwide. We sell our products through a network of distributors, dealers, hardware retailers, home centers, mass retailers, and over the Internet. Our businesses are organized into three reportable business segments: professional, residential, and distribution. A company-owned distributorship, which consists of our distribution segment, has been combined with our corporate activities and financing functions. Our emphasis is to provide innovative, well-built, and dependable products supported by an extensive service network. A significant portion of our revenues has historically been, and we expect it to continue to be, attributable to new and enhanced products.</w:t>
      </w:r>
    </w:p>
    <w:p>
      <w:pPr>
        <w:spacing w:after="0" w:line="2" w:lineRule="exact"/>
        <w:rPr>
          <w:sz w:val="20"/>
          <w:szCs w:val="20"/>
          <w:color w:val="auto"/>
        </w:rPr>
      </w:pPr>
    </w:p>
    <w:p>
      <w:pPr>
        <w:ind w:right="520" w:firstLine="210"/>
        <w:spacing w:after="0" w:line="262" w:lineRule="auto"/>
        <w:rPr>
          <w:sz w:val="20"/>
          <w:szCs w:val="20"/>
          <w:color w:val="auto"/>
        </w:rPr>
      </w:pPr>
      <w:r>
        <w:rPr>
          <w:rFonts w:ascii="Arial" w:cs="Arial" w:eastAsia="Arial" w:hAnsi="Arial"/>
          <w:sz w:val="17"/>
          <w:szCs w:val="17"/>
          <w:color w:val="auto"/>
        </w:rPr>
        <w:t>The Management’s Discussion and Analysis of Financial Condition and Results of Operations (MD&amp;A) for the third quarter of fiscal 2009 should be read in conjunction with the MD&amp;A included in our Annual Report on Form 10-K (Item 7) for the fiscal year ended October 31, 2008.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For the third quarter of fiscal 2009, our net sales were down 19.8 percent compared to the third quarter of fiscal 2008. Year-to-date net sales were also down by 19.7 percent compared to the same period last fiscal year. Shipments of most professional segment products were significantly down due to decreased demand resulting largely as a consequence of the global recessionary conditions. Domestic field inventory levels were also down as of the end of the third quarter of fiscal 2009 compared to the end of the third quarter of fiscal 2008 as a result of continued focus and improved field inventory management during this economic downturn. Residential segment net sales increased slightly by 1.2 percent for the third quarter of fiscal 2009 compared to the third quarter of fiscal 2008; however, year-to-date residential segment net sales declined slightly by 1.6 percent compared to the same period in the prior fiscal year. Sales of walk power mowers increased for the third quarter and year-to-date periods of fiscal 2009 compared to the same periods last fiscal year due mainly to additional product placement at a key retailer for a new and broader line of walk power mowers. However, sales of snow thrower products were down for the third quarter and year-to-date periods of fiscal 2009 compared to the same periods in the prior fiscal year due to the timing of the introduction for a new redesigned offering of snow thrower products that are anticipated to ship in the fourth calendar quarter of 2009. International net sales declined 20.1 percent and 21.4 percent for the third quarter and year-to-date periods of fiscal 2009, respectively, from the same periods in the prior fiscal year, also due to reduced demand as a result of the recessionary conditions affecting our key international markets, as well as a stronger U.S. dollar compared to other currencies in which we transact business that negatively impacted net sales by approximately $8 million and $31 million for the third quarter and year-to-date periods of fiscal 2009, respectively. Our net earnings declined 48.3 percent and 47.0 percent for the third quarter and year-to-date periods of fiscal 2009 to $19.8 million and $63.4 million, respectively, compared to the same periods in the prior fiscal year. These decreases were primarily the result of lower sales volumes, a decline in gross profit due to production cuts and unfavorable product mix, an increase in other expense from several legal matters, costs incurred for workforce adjustments, and a higher effective tax rate, somewhat offset by lower selling, general, and administrative (SG&amp;A) expenses in the third quarter and year-to-date periods of fiscal 2009 compared to the same periods last fiscal year.</w:t>
      </w:r>
    </w:p>
    <w:p>
      <w:pPr>
        <w:spacing w:after="0" w:line="9" w:lineRule="exact"/>
        <w:rPr>
          <w:sz w:val="20"/>
          <w:szCs w:val="20"/>
          <w:color w:val="auto"/>
        </w:rPr>
      </w:pPr>
    </w:p>
    <w:p>
      <w:pPr>
        <w:ind w:right="20" w:firstLine="213"/>
        <w:spacing w:after="0" w:line="295" w:lineRule="auto"/>
        <w:rPr>
          <w:sz w:val="20"/>
          <w:szCs w:val="20"/>
          <w:color w:val="auto"/>
        </w:rPr>
      </w:pPr>
      <w:r>
        <w:rPr>
          <w:rFonts w:ascii="Arial" w:cs="Arial" w:eastAsia="Arial" w:hAnsi="Arial"/>
          <w:sz w:val="15"/>
          <w:szCs w:val="15"/>
          <w:color w:val="auto"/>
        </w:rPr>
        <w:t>During this difficult economic environment, we have been reducing expenses and continuing efforts to reduce working capital. As a result of these actions, our SG&amp;A expenses were down $16.7 million and $52.0 million for the third quarter and year-to-date periods of fiscal 2009, respectively, compared to the same periods in the prior fiscal year. In fiscal 2009, we reduced our worldwide salaried and office workforce by approximately 135 employees through workforce adjustment programs, suspended regularly scheduled salary increases, reduced officers’ salaries, changed our vacation policy, and added four furlough days. Our inventory levels also decreased 24.2 percent to $160.6 million for the third quarter of fiscal 2009 compared to the third quarter of fiscal 2008, the lowest level in more than a decade.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7" w:name="page18"/>
    <w:bookmarkEnd w:id="17"/>
    <w:p>
      <w:pPr>
        <w:ind w:right="140" w:firstLine="210"/>
        <w:spacing w:after="0" w:line="258" w:lineRule="auto"/>
        <w:rPr>
          <w:sz w:val="20"/>
          <w:szCs w:val="20"/>
          <w:color w:val="auto"/>
        </w:rPr>
      </w:pPr>
      <w:r>
        <w:rPr>
          <w:rFonts w:ascii="Arial" w:cs="Arial" w:eastAsia="Arial" w:hAnsi="Arial"/>
          <w:sz w:val="17"/>
          <w:szCs w:val="17"/>
          <w:color w:val="auto"/>
        </w:rPr>
        <w:t>We declared a cash dividend of $0.15 per share during the third quarter of fiscal 2009, which was equivalent to the per share cash dividend we declared in the first and second quarters of fiscal 2009 and each quarter of fiscal 2008.</w:t>
      </w:r>
    </w:p>
    <w:p>
      <w:pPr>
        <w:ind w:right="180" w:firstLine="213"/>
        <w:spacing w:after="0" w:line="266" w:lineRule="auto"/>
        <w:rPr>
          <w:sz w:val="20"/>
          <w:szCs w:val="20"/>
          <w:color w:val="auto"/>
        </w:rPr>
      </w:pPr>
      <w:r>
        <w:rPr>
          <w:rFonts w:ascii="Arial" w:cs="Arial" w:eastAsia="Arial" w:hAnsi="Arial"/>
          <w:sz w:val="16"/>
          <w:szCs w:val="16"/>
          <w:color w:val="auto"/>
        </w:rPr>
        <w:t>On August 12, 2009, we announced the formation of Red Iron Acceptance, LLC, a joint venture we have entered into with TCF Inventory Finance, Inc. The purpose of establishing this joint venture is to provide inventory financing for our distributor and dealers in the United States and Canada, as well as to free up our working capital for other purposes, which may include, among other things, strategic acquisitions, research and development of innovative new products, improvements in the quality and performance of existing products, and general corporate purposes. Additional information regarding the joint venture with TCFIF is presented in Part I, Item 1, “Notes to Condensed Consolidated Financial Statements (Unaudited)” in the section entitled Subsequent Events.</w:t>
      </w:r>
    </w:p>
    <w:p>
      <w:pPr>
        <w:spacing w:after="0" w:line="4" w:lineRule="exact"/>
        <w:rPr>
          <w:sz w:val="20"/>
          <w:szCs w:val="20"/>
          <w:color w:val="auto"/>
        </w:rPr>
      </w:pPr>
    </w:p>
    <w:p>
      <w:pPr>
        <w:ind w:right="40" w:firstLine="210"/>
        <w:spacing w:after="0" w:line="272" w:lineRule="auto"/>
        <w:rPr>
          <w:sz w:val="20"/>
          <w:szCs w:val="20"/>
          <w:color w:val="auto"/>
        </w:rPr>
      </w:pPr>
      <w:r>
        <w:rPr>
          <w:rFonts w:ascii="Arial" w:cs="Arial" w:eastAsia="Arial" w:hAnsi="Arial"/>
          <w:sz w:val="16"/>
          <w:szCs w:val="16"/>
          <w:color w:val="auto"/>
        </w:rPr>
        <w:t>We expect the global economic slow-down will continue for at least the remainder of our fiscal year and to have a negative impact on our financial results for fiscal 2009. However, we believe the actions we have taken to improve operating efficiency and asset utilization, as well as reduce expenses, have positioned us well to manage through this continuing challenging economic environment. Our continued focus is on generating customer demand and aggressively driving retail sales for our innovative products, while keeping production closely aligned with expected shipment volumes. We will continue to keep a cautionary eye on the global economies, retail demand, field inventory levels, commodity prices, weather, competitive actions, expenses, and other factors identified below under the heading “Forward-Looking Information,” which could cause our actual results to differ from our outlook.</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Earnings</w:t>
      </w:r>
    </w:p>
    <w:p>
      <w:pPr>
        <w:spacing w:after="0" w:line="243" w:lineRule="exact"/>
        <w:rPr>
          <w:sz w:val="20"/>
          <w:szCs w:val="20"/>
          <w:color w:val="auto"/>
        </w:rPr>
      </w:pPr>
    </w:p>
    <w:p>
      <w:pPr>
        <w:ind w:right="400"/>
        <w:spacing w:after="0" w:line="269" w:lineRule="auto"/>
        <w:rPr>
          <w:sz w:val="20"/>
          <w:szCs w:val="20"/>
          <w:color w:val="auto"/>
        </w:rPr>
      </w:pPr>
      <w:r>
        <w:rPr>
          <w:rFonts w:ascii="Arial" w:cs="Arial" w:eastAsia="Arial" w:hAnsi="Arial"/>
          <w:sz w:val="16"/>
          <w:szCs w:val="16"/>
          <w:color w:val="auto"/>
        </w:rPr>
        <w:t>Net earnings for the third quarter of fiscal 2009 were $19.8 million, or $0.54 per diluted share, compared to $38.2 million, or $0.99 per diluted share, for the third quarter of fiscal 2008, a net earnings per diluted share decrease of 45.5 percent. Year-to-date net earnings in fiscal 2009 were $63.4 million, or $1.73 per diluted share, compared to $119.6 million, or $3.06 per diluted share, last fiscal year, a net earnings per diluted share decrease of 43.5 percent. The primary factors contributing to these declines were lower sales volumes, a decline in gross profit, an increase in other expense from several legal matters, costs incurred for workforce adjustments, and a higher effective tax rate, somewhat offset by a decrease in SG&amp;A expense.</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major operating costs as a percentage of net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19"/>
                <w:szCs w:val="19"/>
                <w:color w:val="auto"/>
              </w:rPr>
            </w:pPr>
          </w:p>
        </w:tc>
        <w:tc>
          <w:tcPr>
            <w:tcW w:w="2760" w:type="dxa"/>
            <w:vAlign w:val="bottom"/>
            <w:gridSpan w:val="4"/>
          </w:tcPr>
          <w:p>
            <w:pPr>
              <w:jc w:val="right"/>
              <w:ind w:right="780"/>
              <w:spacing w:after="0"/>
              <w:rPr>
                <w:sz w:val="20"/>
                <w:szCs w:val="20"/>
                <w:color w:val="auto"/>
              </w:rPr>
            </w:pPr>
            <w:r>
              <w:rPr>
                <w:rFonts w:ascii="Arial" w:cs="Arial" w:eastAsia="Arial" w:hAnsi="Arial"/>
                <w:sz w:val="17"/>
                <w:szCs w:val="17"/>
                <w:color w:val="auto"/>
              </w:rPr>
              <w:t>Three Months Ended</w:t>
            </w:r>
          </w:p>
        </w:tc>
        <w:tc>
          <w:tcPr>
            <w:tcW w:w="2660" w:type="dxa"/>
            <w:vAlign w:val="bottom"/>
            <w:gridSpan w:val="4"/>
          </w:tcPr>
          <w:p>
            <w:pPr>
              <w:jc w:val="right"/>
              <w:ind w:right="720"/>
              <w:spacing w:after="0"/>
              <w:rPr>
                <w:sz w:val="20"/>
                <w:szCs w:val="20"/>
                <w:color w:val="auto"/>
              </w:rPr>
            </w:pPr>
            <w:r>
              <w:rPr>
                <w:rFonts w:ascii="Arial" w:cs="Arial" w:eastAsia="Arial" w:hAnsi="Arial"/>
                <w:sz w:val="17"/>
                <w:szCs w:val="17"/>
                <w:color w:val="auto"/>
              </w:rPr>
              <w:t>Nine Months Ended</w:t>
            </w:r>
          </w:p>
        </w:tc>
      </w:tr>
      <w:tr>
        <w:trPr>
          <w:trHeight w:val="192"/>
        </w:trPr>
        <w:tc>
          <w:tcPr>
            <w:tcW w:w="600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93" w:lineRule="exact"/>
              <w:rPr>
                <w:sz w:val="20"/>
                <w:szCs w:val="20"/>
                <w:color w:val="auto"/>
              </w:rPr>
            </w:pPr>
            <w:r>
              <w:rPr>
                <w:rFonts w:ascii="Arial" w:cs="Arial" w:eastAsia="Arial" w:hAnsi="Arial"/>
                <w:sz w:val="17"/>
                <w:szCs w:val="17"/>
                <w:color w:val="auto"/>
                <w:w w:val="92"/>
              </w:rPr>
              <w:t>July 31,</w:t>
            </w:r>
          </w:p>
        </w:tc>
        <w:tc>
          <w:tcPr>
            <w:tcW w:w="112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1,</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40"/>
              <w:spacing w:after="0" w:line="193" w:lineRule="exact"/>
              <w:rPr>
                <w:sz w:val="20"/>
                <w:szCs w:val="20"/>
                <w:color w:val="auto"/>
              </w:rPr>
            </w:pPr>
            <w:r>
              <w:rPr>
                <w:rFonts w:ascii="Arial" w:cs="Arial" w:eastAsia="Arial" w:hAnsi="Arial"/>
                <w:sz w:val="17"/>
                <w:szCs w:val="17"/>
                <w:color w:val="auto"/>
              </w:rPr>
              <w:t>July 31,</w:t>
            </w:r>
          </w:p>
        </w:tc>
        <w:tc>
          <w:tcPr>
            <w:tcW w:w="114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1,</w:t>
            </w:r>
          </w:p>
        </w:tc>
        <w:tc>
          <w:tcPr>
            <w:tcW w:w="140" w:type="dxa"/>
            <w:vAlign w:val="bottom"/>
          </w:tcPr>
          <w:p>
            <w:pPr>
              <w:spacing w:after="0"/>
              <w:rPr>
                <w:sz w:val="16"/>
                <w:szCs w:val="16"/>
                <w:color w:val="auto"/>
              </w:rPr>
            </w:pPr>
          </w:p>
        </w:tc>
      </w:tr>
      <w:tr>
        <w:trPr>
          <w:trHeight w:val="223"/>
        </w:trPr>
        <w:tc>
          <w:tcPr>
            <w:tcW w:w="600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(66.1)</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(64.7)</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(66.5)</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(64.2)</w:t>
            </w:r>
          </w:p>
        </w:tc>
      </w:tr>
      <w:tr>
        <w:trPr>
          <w:trHeight w:val="26"/>
        </w:trPr>
        <w:tc>
          <w:tcPr>
            <w:tcW w:w="60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w:t>
            </w:r>
          </w:p>
        </w:tc>
      </w:tr>
      <w:tr>
        <w:trPr>
          <w:trHeight w:val="192"/>
        </w:trPr>
        <w:tc>
          <w:tcPr>
            <w:tcW w:w="6000" w:type="dxa"/>
            <w:vAlign w:val="bottom"/>
          </w:tcPr>
          <w:p>
            <w:pPr>
              <w:spacing w:after="0" w:line="193" w:lineRule="exact"/>
              <w:rPr>
                <w:sz w:val="20"/>
                <w:szCs w:val="20"/>
                <w:color w:val="auto"/>
              </w:rPr>
            </w:pPr>
            <w:r>
              <w:rPr>
                <w:rFonts w:ascii="Arial" w:cs="Arial" w:eastAsia="Arial" w:hAnsi="Arial"/>
                <w:sz w:val="17"/>
                <w:szCs w:val="17"/>
                <w:color w:val="auto"/>
              </w:rPr>
              <w:t>Selling, general, and administrative</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6000" w:type="dxa"/>
            <w:vAlign w:val="bottom"/>
          </w:tcPr>
          <w:p>
            <w:pPr>
              <w:ind w:left="80"/>
              <w:spacing w:after="0"/>
              <w:rPr>
                <w:sz w:val="20"/>
                <w:szCs w:val="20"/>
                <w:color w:val="auto"/>
              </w:rPr>
            </w:pPr>
            <w:r>
              <w:rPr>
                <w:rFonts w:ascii="Arial" w:cs="Arial" w:eastAsia="Arial" w:hAnsi="Arial"/>
                <w:sz w:val="17"/>
                <w:szCs w:val="17"/>
                <w:color w:val="auto"/>
              </w:rPr>
              <w:t>expense</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(23.9)</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(22.5)</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(24.4)</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(23.0)</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(0.1)</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(0.1)</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r>
      <w:tr>
        <w:trPr>
          <w:trHeight w:val="26"/>
        </w:trPr>
        <w:tc>
          <w:tcPr>
            <w:tcW w:w="6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Net earnings</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5.0%</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7.8%</w:t>
            </w:r>
          </w:p>
        </w:tc>
      </w:tr>
      <w:tr>
        <w:trPr>
          <w:trHeight w:val="20"/>
        </w:trPr>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3"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Worldwide consolidated net sales for the third quarter and year-to-date periods of fiscal 2009 were down 19.8 percent and 19.7 percent, respectively, from the same periods in the prior fiscal year. Worldwide professional segment net sales were down 27.3 percent and 26.7 percent for the third quarter and year-to-date periods of fiscal 2009, respectively, compared to the same periods in the prior fiscal year as shipments for most product categories were hampered by decreased demand largely resulting from the global economic recession. Worldwide sales of golf maintenance equipment and irrigation systems were down significantly, as were sales of professionally installed residential/commercial irrigation products and landscape contractor equipment. Residential segment net sales increased slightly by 1.2 percent for the third quarter of fiscal 2009 compared to the third quarter of fiscal 2008, but declined by 1.6 percent for the year-to-date period of fiscal 2009 compared to the same period in fiscal 2008. Sales of walk power mowers increased due mainly to additional product placement at a key retailer for a new and broader line of walk power mowers. However, sales of snow thrower products were down due to the timing of the introduction of a new redesigned offering of snow thrower products that are anticipated to ship in the fourth calendar quarter of 2009. International net sales for the third quarter and year-to-date periods of fiscal 2009 were down 20.1 percent and 21.4 percent, respectively, from the same periods in the prior fiscal year due also to reduced demand as a result of the recessionary conditions affecting our key international markets, as well as a stronger U.S. dollar compared to other currencies in which we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8" w:name="page19"/>
    <w:bookmarkEnd w:id="18"/>
    <w:p>
      <w:pPr>
        <w:ind w:right="220"/>
        <w:spacing w:after="0" w:line="276" w:lineRule="auto"/>
        <w:rPr>
          <w:sz w:val="20"/>
          <w:szCs w:val="20"/>
          <w:color w:val="auto"/>
        </w:rPr>
      </w:pPr>
      <w:r>
        <w:rPr>
          <w:rFonts w:ascii="Arial" w:cs="Arial" w:eastAsia="Arial" w:hAnsi="Arial"/>
          <w:sz w:val="17"/>
          <w:szCs w:val="17"/>
          <w:color w:val="auto"/>
        </w:rPr>
        <w:t>transact business that accounted for approximately $8 million and $31 million of our net sales decline for the third quarter and year-to-date periods of fiscal 2009,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4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As a percentage of net sales, gross profit for the third quarter of fiscal 2009 decreased to 33.9 percent compared to 35.3 percent in the third quarter of fiscal 2008. Gross profit as a percent of net sales for the year-to-date period of fiscal 2009 also decreased to 33.5 percent compared to 35.8 percent for year-to-date period of fiscal 2008. These declines were due to the following factors: (i) increased manufacturing costs from lower plant utilization as we cut production due to a decline in sales volumes, combined with efforts to lower inventory levels; (ii) lower sales of our higher-margin products; and (iii) a stronger U.S. dollar compared to other currencies in which we transact business, in each case in the third quarter and year-to-date periods of fiscal 2009 compared to the same periods in the prior fiscal year. Higher average commodity costs, mainly in the first half of fiscal 2009, also contributed to the decline in our gross profit. Somewhat offsetting those negative factors was a decrease in freight expense and price increases introduced on most products.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Selling, general, and administrative expense decreased $16.7 million, or 15.1 percent, for the third quarter of fiscal 2009 compared to the third quarter of fiscal 2008. SG&amp;A expense decreased $52.0 million, or 14.7 percent, for the year-to-date period of fiscal 2009 compared to the year-to-date period of fiscal 2008. These declines in SG&amp;A expense were primarily attributable to overall reduced spending in response to the continuing worldwide recessionary economic conditions, as well as lower profit sharing and incentive compensation expense of $3.2 million for the year-to-date period of fiscal 2009 compared to the same period in the prior fiscal year. Somewhat offsetting those declines were costs incurred for workforce adjustments of $1.0 million and $3.0 million for the third quarter and year-to-date periods of fiscal 2009, respectively. SG&amp;A expense as a percentage of net sales for the third quarter and year-to-date periods of fiscal 2009 increased to 23.9 percent and 24.4 percent, respectively, compared to 22.5 percent and 23.0 percent for the third quarter and year-to-date periods of fiscal 2008, respectively, due to fixed SG&amp;A costs spread over lower sales volumes.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Interest expense for the third quarter and year-to-date periods of fiscal 2009 was down 4.7 percent and 11.6 percent, respectively, compared to the same periods in the prior fiscal year as a result of lower average short-term debt levels and a decline in average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(Expense) Income, Net</w:t>
      </w:r>
    </w:p>
    <w:p>
      <w:pPr>
        <w:spacing w:after="0" w:line="243"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Other expense, net for the third quarter of fiscal 2009 increased by $3.7 million compared to the third quarter of fiscal 2008. This increase in other expense was due mainly to expenses of $5.0 million in the aggregate for several legal matters and a decline in interest income of $0.2 million. Somewhat offsetting those increases in other expense was a decline in foreign currency exchange rate losses of $1.3 million. For the year-to-date period of fiscal 2009, we incurred $1.7 million of other expense compared to $0.5 million of other income for the year-to-date period of fiscal 2008 due to the same reasons mentioned in the quarter comparison.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3"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The effective tax rate for the third quarter of fiscal 2009 was 36.6 percent compared to 34.2 percent for the third quarter of fiscal 2008. The effective tax rate for the year-to-date periods of fiscal 2009 and 2008 was 34.9 percent compared to 34.8 percent, respectively. The realization of deferred tax assets is assessed and a valuation allowance is recorded to the extent it is more likely than not that any portion of the deferred tax asset will not be recognized. The increase in the effective tax rate was due to a valuation allowance of $1.4 million for foreign subsidiaries’ net operating loss carry-forwards and other deferred tax assets reflecting the uncertainty over their future realization. This increase was somewhat offset by the reinstatement of the domestic research and development tax credit.</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As described previously, we operate in three reportable business segments: professional, residential, and distribution. A company-owned domestic distributorship, which consists of our distribution segment, has been combined with our corporate activities and financing functions that is shown as “Other” in the following tables. Operating earnings for our professional and residential</w:t>
      </w: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498" w:right="399" w:bottom="1440" w:gutter="0" w:footer="0" w:header="0"/>
        </w:sectPr>
      </w:pPr>
    </w:p>
    <w:bookmarkStart w:id="19" w:name="page20"/>
    <w:bookmarkEnd w:id="19"/>
    <w:p>
      <w:pPr>
        <w:ind w:right="380"/>
        <w:spacing w:after="0" w:line="258" w:lineRule="auto"/>
        <w:rPr>
          <w:sz w:val="20"/>
          <w:szCs w:val="20"/>
          <w:color w:val="auto"/>
        </w:rPr>
      </w:pPr>
      <w:r>
        <w:rPr>
          <w:rFonts w:ascii="Arial" w:cs="Arial" w:eastAsia="Arial" w:hAnsi="Arial"/>
          <w:sz w:val="17"/>
          <w:szCs w:val="17"/>
          <w:color w:val="auto"/>
        </w:rPr>
        <w:t>segments are defined as earnings from operations plus other income, net. Operating loss for “Other” includes earnings (loss) from operations, corporate activities, including corporate financing activities, other income, net, and interest expense.</w:t>
      </w:r>
    </w:p>
    <w:p>
      <w:pPr>
        <w:ind w:left="220"/>
        <w:spacing w:after="0"/>
        <w:rPr>
          <w:sz w:val="20"/>
          <w:szCs w:val="20"/>
          <w:color w:val="auto"/>
        </w:rPr>
      </w:pPr>
      <w:r>
        <w:rPr>
          <w:rFonts w:ascii="Arial" w:cs="Arial" w:eastAsia="Arial" w:hAnsi="Arial"/>
          <w:sz w:val="17"/>
          <w:szCs w:val="17"/>
          <w:color w:val="auto"/>
        </w:rPr>
        <w:t>The following table summarizes net sales by segment: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7"/>
                <w:szCs w:val="17"/>
                <w:color w:val="auto"/>
                <w:w w:val="90"/>
              </w:rPr>
              <w:t>Three Months Ended</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00" w:type="dxa"/>
            <w:vAlign w:val="bottom"/>
          </w:tcPr>
          <w:p>
            <w:pPr>
              <w:spacing w:after="0"/>
              <w:rPr>
                <w:sz w:val="16"/>
                <w:szCs w:val="16"/>
                <w:color w:val="auto"/>
              </w:rPr>
            </w:pPr>
          </w:p>
        </w:tc>
        <w:tc>
          <w:tcPr>
            <w:tcW w:w="1180" w:type="dxa"/>
            <w:vAlign w:val="bottom"/>
            <w:gridSpan w:val="2"/>
          </w:tcPr>
          <w:p>
            <w:pPr>
              <w:jc w:val="center"/>
              <w:ind w:right="400"/>
              <w:spacing w:after="0" w:line="193" w:lineRule="exact"/>
              <w:rPr>
                <w:sz w:val="20"/>
                <w:szCs w:val="20"/>
                <w:color w:val="auto"/>
              </w:rPr>
            </w:pPr>
            <w:r>
              <w:rPr>
                <w:rFonts w:ascii="Arial" w:cs="Arial" w:eastAsia="Arial" w:hAnsi="Arial"/>
                <w:sz w:val="17"/>
                <w:szCs w:val="17"/>
                <w:color w:val="auto"/>
                <w:w w:val="92"/>
              </w:rPr>
              <w:t>July 31,</w:t>
            </w: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93" w:lineRule="exact"/>
              <w:rPr>
                <w:sz w:val="20"/>
                <w:szCs w:val="20"/>
                <w:color w:val="auto"/>
              </w:rPr>
            </w:pPr>
            <w:r>
              <w:rPr>
                <w:rFonts w:ascii="Arial" w:cs="Arial" w:eastAsia="Arial" w:hAnsi="Arial"/>
                <w:sz w:val="17"/>
                <w:szCs w:val="17"/>
                <w:color w:val="auto"/>
                <w:w w:val="91"/>
              </w:rPr>
              <w:t>August 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260,884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359,070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(27.3)%</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126,181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124,671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1,510</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 *</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394,859</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492,635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(97,776)</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(19.8)%</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110,773</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138,682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(27,909)</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(20.1)%</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7"/>
                <w:szCs w:val="17"/>
                <w:color w:val="auto"/>
                <w:w w:val="92"/>
              </w:rPr>
              <w:t>Nine Months Ended</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(Dollars in thousands)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July 31,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1"/>
              </w:rPr>
              <w:t>August 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800,630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1,092,767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(292,137)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416,762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423,545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(6,783)</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20,632</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 *</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1,234,883</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1,536,944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(302,061)</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(19.7)%</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389,004</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494,909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(105,905)</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(21.4)%</w:t>
            </w: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5"/>
        </w:trPr>
        <w:tc>
          <w:tcPr>
            <w:tcW w:w="7440" w:type="dxa"/>
            <w:vAlign w:val="bottom"/>
            <w:gridSpan w:val="4"/>
          </w:tcPr>
          <w:p>
            <w:pPr>
              <w:ind w:left="220"/>
              <w:spacing w:after="0"/>
              <w:rPr>
                <w:sz w:val="20"/>
                <w:szCs w:val="20"/>
                <w:color w:val="auto"/>
              </w:rPr>
            </w:pPr>
            <w:r>
              <w:rPr>
                <w:rFonts w:ascii="Arial" w:cs="Arial" w:eastAsia="Arial" w:hAnsi="Arial"/>
                <w:sz w:val="17"/>
                <w:szCs w:val="17"/>
                <w:color w:val="auto"/>
              </w:rPr>
              <w:t>The following table summarizes operating earnings (loss) before income taxes by segment: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7"/>
                <w:szCs w:val="17"/>
                <w:color w:val="auto"/>
                <w:w w:val="90"/>
              </w:rPr>
              <w:t>Three Months Ended</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00" w:type="dxa"/>
            <w:vAlign w:val="bottom"/>
          </w:tcPr>
          <w:p>
            <w:pPr>
              <w:spacing w:after="0"/>
              <w:rPr>
                <w:sz w:val="16"/>
                <w:szCs w:val="16"/>
                <w:color w:val="auto"/>
              </w:rPr>
            </w:pPr>
          </w:p>
        </w:tc>
        <w:tc>
          <w:tcPr>
            <w:tcW w:w="1180" w:type="dxa"/>
            <w:vAlign w:val="bottom"/>
            <w:gridSpan w:val="2"/>
          </w:tcPr>
          <w:p>
            <w:pPr>
              <w:jc w:val="center"/>
              <w:ind w:right="400"/>
              <w:spacing w:after="0" w:line="193" w:lineRule="exact"/>
              <w:rPr>
                <w:sz w:val="20"/>
                <w:szCs w:val="20"/>
                <w:color w:val="auto"/>
              </w:rPr>
            </w:pPr>
            <w:r>
              <w:rPr>
                <w:rFonts w:ascii="Arial" w:cs="Arial" w:eastAsia="Arial" w:hAnsi="Arial"/>
                <w:sz w:val="17"/>
                <w:szCs w:val="17"/>
                <w:color w:val="auto"/>
                <w:w w:val="92"/>
              </w:rPr>
              <w:t>July 31,</w:t>
            </w: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93" w:lineRule="exact"/>
              <w:rPr>
                <w:sz w:val="20"/>
                <w:szCs w:val="20"/>
                <w:color w:val="auto"/>
              </w:rPr>
            </w:pPr>
            <w:r>
              <w:rPr>
                <w:rFonts w:ascii="Arial" w:cs="Arial" w:eastAsia="Arial" w:hAnsi="Arial"/>
                <w:sz w:val="17"/>
                <w:szCs w:val="17"/>
                <w:color w:val="auto"/>
                <w:w w:val="91"/>
              </w:rPr>
              <w:t>August 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39,436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71,179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(31,743)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(44.6)%</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3,370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7,331</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217.5</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(18,967)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(16,496)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31,170</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58,053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(26,883)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(46.3)%</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5"/>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7"/>
                <w:szCs w:val="17"/>
                <w:color w:val="auto"/>
                <w:w w:val="92"/>
              </w:rPr>
              <w:t>Nine Months Ended</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(Dollars in thousands)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2"/>
              </w:rPr>
              <w:t>July 31,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1"/>
              </w:rPr>
              <w:t>August 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126,424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(93,215)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(42.4)%</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32,122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27,933</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4,189</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15.0</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(61,166)</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(64,078)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2,912</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97,380</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183,494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(86,114)</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(46.9)%</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w:t>
      </w:r>
    </w:p>
    <w:p>
      <w:pPr>
        <w:spacing w:after="0" w:line="243"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i w:val="1"/>
          <w:iCs w:val="1"/>
          <w:u w:val="single" w:color="auto"/>
          <w:color w:val="auto"/>
        </w:rPr>
        <w:t>Net Sales</w:t>
      </w:r>
      <w:r>
        <w:rPr>
          <w:rFonts w:ascii="Arial" w:cs="Arial" w:eastAsia="Arial" w:hAnsi="Arial"/>
          <w:sz w:val="15"/>
          <w:szCs w:val="15"/>
          <w:i w:val="1"/>
          <w:iCs w:val="1"/>
          <w:color w:val="auto"/>
        </w:rPr>
        <w:t xml:space="preserve">. </w:t>
      </w:r>
      <w:r>
        <w:rPr>
          <w:rFonts w:ascii="Arial" w:cs="Arial" w:eastAsia="Arial" w:hAnsi="Arial"/>
          <w:sz w:val="15"/>
          <w:szCs w:val="15"/>
          <w:color w:val="auto"/>
        </w:rPr>
        <w:t>Worldwide net sales for the professional segment in the third quarter and year-to-date periods of fiscal 2009 were down 27.3 percent and 26.7 percent,</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compared to the same periods last fiscal year. Shipments declined for most domestic and international product categories due to decreased demand and customers’ reluctance to place stocking orders as a result of the continued worldwide recessionary economic conditions. Domestic field inventory levels were also down as of the end of the third quarter of fiscal 2009 compared to the end of the third quarter of fiscal 2008 as a result of continued focus and improved field inventory management during this economic downturn. Worldwide sales of golf maintenance equipment and irrigation systems were significantly down as customers delayed investments in new equipment at existing golf courses and new golf course construction slowed. In addition, sales of professionally installed residential/commercial irrigation systems were down due to decreased demand largely as a result of ongoing weakness in the housing and commercial construction markets.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0" w:name="page21"/>
    <w:bookmarkEnd w:id="20"/>
    <w:p>
      <w:pPr>
        <w:spacing w:after="0" w:line="276" w:lineRule="auto"/>
        <w:rPr>
          <w:sz w:val="20"/>
          <w:szCs w:val="20"/>
          <w:color w:val="auto"/>
        </w:rPr>
      </w:pPr>
      <w:r>
        <w:rPr>
          <w:rFonts w:ascii="Arial" w:cs="Arial" w:eastAsia="Arial" w:hAnsi="Arial"/>
          <w:sz w:val="17"/>
          <w:szCs w:val="17"/>
          <w:color w:val="auto"/>
        </w:rPr>
        <w:t>Sales of landscape contractor equipment were also down due to the recessionary economic conditions, but were somewhat offset by positive customer response to new product introductions.</w:t>
      </w:r>
    </w:p>
    <w:p>
      <w:pPr>
        <w:spacing w:after="0" w:line="19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third quarter and year-to-date periods of fiscal 2009 decreased 44.6 percent and 42.4</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last fiscal year. Expressed as a percentage of net sales, professional segment operating margin decreased to 15.2 percent compared to 19.8 percent in the third quarter of fiscal 2008, and the fiscal 2009 year-to-date professional segment operating margin decreased to 15.8 percent compared to 20.1 percent from the same period last fiscal year. These profit declines were primarily attributable to lower gross profit due to the same factors discussed previously in the Gross Profit section of this MD&amp;A. Higher SG&amp;A expense as a percentage of net sales also adversely affected operating earnings, which was due mainly to fixed SG&amp;A costs spread over lower sales volumes.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w:t>
      </w:r>
    </w:p>
    <w:p>
      <w:pPr>
        <w:spacing w:after="0" w:line="24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third quarter of fiscal 2009 increased slightly by 1.2 percent compared to the third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2008. However, net sales for the residential segment were slightly down by 1.6 percent for the year-to-date period of fiscal 2009 compared to the same period last fiscal year. Shipments of walk power mowers increased as a result of additional product placement at a key retailer for a new and broader line of walk power mowers. Sales of riding products were also up for the third quarter of fiscal 2009 compared to the third quarter of fiscal 2008 as a result of increased demand and customer acceptance for a new line of zero-turn radius riding mowers. However, riding product sales were down for the year-to-date period of fiscal 2009 compared to the same period in the prior fiscal year. Sales of snow thrower products were down for the third quarter and year-to-date periods of fiscal 2009 compared to the same periods in the prior fiscal year due to the timing of the introduction for a new redesigned offering of snow thrower products that are anticipated to ship in the fourth calendar quarter of 2009.</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third quarter and year-to-date periods of fiscal 2009 increased by $7.3 million, or 217.5</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and $4.2 million, or 15.0 percent, respectively, compared to the same periods last fiscal year. Expressed as a percentage of net sales, residential segment operating margin increased to 8.5 percent compared to 2.7 percent in the third quarter of fiscal 2008, and fiscal 2009 year-to-date residential segment operating margin increased to 7.7 percent compared to 6.6 percent last fiscal year. These profit improvements were primarily attributable to lower SG&amp;A expense from a decline in spending for marketing, engineering, and warehousing as a result of budget reductions. In addition, residential segment gross profit for the third quarter of fiscal 2009 increased compared to the third quarter of fiscal 2008 as a result of lower commodity costs, and a decrease in freight expense. However, gross profit for the year-to-date period of fiscal 2009 was down compared to the same period last year due mainly to higher average commodity costs in the first half of fiscal 2009 compared to the first half of fiscal 2008 and unfavorable product mix.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3"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for the other segment include sales from our wholly owned domestic distribution company less sales from the professional and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segments to that distribution company. In addition, elimination of the professional and residential segments’ floor plan interest costs from Toro Credit Company are also included in this segment. Net sales for the other segment were down for the third quarter and year-to-date periods of fiscal 2009 compared to the same periods last fiscal year by $1.1 million, or 12.4 percent, and $3.1 million, or 15.2 percent, respectively, as a result of reduced demand due to the domestic economic recession, as well as a reduction in the elimination of floor plan interest costs as a result of lower receivables with Toro Credit Company and a reduction in interest rates.</w:t>
      </w:r>
    </w:p>
    <w:p>
      <w:pPr>
        <w:spacing w:after="0" w:line="20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losses for the other segment were up by $2.5 million, or 15.0 percent for the third quarter of fiscal 2009 compared to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2008. However, operating losses for the other segment were down by $2.9 million, or 4.5 percent, for the year-to-date period of fiscal 2009 compared to the same period last fiscal year. The operating loss increase for the third quarter comparison was primarily attributable to several legal matters and costs incurred for workforce adjustments. Somewhat offsetting those factors were: (i) overall reduced spending in response to the economic downturn; (ii) foreign currency exchange rate gains this year compared to foreign currency exchange rate losses last year; and (iii) decreased interest expense, as previously discussed. For the year-to-date period of fiscal 2009 compared to the year-to-date period of fiscal 2008, the decrease in the other segment operating loss was also attributable to a decline in profit sharing and incentive compensation expense.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728" w:right="27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We have taken proactive measures to help us manage through the tough economic environment that continued to persist through the third quarter of fiscal 2009, including adjusting production plans, controlling costs, and managing our assets. As such, our financial condition remains strong. We continue to place additional emphasis on asset management with our GrowLean initiative, with a focus on minimizing the amount of working capital in the supply chain and maintaining or improving order replenishment and service levels to end users. In connection with our recently established joint venture with TCFIF, we expect to sell to the joint venture certain inventory receivables, including floor plan receivables and open account receivables, from certain U.S. and Canadian distributors and dealers of our products, and certain related assets, at a purchase price equal to the face value of the receivables or the purchase price paid for such receivables. The sale of these receivables will free up our working capital for other purposes, such as strategic acquisitions, research and development of innovative new products, improvements in the quality and performance of existing products, and general corporate purposes. It is expected that such receivables and related assets will be sold to the joint venture in more than one transaction. The first transaction is expected to occur during our fourth quarter of fiscal 2009. A second transaction is expected to occur during our first quarter of fiscal 2010.</w:t>
      </w:r>
    </w:p>
    <w:p>
      <w:pPr>
        <w:spacing w:after="0" w:line="3" w:lineRule="exact"/>
        <w:rPr>
          <w:sz w:val="20"/>
          <w:szCs w:val="20"/>
          <w:color w:val="auto"/>
        </w:rPr>
      </w:pPr>
    </w:p>
    <w:p>
      <w:pPr>
        <w:ind w:firstLine="213"/>
        <w:spacing w:after="0" w:line="251" w:lineRule="auto"/>
        <w:rPr>
          <w:sz w:val="20"/>
          <w:szCs w:val="20"/>
          <w:color w:val="auto"/>
        </w:rPr>
      </w:pPr>
      <w:r>
        <w:rPr>
          <w:rFonts w:ascii="Arial" w:cs="Arial" w:eastAsia="Arial" w:hAnsi="Arial"/>
          <w:sz w:val="17"/>
          <w:szCs w:val="17"/>
          <w:color w:val="auto"/>
        </w:rPr>
        <w:t>Receivables as of the end of the third quarter of fiscal 2009 were down 26.1 percent compared to the end of the third quarter of fiscal 2008 due in part to the decrease in net sales. Our average day’s sales outstanding for receivables improved to 67 days based on sales for the last twelve months ended July 31, 2009, compared to 69 days for the twelve months ended August 1, 2008. Inventory was also down as of the end of the third quarter of fiscal 2009 by 24.2 percent compared to the end of the third quarter of fiscal 2008, and average inventory turnover improved 8.7 percent for the twelve months ended July 31, 2009 compared to the twelve months ended August 1, 2008.</w:t>
      </w:r>
    </w:p>
    <w:p>
      <w:pPr>
        <w:spacing w:after="0" w:line="1" w:lineRule="exact"/>
        <w:rPr>
          <w:sz w:val="20"/>
          <w:szCs w:val="20"/>
          <w:color w:val="auto"/>
        </w:rPr>
      </w:pPr>
    </w:p>
    <w:p>
      <w:pPr>
        <w:ind w:right="720" w:firstLine="213"/>
        <w:spacing w:after="0" w:line="262" w:lineRule="auto"/>
        <w:rPr>
          <w:sz w:val="20"/>
          <w:szCs w:val="20"/>
          <w:color w:val="auto"/>
        </w:rPr>
      </w:pPr>
      <w:r>
        <w:rPr>
          <w:rFonts w:ascii="Arial" w:cs="Arial" w:eastAsia="Arial" w:hAnsi="Arial"/>
          <w:sz w:val="17"/>
          <w:szCs w:val="17"/>
          <w:color w:val="auto"/>
        </w:rPr>
        <w:t>On July 21, 2009, our Board of Directors authorized the repurchase of an additional 5,000,000 shares of our common stock in open-market or in privately negotiated transactions. This program has no expiration date but may be terminated by our Board of Directors at any time.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One of the purposes of establishing the joint venture with TCFIF, as previously discussed, is to free up our working capital for other purposes, which may include, among other things, strategic acquisitions, research and development of innovative new products, improvements in the quality and performance of existing products, and general corporate purposes.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200" w:lineRule="exact"/>
        <w:rPr>
          <w:sz w:val="20"/>
          <w:szCs w:val="20"/>
          <w:color w:val="auto"/>
        </w:rPr>
      </w:pPr>
    </w:p>
    <w:p>
      <w:pPr>
        <w:spacing w:after="0" w:line="230"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i w:val="1"/>
          <w:iCs w:val="1"/>
          <w:u w:val="single" w:color="auto"/>
          <w:color w:val="auto"/>
        </w:rPr>
        <w:t>Cash Flow.</w:t>
      </w:r>
      <w:r>
        <w:rPr>
          <w:rFonts w:ascii="Arial" w:cs="Arial" w:eastAsia="Arial" w:hAnsi="Arial"/>
          <w:sz w:val="15"/>
          <w:szCs w:val="15"/>
          <w:i w:val="1"/>
          <w:iCs w:val="1"/>
          <w:color w:val="auto"/>
        </w:rPr>
        <w:t xml:space="preserve"> </w:t>
      </w:r>
      <w:r>
        <w:rPr>
          <w:rFonts w:ascii="Arial" w:cs="Arial" w:eastAsia="Arial" w:hAnsi="Arial"/>
          <w:sz w:val="15"/>
          <w:szCs w:val="15"/>
          <w:color w:val="auto"/>
        </w:rPr>
        <w:t>Cash provided by operating activities for the first nine months of fiscal 2009 was $6.7 million lower than the first nine months of fiscal 2008 due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to a decline in net earnings and a lower increase in accounts payable and accrued liabilities for the first nine months of fiscal 2009 compared to the same period last fiscal year, which was somewhat offset by a lower increase in receivables and inventory levels for the first nine months of fiscal 2009 compared to the same period last fiscal year. Cash used in investing activities was lower by $10.2 million compared to the first nine months of fiscal 2008, due mainly to a decrease in purchases of property, plant, and equipment in the first nine months of fiscal 2009 compared to the first nine months of fiscal 2008. Cash used in financing activities was also lower by $30.9 million compared to the first nine months of fiscal 2008, as a result of lower levels of repurchases of our common stock for the nine-month comparison.</w:t>
      </w:r>
    </w:p>
    <w:p>
      <w:pPr>
        <w:spacing w:after="0" w:line="18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higher sales volumes and payment terms made available to our customers and decreasing between May and December when payments are received. The seasonality of production and shipments causes our working capital requirements to fluctuate during the year. Our peak borrowing usually occurs between January and April. Seasonal cash requirements are financed from operations and with short-term financing arrangements, including a $225.0 million unsecured senior five-year revolving credit facility that expires in January 2012. Interest expense on this credit line is determined based on a LIBOR rate plus a basis point spread defined in the credit agreement. In addition, our non-U.S. operations maintain unsecured short-term lines of credit of approximately $18 million. These facilities bear interest at various rates depending on the rates in their respective countries of operation. We also have a letter of credit subfacility as part of our credit agreement. As of July 31, 2009, we had $10.1 million of outstanding standby letters of credit. Average short-term debt was $18.4 million in the first nine months of fiscal 2009 compared to $79.0 million in the first nine months of fiscal 2008, a decrease of 76.8 percent. This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2" w:name="page23"/>
    <w:bookmarkEnd w:id="22"/>
    <w:p>
      <w:pPr>
        <w:ind w:right="100"/>
        <w:spacing w:after="0" w:line="290" w:lineRule="auto"/>
        <w:rPr>
          <w:sz w:val="20"/>
          <w:szCs w:val="20"/>
          <w:color w:val="auto"/>
        </w:rPr>
      </w:pPr>
      <w:r>
        <w:rPr>
          <w:rFonts w:ascii="Arial" w:cs="Arial" w:eastAsia="Arial" w:hAnsi="Arial"/>
          <w:sz w:val="15"/>
          <w:szCs w:val="15"/>
          <w:color w:val="auto"/>
        </w:rPr>
        <w:t>decline was due mainly to a decrease in working capital needs in the first nine months of fiscal 2009 compared to the first nine months of fiscal 2008 as a result of lower levels of accounts receivable and inventory, as previously discussed, as well as lower levels of repurchases of our common stock during the first nine months of fiscal 2009 compared to the same period last fiscal year. As of July 31, 2009, we had $233.3 million of unutilized availability under our credit agreements.</w:t>
      </w:r>
    </w:p>
    <w:p>
      <w:pPr>
        <w:ind w:right="40" w:firstLine="213"/>
        <w:spacing w:after="0" w:line="262" w:lineRule="auto"/>
        <w:rPr>
          <w:sz w:val="20"/>
          <w:szCs w:val="20"/>
          <w:color w:val="auto"/>
        </w:rPr>
      </w:pPr>
      <w:r>
        <w:rPr>
          <w:rFonts w:ascii="Arial" w:cs="Arial" w:eastAsia="Arial" w:hAnsi="Arial"/>
          <w:sz w:val="17"/>
          <w:szCs w:val="17"/>
          <w:color w:val="auto"/>
        </w:rPr>
        <w:t>Significant financial covenants in our credit agreement include interest coverage and debt-to-capitalization ratios. We were in compliance with all covenants related to our credit agreements as of July 31, 2009, and expect to be in compliance with all covenants during the remainder of fiscal 2009.</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243"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Our off-balance sheet arrangements and contractual obligations generally relate to customer financing activities, inventory purchase commitments, deferred compensation arrangements, and operating lease commitments. Third party financing companies purchased $259.7 million of receivables from us during the first nine months of fiscal 2009, and $77.8 million was outstanding as of July 31, 2009. See our most recently filed Annual Report on Form 10-K for further details regarding our off-balance sheet arrangements and contractual obligations. No material change in this information occurred during the first nine months of fiscal 2009.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are subject to the effects of inflation and changing prices. In the first nine months of fiscal 2009, average prices paid for commodities we purchase, namely steel and steel components, were higher compared to the first nine months of fiscal 2008, which hampered our gross profit rate. Somewhat offsetting those higher costs were lower average prices paid for fuel and petroleum-based resins. We will continue to closely follow the commodities that affect our product lines, and we anticipate average prices paid for commodities for the fourth quarter of fiscal 2009 to be lower than the average prices paid in the fourth quarter of fiscal 2008. We plan to attempt to mitigate the impact of future inflationary pressures by engaging in proactive vendor negotiations, reviewing alternative sourcing options, and internal cost reduction efforts.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 and Estimates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See our most recent Annual Report on Form 10-K for the fiscal year ended October 31, 2008 for a discussion of our critical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to be Adopted</w:t>
      </w:r>
    </w:p>
    <w:p>
      <w:pPr>
        <w:spacing w:after="0" w:line="243"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color w:val="auto"/>
        </w:rPr>
        <w:t>In June 2009, the Financial Accounting Standards Board (FASB) issued Statement of Financial Accounting Standards (SFAS) No. 168, “The FASB Accounting Standards Codification™ and the Hierarchy of Generally Accepted Accounting Principles, a replacement of FASB Statement No. 162” (the Codification). The Codification, which was launched on July 1, 2009, became the single source of authoritative nongovernmental U.S. GAAP, superseding existing FASB, American Institute of Certified Public Accountants (AICPA), Emerging Issues Task Force (EITF) and related literature. The Codification eliminates the GAAP hierarchy contained in SFAS No. 162 and establishes one level of authoritative GAAP. All other literature is considered non-authoritative. We will adopt this Statement for our fiscal year ending October 31, 2009, as required. There will be no change to our consolidated financial statements due to the implementation of this Statement.</w:t>
      </w:r>
    </w:p>
    <w:p>
      <w:pPr>
        <w:spacing w:after="0" w:line="2" w:lineRule="exact"/>
        <w:rPr>
          <w:sz w:val="20"/>
          <w:szCs w:val="20"/>
          <w:color w:val="auto"/>
        </w:rPr>
      </w:pPr>
    </w:p>
    <w:p>
      <w:pPr>
        <w:ind w:firstLine="213"/>
        <w:spacing w:after="0" w:line="266" w:lineRule="auto"/>
        <w:rPr>
          <w:sz w:val="20"/>
          <w:szCs w:val="20"/>
          <w:color w:val="auto"/>
        </w:rPr>
      </w:pPr>
      <w:r>
        <w:rPr>
          <w:rFonts w:ascii="Arial" w:cs="Arial" w:eastAsia="Arial" w:hAnsi="Arial"/>
          <w:sz w:val="16"/>
          <w:szCs w:val="16"/>
          <w:color w:val="auto"/>
        </w:rPr>
        <w:t>In June 2009, the FASB issued SFAS No. 167, “Amendments to FASB Interpretation No. 46(R),” and SFAS No. 166, “Accounting for Transfers of Financial Assets —an amendment of FASB Statement No. 140.” SFAS No. 167 amends FASB Interpretation 46(R) to eliminate the quantitative approach previously required for determining the primary beneficiary of a variable interest entity and requires ongoing qualitative reassessments of whether an enterprise is the primary beneficiary of a variable interest entity. SFAS No. 166 amends SFAS No. 140 by removing the exemption from consolidation for Qualifying Special Purpose Entities. This Statement also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We will adopt both Statements on November 1, 2010, as required. We are currently evaluating the impact the adoption of these standards will have on our consolidated financial statements and related disclosures.</w:t>
      </w:r>
    </w:p>
    <w:p>
      <w:pPr>
        <w:spacing w:after="0" w:line="6" w:lineRule="exact"/>
        <w:rPr>
          <w:sz w:val="20"/>
          <w:szCs w:val="20"/>
          <w:color w:val="auto"/>
        </w:rPr>
      </w:pPr>
    </w:p>
    <w:p>
      <w:pPr>
        <w:ind w:right="40" w:firstLine="213"/>
        <w:spacing w:after="0" w:line="256" w:lineRule="auto"/>
        <w:rPr>
          <w:sz w:val="20"/>
          <w:szCs w:val="20"/>
          <w:color w:val="auto"/>
        </w:rPr>
      </w:pPr>
      <w:r>
        <w:rPr>
          <w:rFonts w:ascii="Arial" w:cs="Arial" w:eastAsia="Arial" w:hAnsi="Arial"/>
          <w:sz w:val="17"/>
          <w:szCs w:val="17"/>
          <w:color w:val="auto"/>
        </w:rPr>
        <w:t>In May 2009, the FASB issued SFAS No. 165, “Subsequent Events.” This Statement sets forth: (i) the period after the balance sheet date during which management of a reporting entity should evaluate events or transactions that may occur for potential recognition or disclosure in the financial statements; (ii) the circumstances under which an entity should recognize events or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3" w:name="page24"/>
    <w:bookmarkEnd w:id="23"/>
    <w:p>
      <w:pPr>
        <w:ind w:right="480"/>
        <w:spacing w:after="0" w:line="255" w:lineRule="auto"/>
        <w:rPr>
          <w:sz w:val="20"/>
          <w:szCs w:val="20"/>
          <w:color w:val="auto"/>
        </w:rPr>
      </w:pPr>
      <w:r>
        <w:rPr>
          <w:rFonts w:ascii="Arial" w:cs="Arial" w:eastAsia="Arial" w:hAnsi="Arial"/>
          <w:sz w:val="17"/>
          <w:szCs w:val="17"/>
          <w:color w:val="auto"/>
        </w:rPr>
        <w:t>transactions occurring after the balance sheet date in its financial statements; and (iii) the disclosures that an entity should make about events or transactions that occurred after the balance sheet date. We adopted this Statement in the third fiscal quarter ended July 31, 2009, as required. This Statement did not impact our consolidated financial results.</w:t>
      </w:r>
    </w:p>
    <w:p>
      <w:pPr>
        <w:spacing w:after="0" w:line="2" w:lineRule="exact"/>
        <w:rPr>
          <w:sz w:val="20"/>
          <w:szCs w:val="20"/>
          <w:color w:val="auto"/>
        </w:rPr>
      </w:pPr>
    </w:p>
    <w:p>
      <w:pPr>
        <w:ind w:right="60" w:firstLine="213"/>
        <w:spacing w:after="0" w:line="266" w:lineRule="auto"/>
        <w:rPr>
          <w:sz w:val="20"/>
          <w:szCs w:val="20"/>
          <w:color w:val="auto"/>
        </w:rPr>
      </w:pPr>
      <w:r>
        <w:rPr>
          <w:rFonts w:ascii="Arial" w:cs="Arial" w:eastAsia="Arial" w:hAnsi="Arial"/>
          <w:sz w:val="16"/>
          <w:szCs w:val="16"/>
          <w:color w:val="auto"/>
        </w:rPr>
        <w:t>In April 2008, the FASB finalized Staff Position No. 142-3, “Determination of the Useful Life of Intangible Assets” (FSP 142-3). This position amends the factors that should be considered in developing renewal or extension assumptions used to determine the useful life of a recognized intangible asset under SFAS No. 142, “Goodwill and Other Intangible Assets.” FSP 142-3 applies to intangible assets that are acquired individually or with a group of other assets and both intangible assets acquired in business combinations and asset acquisitions. We will adopt the provisions of FSP 142-3 on November 1, 2009, as required.</w:t>
      </w:r>
    </w:p>
    <w:p>
      <w:pPr>
        <w:spacing w:after="0" w:line="3" w:lineRule="exact"/>
        <w:rPr>
          <w:sz w:val="20"/>
          <w:szCs w:val="20"/>
          <w:color w:val="auto"/>
        </w:rPr>
      </w:pPr>
    </w:p>
    <w:p>
      <w:pPr>
        <w:ind w:right="200" w:firstLine="213"/>
        <w:spacing w:after="0" w:line="251" w:lineRule="auto"/>
        <w:rPr>
          <w:sz w:val="20"/>
          <w:szCs w:val="20"/>
          <w:color w:val="auto"/>
        </w:rPr>
      </w:pPr>
      <w:r>
        <w:rPr>
          <w:rFonts w:ascii="Arial" w:cs="Arial" w:eastAsia="Arial" w:hAnsi="Arial"/>
          <w:sz w:val="17"/>
          <w:szCs w:val="17"/>
          <w:color w:val="auto"/>
        </w:rPr>
        <w:t>In December 2007, the FASB issued SFAS No. 141 (Revised 2007), “Business Combinations.” SFAS No. 141R applies to all business combinations and requires most identifiable assets, liabilities, noncontrolling interests, and goodwill acquired to be recorded at “full fair value.” This statement also establishes disclosure requirements that will enable users to evaluate the nature and financial effects of the business combination. We will adopt the provisions of SFAS No. 141R to any business combination occurring on or after November 1, 2009, as required.</w:t>
      </w:r>
    </w:p>
    <w:p>
      <w:pPr>
        <w:spacing w:after="0" w:line="1" w:lineRule="exact"/>
        <w:rPr>
          <w:sz w:val="20"/>
          <w:szCs w:val="20"/>
          <w:color w:val="auto"/>
        </w:rPr>
      </w:pPr>
    </w:p>
    <w:p>
      <w:pPr>
        <w:ind w:right="60" w:firstLine="213"/>
        <w:spacing w:after="0" w:line="251"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and expands disclosures concerning fair value. We adopted the provisions of SFAS No. 157 for financial assets and liabilities and nonfinancial assets and liabilities measured at fair value on a recurring basis during the first quarter of fiscal 2009, as required. 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the unadopted requirements of this new pronouncement will have a material impact on our consolidated financial condition or results of operations.</w:t>
      </w:r>
    </w:p>
    <w:p>
      <w:pPr>
        <w:spacing w:after="0" w:line="1" w:lineRule="exact"/>
        <w:rPr>
          <w:sz w:val="20"/>
          <w:szCs w:val="20"/>
          <w:color w:val="auto"/>
        </w:rPr>
      </w:pPr>
    </w:p>
    <w:p>
      <w:pPr>
        <w:ind w:right="320" w:firstLine="213"/>
        <w:spacing w:after="0" w:line="262" w:lineRule="auto"/>
        <w:rPr>
          <w:sz w:val="20"/>
          <w:szCs w:val="20"/>
          <w:color w:val="auto"/>
        </w:rPr>
      </w:pPr>
      <w:r>
        <w:rPr>
          <w:rFonts w:ascii="Arial" w:cs="Arial" w:eastAsia="Arial" w:hAnsi="Arial"/>
          <w:sz w:val="17"/>
          <w:szCs w:val="17"/>
          <w:color w:val="auto"/>
        </w:rPr>
        <w:t>No other new accounting pronouncement that has been issued but not yet effective for us during the third quarter of fiscal 2009 has had or is expected to have a material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21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ind w:left="300" w:right="80" w:hanging="29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around the world could adversely affect our net sales and earnings, which includes but is not limited to continuation or worsening of the recessionary conditions in the U.S. and other regions around the world and worldwide slow or negative economic growth rates; continued slow down or reductions in golf course development, renovation, and improvement; continued slow down or reductions in home ownership, construction, and home sales; reduced consumer spending levels; reduced credit availability or unfavorable credit terms for our distributors, dealers, and end-user customers; increased unemployment rates; interest rates; inflation; reduced consumer confidence; and general economic and political conditions and expectations in the United States and the foreign economies in which we conduct business.</w:t>
      </w:r>
    </w:p>
    <w:p>
      <w:pPr>
        <w:spacing w:after="0" w:line="4" w:lineRule="exact"/>
        <w:rPr>
          <w:rFonts w:ascii="Arial" w:cs="Arial" w:eastAsia="Arial" w:hAnsi="Arial"/>
          <w:sz w:val="16"/>
          <w:szCs w:val="16"/>
          <w:color w:val="auto"/>
        </w:rPr>
      </w:pPr>
    </w:p>
    <w:p>
      <w:pPr>
        <w:ind w:left="30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and availability of raw materials and components that we purchase and increases in our other costs of doing business, including transportation costs, may adversely affect our profit margins and business.</w:t>
      </w:r>
    </w:p>
    <w:p>
      <w:pPr>
        <w:ind w:left="300" w:hanging="29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Weather conditions may reduce demand for some of our products and adversely affect our net sales.</w:t>
      </w:r>
    </w:p>
    <w:p>
      <w:pPr>
        <w:spacing w:after="0" w:line="9" w:lineRule="exact"/>
        <w:rPr>
          <w:rFonts w:ascii="Arial" w:cs="Arial" w:eastAsia="Arial" w:hAnsi="Arial"/>
          <w:sz w:val="17"/>
          <w:szCs w:val="17"/>
          <w:color w:val="auto"/>
        </w:rPr>
      </w:pPr>
    </w:p>
    <w:p>
      <w:pPr>
        <w:ind w:left="300" w:right="140" w:hanging="298"/>
        <w:spacing w:after="0" w:line="262"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the level of growth in the residential and commercial construction markets, the level of homeowners who outsource lawn care, the amount of investment in golf course renovations and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4" w:name="page25"/>
    <w:bookmarkEnd w:id="24"/>
    <w:p>
      <w:pPr>
        <w:ind w:left="258" w:right="180"/>
        <w:spacing w:after="0" w:line="258" w:lineRule="auto"/>
        <w:rPr>
          <w:sz w:val="20"/>
          <w:szCs w:val="20"/>
          <w:color w:val="auto"/>
        </w:rPr>
      </w:pPr>
      <w:r>
        <w:rPr>
          <w:rFonts w:ascii="Arial" w:cs="Arial" w:eastAsia="Arial" w:hAnsi="Arial"/>
          <w:sz w:val="17"/>
          <w:szCs w:val="17"/>
          <w:color w:val="auto"/>
        </w:rPr>
        <w:t>improvements, new golf course development, golf course closures, availability of credit on acceptable credit terms to finance product purchases, and the level of government and municipal revenue, budget, and spending levels for grounds maintenance equipment and other factors.</w:t>
      </w:r>
    </w:p>
    <w:p>
      <w:pPr>
        <w:ind w:left="298" w:right="560" w:hanging="298"/>
        <w:spacing w:after="0" w:line="251" w:lineRule="auto"/>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 spending levels, the amount of product placement at retailers, changing buying patterns of customers, and The Home Depot, Inc. as a major customer.</w:t>
      </w:r>
    </w:p>
    <w:p>
      <w:pPr>
        <w:ind w:left="298" w:right="80" w:hanging="298"/>
        <w:spacing w:after="0" w:line="251" w:lineRule="auto"/>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and usage of new and existing products, we may experience a decrease in demand for our products, and our business could suffer.</w:t>
      </w:r>
    </w:p>
    <w:p>
      <w:pPr>
        <w:ind w:left="298" w:right="100" w:hanging="298"/>
        <w:spacing w:after="0" w:line="266" w:lineRule="auto"/>
        <w:tabs>
          <w:tab w:leader="none" w:pos="298"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 Further, legislative enactments could impact the competitive landscape within our markets and affect demand for our products.</w:t>
      </w:r>
    </w:p>
    <w:p>
      <w:pPr>
        <w:spacing w:after="0" w:line="2" w:lineRule="exact"/>
        <w:rPr>
          <w:rFonts w:ascii="Arial" w:cs="Arial" w:eastAsia="Arial" w:hAnsi="Arial"/>
          <w:sz w:val="16"/>
          <w:szCs w:val="16"/>
          <w:color w:val="auto"/>
        </w:rPr>
      </w:pPr>
    </w:p>
    <w:p>
      <w:pPr>
        <w:ind w:left="298" w:right="40" w:hanging="298"/>
        <w:spacing w:after="0" w:line="266" w:lineRule="auto"/>
        <w:tabs>
          <w:tab w:leader="none" w:pos="298"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cultural,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298" w:hanging="298"/>
        <w:spacing w:after="0"/>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foreign currency exchange rates could result in declines in our reported net sales and net earnings.</w:t>
      </w:r>
    </w:p>
    <w:p>
      <w:pPr>
        <w:spacing w:after="0" w:line="9" w:lineRule="exact"/>
        <w:rPr>
          <w:rFonts w:ascii="Arial" w:cs="Arial" w:eastAsia="Arial" w:hAnsi="Arial"/>
          <w:sz w:val="17"/>
          <w:szCs w:val="17"/>
          <w:color w:val="auto"/>
        </w:rPr>
      </w:pPr>
    </w:p>
    <w:p>
      <w:pPr>
        <w:ind w:left="298" w:hanging="298"/>
        <w:spacing w:after="0" w:line="251" w:lineRule="auto"/>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ind w:left="298" w:right="300" w:hanging="298"/>
        <w:spacing w:after="0" w:line="251" w:lineRule="auto"/>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intend to grow our business in part through additional acquisitions, alliances, stronger customer relations, and new partnerships, which are risky and could harm our business, particularly if we are not able to successfully integrate such acquisitions, alliances, and partnerships.</w:t>
      </w:r>
    </w:p>
    <w:p>
      <w:pPr>
        <w:ind w:left="298" w:right="480" w:hanging="298"/>
        <w:spacing w:after="0" w:line="284" w:lineRule="auto"/>
        <w:tabs>
          <w:tab w:leader="none" w:pos="298"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5"/>
          <w:szCs w:val="15"/>
          <w:color w:val="auto"/>
        </w:rPr>
      </w:pPr>
    </w:p>
    <w:p>
      <w:pPr>
        <w:ind w:left="298" w:hanging="298"/>
        <w:spacing w:after="0" w:line="266" w:lineRule="auto"/>
        <w:tabs>
          <w:tab w:leader="none" w:pos="298"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a result of our recently established joint venture with TCFIF, we will be dependent upon the joint venture for our inventory financing programs, including floor plan financing and open account financing, to certain distributors and dealers of our products. Any difficulty in transitioning our inventory financing programs to the joint venture, whether as the result of delays in the availability of enhancements to the wholesale management software system, documentation of customers, implementation of the program for Canadian dealers or other transition items, could adversely affect our sales and operating results. Further, any material change in the availability or terms of credit offered to our customers by the joint venture, any termination or disruption of our joint venture relationship or any delay in securing replacement credit sources could adversely affect our sales and operating results.</w:t>
      </w:r>
    </w:p>
    <w:p>
      <w:pPr>
        <w:spacing w:after="0" w:line="4" w:lineRule="exact"/>
        <w:rPr>
          <w:rFonts w:ascii="Arial" w:cs="Arial" w:eastAsia="Arial" w:hAnsi="Arial"/>
          <w:sz w:val="16"/>
          <w:szCs w:val="16"/>
          <w:color w:val="auto"/>
        </w:rPr>
      </w:pPr>
    </w:p>
    <w:p>
      <w:pPr>
        <w:ind w:left="298" w:right="80" w:hanging="298"/>
        <w:spacing w:after="0" w:line="284" w:lineRule="auto"/>
        <w:tabs>
          <w:tab w:leader="none" w:pos="298" w:val="left"/>
        </w:tabs>
        <w:numPr>
          <w:ilvl w:val="0"/>
          <w:numId w:val="2"/>
        </w:numPr>
        <w:rPr>
          <w:rFonts w:ascii="Arial" w:cs="Arial" w:eastAsia="Arial" w:hAnsi="Arial"/>
          <w:sz w:val="15"/>
          <w:szCs w:val="15"/>
          <w:color w:val="auto"/>
        </w:rPr>
      </w:pPr>
      <w:r>
        <w:rPr>
          <w:rFonts w:ascii="Arial" w:cs="Arial" w:eastAsia="Arial" w:hAnsi="Arial"/>
          <w:sz w:val="15"/>
          <w:szCs w:val="15"/>
          <w:color w:val="auto"/>
        </w:rPr>
        <w:t>A significant portion of our net sales are currently financed by third parties. Some Toro dealers and Exmark distributors and dealers currently finance their inventories with third party financing sources. We expect to transition these dealers and distributors to our recently established joint venture with TCFIF during our fourth quarter of fiscal 2009 and our first quarter of fiscal 2010. Any difficulty in transitioning inventory financing from third parties to the joint venture or in the availability or terms of credit offered to our customers by these third parties during the transition period could adversely affect our sales and operating results</w:t>
      </w:r>
      <w:r>
        <w:rPr>
          <w:rFonts w:ascii="Arial" w:cs="Arial" w:eastAsia="Arial" w:hAnsi="Arial"/>
          <w:sz w:val="15"/>
          <w:szCs w:val="15"/>
          <w:i w:val="1"/>
          <w:iCs w:val="1"/>
          <w:color w:val="auto"/>
        </w:rPr>
        <w:t>.</w:t>
      </w:r>
    </w:p>
    <w:p>
      <w:pPr>
        <w:spacing w:after="0" w:line="2" w:lineRule="exact"/>
        <w:rPr>
          <w:rFonts w:ascii="Arial" w:cs="Arial" w:eastAsia="Arial" w:hAnsi="Arial"/>
          <w:sz w:val="15"/>
          <w:szCs w:val="15"/>
          <w:color w:val="auto"/>
        </w:rPr>
      </w:pPr>
    </w:p>
    <w:p>
      <w:pPr>
        <w:ind w:left="298" w:right="140" w:hanging="298"/>
        <w:spacing w:after="0" w:line="251" w:lineRule="auto"/>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ind w:left="298" w:right="260" w:hanging="298"/>
        <w:spacing w:after="0" w:line="251" w:lineRule="auto"/>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98" w:right="100" w:hanging="298"/>
        <w:spacing w:after="0" w:line="256" w:lineRule="auto"/>
        <w:tabs>
          <w:tab w:leader="none" w:pos="298"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spacing w:after="0" w:line="348"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98"/>
          </w:cols>
          <w:pgMar w:left="242" w:top="498" w:right="259" w:bottom="1440" w:gutter="0" w:footer="0" w:header="0"/>
        </w:sectPr>
      </w:pPr>
    </w:p>
    <w:bookmarkStart w:id="25" w:name="page26"/>
    <w:bookmarkEnd w:id="25"/>
    <w:p>
      <w:pPr>
        <w:ind w:left="300" w:hanging="298"/>
        <w:spacing w:after="0" w:line="254"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ratings of lawnmowers, of which we are currently unable to assess whether such litigation would have a material adverse effect on our consolidated operating results or financial condition, although an adverse result might be material to our operating results in a particular period.</w:t>
      </w:r>
    </w:p>
    <w:p>
      <w:pPr>
        <w:spacing w:after="0" w:line="2" w:lineRule="exact"/>
        <w:rPr>
          <w:rFonts w:ascii="Arial" w:cs="Arial" w:eastAsia="Arial" w:hAnsi="Arial"/>
          <w:sz w:val="17"/>
          <w:szCs w:val="17"/>
          <w:color w:val="auto"/>
        </w:rPr>
      </w:pPr>
    </w:p>
    <w:p>
      <w:pPr>
        <w:ind w:left="300" w:right="320" w:hanging="298"/>
        <w:spacing w:after="0" w:line="251"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retain our key employees, and attract and retain other qualified personnel, we may not be able to meet strategic objectives and our business could suffer.</w:t>
      </w:r>
    </w:p>
    <w:p>
      <w:pPr>
        <w:ind w:left="300" w:right="60" w:hanging="298"/>
        <w:spacing w:after="0" w:line="251"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300" w:hanging="298"/>
        <w:spacing w:after="0" w:line="284" w:lineRule="auto"/>
        <w:tabs>
          <w:tab w:leader="none" w:pos="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business is subject to a number of other factors that may adversely affect our operating results, financial condition, or business, such as natural or man-made disasters or global pandemics that may result in shortages of raw materials, higher fuel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U.S. and world economies.</w:t>
      </w:r>
    </w:p>
    <w:p>
      <w:pPr>
        <w:spacing w:after="0" w:line="9" w:lineRule="exact"/>
        <w:rPr>
          <w:sz w:val="20"/>
          <w:szCs w:val="20"/>
          <w:color w:val="auto"/>
        </w:rPr>
      </w:pPr>
    </w:p>
    <w:p>
      <w:pPr>
        <w:jc w:val="both"/>
        <w:ind w:right="200"/>
        <w:spacing w:after="0" w:line="251"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Form 10-Q.</w:t>
      </w:r>
    </w:p>
    <w:p>
      <w:pPr>
        <w:spacing w:after="0" w:line="1" w:lineRule="exact"/>
        <w:rPr>
          <w:sz w:val="20"/>
          <w:szCs w:val="20"/>
          <w:color w:val="auto"/>
        </w:rPr>
      </w:pPr>
    </w:p>
    <w:p>
      <w:pPr>
        <w:ind w:right="20" w:firstLine="210"/>
        <w:spacing w:after="0" w:line="291"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i w:val="1"/>
          <w:iCs w:val="1"/>
          <w:u w:val="single" w:color="auto"/>
          <w:color w:val="auto"/>
        </w:rPr>
        <w:t>Foreign Currency Exchange Rate Risk.</w:t>
      </w:r>
      <w:r>
        <w:rPr>
          <w:rFonts w:ascii="Arial" w:cs="Arial" w:eastAsia="Arial" w:hAnsi="Arial"/>
          <w:sz w:val="15"/>
          <w:szCs w:val="15"/>
          <w:i w:val="1"/>
          <w:iCs w:val="1"/>
          <w:color w:val="auto"/>
        </w:rPr>
        <w:t xml:space="preserve"> </w:t>
      </w:r>
      <w:r>
        <w:rPr>
          <w:rFonts w:ascii="Arial" w:cs="Arial" w:eastAsia="Arial" w:hAnsi="Arial"/>
          <w:sz w:val="15"/>
          <w:szCs w:val="15"/>
          <w:color w:val="auto"/>
        </w:rPr>
        <w:t>In the normal course of business, we actively manage the exposure of our foreign currency market risk by entering into various</w:t>
      </w:r>
      <w:r>
        <w:rPr>
          <w:rFonts w:ascii="Arial" w:cs="Arial" w:eastAsia="Arial" w:hAnsi="Arial"/>
          <w:sz w:val="15"/>
          <w:szCs w:val="15"/>
          <w:i w:val="1"/>
          <w:iCs w:val="1"/>
          <w:color w:val="auto"/>
        </w:rPr>
        <w:t xml:space="preserve"> </w:t>
      </w:r>
      <w:r>
        <w:rPr>
          <w:rFonts w:ascii="Arial" w:cs="Arial" w:eastAsia="Arial" w:hAnsi="Arial"/>
          <w:sz w:val="15"/>
          <w:szCs w:val="15"/>
          <w:color w:val="auto"/>
        </w:rPr>
        <w:t>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exchange rate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has a negative impact on results from operations, while a</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6" w:name="page27"/>
    <w:bookmarkEnd w:id="26"/>
    <w:p>
      <w:pPr>
        <w:ind w:right="80"/>
        <w:spacing w:after="0" w:line="258" w:lineRule="auto"/>
        <w:rPr>
          <w:sz w:val="20"/>
          <w:szCs w:val="20"/>
          <w:color w:val="auto"/>
        </w:rPr>
      </w:pPr>
      <w:r>
        <w:rPr>
          <w:rFonts w:ascii="Arial" w:cs="Arial" w:eastAsia="Arial" w:hAnsi="Arial"/>
          <w:sz w:val="17"/>
          <w:szCs w:val="17"/>
          <w:color w:val="auto"/>
        </w:rPr>
        <w:t>weaker dollar and peso generally has a positive effect. Our primary currency exchange rate exposures are with the Euro, the Australian dollar, the Canadian dollar, the British pound, the Mexican peso, and the Japanese yen against the U.S. dollar.</w:t>
      </w:r>
    </w:p>
    <w:p>
      <w:pPr>
        <w:ind w:right="80" w:firstLine="210"/>
        <w:spacing w:after="0" w:line="266" w:lineRule="auto"/>
        <w:rPr>
          <w:sz w:val="20"/>
          <w:szCs w:val="20"/>
          <w:color w:val="auto"/>
        </w:rPr>
      </w:pPr>
      <w:r>
        <w:rPr>
          <w:rFonts w:ascii="Arial" w:cs="Arial" w:eastAsia="Arial" w:hAnsi="Arial"/>
          <w:sz w:val="16"/>
          <w:szCs w:val="16"/>
          <w:color w:val="auto"/>
        </w:rPr>
        <w:t>We enter into various contracts, principally forward currency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nine months ended July 31, 2009, the amount of gains reclassified to earnings for such cash flow hedges was $1.4 million and $7.5 million, respectively. For the nine months ended July 31, 2009, the gains treated as an increase to net sales for contracts to hedge trade sales were $11.0 million and the losses treated as an increase to cost of sales for contracts to hedge inventory purchases were $3.5 million.</w:t>
      </w:r>
    </w:p>
    <w:p>
      <w:pPr>
        <w:spacing w:after="0" w:line="6" w:lineRule="exact"/>
        <w:rPr>
          <w:sz w:val="20"/>
          <w:szCs w:val="20"/>
          <w:color w:val="auto"/>
        </w:rPr>
      </w:pPr>
    </w:p>
    <w:p>
      <w:pPr>
        <w:ind w:right="60" w:firstLine="210"/>
        <w:spacing w:after="0" w:line="299" w:lineRule="auto"/>
        <w:rPr>
          <w:sz w:val="20"/>
          <w:szCs w:val="20"/>
          <w:color w:val="auto"/>
        </w:rPr>
      </w:pPr>
      <w:r>
        <w:rPr>
          <w:rFonts w:ascii="Arial" w:cs="Arial" w:eastAsia="Arial" w:hAnsi="Arial"/>
          <w:sz w:val="15"/>
          <w:szCs w:val="15"/>
          <w:color w:val="auto"/>
        </w:rPr>
        <w:t>The following foreign currency exchange rate contracts held by us have maturity dates in fiscal 2009 and 2010.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and fair value impact of derivative instruments in other income, net for the nine months ended July 31, 2009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Value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5960" w:type="dxa"/>
            <w:vAlign w:val="bottom"/>
          </w:tcPr>
          <w:p>
            <w:pPr>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Contracted</w:t>
            </w:r>
          </w:p>
        </w:tc>
        <w:tc>
          <w:tcPr>
            <w:tcW w:w="18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Notional</w:t>
            </w:r>
          </w:p>
        </w:tc>
        <w:tc>
          <w:tcPr>
            <w:tcW w:w="13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Impact</w:t>
            </w:r>
          </w:p>
        </w:tc>
      </w:tr>
      <w:tr>
        <w:trPr>
          <w:trHeight w:val="227"/>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(except average contracted rate)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Gain (Loss)</w:t>
            </w:r>
          </w:p>
        </w:tc>
        <w:tc>
          <w:tcPr>
            <w:tcW w:w="60" w:type="dxa"/>
            <w:vAlign w:val="bottom"/>
          </w:tcPr>
          <w:p>
            <w:pPr>
              <w:spacing w:after="0"/>
              <w:rPr>
                <w:sz w:val="19"/>
                <w:szCs w:val="19"/>
                <w:color w:val="auto"/>
              </w:rPr>
            </w:pPr>
          </w:p>
        </w:tc>
      </w:tr>
      <w:tr>
        <w:trPr>
          <w:trHeight w:val="192"/>
        </w:trPr>
        <w:tc>
          <w:tcPr>
            <w:tcW w:w="5960" w:type="dxa"/>
            <w:vAlign w:val="bottom"/>
          </w:tcPr>
          <w:p>
            <w:pPr>
              <w:spacing w:after="0" w:line="193" w:lineRule="exact"/>
              <w:rPr>
                <w:sz w:val="20"/>
                <w:szCs w:val="20"/>
                <w:color w:val="auto"/>
              </w:rPr>
            </w:pPr>
            <w:r>
              <w:rPr>
                <w:rFonts w:ascii="Arial" w:cs="Arial" w:eastAsia="Arial" w:hAnsi="Arial"/>
                <w:sz w:val="17"/>
                <w:szCs w:val="17"/>
                <w:color w:val="auto"/>
              </w:rPr>
              <w:t>Buy US dollar/Sell Australian dollar</w:t>
            </w:r>
          </w:p>
        </w:tc>
        <w:tc>
          <w:tcPr>
            <w:tcW w:w="10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7"/>
                <w:szCs w:val="17"/>
                <w:color w:val="auto"/>
              </w:rPr>
              <w:t>0.7906</w:t>
            </w:r>
          </w:p>
        </w:tc>
        <w:tc>
          <w:tcPr>
            <w:tcW w:w="22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42,215.5</w:t>
            </w:r>
          </w:p>
        </w:tc>
        <w:tc>
          <w:tcPr>
            <w:tcW w:w="220" w:type="dxa"/>
            <w:vAlign w:val="bottom"/>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(90.2)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3" w:lineRule="exact"/>
              <w:rPr>
                <w:sz w:val="20"/>
                <w:szCs w:val="20"/>
                <w:color w:val="auto"/>
              </w:rPr>
            </w:pPr>
            <w:r>
              <w:rPr>
                <w:rFonts w:ascii="Arial" w:cs="Arial" w:eastAsia="Arial" w:hAnsi="Arial"/>
                <w:sz w:val="17"/>
                <w:szCs w:val="17"/>
                <w:color w:val="auto"/>
              </w:rPr>
              <w:t>2,649.9</w:t>
            </w:r>
          </w:p>
        </w:tc>
        <w:tc>
          <w:tcPr>
            <w:tcW w:w="60" w:type="dxa"/>
            <w:vAlign w:val="bottom"/>
          </w:tcPr>
          <w:p>
            <w:pPr>
              <w:spacing w:after="0"/>
              <w:rPr>
                <w:sz w:val="16"/>
                <w:szCs w:val="16"/>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Canadian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0.9039</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7,456.8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(150.7)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753.8</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Euro</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1.4078</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74,895.2</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376.0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7,429.7</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British pound</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1.6363</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3,927.1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Buy Mexican peso/Sell US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12.7090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19,081.0</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(1,177.2)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(3,346.3)</w:t>
            </w:r>
          </w:p>
        </w:tc>
      </w:tr>
    </w:tbl>
    <w:p>
      <w:pPr>
        <w:spacing w:after="0" w:line="219" w:lineRule="exact"/>
        <w:rPr>
          <w:sz w:val="20"/>
          <w:szCs w:val="20"/>
          <w:color w:val="auto"/>
        </w:rPr>
      </w:pPr>
    </w:p>
    <w:p>
      <w:pPr>
        <w:ind w:firstLine="213"/>
        <w:spacing w:after="0" w:line="308"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from commercial banks, as well as the potential increase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 steel,</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2" w:lineRule="exact"/>
        <w:rPr>
          <w:sz w:val="20"/>
          <w:szCs w:val="20"/>
          <w:color w:val="auto"/>
        </w:rPr>
      </w:pPr>
    </w:p>
    <w:p>
      <w:pPr>
        <w:ind w:right="540" w:firstLine="210"/>
        <w:spacing w:after="0" w:line="329" w:lineRule="auto"/>
        <w:rPr>
          <w:sz w:val="20"/>
          <w:szCs w:val="20"/>
          <w:color w:val="auto"/>
        </w:rPr>
      </w:pPr>
      <w:r>
        <w:rPr>
          <w:rFonts w:ascii="Arial" w:cs="Arial" w:eastAsia="Arial" w:hAnsi="Arial"/>
          <w:sz w:val="15"/>
          <w:szCs w:val="15"/>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7" w:name="page28"/>
    <w:bookmarkEnd w:id="27"/>
    <w:p>
      <w:pPr>
        <w:jc w:val="center"/>
        <w:ind w:right="-159"/>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third quarter ended July 31, 2009 that has materially affected, or is reasonably likely to materially affect, our internal control over financial reporting.</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PART II. OTHER INFORMATION</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Item 1. LEGAL PROCEEDINGS</w:t>
      </w:r>
    </w:p>
    <w:p>
      <w:pPr>
        <w:spacing w:after="0" w:line="221"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2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In June 2004, individuals who claim to have purchased lawnmowers in Illinois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ind w:firstLine="213"/>
        <w:spacing w:after="0" w:line="251"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that it had reached a settlement agreement with the plaintiffs.</w:t>
      </w:r>
    </w:p>
    <w:p>
      <w:pPr>
        <w:spacing w:after="0" w:line="1" w:lineRule="exact"/>
        <w:rPr>
          <w:sz w:val="20"/>
          <w:szCs w:val="20"/>
          <w:color w:val="auto"/>
        </w:rPr>
      </w:pPr>
    </w:p>
    <w:p>
      <w:pPr>
        <w:ind w:right="120" w:firstLine="213"/>
        <w:spacing w:after="0" w:line="254" w:lineRule="auto"/>
        <w:rPr>
          <w:sz w:val="20"/>
          <w:szCs w:val="20"/>
          <w:color w:val="auto"/>
        </w:rPr>
      </w:pPr>
      <w:r>
        <w:rPr>
          <w:rFonts w:ascii="Arial" w:cs="Arial" w:eastAsia="Arial" w:hAnsi="Arial"/>
          <w:sz w:val="17"/>
          <w:szCs w:val="17"/>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80"/>
          </w:cols>
          <w:pgMar w:left="240" w:top="485" w:right="379" w:bottom="1440" w:gutter="0" w:footer="0" w:header="0"/>
        </w:sectPr>
      </w:pPr>
    </w:p>
    <w:bookmarkStart w:id="28" w:name="page29"/>
    <w:bookmarkEnd w:id="28"/>
    <w:p>
      <w:pPr>
        <w:jc w:val="both"/>
        <w:ind w:right="440" w:firstLine="213"/>
        <w:spacing w:after="0" w:line="254"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w:t>
      </w:r>
    </w:p>
    <w:p>
      <w:pPr>
        <w:spacing w:after="0" w:line="2" w:lineRule="exact"/>
        <w:rPr>
          <w:sz w:val="20"/>
          <w:szCs w:val="20"/>
          <w:color w:val="auto"/>
        </w:rPr>
      </w:pPr>
    </w:p>
    <w:p>
      <w:pPr>
        <w:ind w:right="24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jc w:val="both"/>
        <w:ind w:right="160" w:firstLine="204"/>
        <w:spacing w:after="0" w:line="284" w:lineRule="auto"/>
        <w:rPr>
          <w:sz w:val="20"/>
          <w:szCs w:val="20"/>
          <w:color w:val="auto"/>
        </w:rPr>
      </w:pPr>
      <w:r>
        <w:rPr>
          <w:rFonts w:ascii="Arial" w:cs="Arial" w:eastAsia="Arial" w:hAnsi="Arial"/>
          <w:sz w:val="15"/>
          <w:szCs w:val="15"/>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commenced and those efforts are continuing. To date, lawsuits have been filed in federal and state courts throughout the United States, which collectively assert claims under the laws of each state.</w:t>
      </w:r>
    </w:p>
    <w:p>
      <w:pPr>
        <w:spacing w:after="0" w:line="2" w:lineRule="exact"/>
        <w:rPr>
          <w:sz w:val="20"/>
          <w:szCs w:val="20"/>
          <w:color w:val="auto"/>
        </w:rPr>
      </w:pPr>
    </w:p>
    <w:p>
      <w:pPr>
        <w:ind w:right="160" w:firstLine="213"/>
        <w:spacing w:after="0" w:line="256" w:lineRule="auto"/>
        <w:rPr>
          <w:sz w:val="20"/>
          <w:szCs w:val="20"/>
          <w:color w:val="auto"/>
        </w:rPr>
      </w:pPr>
      <w:r>
        <w:rPr>
          <w:rFonts w:ascii="Arial" w:cs="Arial" w:eastAsia="Arial" w:hAnsi="Arial"/>
          <w:sz w:val="17"/>
          <w:szCs w:val="17"/>
          <w:color w:val="auto"/>
        </w:rPr>
        <w:t>Management continues to evaluate these lawsuits but is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208"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b w:val="1"/>
          <w:bCs w:val="1"/>
          <w:i w:val="1"/>
          <w:iCs w:val="1"/>
          <w:color w:val="auto"/>
        </w:rPr>
        <w:t xml:space="preserve">Textron Innovations Inc. v. The Toro Company; The Toro Company v. Textron Inc. and Jacobsen. </w:t>
      </w:r>
      <w:r>
        <w:rPr>
          <w:rFonts w:ascii="Arial" w:cs="Arial" w:eastAsia="Arial" w:hAnsi="Arial"/>
          <w:sz w:val="17"/>
          <w:szCs w:val="17"/>
          <w:color w:val="auto"/>
        </w:rPr>
        <w:t>In July 2005, Textron Innovations Inc., the patent 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of Textron, Inc., filed a lawsuit in Delaware Federal District Court against the company for patent infringement. Textron alleges that the company willfully infringed certain claims of three Textron patents by selling our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our motion to stay the litigation and, in June 2007, denied Textron’s motion for reconsideration of the Court’s order staying the proceedings.</w:t>
      </w:r>
    </w:p>
    <w:p>
      <w:pPr>
        <w:spacing w:after="0" w:line="6" w:lineRule="exact"/>
        <w:rPr>
          <w:sz w:val="20"/>
          <w:szCs w:val="20"/>
          <w:color w:val="auto"/>
        </w:rPr>
      </w:pPr>
    </w:p>
    <w:p>
      <w:pPr>
        <w:ind w:right="240" w:firstLine="213"/>
        <w:spacing w:after="0" w:line="275" w:lineRule="auto"/>
        <w:rPr>
          <w:sz w:val="20"/>
          <w:szCs w:val="20"/>
          <w:color w:val="auto"/>
        </w:rPr>
      </w:pPr>
      <w:r>
        <w:rPr>
          <w:rFonts w:ascii="Arial" w:cs="Arial" w:eastAsia="Arial" w:hAnsi="Arial"/>
          <w:sz w:val="16"/>
          <w:szCs w:val="16"/>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Management is also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00" w:lineRule="exact"/>
        <w:rPr>
          <w:sz w:val="20"/>
          <w:szCs w:val="20"/>
          <w:color w:val="auto"/>
        </w:rPr>
      </w:pPr>
    </w:p>
    <w:p>
      <w:pPr>
        <w:spacing w:after="0" w:line="27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Except for the new risk factors below, there has been no material change in those risk factors.</w:t>
      </w:r>
    </w:p>
    <w:p>
      <w:pPr>
        <w:spacing w:after="0" w:line="190" w:lineRule="exact"/>
        <w:rPr>
          <w:sz w:val="20"/>
          <w:szCs w:val="20"/>
          <w:color w:val="auto"/>
        </w:rPr>
      </w:pPr>
    </w:p>
    <w:p>
      <w:pPr>
        <w:ind w:right="220"/>
        <w:spacing w:after="0" w:line="309" w:lineRule="auto"/>
        <w:rPr>
          <w:sz w:val="20"/>
          <w:szCs w:val="20"/>
          <w:color w:val="auto"/>
        </w:rPr>
      </w:pPr>
      <w:r>
        <w:rPr>
          <w:rFonts w:ascii="Arial" w:cs="Arial" w:eastAsia="Arial" w:hAnsi="Arial"/>
          <w:sz w:val="14"/>
          <w:szCs w:val="14"/>
          <w:b w:val="1"/>
          <w:bCs w:val="1"/>
          <w:i w:val="1"/>
          <w:iCs w:val="1"/>
          <w:color w:val="auto"/>
        </w:rPr>
        <w:t>As a result of our recently established joint venture, we will be dependent upon the joint venture to provide competitive inventory financing programs, including floor plan financing and open account financing, to certain distributors and dealers of our products. Any difficulty in transitioning our inventory financing programs to the joint venture, any material change in the availability or terms of credit offered to our customers by the joint venture, any termination or disruption of our joint venture relationship or any delay in securing replacement credit sources could adversely affect our sales and operating results.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Most of our dealers and distributors generally finance their inventories with either The Toro Credit Company, our wholly owned subsidiary, or third party financing companies. As a result of our recent joint venture with TCF Inventory Finance, Inc., which together with its subsidiaries and affiliates, we refer to as “TCFIF,” we will be dependent upon the joint venture for our inventory financing programs, including floor plan financing and open account financing, for distributors and dealers of our products in the United States and to select distributors of our products in Canada. Additionally, in connection with the joint venture, we will be dependent upon TCFIF to provide inventory financing to dealers of our products in Canada. It is expected that the joint venture will begin financing receivables during our fourth quarter of fiscal 2009 and first quarter of fiscal 2010.</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9" w:name="page30"/>
    <w:bookmarkEnd w:id="29"/>
    <w:p>
      <w:pPr>
        <w:ind w:right="100"/>
        <w:spacing w:after="0" w:line="290" w:lineRule="auto"/>
        <w:rPr>
          <w:sz w:val="20"/>
          <w:szCs w:val="20"/>
          <w:color w:val="auto"/>
        </w:rPr>
      </w:pPr>
      <w:r>
        <w:rPr>
          <w:rFonts w:ascii="Arial" w:cs="Arial" w:eastAsia="Arial" w:hAnsi="Arial"/>
          <w:sz w:val="15"/>
          <w:szCs w:val="15"/>
          <w:color w:val="auto"/>
        </w:rPr>
        <w:t>The purpose of the joint venture is to provide access to reliable, competitive financing to our distributors and dealers in the United States and Canada to support their businesses and increase our net sales, as well as to free up our working capital for other purposes, which may include, among other things, strategic acquisitions, research and development of innovative new products, improvements in the quality and performance of existing products, and general corporate purposes.</w:t>
      </w:r>
    </w:p>
    <w:p>
      <w:pPr>
        <w:ind w:firstLine="210"/>
        <w:spacing w:after="0" w:line="292" w:lineRule="auto"/>
        <w:rPr>
          <w:sz w:val="20"/>
          <w:szCs w:val="20"/>
          <w:color w:val="auto"/>
        </w:rPr>
      </w:pPr>
      <w:r>
        <w:rPr>
          <w:rFonts w:ascii="Arial" w:cs="Arial" w:eastAsia="Arial" w:hAnsi="Arial"/>
          <w:sz w:val="15"/>
          <w:szCs w:val="15"/>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an indirect subsidiary of TCF National Bank, a national banking association. Any difficulty in transitioning our inventory financing programs to the joint venture, whether as the result of delays in the availability of enhancements to the wholesale management software system, documentation of customers, implementation of the program for Canadian dealers or other transition items, could adversely affect our sales and operating results. Further, any material change in the availability or terms of credit offered to our customers by the joint venture, any termination or disruption of our joint venture relationship or any delay in securing replacement credit sources could adversely affect our sales and operating results. Similarly, significant financed product repurchase requirements could have a material impact on our future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enactments could impact the competitive landscape within our markets and affect demand for our products.</w:t>
      </w:r>
    </w:p>
    <w:p>
      <w:pPr>
        <w:spacing w:after="0" w:line="2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impacts the lawn and garden, outdoor power equipment, or irrigation industries generally by promoting the purchase, such as through customer rebate or other incentive programs, of certain types of mowing or irrigation equipment,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7"/>
                <w:szCs w:val="17"/>
                <w:color w:val="auto"/>
                <w:w w:val="95"/>
              </w:rPr>
              <w:t>The following table shows our third quarter of fiscal 2009 stock repurchase activity.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auto"/>
                <w:w w:val="97"/>
              </w:rPr>
              <w:t>Maximum</w:t>
            </w:r>
          </w:p>
        </w:tc>
        <w:tc>
          <w:tcPr>
            <w:tcW w:w="0" w:type="dxa"/>
            <w:vAlign w:val="bottom"/>
          </w:tcPr>
          <w:p>
            <w:pPr>
              <w:spacing w:after="0"/>
              <w:rPr>
                <w:sz w:val="1"/>
                <w:szCs w:val="1"/>
                <w:color w:val="auto"/>
              </w:rPr>
            </w:pPr>
          </w:p>
        </w:tc>
      </w:tr>
      <w:tr>
        <w:trPr>
          <w:trHeight w:val="193"/>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Total Number</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of</w:t>
            </w:r>
          </w:p>
        </w:tc>
        <w:tc>
          <w:tcPr>
            <w:tcW w:w="1120" w:type="dxa"/>
            <w:vAlign w:val="bottom"/>
          </w:tcPr>
          <w:p>
            <w:pPr>
              <w:jc w:val="center"/>
              <w:spacing w:after="0"/>
              <w:rPr>
                <w:sz w:val="20"/>
                <w:szCs w:val="20"/>
                <w:color w:val="auto"/>
              </w:rPr>
            </w:pPr>
            <w:r>
              <w:rPr>
                <w:rFonts w:ascii="Arial" w:cs="Arial" w:eastAsia="Arial" w:hAnsi="Arial"/>
                <w:sz w:val="17"/>
                <w:szCs w:val="17"/>
                <w:color w:val="auto"/>
                <w:w w:val="86"/>
              </w:rPr>
              <w:t>of Shares that</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Shares</w:t>
            </w:r>
          </w:p>
        </w:tc>
        <w:tc>
          <w:tcPr>
            <w:tcW w:w="1120" w:type="dxa"/>
            <w:vAlign w:val="bottom"/>
          </w:tcPr>
          <w:p>
            <w:pPr>
              <w:jc w:val="center"/>
              <w:spacing w:after="0"/>
              <w:rPr>
                <w:sz w:val="20"/>
                <w:szCs w:val="20"/>
                <w:color w:val="auto"/>
              </w:rPr>
            </w:pPr>
            <w:r>
              <w:rPr>
                <w:rFonts w:ascii="Arial" w:cs="Arial" w:eastAsia="Arial" w:hAnsi="Arial"/>
                <w:sz w:val="17"/>
                <w:szCs w:val="17"/>
                <w:color w:val="auto"/>
                <w:w w:val="99"/>
              </w:rPr>
              <w:t>May</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Purchased</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Yet Be</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As Part of</w:t>
            </w:r>
          </w:p>
        </w:tc>
        <w:tc>
          <w:tcPr>
            <w:tcW w:w="1120" w:type="dxa"/>
            <w:vAlign w:val="bottom"/>
          </w:tcPr>
          <w:p>
            <w:pPr>
              <w:jc w:val="center"/>
              <w:spacing w:after="0"/>
              <w:rPr>
                <w:sz w:val="20"/>
                <w:szCs w:val="20"/>
                <w:color w:val="auto"/>
              </w:rPr>
            </w:pPr>
            <w:r>
              <w:rPr>
                <w:rFonts w:ascii="Arial" w:cs="Arial" w:eastAsia="Arial" w:hAnsi="Arial"/>
                <w:sz w:val="17"/>
                <w:szCs w:val="17"/>
                <w:color w:val="auto"/>
                <w:w w:val="86"/>
              </w:rPr>
              <w:t>Purchased</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Publicly</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Under the Plans</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Number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Announced</w:t>
            </w:r>
          </w:p>
        </w:tc>
        <w:tc>
          <w:tcPr>
            <w:tcW w:w="1120" w:type="dxa"/>
            <w:vAlign w:val="bottom"/>
          </w:tcPr>
          <w:p>
            <w:pPr>
              <w:jc w:val="center"/>
              <w:spacing w:after="0"/>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81"/>
              </w:rPr>
              <w:t>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w w:val="88"/>
              </w:rPr>
              <w:t>Average Price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Plans</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Programs (1)</w:t>
            </w:r>
          </w:p>
        </w:tc>
        <w:tc>
          <w:tcPr>
            <w:tcW w:w="0" w:type="dxa"/>
            <w:vAlign w:val="bottom"/>
          </w:tcPr>
          <w:p>
            <w:pPr>
              <w:spacing w:after="0"/>
              <w:rPr>
                <w:sz w:val="1"/>
                <w:szCs w:val="1"/>
                <w:color w:val="auto"/>
              </w:rPr>
            </w:pPr>
          </w:p>
        </w:tc>
      </w:tr>
      <w:tr>
        <w:trPr>
          <w:trHeight w:val="223"/>
        </w:trPr>
        <w:tc>
          <w:tcPr>
            <w:tcW w:w="5960" w:type="dxa"/>
            <w:vAlign w:val="bottom"/>
          </w:tcPr>
          <w:p>
            <w:pPr>
              <w:ind w:left="2760"/>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Purchased (1)</w:t>
            </w:r>
          </w:p>
        </w:tc>
        <w:tc>
          <w:tcPr>
            <w:tcW w:w="6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w w:val="91"/>
              </w:rPr>
              <w:t>Paid per Share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or Programs</w:t>
            </w:r>
          </w:p>
        </w:tc>
        <w:tc>
          <w:tcPr>
            <w:tcW w:w="112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0" w:type="dxa"/>
            <w:vAlign w:val="bottom"/>
          </w:tcPr>
          <w:p>
            <w:pPr>
              <w:spacing w:after="0"/>
              <w:rPr>
                <w:sz w:val="1"/>
                <w:szCs w:val="1"/>
                <w:color w:val="auto"/>
              </w:rPr>
            </w:pPr>
          </w:p>
        </w:tc>
      </w:tr>
      <w:tr>
        <w:trPr>
          <w:trHeight w:val="397"/>
        </w:trPr>
        <w:tc>
          <w:tcPr>
            <w:tcW w:w="5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May 2, 2009 through</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May 29, 2009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2,157,253</w:t>
            </w:r>
          </w:p>
        </w:tc>
        <w:tc>
          <w:tcPr>
            <w:tcW w:w="0" w:type="dxa"/>
            <w:vAlign w:val="bottom"/>
          </w:tcPr>
          <w:p>
            <w:pPr>
              <w:spacing w:after="0"/>
              <w:rPr>
                <w:sz w:val="1"/>
                <w:szCs w:val="1"/>
                <w:color w:val="auto"/>
              </w:rPr>
            </w:pPr>
          </w:p>
        </w:tc>
      </w:tr>
      <w:tr>
        <w:trPr>
          <w:trHeight w:val="398"/>
        </w:trPr>
        <w:tc>
          <w:tcPr>
            <w:tcW w:w="5960" w:type="dxa"/>
            <w:vAlign w:val="bottom"/>
          </w:tcPr>
          <w:p>
            <w:pPr>
              <w:spacing w:after="0"/>
              <w:rPr>
                <w:sz w:val="20"/>
                <w:szCs w:val="20"/>
                <w:color w:val="auto"/>
              </w:rPr>
            </w:pPr>
            <w:r>
              <w:rPr>
                <w:rFonts w:ascii="Arial" w:cs="Arial" w:eastAsia="Arial" w:hAnsi="Arial"/>
                <w:sz w:val="17"/>
                <w:szCs w:val="17"/>
                <w:color w:val="auto"/>
              </w:rPr>
              <w:t>May 30, 2009 through</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June 26, 2009</w:t>
            </w:r>
          </w:p>
        </w:tc>
        <w:tc>
          <w:tcPr>
            <w:tcW w:w="1520" w:type="dxa"/>
            <w:vAlign w:val="bottom"/>
            <w:gridSpan w:val="3"/>
          </w:tcPr>
          <w:p>
            <w:pPr>
              <w:jc w:val="right"/>
              <w:ind w:right="260"/>
              <w:spacing w:after="0"/>
              <w:rPr>
                <w:sz w:val="20"/>
                <w:szCs w:val="20"/>
                <w:color w:val="auto"/>
              </w:rPr>
            </w:pPr>
            <w:r>
              <w:rPr>
                <w:rFonts w:ascii="Arial" w:cs="Arial" w:eastAsia="Arial" w:hAnsi="Arial"/>
                <w:sz w:val="17"/>
                <w:szCs w:val="17"/>
                <w:color w:val="auto"/>
              </w:rPr>
              <w:t>742,839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32.17</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742,839</w:t>
            </w:r>
          </w:p>
        </w:tc>
        <w:tc>
          <w:tcPr>
            <w:tcW w:w="1120" w:type="dxa"/>
            <w:vAlign w:val="bottom"/>
          </w:tcPr>
          <w:p>
            <w:pPr>
              <w:jc w:val="right"/>
              <w:spacing w:after="0"/>
              <w:rPr>
                <w:sz w:val="20"/>
                <w:szCs w:val="20"/>
                <w:color w:val="auto"/>
              </w:rPr>
            </w:pPr>
            <w:r>
              <w:rPr>
                <w:rFonts w:ascii="Arial" w:cs="Arial" w:eastAsia="Arial" w:hAnsi="Arial"/>
                <w:sz w:val="17"/>
                <w:szCs w:val="17"/>
                <w:color w:val="auto"/>
              </w:rPr>
              <w:t>1,414,414</w:t>
            </w:r>
          </w:p>
        </w:tc>
        <w:tc>
          <w:tcPr>
            <w:tcW w:w="0" w:type="dxa"/>
            <w:vAlign w:val="bottom"/>
          </w:tcPr>
          <w:p>
            <w:pPr>
              <w:spacing w:after="0"/>
              <w:rPr>
                <w:sz w:val="1"/>
                <w:szCs w:val="1"/>
                <w:color w:val="auto"/>
              </w:rPr>
            </w:pPr>
          </w:p>
        </w:tc>
      </w:tr>
      <w:tr>
        <w:trPr>
          <w:trHeight w:val="398"/>
        </w:trPr>
        <w:tc>
          <w:tcPr>
            <w:tcW w:w="5960" w:type="dxa"/>
            <w:vAlign w:val="bottom"/>
          </w:tcPr>
          <w:p>
            <w:pPr>
              <w:spacing w:after="0"/>
              <w:rPr>
                <w:sz w:val="20"/>
                <w:szCs w:val="20"/>
                <w:color w:val="auto"/>
              </w:rPr>
            </w:pPr>
            <w:r>
              <w:rPr>
                <w:rFonts w:ascii="Arial" w:cs="Arial" w:eastAsia="Arial" w:hAnsi="Arial"/>
                <w:sz w:val="17"/>
                <w:szCs w:val="17"/>
                <w:color w:val="auto"/>
              </w:rPr>
              <w:t>June 27, 2009 through</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7"/>
                <w:szCs w:val="17"/>
                <w:color w:val="auto"/>
              </w:rPr>
              <w:t>July 31, 2009</w:t>
            </w: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836,223(3)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31.61</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833,319</w:t>
            </w:r>
          </w:p>
        </w:tc>
        <w:tc>
          <w:tcPr>
            <w:tcW w:w="1120" w:type="dxa"/>
            <w:vAlign w:val="bottom"/>
          </w:tcPr>
          <w:p>
            <w:pPr>
              <w:jc w:val="right"/>
              <w:spacing w:after="0"/>
              <w:rPr>
                <w:sz w:val="20"/>
                <w:szCs w:val="20"/>
                <w:color w:val="auto"/>
              </w:rPr>
            </w:pPr>
            <w:r>
              <w:rPr>
                <w:rFonts w:ascii="Arial" w:cs="Arial" w:eastAsia="Arial" w:hAnsi="Arial"/>
                <w:sz w:val="17"/>
                <w:szCs w:val="17"/>
                <w:color w:val="auto"/>
              </w:rPr>
              <w:t>5,581,095</w:t>
            </w:r>
          </w:p>
        </w:tc>
        <w:tc>
          <w:tcPr>
            <w:tcW w:w="0" w:type="dxa"/>
            <w:vAlign w:val="bottom"/>
          </w:tcPr>
          <w:p>
            <w:pPr>
              <w:spacing w:after="0"/>
              <w:rPr>
                <w:sz w:val="1"/>
                <w:szCs w:val="1"/>
                <w:color w:val="auto"/>
              </w:rPr>
            </w:pPr>
          </w:p>
        </w:tc>
      </w:tr>
      <w:tr>
        <w:trPr>
          <w:trHeight w:val="409"/>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1,579,062</w:t>
            </w:r>
          </w:p>
        </w:tc>
        <w:tc>
          <w:tcPr>
            <w:tcW w:w="2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31.87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1,576,158</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20" w:hanging="311"/>
        <w:spacing w:after="0" w:line="256"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May 21, 2008, the company’s Board of Directors authorized the repurchase of 4,000,000 shares of the company’s common stock in open-market or in privately negotiated transactions. This program has no expiration date but may be terminated by the company’s Board of Directors at any time. As of July 31, 2009, there were 581,095 shares remaining for repurchase under this program.</w:t>
      </w:r>
    </w:p>
    <w:p>
      <w:pPr>
        <w:spacing w:after="0" w:line="206" w:lineRule="exact"/>
        <w:rPr>
          <w:rFonts w:ascii="Arial" w:cs="Arial" w:eastAsia="Arial" w:hAnsi="Arial"/>
          <w:sz w:val="17"/>
          <w:szCs w:val="17"/>
          <w:color w:val="auto"/>
        </w:rPr>
      </w:pPr>
    </w:p>
    <w:p>
      <w:pPr>
        <w:ind w:left="620" w:right="120" w:hanging="311"/>
        <w:spacing w:after="0" w:line="345"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July 21, 2009, the company’s Board of Directors authorized the repurchase of an additional 5,000,000 shares of the company’s common stock in open-market or in privately negotiated transactions. This program has no expiration date but may be terminated by the company’s Board of Directors at any time.</w:t>
      </w:r>
    </w:p>
    <w:p>
      <w:pPr>
        <w:spacing w:after="0" w:line="143" w:lineRule="exact"/>
        <w:rPr>
          <w:rFonts w:ascii="Arial" w:cs="Arial" w:eastAsia="Arial" w:hAnsi="Arial"/>
          <w:sz w:val="15"/>
          <w:szCs w:val="15"/>
          <w:color w:val="auto"/>
        </w:rPr>
      </w:pPr>
    </w:p>
    <w:p>
      <w:pPr>
        <w:ind w:left="620" w:right="120" w:hanging="311"/>
        <w:spacing w:after="0" w:line="263"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2,904 units (shares) of the company’s common stock purchased in open-market transactions at an average price of $29.69 per share on behalf of a rabbi trust formed to pay benefit obligations of the company to participants in deferred compensation plans. These 2,904 shares were not repurchased under the company’s repurchase programs described in footnotes (1) and (2) above.</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64"/>
        </w:trPr>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860" w:type="dxa"/>
            <w:vAlign w:val="bottom"/>
          </w:tcPr>
          <w:p>
            <w:pPr>
              <w:ind w:left="3340"/>
              <w:spacing w:after="0"/>
              <w:rPr>
                <w:sz w:val="20"/>
                <w:szCs w:val="20"/>
                <w:color w:val="auto"/>
              </w:rPr>
            </w:pPr>
            <w:r>
              <w:rPr>
                <w:rFonts w:ascii="Arial" w:cs="Arial" w:eastAsia="Arial" w:hAnsi="Arial"/>
                <w:sz w:val="20"/>
                <w:szCs w:val="20"/>
                <w:b w:val="1"/>
                <w:bCs w:val="1"/>
                <w:color w:val="auto"/>
              </w:rPr>
              <w:t>Item 6. EXHIBITS</w:t>
            </w:r>
          </w:p>
        </w:tc>
      </w:tr>
      <w:tr>
        <w:trPr>
          <w:trHeight w:val="414"/>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1220" w:type="dxa"/>
            <w:vAlign w:val="bottom"/>
          </w:tcPr>
          <w:p>
            <w:pPr>
              <w:ind w:left="140"/>
              <w:spacing w:after="0"/>
              <w:rPr>
                <w:sz w:val="20"/>
                <w:szCs w:val="20"/>
                <w:color w:val="auto"/>
              </w:rPr>
            </w:pPr>
            <w:r>
              <w:rPr>
                <w:rFonts w:ascii="Arial" w:cs="Arial" w:eastAsia="Arial" w:hAnsi="Arial"/>
                <w:sz w:val="17"/>
                <w:szCs w:val="17"/>
                <w:color w:val="auto"/>
              </w:rPr>
              <w:t>Exhibits</w:t>
            </w:r>
          </w:p>
        </w:tc>
        <w:tc>
          <w:tcPr>
            <w:tcW w:w="9860" w:type="dxa"/>
            <w:vAlign w:val="bottom"/>
          </w:tcPr>
          <w:p>
            <w:pPr>
              <w:spacing w:after="0"/>
              <w:rPr>
                <w:sz w:val="24"/>
                <w:szCs w:val="24"/>
                <w:color w:val="auto"/>
              </w:rPr>
            </w:pP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2.1 (1)</w:t>
            </w:r>
          </w:p>
        </w:tc>
        <w:tc>
          <w:tcPr>
            <w:tcW w:w="9860" w:type="dxa"/>
            <w:vAlign w:val="bottom"/>
          </w:tcPr>
          <w:p>
            <w:pPr>
              <w:ind w:left="340"/>
              <w:spacing w:after="0"/>
              <w:rPr>
                <w:sz w:val="20"/>
                <w:szCs w:val="20"/>
                <w:color w:val="auto"/>
              </w:rPr>
            </w:pPr>
            <w:r>
              <w:rPr>
                <w:rFonts w:ascii="Arial" w:cs="Arial" w:eastAsia="Arial" w:hAnsi="Arial"/>
                <w:sz w:val="17"/>
                <w:szCs w:val="17"/>
                <w:color w:val="auto"/>
                <w:w w:val="99"/>
              </w:rPr>
              <w:t>Agreement to Form Joint Venture dated August 12, 2009 by and between The Toro Company and TCF Inventory Finance, Inc.</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5"/>
              </w:rPr>
              <w:t>(incorporated by reference to Exhibit 2.1 to Registrant’s Current Report on Form 8-K dated August 12, 2009, Commission File No. 1-</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2.2 (1)</w:t>
            </w:r>
          </w:p>
        </w:tc>
        <w:tc>
          <w:tcPr>
            <w:tcW w:w="9860" w:type="dxa"/>
            <w:vAlign w:val="bottom"/>
          </w:tcPr>
          <w:p>
            <w:pPr>
              <w:ind w:left="340"/>
              <w:spacing w:after="0"/>
              <w:rPr>
                <w:sz w:val="20"/>
                <w:szCs w:val="20"/>
                <w:color w:val="auto"/>
              </w:rPr>
            </w:pPr>
            <w:r>
              <w:rPr>
                <w:rFonts w:ascii="Arial" w:cs="Arial" w:eastAsia="Arial" w:hAnsi="Arial"/>
                <w:sz w:val="17"/>
                <w:szCs w:val="17"/>
                <w:color w:val="auto"/>
              </w:rPr>
              <w:t>Limited Liability Company Agreement of Red Iron Acceptance, LLC dated August 12, 2009 by and between Red Iron Holding</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Corporation and TCFIF Joint Venture I, LLC (incorporated by reference to Exhibit 2.2 to Registrant’s Current Report on Form 8-K dated</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August 12, 2009, 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 and 4.1</w:t>
            </w: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Restated Certificate of Incorporation of The Toro Company (incorporated by reference to Exhibit 3.1 to Registrant’s Current Report on</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June 17, 2008, 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3.2 and 4.2</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Amended and Restated Bylaws of The Toro Company (incorporated by reference to Exhibit 3.2 to Registrant’s Current Report on Form 8-</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K dated June 17, 2008, 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4.3</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Specimen Form of Common Stock Certificate (incorporated by reference to Exhibit 4(c) to Registrant’s Quarterly Report on Form 10-Q for</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the fiscal quarter ended August 1, 2008).</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4.4</w:t>
            </w:r>
          </w:p>
        </w:tc>
        <w:tc>
          <w:tcPr>
            <w:tcW w:w="9860" w:type="dxa"/>
            <w:vAlign w:val="bottom"/>
          </w:tcPr>
          <w:p>
            <w:pPr>
              <w:ind w:left="340"/>
              <w:spacing w:after="0"/>
              <w:rPr>
                <w:sz w:val="20"/>
                <w:szCs w:val="20"/>
                <w:color w:val="auto"/>
              </w:rPr>
            </w:pPr>
            <w:r>
              <w:rPr>
                <w:rFonts w:ascii="Arial" w:cs="Arial" w:eastAsia="Arial" w:hAnsi="Arial"/>
                <w:sz w:val="17"/>
                <w:szCs w:val="17"/>
                <w:color w:val="auto"/>
                <w:w w:val="97"/>
              </w:rPr>
              <w:t>Indenture dated as of January 31, 1997, between Registrant and First National Trust Association, as Trustee, relating to The Toro</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Company’s 7.80% Debentures due June 15, 2027 (incorporated by reference to Exhibit 4(a) to Registrant’s Current Report on Form 8-K</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dated June 24, 1997, 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4.5</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Indenture dated as of April 20, 2007, between Registrant and The Bank of New York Trust Company, N.A., as Trustee, relating to The Toro</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2"/>
              </w:rPr>
              <w:t>Company’s 6.625% Notes due May 1, 2037 (incorporated by reference to Exhibit 4.3 to Registrant’s Registration Statement on Form S-3</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filed with the Securities and Exchange Commission on April 23, 2007, Registration No. 333-142282).</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4.6</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First Supplemental Indenture dated as of April 26, 2007, between Registrant and The Bank of New York Trust Company, N.A., as Trustee,</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relating to The Toro Company’s 6.625% Notes due May 1, 2037 (incorporated by reference to Exhibit 4.1 to Registrant’s Current Report on</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April 23, 2007, 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4.7</w:t>
            </w: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Form of The Toro Company 6.625% Note due May 1, 2037 (incorporated by reference to Exhibit 4.2 to Registrant’s Current Report on</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April 23, 2007, 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10.1 (1)</w:t>
            </w:r>
          </w:p>
        </w:tc>
        <w:tc>
          <w:tcPr>
            <w:tcW w:w="9860" w:type="dxa"/>
            <w:vAlign w:val="bottom"/>
          </w:tcPr>
          <w:p>
            <w:pPr>
              <w:ind w:left="340"/>
              <w:spacing w:after="0"/>
              <w:rPr>
                <w:sz w:val="20"/>
                <w:szCs w:val="20"/>
                <w:color w:val="auto"/>
              </w:rPr>
            </w:pPr>
            <w:r>
              <w:rPr>
                <w:rFonts w:ascii="Arial" w:cs="Arial" w:eastAsia="Arial" w:hAnsi="Arial"/>
                <w:sz w:val="17"/>
                <w:szCs w:val="17"/>
                <w:color w:val="auto"/>
                <w:w w:val="96"/>
              </w:rPr>
              <w:t>Credit and Security Agreement dated August 12, 2009 by and between Red Iron Acceptance, LLC and TCF Inventory Finance, Inc.</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(incorporated by reference to Exhibit 10.1 to Registrant’s Current Report on Form 8-K dated August 12, 2009, Commission File No. 1-</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10.2</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Form of Receivable Purchase Agreement between The Toro Company, certain affiliates of The Toro Company (as applicable) and Red Iron</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9"/>
              </w:rPr>
              <w:t>Acceptance, LLC (incorporated by reference to Exhibit 10.2 to Registrant’s Current Report on Form 8-K dated August 12, 2009,</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10.3</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Form of Repurchase Agreement between The Toro Company and Red Iron Acceptance, LLC (incorporated by reference to Exhibit 10.3 to</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Registrant’s Current Report on Form 8-K dated August 12, 2009, Commission File No. 1-8649).</w:t>
            </w:r>
          </w:p>
        </w:tc>
      </w:tr>
      <w:tr>
        <w:trPr>
          <w:trHeight w:val="205"/>
        </w:trPr>
        <w:tc>
          <w:tcPr>
            <w:tcW w:w="3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31.1</w:t>
            </w:r>
          </w:p>
        </w:tc>
        <w:tc>
          <w:tcPr>
            <w:tcW w:w="9860" w:type="dxa"/>
            <w:vAlign w:val="bottom"/>
          </w:tcPr>
          <w:p>
            <w:pPr>
              <w:ind w:left="340"/>
              <w:spacing w:after="0"/>
              <w:rPr>
                <w:sz w:val="20"/>
                <w:szCs w:val="20"/>
                <w:color w:val="auto"/>
              </w:rPr>
            </w:pPr>
            <w:r>
              <w:rPr>
                <w:rFonts w:ascii="Arial" w:cs="Arial" w:eastAsia="Arial" w:hAnsi="Arial"/>
                <w:sz w:val="17"/>
                <w:szCs w:val="17"/>
                <w:color w:val="auto"/>
                <w:w w:val="96"/>
              </w:rPr>
              <w:t>Certification of Chief Executive Officer Pursuant to Rule 13a-14(a) (Section 302 of the Sarbanes-Oxley Act of 2002) (filed herewith).</w:t>
            </w:r>
          </w:p>
        </w:tc>
      </w:tr>
      <w:tr>
        <w:trPr>
          <w:trHeight w:val="216"/>
        </w:trPr>
        <w:tc>
          <w:tcPr>
            <w:tcW w:w="32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31.2</w:t>
            </w:r>
          </w:p>
        </w:tc>
        <w:tc>
          <w:tcPr>
            <w:tcW w:w="9860" w:type="dxa"/>
            <w:vAlign w:val="bottom"/>
          </w:tcPr>
          <w:p>
            <w:pPr>
              <w:ind w:left="340"/>
              <w:spacing w:after="0"/>
              <w:rPr>
                <w:sz w:val="20"/>
                <w:szCs w:val="20"/>
                <w:color w:val="auto"/>
              </w:rPr>
            </w:pPr>
            <w:r>
              <w:rPr>
                <w:rFonts w:ascii="Arial" w:cs="Arial" w:eastAsia="Arial" w:hAnsi="Arial"/>
                <w:sz w:val="17"/>
                <w:szCs w:val="17"/>
                <w:color w:val="auto"/>
                <w:w w:val="96"/>
              </w:rPr>
              <w:t>Certification of Chief Financial Officer Pursuant to Rule 13a-14(a) (Section 302 of the Sarbanes-Oxley Act of 2002) (filed herewith).</w:t>
            </w:r>
          </w:p>
        </w:tc>
      </w:tr>
    </w:tbl>
    <w:p>
      <w:pPr>
        <w:ind w:left="1880" w:right="200" w:hanging="1417"/>
        <w:spacing w:after="0" w:line="262" w:lineRule="auto"/>
        <w:tabs>
          <w:tab w:leader="none" w:pos="1880" w:val="left"/>
        </w:tabs>
        <w:numPr>
          <w:ilvl w:val="1"/>
          <w:numId w:val="5"/>
        </w:numPr>
        <w:rPr>
          <w:rFonts w:ascii="Arial" w:cs="Arial" w:eastAsia="Arial" w:hAnsi="Arial"/>
          <w:sz w:val="17"/>
          <w:szCs w:val="17"/>
          <w:color w:val="auto"/>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 (furnished herewith).</w:t>
      </w:r>
    </w:p>
    <w:p>
      <w:pPr>
        <w:spacing w:after="0" w:line="175" w:lineRule="exact"/>
        <w:rPr>
          <w:rFonts w:ascii="Arial" w:cs="Arial" w:eastAsia="Arial" w:hAnsi="Arial"/>
          <w:sz w:val="17"/>
          <w:szCs w:val="17"/>
          <w:color w:val="auto"/>
        </w:rPr>
      </w:pPr>
    </w:p>
    <w:p>
      <w:pPr>
        <w:ind w:left="620" w:right="400" w:hanging="311"/>
        <w:spacing w:after="0" w:line="308"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Portions of this exhibit have been redacted and are subject to an order granting confidential treatment under the Securities and Exchange Act of 1934, as amended (File No. 001-08649, CF # 24035). The redacted material was filed separately with the Securities and Exchange Commission.</w:t>
      </w:r>
    </w:p>
    <w:p>
      <w:pPr>
        <w:spacing w:after="0" w:line="167" w:lineRule="exact"/>
        <w:rPr>
          <w:rFonts w:ascii="Arial" w:cs="Arial" w:eastAsia="Arial" w:hAnsi="Arial"/>
          <w:sz w:val="16"/>
          <w:szCs w:val="16"/>
          <w:color w:val="auto"/>
        </w:rPr>
      </w:pPr>
    </w:p>
    <w:p>
      <w:pPr>
        <w:ind w:left="620" w:right="400"/>
        <w:spacing w:after="0" w:line="276" w:lineRule="auto"/>
        <w:rPr>
          <w:rFonts w:ascii="Arial" w:cs="Arial" w:eastAsia="Arial" w:hAnsi="Arial"/>
          <w:sz w:val="16"/>
          <w:szCs w:val="16"/>
          <w:color w:val="auto"/>
        </w:rPr>
      </w:pPr>
      <w:r>
        <w:rPr>
          <w:rFonts w:ascii="Arial" w:cs="Arial" w:eastAsia="Arial" w:hAnsi="Arial"/>
          <w:sz w:val="17"/>
          <w:szCs w:val="17"/>
          <w:color w:val="auto"/>
        </w:rPr>
        <w:t>* 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SIGNATURES</w:t>
      </w:r>
    </w:p>
    <w:p>
      <w:pPr>
        <w:spacing w:after="0" w:line="243" w:lineRule="exact"/>
        <w:rPr>
          <w:sz w:val="20"/>
          <w:szCs w:val="20"/>
          <w:color w:val="auto"/>
        </w:rPr>
      </w:pPr>
    </w:p>
    <w:p>
      <w:pPr>
        <w:ind w:left="180" w:right="62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20"/>
                <w:szCs w:val="20"/>
                <w:color w:val="auto"/>
              </w:rPr>
            </w:pPr>
            <w:r>
              <w:rPr>
                <w:rFonts w:ascii="Arial" w:cs="Arial" w:eastAsia="Arial" w:hAnsi="Arial"/>
                <w:sz w:val="17"/>
                <w:szCs w:val="17"/>
                <w:color w:val="auto"/>
              </w:rPr>
              <w:t>Date: September 3, 2009</w:t>
            </w:r>
          </w:p>
        </w:tc>
        <w:tc>
          <w:tcPr>
            <w:tcW w:w="7740" w:type="dxa"/>
            <w:vAlign w:val="bottom"/>
            <w:gridSpan w:val="3"/>
          </w:tcPr>
          <w:p>
            <w:pPr>
              <w:ind w:left="2020"/>
              <w:spacing w:after="0"/>
              <w:rPr>
                <w:sz w:val="20"/>
                <w:szCs w:val="20"/>
                <w:color w:val="auto"/>
              </w:rPr>
            </w:pPr>
            <w:r>
              <w:rPr>
                <w:rFonts w:ascii="Arial" w:cs="Arial" w:eastAsia="Arial" w:hAnsi="Arial"/>
                <w:sz w:val="17"/>
                <w:szCs w:val="17"/>
                <w:color w:val="auto"/>
              </w:rPr>
              <w:t>By /s/ Stephen P. Wolfe</w:t>
            </w:r>
          </w:p>
        </w:tc>
      </w:tr>
      <w:tr>
        <w:trPr>
          <w:trHeight w:val="20"/>
        </w:trPr>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11"/>
        </w:trPr>
        <w:tc>
          <w:tcPr>
            <w:tcW w:w="3680" w:type="dxa"/>
            <w:vAlign w:val="bottom"/>
          </w:tcPr>
          <w:p>
            <w:pPr>
              <w:spacing w:after="0"/>
              <w:rPr>
                <w:sz w:val="18"/>
                <w:szCs w:val="18"/>
                <w:color w:val="auto"/>
              </w:rPr>
            </w:pPr>
          </w:p>
        </w:tc>
        <w:tc>
          <w:tcPr>
            <w:tcW w:w="7740" w:type="dxa"/>
            <w:vAlign w:val="bottom"/>
            <w:gridSpan w:val="3"/>
          </w:tcPr>
          <w:p>
            <w:pPr>
              <w:ind w:left="2020"/>
              <w:spacing w:after="0"/>
              <w:rPr>
                <w:sz w:val="20"/>
                <w:szCs w:val="20"/>
                <w:color w:val="auto"/>
              </w:rPr>
            </w:pPr>
            <w:r>
              <w:rPr>
                <w:rFonts w:ascii="Arial" w:cs="Arial" w:eastAsia="Arial" w:hAnsi="Arial"/>
                <w:sz w:val="17"/>
                <w:szCs w:val="17"/>
                <w:color w:val="auto"/>
              </w:rPr>
              <w:t>Stephen P. Wolfe</w:t>
            </w:r>
          </w:p>
        </w:tc>
      </w:tr>
      <w:tr>
        <w:trPr>
          <w:trHeight w:val="205"/>
        </w:trPr>
        <w:tc>
          <w:tcPr>
            <w:tcW w:w="3680" w:type="dxa"/>
            <w:vAlign w:val="bottom"/>
          </w:tcPr>
          <w:p>
            <w:pPr>
              <w:spacing w:after="0"/>
              <w:rPr>
                <w:sz w:val="17"/>
                <w:szCs w:val="17"/>
                <w:color w:val="auto"/>
              </w:rPr>
            </w:pPr>
          </w:p>
        </w:tc>
        <w:tc>
          <w:tcPr>
            <w:tcW w:w="7740" w:type="dxa"/>
            <w:vAlign w:val="bottom"/>
            <w:gridSpan w:val="3"/>
          </w:tcPr>
          <w:p>
            <w:pPr>
              <w:ind w:left="2020"/>
              <w:spacing w:after="0"/>
              <w:rPr>
                <w:sz w:val="20"/>
                <w:szCs w:val="20"/>
                <w:color w:val="auto"/>
              </w:rPr>
            </w:pPr>
            <w:r>
              <w:rPr>
                <w:rFonts w:ascii="Arial" w:cs="Arial" w:eastAsia="Arial" w:hAnsi="Arial"/>
                <w:sz w:val="17"/>
                <w:szCs w:val="17"/>
                <w:color w:val="auto"/>
              </w:rPr>
              <w:t>Vice President, Finance</w:t>
            </w:r>
          </w:p>
        </w:tc>
      </w:tr>
      <w:tr>
        <w:trPr>
          <w:trHeight w:val="205"/>
        </w:trPr>
        <w:tc>
          <w:tcPr>
            <w:tcW w:w="3680" w:type="dxa"/>
            <w:vAlign w:val="bottom"/>
          </w:tcPr>
          <w:p>
            <w:pPr>
              <w:spacing w:after="0"/>
              <w:rPr>
                <w:sz w:val="17"/>
                <w:szCs w:val="17"/>
                <w:color w:val="auto"/>
              </w:rPr>
            </w:pPr>
          </w:p>
        </w:tc>
        <w:tc>
          <w:tcPr>
            <w:tcW w:w="7740" w:type="dxa"/>
            <w:vAlign w:val="bottom"/>
            <w:gridSpan w:val="3"/>
          </w:tcPr>
          <w:p>
            <w:pPr>
              <w:ind w:left="2020"/>
              <w:spacing w:after="0"/>
              <w:rPr>
                <w:sz w:val="20"/>
                <w:szCs w:val="20"/>
                <w:color w:val="auto"/>
              </w:rPr>
            </w:pPr>
            <w:r>
              <w:rPr>
                <w:rFonts w:ascii="Arial" w:cs="Arial" w:eastAsia="Arial" w:hAnsi="Arial"/>
                <w:sz w:val="17"/>
                <w:szCs w:val="17"/>
                <w:color w:val="auto"/>
              </w:rPr>
              <w:t>and Chief Financial Officer</w:t>
            </w:r>
          </w:p>
        </w:tc>
      </w:tr>
      <w:tr>
        <w:trPr>
          <w:trHeight w:val="216"/>
        </w:trPr>
        <w:tc>
          <w:tcPr>
            <w:tcW w:w="3680" w:type="dxa"/>
            <w:vAlign w:val="bottom"/>
          </w:tcPr>
          <w:p>
            <w:pPr>
              <w:spacing w:after="0"/>
              <w:rPr>
                <w:sz w:val="18"/>
                <w:szCs w:val="18"/>
                <w:color w:val="auto"/>
              </w:rPr>
            </w:pPr>
          </w:p>
        </w:tc>
        <w:tc>
          <w:tcPr>
            <w:tcW w:w="7740" w:type="dxa"/>
            <w:vAlign w:val="bottom"/>
            <w:gridSpan w:val="3"/>
          </w:tcPr>
          <w:p>
            <w:pPr>
              <w:ind w:left="2020"/>
              <w:spacing w:after="0"/>
              <w:rPr>
                <w:sz w:val="20"/>
                <w:szCs w:val="20"/>
                <w:color w:val="auto"/>
              </w:rPr>
            </w:pPr>
            <w:r>
              <w:rPr>
                <w:rFonts w:ascii="Arial" w:cs="Arial" w:eastAsia="Arial" w:hAnsi="Arial"/>
                <w:sz w:val="17"/>
                <w:szCs w:val="17"/>
                <w:color w:val="auto"/>
              </w:rPr>
              <w:t>(duly authorized officer and principal financial officer)</w:t>
            </w:r>
          </w:p>
        </w:tc>
      </w:tr>
      <w:tr>
        <w:trPr>
          <w:trHeight w:val="806"/>
        </w:trPr>
        <w:tc>
          <w:tcPr>
            <w:tcW w:w="3680" w:type="dxa"/>
            <w:vAlign w:val="bottom"/>
          </w:tcPr>
          <w:p>
            <w:pPr>
              <w:spacing w:after="0"/>
              <w:rPr>
                <w:sz w:val="24"/>
                <w:szCs w:val="24"/>
                <w:color w:val="auto"/>
              </w:rPr>
            </w:pPr>
          </w:p>
        </w:tc>
        <w:tc>
          <w:tcPr>
            <w:tcW w:w="2260" w:type="dxa"/>
            <w:vAlign w:val="bottom"/>
          </w:tcPr>
          <w:p>
            <w:pPr>
              <w:ind w:left="1940"/>
              <w:spacing w:after="0"/>
              <w:rPr>
                <w:sz w:val="20"/>
                <w:szCs w:val="20"/>
                <w:color w:val="auto"/>
              </w:rPr>
            </w:pPr>
            <w:r>
              <w:rPr>
                <w:rFonts w:ascii="Arial" w:cs="Arial" w:eastAsia="Arial" w:hAnsi="Arial"/>
                <w:sz w:val="17"/>
                <w:szCs w:val="17"/>
                <w:color w:val="auto"/>
              </w:rPr>
              <w:t>31</w:t>
            </w:r>
          </w:p>
        </w:tc>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13"/>
        </w:trPr>
        <w:tc>
          <w:tcPr>
            <w:tcW w:w="36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Michael J. Hoffman, certify that:</w:t>
      </w:r>
    </w:p>
    <w:p>
      <w:pPr>
        <w:spacing w:after="0" w:line="200" w:lineRule="exact"/>
        <w:rPr>
          <w:sz w:val="20"/>
          <w:szCs w:val="20"/>
          <w:color w:val="auto"/>
        </w:rPr>
      </w:pPr>
    </w:p>
    <w:p>
      <w:pPr>
        <w:spacing w:after="0" w:line="270" w:lineRule="exact"/>
        <w:rPr>
          <w:sz w:val="20"/>
          <w:szCs w:val="20"/>
          <w:color w:val="auto"/>
        </w:rPr>
      </w:pPr>
    </w:p>
    <w:p>
      <w:pPr>
        <w:ind w:left="180" w:hanging="178"/>
        <w:spacing w:after="0"/>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3, 2009</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Hoffman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35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00" w:lineRule="exact"/>
        <w:rPr>
          <w:sz w:val="20"/>
          <w:szCs w:val="20"/>
          <w:color w:val="auto"/>
        </w:rPr>
      </w:pPr>
    </w:p>
    <w:p>
      <w:pPr>
        <w:spacing w:after="0" w:line="270" w:lineRule="exact"/>
        <w:rPr>
          <w:sz w:val="20"/>
          <w:szCs w:val="20"/>
          <w:color w:val="auto"/>
        </w:rPr>
      </w:pPr>
    </w:p>
    <w:p>
      <w:pPr>
        <w:ind w:left="180" w:hanging="178"/>
        <w:spacing w:after="0"/>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3, 2009</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Stephen P. Wolfe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35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July 31, 2009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5" w:lineRule="exact"/>
        <w:rPr>
          <w:sz w:val="20"/>
          <w:szCs w:val="20"/>
          <w:color w:val="auto"/>
        </w:rPr>
      </w:pPr>
    </w:p>
    <w:p>
      <w:pPr>
        <w:ind w:left="920" w:hanging="28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9" w:lineRule="exact"/>
        <w:rPr>
          <w:rFonts w:ascii="Arial" w:cs="Arial" w:eastAsia="Arial" w:hAnsi="Arial"/>
          <w:sz w:val="17"/>
          <w:szCs w:val="17"/>
          <w:color w:val="auto"/>
        </w:rPr>
      </w:pPr>
    </w:p>
    <w:p>
      <w:pPr>
        <w:ind w:left="920" w:hanging="281"/>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45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September 3, 2009</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54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September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3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32"/>
    </w:lvl>
    <w:lvl w:ilvl="2">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2019-12-10T05:15:41Z</dcterms:created>
  <dcterms:modified xsi:type="dcterms:W3CDTF">2019-12-10T05:15:41Z</dcterms:modified>
</cp:coreProperties>
</file>