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8"/>
        <w:spacing w:after="0"/>
        <w:rPr>
          <w:rFonts w:ascii="Courier New" w:cs="Courier New" w:eastAsia="Courier New" w:hAnsi="Courier New"/>
          <w:sz w:val="12"/>
          <w:szCs w:val="12"/>
          <w:b w:val="1"/>
          <w:bCs w:val="1"/>
          <w:u w:val="single" w:color="auto"/>
          <w:color w:val="0000EE"/>
        </w:rPr>
      </w:pPr>
      <w:hyperlink w:anchor="page20">
        <w:r>
          <w:rPr>
            <w:rFonts w:ascii="Courier New" w:cs="Courier New" w:eastAsia="Courier New" w:hAnsi="Courier New"/>
            <w:sz w:val="12"/>
            <w:szCs w:val="12"/>
            <w:b w:val="1"/>
            <w:bCs w:val="1"/>
            <w:u w:val="single" w:color="auto"/>
            <w:color w:val="0000EE"/>
          </w:rPr>
          <w:t>QuickLinks</w:t>
        </w:r>
      </w:hyperlink>
    </w:p>
    <w:p>
      <w:pPr>
        <w:spacing w:after="0" w:line="394" w:lineRule="exact"/>
        <w:rPr>
          <w:sz w:val="24"/>
          <w:szCs w:val="24"/>
          <w:color w:val="auto"/>
        </w:rPr>
      </w:pPr>
    </w:p>
    <w:p>
      <w:pPr>
        <w:ind w:left="5008"/>
        <w:spacing w:after="0"/>
        <w:rPr>
          <w:sz w:val="20"/>
          <w:szCs w:val="20"/>
          <w:color w:val="auto"/>
        </w:rPr>
      </w:pPr>
      <w:r>
        <w:rPr>
          <w:rFonts w:ascii="Courier New" w:cs="Courier New" w:eastAsia="Courier New" w:hAnsi="Courier New"/>
          <w:sz w:val="9"/>
          <w:szCs w:val="9"/>
          <w:b w:val="1"/>
          <w:bCs w:val="1"/>
          <w:color w:val="auto"/>
        </w:rPr>
        <w:t>SCHEDULE 14A INFORMATION</w:t>
      </w:r>
    </w:p>
    <w:p>
      <w:pPr>
        <w:spacing w:after="0" w:line="200" w:lineRule="exact"/>
        <w:rPr>
          <w:sz w:val="24"/>
          <w:szCs w:val="24"/>
          <w:color w:val="auto"/>
        </w:rPr>
      </w:pPr>
    </w:p>
    <w:p>
      <w:pPr>
        <w:spacing w:after="0" w:line="301" w:lineRule="exact"/>
        <w:rPr>
          <w:sz w:val="24"/>
          <w:szCs w:val="24"/>
          <w:color w:val="auto"/>
        </w:rPr>
      </w:pPr>
    </w:p>
    <w:p>
      <w:pPr>
        <w:jc w:val="center"/>
        <w:ind w:right="-507"/>
        <w:spacing w:after="0"/>
        <w:rPr>
          <w:sz w:val="20"/>
          <w:szCs w:val="20"/>
          <w:color w:val="auto"/>
        </w:rPr>
      </w:pPr>
      <w:r>
        <w:rPr>
          <w:rFonts w:ascii="Courier New" w:cs="Courier New" w:eastAsia="Courier New" w:hAnsi="Courier New"/>
          <w:sz w:val="9"/>
          <w:szCs w:val="9"/>
          <w:color w:val="auto"/>
        </w:rPr>
        <w:t>Proxy Statement Pursuant to Section 14(a) of</w:t>
      </w:r>
    </w:p>
    <w:p>
      <w:pPr>
        <w:spacing w:after="0" w:line="96" w:lineRule="exact"/>
        <w:rPr>
          <w:sz w:val="24"/>
          <w:szCs w:val="24"/>
          <w:color w:val="auto"/>
        </w:rPr>
      </w:pPr>
    </w:p>
    <w:p>
      <w:pPr>
        <w:ind w:left="4188"/>
        <w:spacing w:after="0"/>
        <w:tabs>
          <w:tab w:leader="none" w:pos="7028" w:val="left"/>
        </w:tabs>
        <w:rPr>
          <w:sz w:val="20"/>
          <w:szCs w:val="20"/>
          <w:color w:val="auto"/>
        </w:rPr>
      </w:pPr>
      <w:r>
        <w:rPr>
          <w:rFonts w:ascii="Courier New" w:cs="Courier New" w:eastAsia="Courier New" w:hAnsi="Courier New"/>
          <w:sz w:val="9"/>
          <w:szCs w:val="9"/>
          <w:color w:val="auto"/>
        </w:rPr>
        <w:t>the Securities Exchange Act of 1934 (Amendment No.</w:t>
        <w:tab/>
        <w:t>)</w:t>
      </w:r>
    </w:p>
    <w:p>
      <w:pPr>
        <w:spacing w:after="0" w:line="200" w:lineRule="exact"/>
        <w:rPr>
          <w:sz w:val="24"/>
          <w:szCs w:val="24"/>
          <w:color w:val="auto"/>
        </w:rPr>
      </w:pPr>
    </w:p>
    <w:p>
      <w:pPr>
        <w:spacing w:after="0" w:line="317" w:lineRule="exact"/>
        <w:rPr>
          <w:sz w:val="24"/>
          <w:szCs w:val="24"/>
          <w:color w:val="auto"/>
        </w:rPr>
      </w:pPr>
    </w:p>
    <w:p>
      <w:pPr>
        <w:ind w:left="8"/>
        <w:spacing w:after="0"/>
        <w:rPr>
          <w:sz w:val="20"/>
          <w:szCs w:val="20"/>
          <w:color w:val="auto"/>
        </w:rPr>
      </w:pPr>
      <w:r>
        <w:rPr>
          <w:rFonts w:ascii="Courier New" w:cs="Courier New" w:eastAsia="Courier New" w:hAnsi="Courier New"/>
          <w:sz w:val="9"/>
          <w:szCs w:val="9"/>
          <w:color w:val="auto"/>
        </w:rPr>
        <w:t>Filed by the Registrant /x/</w:t>
      </w:r>
    </w:p>
    <w:p>
      <w:pPr>
        <w:ind w:left="8"/>
        <w:spacing w:after="0"/>
        <w:rPr>
          <w:sz w:val="20"/>
          <w:szCs w:val="20"/>
          <w:color w:val="auto"/>
        </w:rPr>
      </w:pPr>
      <w:r>
        <w:rPr>
          <w:rFonts w:ascii="Courier New" w:cs="Courier New" w:eastAsia="Courier New" w:hAnsi="Courier New"/>
          <w:sz w:val="9"/>
          <w:szCs w:val="9"/>
          <w:color w:val="auto"/>
        </w:rPr>
        <w:t>Filed by a Party other than the Registrant / /</w:t>
      </w:r>
    </w:p>
    <w:p>
      <w:pPr>
        <w:spacing w:after="0" w:line="93" w:lineRule="exact"/>
        <w:rPr>
          <w:sz w:val="24"/>
          <w:szCs w:val="24"/>
          <w:color w:val="auto"/>
        </w:rPr>
      </w:pPr>
    </w:p>
    <w:p>
      <w:pPr>
        <w:ind w:left="8"/>
        <w:spacing w:after="0"/>
        <w:rPr>
          <w:sz w:val="20"/>
          <w:szCs w:val="20"/>
          <w:color w:val="auto"/>
        </w:rPr>
      </w:pPr>
      <w:r>
        <w:rPr>
          <w:rFonts w:ascii="Courier New" w:cs="Courier New" w:eastAsia="Courier New" w:hAnsi="Courier New"/>
          <w:sz w:val="9"/>
          <w:szCs w:val="9"/>
          <w:color w:val="auto"/>
        </w:rPr>
        <w:t>Check the appropriate box:</w:t>
      </w:r>
    </w:p>
    <w:p>
      <w:pPr>
        <w:ind w:left="108" w:hanging="108"/>
        <w:spacing w:after="0" w:line="233" w:lineRule="auto"/>
        <w:tabs>
          <w:tab w:leader="none" w:pos="108" w:val="left"/>
        </w:tabs>
        <w:numPr>
          <w:ilvl w:val="0"/>
          <w:numId w:val="1"/>
        </w:numPr>
        <w:rPr>
          <w:rFonts w:ascii="Courier New" w:cs="Courier New" w:eastAsia="Courier New" w:hAnsi="Courier New"/>
          <w:sz w:val="9"/>
          <w:szCs w:val="9"/>
          <w:color w:val="auto"/>
        </w:rPr>
      </w:pPr>
      <w:r>
        <w:rPr>
          <w:rFonts w:ascii="Courier New" w:cs="Courier New" w:eastAsia="Courier New" w:hAnsi="Courier New"/>
          <w:sz w:val="9"/>
          <w:szCs w:val="9"/>
          <w:color w:val="auto"/>
        </w:rPr>
        <w:t>/Preliminary Proxy Statement</w:t>
      </w:r>
    </w:p>
    <w:p>
      <w:pPr>
        <w:ind w:left="108" w:hanging="108"/>
        <w:spacing w:after="0" w:line="233" w:lineRule="auto"/>
        <w:tabs>
          <w:tab w:leader="none" w:pos="108" w:val="left"/>
        </w:tabs>
        <w:numPr>
          <w:ilvl w:val="0"/>
          <w:numId w:val="1"/>
        </w:numPr>
        <w:rPr>
          <w:rFonts w:ascii="Courier New" w:cs="Courier New" w:eastAsia="Courier New" w:hAnsi="Courier New"/>
          <w:sz w:val="9"/>
          <w:szCs w:val="9"/>
          <w:color w:val="auto"/>
        </w:rPr>
      </w:pPr>
      <w:r>
        <w:rPr>
          <w:rFonts w:ascii="Courier New" w:cs="Courier New" w:eastAsia="Courier New" w:hAnsi="Courier New"/>
          <w:sz w:val="9"/>
          <w:szCs w:val="9"/>
          <w:color w:val="auto"/>
        </w:rPr>
        <w:t>/Confidential, for Use of the Commission Only (as permitted by Rule 14a-6(e)(2))</w:t>
      </w:r>
    </w:p>
    <w:tbl>
      <w:tblPr>
        <w:tblLayout w:type="fixed"/>
        <w:tblInd w:w="8" w:type="dxa"/>
        <w:tblCellMar>
          <w:top w:w="0" w:type="dxa"/>
          <w:left w:w="0" w:type="dxa"/>
          <w:bottom w:w="0" w:type="dxa"/>
          <w:right w:w="0" w:type="dxa"/>
        </w:tblCellMar>
      </w:tblPr>
      <w:tr>
        <w:trPr>
          <w:trHeight w:val="99"/>
        </w:trPr>
        <w:tc>
          <w:tcPr>
            <w:tcW w:w="320" w:type="dxa"/>
            <w:vAlign w:val="bottom"/>
          </w:tcPr>
          <w:p>
            <w:pPr>
              <w:spacing w:after="0" w:line="99" w:lineRule="exact"/>
              <w:rPr>
                <w:sz w:val="20"/>
                <w:szCs w:val="20"/>
                <w:color w:val="auto"/>
              </w:rPr>
            </w:pPr>
            <w:r>
              <w:rPr>
                <w:rFonts w:ascii="Courier New" w:cs="Courier New" w:eastAsia="Courier New" w:hAnsi="Courier New"/>
                <w:sz w:val="9"/>
                <w:szCs w:val="9"/>
                <w:color w:val="auto"/>
              </w:rPr>
              <w:t>/x/</w:t>
            </w:r>
          </w:p>
        </w:tc>
        <w:tc>
          <w:tcPr>
            <w:tcW w:w="3460" w:type="dxa"/>
            <w:vAlign w:val="bottom"/>
            <w:gridSpan w:val="2"/>
          </w:tcPr>
          <w:p>
            <w:pPr>
              <w:ind w:left="160"/>
              <w:spacing w:after="0" w:line="99" w:lineRule="exact"/>
              <w:rPr>
                <w:sz w:val="20"/>
                <w:szCs w:val="20"/>
                <w:color w:val="auto"/>
              </w:rPr>
            </w:pPr>
            <w:r>
              <w:rPr>
                <w:rFonts w:ascii="Courier New" w:cs="Courier New" w:eastAsia="Courier New" w:hAnsi="Courier New"/>
                <w:sz w:val="9"/>
                <w:szCs w:val="9"/>
                <w:color w:val="auto"/>
              </w:rPr>
              <w:t>Definitive Proxy Statement</w:t>
            </w:r>
          </w:p>
        </w:tc>
      </w:tr>
      <w:tr>
        <w:trPr>
          <w:trHeight w:val="99"/>
        </w:trPr>
        <w:tc>
          <w:tcPr>
            <w:tcW w:w="320" w:type="dxa"/>
            <w:vAlign w:val="bottom"/>
          </w:tcPr>
          <w:p>
            <w:pPr>
              <w:spacing w:after="0" w:line="99" w:lineRule="exact"/>
              <w:rPr>
                <w:sz w:val="20"/>
                <w:szCs w:val="20"/>
                <w:color w:val="auto"/>
              </w:rPr>
            </w:pPr>
            <w:r>
              <w:rPr>
                <w:rFonts w:ascii="Courier New" w:cs="Courier New" w:eastAsia="Courier New" w:hAnsi="Courier New"/>
                <w:sz w:val="9"/>
                <w:szCs w:val="9"/>
                <w:color w:val="auto"/>
              </w:rPr>
              <w:t>/x/</w:t>
            </w:r>
          </w:p>
        </w:tc>
        <w:tc>
          <w:tcPr>
            <w:tcW w:w="740" w:type="dxa"/>
            <w:vAlign w:val="bottom"/>
          </w:tcPr>
          <w:p>
            <w:pPr>
              <w:ind w:left="160"/>
              <w:spacing w:after="0" w:line="99" w:lineRule="exact"/>
              <w:rPr>
                <w:sz w:val="20"/>
                <w:szCs w:val="20"/>
                <w:color w:val="auto"/>
              </w:rPr>
            </w:pPr>
            <w:r>
              <w:rPr>
                <w:rFonts w:ascii="Courier New" w:cs="Courier New" w:eastAsia="Courier New" w:hAnsi="Courier New"/>
                <w:sz w:val="9"/>
                <w:szCs w:val="9"/>
                <w:color w:val="auto"/>
              </w:rPr>
              <w:t>Definitive</w:t>
            </w:r>
          </w:p>
        </w:tc>
        <w:tc>
          <w:tcPr>
            <w:tcW w:w="2720" w:type="dxa"/>
            <w:vAlign w:val="bottom"/>
          </w:tcPr>
          <w:p>
            <w:pPr>
              <w:ind w:left="20"/>
              <w:spacing w:after="0" w:line="99" w:lineRule="exact"/>
              <w:rPr>
                <w:sz w:val="20"/>
                <w:szCs w:val="20"/>
                <w:color w:val="auto"/>
              </w:rPr>
            </w:pPr>
            <w:r>
              <w:rPr>
                <w:rFonts w:ascii="Courier New" w:cs="Courier New" w:eastAsia="Courier New" w:hAnsi="Courier New"/>
                <w:sz w:val="9"/>
                <w:szCs w:val="9"/>
                <w:color w:val="auto"/>
              </w:rPr>
              <w:t>Additional Materials</w:t>
            </w:r>
          </w:p>
        </w:tc>
      </w:tr>
      <w:tr>
        <w:trPr>
          <w:trHeight w:val="101"/>
        </w:trPr>
        <w:tc>
          <w:tcPr>
            <w:tcW w:w="320" w:type="dxa"/>
            <w:vAlign w:val="bottom"/>
          </w:tcPr>
          <w:p>
            <w:pPr>
              <w:spacing w:after="0"/>
              <w:rPr>
                <w:sz w:val="20"/>
                <w:szCs w:val="20"/>
                <w:color w:val="auto"/>
              </w:rPr>
            </w:pPr>
            <w:r>
              <w:rPr>
                <w:rFonts w:ascii="Courier New" w:cs="Courier New" w:eastAsia="Courier New" w:hAnsi="Courier New"/>
                <w:sz w:val="9"/>
                <w:szCs w:val="9"/>
                <w:color w:val="auto"/>
              </w:rPr>
              <w:t>/ /</w:t>
            </w:r>
          </w:p>
        </w:tc>
        <w:tc>
          <w:tcPr>
            <w:tcW w:w="740" w:type="dxa"/>
            <w:vAlign w:val="bottom"/>
          </w:tcPr>
          <w:p>
            <w:pPr>
              <w:ind w:left="160"/>
              <w:spacing w:after="0"/>
              <w:rPr>
                <w:sz w:val="20"/>
                <w:szCs w:val="20"/>
                <w:color w:val="auto"/>
              </w:rPr>
            </w:pPr>
            <w:r>
              <w:rPr>
                <w:rFonts w:ascii="Courier New" w:cs="Courier New" w:eastAsia="Courier New" w:hAnsi="Courier New"/>
                <w:sz w:val="9"/>
                <w:szCs w:val="9"/>
                <w:color w:val="auto"/>
              </w:rPr>
              <w:t>Soliciting</w:t>
            </w:r>
          </w:p>
        </w:tc>
        <w:tc>
          <w:tcPr>
            <w:tcW w:w="2720" w:type="dxa"/>
            <w:vAlign w:val="bottom"/>
          </w:tcPr>
          <w:p>
            <w:pPr>
              <w:ind w:left="20"/>
              <w:spacing w:after="0"/>
              <w:rPr>
                <w:sz w:val="20"/>
                <w:szCs w:val="20"/>
                <w:color w:val="auto"/>
              </w:rPr>
            </w:pPr>
            <w:r>
              <w:rPr>
                <w:rFonts w:ascii="Courier New" w:cs="Courier New" w:eastAsia="Courier New" w:hAnsi="Courier New"/>
                <w:sz w:val="9"/>
                <w:szCs w:val="9"/>
                <w:color w:val="auto"/>
                <w:w w:val="99"/>
              </w:rPr>
              <w:t>Material Pursuant to §240.14a-11(c) or §240.14a-12</w:t>
            </w:r>
          </w:p>
        </w:tc>
      </w:tr>
    </w:tbl>
    <w:p>
      <w:pPr>
        <w:spacing w:after="0" w:line="112" w:lineRule="exact"/>
        <w:rPr>
          <w:sz w:val="24"/>
          <w:szCs w:val="24"/>
          <w:color w:val="auto"/>
        </w:rPr>
      </w:pPr>
    </w:p>
    <w:p>
      <w:pPr>
        <w:ind w:left="8"/>
        <w:spacing w:after="0"/>
        <w:rPr>
          <w:sz w:val="20"/>
          <w:szCs w:val="20"/>
          <w:color w:val="auto"/>
        </w:rPr>
      </w:pPr>
      <w:r>
        <w:rPr>
          <w:rFonts w:ascii="Courier New" w:cs="Courier New" w:eastAsia="Courier New" w:hAnsi="Courier New"/>
          <w:sz w:val="9"/>
          <w:szCs w:val="9"/>
          <w:color w:val="auto"/>
        </w:rPr>
        <w:t>Payment</w:t>
      </w:r>
    </w:p>
    <w:p>
      <w:pPr>
        <w:ind w:left="8"/>
        <w:spacing w:after="0"/>
        <w:rPr>
          <w:sz w:val="20"/>
          <w:szCs w:val="20"/>
          <w:color w:val="auto"/>
        </w:rPr>
      </w:pPr>
      <w:r>
        <w:rPr>
          <w:rFonts w:ascii="Courier New" w:cs="Courier New" w:eastAsia="Courier New" w:hAnsi="Courier New"/>
          <w:sz w:val="9"/>
          <w:szCs w:val="9"/>
          <w:color w:val="auto"/>
        </w:rPr>
        <w:t>of Filing Fee (Check the appropriate box):</w:t>
      </w:r>
    </w:p>
    <w:p>
      <w:pPr>
        <w:spacing w:after="0" w:line="213" w:lineRule="exact"/>
        <w:rPr>
          <w:sz w:val="24"/>
          <w:szCs w:val="24"/>
          <w:color w:val="auto"/>
        </w:rPr>
      </w:pPr>
    </w:p>
    <w:p>
      <w:pPr>
        <w:ind w:left="2608"/>
        <w:spacing w:after="0"/>
        <w:rPr>
          <w:sz w:val="20"/>
          <w:szCs w:val="20"/>
          <w:color w:val="auto"/>
        </w:rPr>
      </w:pPr>
      <w:r>
        <w:rPr>
          <w:rFonts w:ascii="Courier New" w:cs="Courier New" w:eastAsia="Courier New" w:hAnsi="Courier New"/>
          <w:sz w:val="12"/>
          <w:szCs w:val="12"/>
          <w:b w:val="1"/>
          <w:bCs w:val="1"/>
          <w:color w:val="auto"/>
        </w:rPr>
        <w:t>THE TORO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37465</wp:posOffset>
            </wp:positionV>
            <wp:extent cx="4024630" cy="184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024630" cy="18415"/>
                    </a:xfrm>
                    <a:prstGeom prst="rect">
                      <a:avLst/>
                    </a:prstGeom>
                    <a:noFill/>
                  </pic:spPr>
                </pic:pic>
              </a:graphicData>
            </a:graphic>
          </wp:anchor>
        </w:drawing>
      </w:r>
    </w:p>
    <w:p>
      <w:pPr>
        <w:spacing w:after="0" w:line="113" w:lineRule="exact"/>
        <w:rPr>
          <w:sz w:val="24"/>
          <w:szCs w:val="24"/>
          <w:color w:val="auto"/>
        </w:rPr>
      </w:pPr>
    </w:p>
    <w:p>
      <w:pPr>
        <w:jc w:val="center"/>
        <w:ind w:right="4472"/>
        <w:spacing w:after="0"/>
        <w:rPr>
          <w:sz w:val="20"/>
          <w:szCs w:val="20"/>
          <w:color w:val="auto"/>
        </w:rPr>
      </w:pPr>
      <w:r>
        <w:rPr>
          <w:rFonts w:ascii="Courier New" w:cs="Courier New" w:eastAsia="Courier New" w:hAnsi="Courier New"/>
          <w:sz w:val="9"/>
          <w:szCs w:val="9"/>
          <w:color w:val="auto"/>
        </w:rPr>
        <w:t>(Name of Registrant as Specified In Its Charter)</w:t>
      </w:r>
    </w:p>
    <w:p>
      <w:pPr>
        <w:spacing w:after="0" w:line="97" w:lineRule="exact"/>
        <w:rPr>
          <w:sz w:val="24"/>
          <w:szCs w:val="24"/>
          <w:color w:val="auto"/>
        </w:rPr>
      </w:pPr>
    </w:p>
    <w:p>
      <w:pPr>
        <w:ind w:left="2468"/>
        <w:spacing w:after="0"/>
        <w:rPr>
          <w:sz w:val="20"/>
          <w:szCs w:val="20"/>
          <w:color w:val="auto"/>
        </w:rPr>
      </w:pPr>
      <w:r>
        <w:rPr>
          <w:rFonts w:ascii="Courier New" w:cs="Courier New" w:eastAsia="Courier New" w:hAnsi="Courier New"/>
          <w:sz w:val="12"/>
          <w:szCs w:val="12"/>
          <w:color w:val="auto"/>
        </w:rPr>
        <w:t>J. LAWRENCE MCINTYRE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37465</wp:posOffset>
            </wp:positionV>
            <wp:extent cx="4024630" cy="184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024630" cy="18415"/>
                    </a:xfrm>
                    <a:prstGeom prst="rect">
                      <a:avLst/>
                    </a:prstGeom>
                    <a:noFill/>
                  </pic:spPr>
                </pic:pic>
              </a:graphicData>
            </a:graphic>
          </wp:anchor>
        </w:drawing>
      </w:r>
    </w:p>
    <w:p>
      <w:pPr>
        <w:spacing w:after="0" w:line="113" w:lineRule="exact"/>
        <w:rPr>
          <w:sz w:val="24"/>
          <w:szCs w:val="24"/>
          <w:color w:val="auto"/>
        </w:rPr>
      </w:pPr>
    </w:p>
    <w:p>
      <w:pPr>
        <w:ind w:left="1228"/>
        <w:spacing w:after="0"/>
        <w:rPr>
          <w:sz w:val="20"/>
          <w:szCs w:val="20"/>
          <w:color w:val="auto"/>
        </w:rPr>
      </w:pPr>
      <w:r>
        <w:rPr>
          <w:rFonts w:ascii="Courier New" w:cs="Courier New" w:eastAsia="Courier New" w:hAnsi="Courier New"/>
          <w:sz w:val="9"/>
          <w:szCs w:val="9"/>
          <w:color w:val="auto"/>
        </w:rPr>
        <w:t>(Name of Person(s) Filing Proxy Statement, if other than the Registrant)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9" w:lineRule="exact"/>
        <w:rPr>
          <w:sz w:val="24"/>
          <w:szCs w:val="24"/>
          <w:color w:val="auto"/>
        </w:rPr>
      </w:pPr>
    </w:p>
    <w:p>
      <w:pPr>
        <w:ind w:left="8"/>
        <w:spacing w:after="0"/>
        <w:rPr>
          <w:sz w:val="20"/>
          <w:szCs w:val="20"/>
          <w:color w:val="auto"/>
        </w:rPr>
      </w:pPr>
      <w:r>
        <w:rPr>
          <w:rFonts w:ascii="Courier New" w:cs="Courier New" w:eastAsia="Courier New" w:hAnsi="Courier New"/>
          <w:sz w:val="9"/>
          <w:szCs w:val="9"/>
          <w:color w:val="auto"/>
        </w:rPr>
        <w:t>[LOGO]</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ind w:left="1808"/>
        <w:spacing w:after="0"/>
        <w:rPr>
          <w:sz w:val="20"/>
          <w:szCs w:val="20"/>
          <w:color w:val="auto"/>
        </w:rPr>
      </w:pPr>
      <w:r>
        <w:rPr>
          <w:rFonts w:ascii="Courier New" w:cs="Courier New" w:eastAsia="Courier New" w:hAnsi="Courier New"/>
          <w:sz w:val="12"/>
          <w:szCs w:val="12"/>
          <w:b w:val="1"/>
          <w:bCs w:val="1"/>
          <w:i w:val="1"/>
          <w:iCs w:val="1"/>
          <w:color w:val="auto"/>
        </w:rPr>
        <w:t>The Toro Company</w:t>
      </w:r>
    </w:p>
    <w:p>
      <w:pPr>
        <w:ind w:left="1808"/>
        <w:spacing w:after="0"/>
        <w:rPr>
          <w:sz w:val="20"/>
          <w:szCs w:val="20"/>
          <w:color w:val="auto"/>
        </w:rPr>
      </w:pPr>
      <w:r>
        <w:rPr>
          <w:rFonts w:ascii="Courier New" w:cs="Courier New" w:eastAsia="Courier New" w:hAnsi="Courier New"/>
          <w:sz w:val="9"/>
          <w:szCs w:val="9"/>
          <w:b w:val="1"/>
          <w:bCs w:val="1"/>
          <w:color w:val="auto"/>
        </w:rPr>
        <w:t>8111 Lyndale Avenue South, Bloomington, Minnesota 55420-1196</w:t>
      </w:r>
    </w:p>
    <w:p>
      <w:pPr>
        <w:spacing w:after="0" w:line="95" w:lineRule="exact"/>
        <w:rPr>
          <w:sz w:val="24"/>
          <w:szCs w:val="24"/>
          <w:color w:val="auto"/>
        </w:rPr>
      </w:pPr>
    </w:p>
    <w:p>
      <w:pPr>
        <w:ind w:left="1808"/>
        <w:spacing w:after="0"/>
        <w:rPr>
          <w:sz w:val="20"/>
          <w:szCs w:val="20"/>
          <w:color w:val="auto"/>
        </w:rPr>
      </w:pPr>
      <w:r>
        <w:rPr>
          <w:rFonts w:ascii="Courier New" w:cs="Courier New" w:eastAsia="Courier New" w:hAnsi="Courier New"/>
          <w:sz w:val="9"/>
          <w:szCs w:val="9"/>
          <w:b w:val="1"/>
          <w:bCs w:val="1"/>
          <w:color w:val="auto"/>
        </w:rPr>
        <w:t>Telephone 612/888-8801</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ind w:left="8"/>
        <w:spacing w:after="0"/>
        <w:rPr>
          <w:sz w:val="20"/>
          <w:szCs w:val="20"/>
          <w:color w:val="auto"/>
        </w:rPr>
      </w:pPr>
      <w:r>
        <w:rPr>
          <w:rFonts w:ascii="Courier New" w:cs="Courier New" w:eastAsia="Courier New" w:hAnsi="Courier New"/>
          <w:sz w:val="9"/>
          <w:szCs w:val="9"/>
          <w:b w:val="1"/>
          <w:bCs w:val="1"/>
          <w:i w:val="1"/>
          <w:iCs w:val="1"/>
          <w:color w:val="auto"/>
        </w:rPr>
        <w:t>Kendrick B. Melrose</w:t>
      </w:r>
    </w:p>
    <w:p>
      <w:pPr>
        <w:ind w:left="8"/>
        <w:spacing w:after="0"/>
        <w:rPr>
          <w:sz w:val="20"/>
          <w:szCs w:val="20"/>
          <w:color w:val="auto"/>
        </w:rPr>
      </w:pPr>
      <w:r>
        <w:rPr>
          <w:rFonts w:ascii="Courier New" w:cs="Courier New" w:eastAsia="Courier New" w:hAnsi="Courier New"/>
          <w:sz w:val="9"/>
          <w:szCs w:val="9"/>
          <w:b w:val="1"/>
          <w:bCs w:val="1"/>
          <w:color w:val="auto"/>
        </w:rPr>
        <w:t>Chairman and CEO</w:t>
      </w:r>
    </w:p>
    <w:p>
      <w:pPr>
        <w:spacing w:after="0" w:line="111" w:lineRule="exact"/>
        <w:rPr>
          <w:sz w:val="24"/>
          <w:szCs w:val="24"/>
          <w:color w:val="auto"/>
        </w:rPr>
      </w:pPr>
    </w:p>
    <w:p>
      <w:pPr>
        <w:ind w:left="8"/>
        <w:spacing w:after="0"/>
        <w:rPr>
          <w:sz w:val="20"/>
          <w:szCs w:val="20"/>
          <w:color w:val="auto"/>
        </w:rPr>
      </w:pPr>
      <w:r>
        <w:rPr>
          <w:rFonts w:ascii="Courier New" w:cs="Courier New" w:eastAsia="Courier New" w:hAnsi="Courier New"/>
          <w:sz w:val="9"/>
          <w:szCs w:val="9"/>
          <w:color w:val="auto"/>
        </w:rPr>
        <w:t>February 9,</w:t>
      </w:r>
    </w:p>
    <w:p>
      <w:pPr>
        <w:ind w:left="8"/>
        <w:spacing w:after="0"/>
        <w:rPr>
          <w:sz w:val="20"/>
          <w:szCs w:val="20"/>
          <w:color w:val="auto"/>
        </w:rPr>
      </w:pPr>
      <w:r>
        <w:rPr>
          <w:rFonts w:ascii="Courier New" w:cs="Courier New" w:eastAsia="Courier New" w:hAnsi="Courier New"/>
          <w:sz w:val="9"/>
          <w:szCs w:val="9"/>
          <w:color w:val="auto"/>
        </w:rPr>
        <w:t>2000</w:t>
      </w:r>
    </w:p>
    <w:p>
      <w:pPr>
        <w:spacing w:after="0" w:line="111" w:lineRule="exact"/>
        <w:rPr>
          <w:sz w:val="24"/>
          <w:szCs w:val="24"/>
          <w:color w:val="auto"/>
        </w:rPr>
      </w:pPr>
    </w:p>
    <w:p>
      <w:pPr>
        <w:ind w:left="8"/>
        <w:spacing w:after="0"/>
        <w:rPr>
          <w:sz w:val="20"/>
          <w:szCs w:val="20"/>
          <w:color w:val="auto"/>
        </w:rPr>
      </w:pPr>
      <w:r>
        <w:rPr>
          <w:rFonts w:ascii="Courier New" w:cs="Courier New" w:eastAsia="Courier New" w:hAnsi="Courier New"/>
          <w:sz w:val="9"/>
          <w:szCs w:val="9"/>
          <w:color w:val="auto"/>
        </w:rPr>
        <w:t>Dear</w:t>
      </w:r>
    </w:p>
    <w:p>
      <w:pPr>
        <w:ind w:left="8"/>
        <w:spacing w:after="0"/>
        <w:rPr>
          <w:sz w:val="20"/>
          <w:szCs w:val="20"/>
          <w:color w:val="auto"/>
        </w:rPr>
      </w:pPr>
      <w:r>
        <w:rPr>
          <w:rFonts w:ascii="Courier New" w:cs="Courier New" w:eastAsia="Courier New" w:hAnsi="Courier New"/>
          <w:sz w:val="9"/>
          <w:szCs w:val="9"/>
          <w:color w:val="auto"/>
        </w:rPr>
        <w:t>Fellow Stockholders:</w:t>
      </w:r>
    </w:p>
    <w:p>
      <w:pPr>
        <w:spacing w:after="0" w:line="111" w:lineRule="exact"/>
        <w:rPr>
          <w:sz w:val="24"/>
          <w:szCs w:val="24"/>
          <w:color w:val="auto"/>
        </w:rPr>
      </w:pPr>
    </w:p>
    <w:p>
      <w:pPr>
        <w:ind w:left="8"/>
        <w:spacing w:after="0"/>
        <w:rPr>
          <w:sz w:val="20"/>
          <w:szCs w:val="20"/>
          <w:color w:val="auto"/>
        </w:rPr>
      </w:pPr>
      <w:r>
        <w:rPr>
          <w:rFonts w:ascii="Courier New" w:cs="Courier New" w:eastAsia="Courier New" w:hAnsi="Courier New"/>
          <w:sz w:val="9"/>
          <w:szCs w:val="9"/>
          <w:color w:val="auto"/>
        </w:rPr>
        <w:t>I</w:t>
      </w:r>
    </w:p>
    <w:p>
      <w:pPr>
        <w:ind w:left="8"/>
        <w:spacing w:after="0" w:line="233" w:lineRule="auto"/>
        <w:rPr>
          <w:sz w:val="20"/>
          <w:szCs w:val="20"/>
          <w:color w:val="auto"/>
        </w:rPr>
      </w:pPr>
      <w:r>
        <w:rPr>
          <w:rFonts w:ascii="Courier New" w:cs="Courier New" w:eastAsia="Courier New" w:hAnsi="Courier New"/>
          <w:sz w:val="9"/>
          <w:szCs w:val="9"/>
          <w:color w:val="auto"/>
        </w:rPr>
        <w:t>would like to thank you for your continued support through Toro's Fiscal 1999 and to invite you to join us for the Toro Annual Meeting of Stockholders to be held on Wednesday, March 29, 2000</w:t>
      </w:r>
    </w:p>
    <w:p>
      <w:pPr>
        <w:ind w:left="8"/>
        <w:spacing w:after="0"/>
        <w:rPr>
          <w:sz w:val="20"/>
          <w:szCs w:val="20"/>
          <w:color w:val="auto"/>
        </w:rPr>
      </w:pPr>
      <w:r>
        <w:rPr>
          <w:rFonts w:ascii="Courier New" w:cs="Courier New" w:eastAsia="Courier New" w:hAnsi="Courier New"/>
          <w:sz w:val="8"/>
          <w:szCs w:val="8"/>
          <w:color w:val="auto"/>
        </w:rPr>
        <w:t>at our corporate offices. Details about the meeting, nominees for the Board of Directors and other matters to be acted on are presented in the Notice of Annual Meeting and Proxy Statement that follow.</w:t>
      </w:r>
    </w:p>
    <w:p>
      <w:pPr>
        <w:spacing w:after="0" w:line="122" w:lineRule="exact"/>
        <w:rPr>
          <w:sz w:val="24"/>
          <w:szCs w:val="24"/>
          <w:color w:val="auto"/>
        </w:rPr>
      </w:pPr>
    </w:p>
    <w:p>
      <w:pPr>
        <w:ind w:left="8"/>
        <w:spacing w:after="0"/>
        <w:rPr>
          <w:sz w:val="20"/>
          <w:szCs w:val="20"/>
          <w:color w:val="auto"/>
        </w:rPr>
      </w:pPr>
      <w:r>
        <w:rPr>
          <w:rFonts w:ascii="Courier New" w:cs="Courier New" w:eastAsia="Courier New" w:hAnsi="Courier New"/>
          <w:sz w:val="9"/>
          <w:szCs w:val="9"/>
          <w:color w:val="auto"/>
        </w:rPr>
        <w:t>In</w:t>
      </w:r>
    </w:p>
    <w:p>
      <w:pPr>
        <w:ind w:left="8" w:right="160"/>
        <w:spacing w:after="0" w:line="235" w:lineRule="auto"/>
        <w:rPr>
          <w:sz w:val="20"/>
          <w:szCs w:val="20"/>
          <w:color w:val="auto"/>
        </w:rPr>
      </w:pPr>
      <w:r>
        <w:rPr>
          <w:rFonts w:ascii="Courier New" w:cs="Courier New" w:eastAsia="Courier New" w:hAnsi="Courier New"/>
          <w:sz w:val="9"/>
          <w:szCs w:val="9"/>
          <w:color w:val="auto"/>
        </w:rPr>
        <w:t>addition to Annual Meeting formalities, we will report to stockholders generally on Toro's business, and will be pleased to answer stockholders' questions relating to the Company. Refreshments will be served after the meeting.</w:t>
      </w:r>
    </w:p>
    <w:p>
      <w:pPr>
        <w:spacing w:after="0" w:line="112" w:lineRule="exact"/>
        <w:rPr>
          <w:sz w:val="24"/>
          <w:szCs w:val="24"/>
          <w:color w:val="auto"/>
        </w:rPr>
      </w:pPr>
    </w:p>
    <w:p>
      <w:pPr>
        <w:ind w:left="8"/>
        <w:spacing w:after="0"/>
        <w:rPr>
          <w:sz w:val="20"/>
          <w:szCs w:val="20"/>
          <w:color w:val="auto"/>
        </w:rPr>
      </w:pPr>
      <w:r>
        <w:rPr>
          <w:rFonts w:ascii="Courier New" w:cs="Courier New" w:eastAsia="Courier New" w:hAnsi="Courier New"/>
          <w:sz w:val="9"/>
          <w:szCs w:val="9"/>
          <w:color w:val="auto"/>
        </w:rPr>
        <w:t>We</w:t>
      </w:r>
    </w:p>
    <w:p>
      <w:pPr>
        <w:ind w:left="8" w:right="340"/>
        <w:spacing w:after="0" w:line="235" w:lineRule="auto"/>
        <w:rPr>
          <w:sz w:val="20"/>
          <w:szCs w:val="20"/>
          <w:color w:val="auto"/>
        </w:rPr>
      </w:pPr>
      <w:r>
        <w:rPr>
          <w:rFonts w:ascii="Courier New" w:cs="Courier New" w:eastAsia="Courier New" w:hAnsi="Courier New"/>
          <w:sz w:val="9"/>
          <w:szCs w:val="9"/>
          <w:color w:val="auto"/>
        </w:rPr>
        <w:t>hope you plan to attend the Annual Meeting. Please exercise your right to vote by signing, dating and returning the enclosed proxy card or using our new Internet or telephone voting described in the Proxy Statement, even if you plan to attend the meeting.</w:t>
      </w:r>
    </w:p>
    <w:p>
      <w:pPr>
        <w:spacing w:after="0" w:line="112" w:lineRule="exact"/>
        <w:rPr>
          <w:sz w:val="24"/>
          <w:szCs w:val="24"/>
          <w:color w:val="auto"/>
        </w:rPr>
      </w:pPr>
    </w:p>
    <w:p>
      <w:pPr>
        <w:ind w:left="8"/>
        <w:spacing w:after="0"/>
        <w:rPr>
          <w:sz w:val="20"/>
          <w:szCs w:val="20"/>
          <w:color w:val="auto"/>
        </w:rPr>
      </w:pPr>
      <w:r>
        <w:rPr>
          <w:rFonts w:ascii="Courier New" w:cs="Courier New" w:eastAsia="Courier New" w:hAnsi="Courier New"/>
          <w:sz w:val="9"/>
          <w:szCs w:val="9"/>
          <w:color w:val="auto"/>
        </w:rPr>
        <w:t>On</w:t>
      </w:r>
    </w:p>
    <w:p>
      <w:pPr>
        <w:ind w:left="8"/>
        <w:spacing w:after="0"/>
        <w:rPr>
          <w:sz w:val="20"/>
          <w:szCs w:val="20"/>
          <w:color w:val="auto"/>
        </w:rPr>
      </w:pPr>
      <w:r>
        <w:rPr>
          <w:rFonts w:ascii="Courier New" w:cs="Courier New" w:eastAsia="Courier New" w:hAnsi="Courier New"/>
          <w:sz w:val="9"/>
          <w:szCs w:val="9"/>
          <w:color w:val="auto"/>
        </w:rPr>
        <w:t>behalf of your Toro Board of Directors and management, it is my pleasure to express our appreciation for your continued support.</w:t>
      </w:r>
    </w:p>
    <w:p>
      <w:pPr>
        <w:spacing w:after="0" w:line="113" w:lineRule="exact"/>
        <w:rPr>
          <w:sz w:val="24"/>
          <w:szCs w:val="24"/>
          <w:color w:val="auto"/>
        </w:rPr>
      </w:pPr>
    </w:p>
    <w:p>
      <w:pPr>
        <w:ind w:left="8"/>
        <w:spacing w:after="0"/>
        <w:rPr>
          <w:sz w:val="20"/>
          <w:szCs w:val="20"/>
          <w:color w:val="auto"/>
        </w:rPr>
      </w:pPr>
      <w:r>
        <w:rPr>
          <w:rFonts w:ascii="Courier New" w:cs="Courier New" w:eastAsia="Courier New" w:hAnsi="Courier New"/>
          <w:sz w:val="9"/>
          <w:szCs w:val="9"/>
          <w:color w:val="auto"/>
        </w:rPr>
        <w:t>Sincerely,</w:t>
      </w:r>
    </w:p>
    <w:p>
      <w:pPr>
        <w:spacing w:after="0" w:line="312" w:lineRule="exact"/>
        <w:rPr>
          <w:sz w:val="24"/>
          <w:szCs w:val="24"/>
          <w:color w:val="auto"/>
        </w:rPr>
      </w:pPr>
    </w:p>
    <w:p>
      <w:pPr>
        <w:ind w:left="8"/>
        <w:spacing w:after="0"/>
        <w:rPr>
          <w:sz w:val="20"/>
          <w:szCs w:val="20"/>
          <w:color w:val="auto"/>
        </w:rPr>
      </w:pPr>
      <w:r>
        <w:rPr>
          <w:rFonts w:ascii="Courier New" w:cs="Courier New" w:eastAsia="Courier New" w:hAnsi="Courier New"/>
          <w:sz w:val="9"/>
          <w:szCs w:val="9"/>
          <w:b w:val="1"/>
          <w:bCs w:val="1"/>
          <w:color w:val="auto"/>
        </w:rPr>
        <w:t>[SIG]</w:t>
      </w:r>
    </w:p>
    <w:p>
      <w:pPr>
        <w:spacing w:after="0" w:line="112" w:lineRule="exact"/>
        <w:rPr>
          <w:sz w:val="24"/>
          <w:szCs w:val="24"/>
          <w:color w:val="auto"/>
        </w:rPr>
      </w:pPr>
    </w:p>
    <w:p>
      <w:pPr>
        <w:ind w:left="8"/>
        <w:spacing w:after="0"/>
        <w:rPr>
          <w:sz w:val="20"/>
          <w:szCs w:val="20"/>
          <w:color w:val="auto"/>
        </w:rPr>
      </w:pPr>
      <w:r>
        <w:rPr>
          <w:rFonts w:ascii="Courier New" w:cs="Courier New" w:eastAsia="Courier New" w:hAnsi="Courier New"/>
          <w:sz w:val="9"/>
          <w:szCs w:val="9"/>
          <w:color w:val="auto"/>
        </w:rPr>
        <w:t>Kendrick</w:t>
      </w:r>
    </w:p>
    <w:p>
      <w:pPr>
        <w:ind w:left="8"/>
        <w:spacing w:after="0"/>
        <w:rPr>
          <w:sz w:val="20"/>
          <w:szCs w:val="20"/>
          <w:color w:val="auto"/>
        </w:rPr>
      </w:pPr>
      <w:r>
        <w:rPr>
          <w:rFonts w:ascii="Courier New" w:cs="Courier New" w:eastAsia="Courier New" w:hAnsi="Courier New"/>
          <w:sz w:val="9"/>
          <w:szCs w:val="9"/>
          <w:color w:val="auto"/>
        </w:rPr>
        <w:t>B. Melrose</w:t>
      </w:r>
    </w:p>
    <w:p>
      <w:pPr>
        <w:spacing w:after="0" w:line="113" w:lineRule="exact"/>
        <w:rPr>
          <w:sz w:val="24"/>
          <w:szCs w:val="24"/>
          <w:color w:val="auto"/>
        </w:rPr>
      </w:pPr>
    </w:p>
    <w:p>
      <w:pPr>
        <w:jc w:val="center"/>
        <w:ind w:right="-507"/>
        <w:spacing w:after="0"/>
        <w:rPr>
          <w:sz w:val="20"/>
          <w:szCs w:val="20"/>
          <w:color w:val="auto"/>
        </w:rPr>
      </w:pPr>
      <w:r>
        <w:rPr>
          <w:rFonts w:ascii="Courier New" w:cs="Courier New" w:eastAsia="Courier New" w:hAnsi="Courier New"/>
          <w:sz w:val="9"/>
          <w:szCs w:val="9"/>
          <w:b w:val="1"/>
          <w:bCs w:val="1"/>
          <w:color w:val="auto"/>
        </w:rPr>
        <w:t>YOUR VOTE IS IMPORTANT. PLEASE SIGN AND RETURN THE ENCLOSED</w:t>
      </w:r>
    </w:p>
    <w:p>
      <w:pPr>
        <w:spacing w:after="0" w:line="96" w:lineRule="exact"/>
        <w:rPr>
          <w:sz w:val="24"/>
          <w:szCs w:val="24"/>
          <w:color w:val="auto"/>
        </w:rPr>
      </w:pPr>
    </w:p>
    <w:p>
      <w:pPr>
        <w:ind w:left="1708"/>
        <w:spacing w:after="0"/>
        <w:rPr>
          <w:sz w:val="20"/>
          <w:szCs w:val="20"/>
          <w:color w:val="auto"/>
        </w:rPr>
      </w:pPr>
      <w:r>
        <w:rPr>
          <w:rFonts w:ascii="Courier New" w:cs="Courier New" w:eastAsia="Courier New" w:hAnsi="Courier New"/>
          <w:sz w:val="9"/>
          <w:szCs w:val="9"/>
          <w:b w:val="1"/>
          <w:bCs w:val="1"/>
          <w:color w:val="auto"/>
        </w:rPr>
        <w:t>PROXY CARD OR VOTE BY THE INTERNET OR TELEPHONE AS SOON AS POSSIBLE. BY DOING SO, YOU MAY SAVE THE COMPANY THE EXPENSE OF ADDITIONAL SOLICITATION.</w:t>
      </w: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jc w:val="center"/>
        <w:ind w:right="-507"/>
        <w:spacing w:after="0"/>
        <w:rPr>
          <w:sz w:val="20"/>
          <w:szCs w:val="20"/>
          <w:color w:val="auto"/>
        </w:rPr>
      </w:pPr>
      <w:r>
        <w:rPr>
          <w:rFonts w:ascii="Courier New" w:cs="Courier New" w:eastAsia="Courier New" w:hAnsi="Courier New"/>
          <w:sz w:val="9"/>
          <w:szCs w:val="9"/>
          <w:b w:val="1"/>
          <w:bCs w:val="1"/>
          <w:color w:val="auto"/>
        </w:rPr>
        <w:t>[LOGO]</w:t>
      </w:r>
    </w:p>
    <w:p>
      <w:pPr>
        <w:spacing w:after="0" w:line="119" w:lineRule="exact"/>
        <w:rPr>
          <w:sz w:val="24"/>
          <w:szCs w:val="24"/>
          <w:color w:val="auto"/>
        </w:rPr>
      </w:pPr>
    </w:p>
    <w:p>
      <w:pPr>
        <w:ind w:left="4348"/>
        <w:spacing w:after="0"/>
        <w:rPr>
          <w:sz w:val="20"/>
          <w:szCs w:val="20"/>
          <w:color w:val="auto"/>
        </w:rPr>
      </w:pPr>
      <w:r>
        <w:rPr>
          <w:rFonts w:ascii="Courier New" w:cs="Courier New" w:eastAsia="Courier New" w:hAnsi="Courier New"/>
          <w:sz w:val="18"/>
          <w:szCs w:val="18"/>
          <w:b w:val="1"/>
          <w:bCs w:val="1"/>
          <w:color w:val="auto"/>
        </w:rPr>
        <w:t>NOTICE OF ANNUAL MEETING</w:t>
      </w:r>
    </w:p>
    <w:p>
      <w:pPr>
        <w:spacing w:after="0" w:line="116" w:lineRule="exact"/>
        <w:rPr>
          <w:sz w:val="24"/>
          <w:szCs w:val="24"/>
          <w:color w:val="auto"/>
        </w:rPr>
      </w:pPr>
    </w:p>
    <w:p>
      <w:pPr>
        <w:ind w:left="8" w:right="3900" w:firstLine="216"/>
        <w:spacing w:after="0" w:line="235" w:lineRule="auto"/>
        <w:rPr>
          <w:sz w:val="20"/>
          <w:szCs w:val="20"/>
          <w:color w:val="auto"/>
        </w:rPr>
      </w:pPr>
      <w:r>
        <w:rPr>
          <w:rFonts w:ascii="Courier New" w:cs="Courier New" w:eastAsia="Courier New" w:hAnsi="Courier New"/>
          <w:sz w:val="9"/>
          <w:szCs w:val="9"/>
          <w:color w:val="auto"/>
        </w:rPr>
        <w:t>The Toro Company 2000 Annual Meeting of Stockholders will be held on Wednesday, March 29, 2000 at 3:00 p.m. C.S.T. at Toro's corporate offices at 8111 Lyndale Avenue South, Bloomington, Minnesota, for the following purposes:</w:t>
      </w:r>
    </w:p>
    <w:p>
      <w:pPr>
        <w:spacing w:after="0" w:line="200" w:lineRule="exact"/>
        <w:rPr>
          <w:sz w:val="24"/>
          <w:szCs w:val="24"/>
          <w:color w:val="auto"/>
        </w:rPr>
      </w:pPr>
    </w:p>
    <w:p>
      <w:pPr>
        <w:spacing w:after="0" w:line="299" w:lineRule="exact"/>
        <w:rPr>
          <w:sz w:val="24"/>
          <w:szCs w:val="24"/>
          <w:color w:val="auto"/>
        </w:rPr>
      </w:pPr>
    </w:p>
    <w:p>
      <w:pPr>
        <w:ind w:left="368"/>
        <w:spacing w:after="0"/>
        <w:rPr>
          <w:sz w:val="20"/>
          <w:szCs w:val="20"/>
          <w:color w:val="auto"/>
        </w:rPr>
      </w:pPr>
      <w:r>
        <w:rPr>
          <w:rFonts w:ascii="Courier New" w:cs="Courier New" w:eastAsia="Courier New" w:hAnsi="Courier New"/>
          <w:sz w:val="9"/>
          <w:szCs w:val="9"/>
          <w:color w:val="auto"/>
        </w:rPr>
        <w:t>1.</w:t>
      </w:r>
    </w:p>
    <w:p>
      <w:pPr>
        <w:ind w:left="728"/>
        <w:spacing w:after="0" w:line="233" w:lineRule="auto"/>
        <w:rPr>
          <w:sz w:val="20"/>
          <w:szCs w:val="20"/>
          <w:color w:val="auto"/>
        </w:rPr>
      </w:pPr>
      <w:r>
        <w:rPr>
          <w:rFonts w:ascii="Courier New" w:cs="Courier New" w:eastAsia="Courier New" w:hAnsi="Courier New"/>
          <w:sz w:val="9"/>
          <w:szCs w:val="9"/>
          <w:color w:val="auto"/>
        </w:rPr>
        <w:t>To</w:t>
      </w:r>
    </w:p>
    <w:p>
      <w:pPr>
        <w:ind w:left="728"/>
        <w:spacing w:after="0"/>
        <w:rPr>
          <w:sz w:val="20"/>
          <w:szCs w:val="20"/>
          <w:color w:val="auto"/>
        </w:rPr>
      </w:pPr>
      <w:r>
        <w:rPr>
          <w:rFonts w:ascii="Courier New" w:cs="Courier New" w:eastAsia="Courier New" w:hAnsi="Courier New"/>
          <w:sz w:val="9"/>
          <w:szCs w:val="9"/>
          <w:color w:val="auto"/>
        </w:rPr>
        <w:t>elect four directors, each to serve for a term of three years;</w:t>
      </w:r>
    </w:p>
    <w:p>
      <w:pPr>
        <w:spacing w:after="0" w:line="192" w:lineRule="exact"/>
        <w:rPr>
          <w:sz w:val="24"/>
          <w:szCs w:val="24"/>
          <w:color w:val="auto"/>
        </w:rPr>
      </w:pPr>
    </w:p>
    <w:p>
      <w:pPr>
        <w:ind w:left="368"/>
        <w:spacing w:after="0"/>
        <w:rPr>
          <w:sz w:val="20"/>
          <w:szCs w:val="20"/>
          <w:color w:val="auto"/>
        </w:rPr>
      </w:pPr>
      <w:r>
        <w:rPr>
          <w:rFonts w:ascii="Courier New" w:cs="Courier New" w:eastAsia="Courier New" w:hAnsi="Courier New"/>
          <w:sz w:val="9"/>
          <w:szCs w:val="9"/>
          <w:color w:val="auto"/>
        </w:rPr>
        <w:t>2.</w:t>
      </w:r>
    </w:p>
    <w:p>
      <w:pPr>
        <w:ind w:left="728"/>
        <w:spacing w:after="0" w:line="233" w:lineRule="auto"/>
        <w:rPr>
          <w:sz w:val="20"/>
          <w:szCs w:val="20"/>
          <w:color w:val="auto"/>
        </w:rPr>
      </w:pPr>
      <w:r>
        <w:rPr>
          <w:rFonts w:ascii="Courier New" w:cs="Courier New" w:eastAsia="Courier New" w:hAnsi="Courier New"/>
          <w:sz w:val="9"/>
          <w:szCs w:val="9"/>
          <w:color w:val="auto"/>
        </w:rPr>
        <w:t>To</w:t>
      </w:r>
    </w:p>
    <w:p>
      <w:pPr>
        <w:ind w:left="728"/>
        <w:spacing w:after="0"/>
        <w:rPr>
          <w:sz w:val="20"/>
          <w:szCs w:val="20"/>
          <w:color w:val="auto"/>
        </w:rPr>
      </w:pPr>
      <w:r>
        <w:rPr>
          <w:rFonts w:ascii="Courier New" w:cs="Courier New" w:eastAsia="Courier New" w:hAnsi="Courier New"/>
          <w:sz w:val="9"/>
          <w:szCs w:val="9"/>
          <w:color w:val="auto"/>
        </w:rPr>
        <w:t>approve amendment of The Toro Company Annual Management Incentive Plan II;</w:t>
      </w:r>
    </w:p>
    <w:p>
      <w:pPr>
        <w:spacing w:after="0" w:line="192" w:lineRule="exact"/>
        <w:rPr>
          <w:sz w:val="24"/>
          <w:szCs w:val="24"/>
          <w:color w:val="auto"/>
        </w:rPr>
      </w:pPr>
    </w:p>
    <w:p>
      <w:pPr>
        <w:ind w:left="368"/>
        <w:spacing w:after="0"/>
        <w:rPr>
          <w:sz w:val="20"/>
          <w:szCs w:val="20"/>
          <w:color w:val="auto"/>
        </w:rPr>
      </w:pPr>
      <w:r>
        <w:rPr>
          <w:rFonts w:ascii="Courier New" w:cs="Courier New" w:eastAsia="Courier New" w:hAnsi="Courier New"/>
          <w:sz w:val="9"/>
          <w:szCs w:val="9"/>
          <w:color w:val="auto"/>
        </w:rPr>
        <w:t>3.</w:t>
      </w:r>
    </w:p>
    <w:p>
      <w:pPr>
        <w:ind w:left="728"/>
        <w:spacing w:after="0" w:line="233" w:lineRule="auto"/>
        <w:rPr>
          <w:sz w:val="20"/>
          <w:szCs w:val="20"/>
          <w:color w:val="auto"/>
        </w:rPr>
      </w:pPr>
      <w:r>
        <w:rPr>
          <w:rFonts w:ascii="Courier New" w:cs="Courier New" w:eastAsia="Courier New" w:hAnsi="Courier New"/>
          <w:sz w:val="9"/>
          <w:szCs w:val="9"/>
          <w:color w:val="auto"/>
        </w:rPr>
        <w:t>To</w:t>
      </w:r>
    </w:p>
    <w:p>
      <w:pPr>
        <w:ind w:left="728"/>
        <w:spacing w:after="0"/>
        <w:rPr>
          <w:sz w:val="20"/>
          <w:szCs w:val="20"/>
          <w:color w:val="auto"/>
        </w:rPr>
      </w:pPr>
      <w:r>
        <w:rPr>
          <w:rFonts w:ascii="Courier New" w:cs="Courier New" w:eastAsia="Courier New" w:hAnsi="Courier New"/>
          <w:sz w:val="9"/>
          <w:szCs w:val="9"/>
          <w:color w:val="auto"/>
        </w:rPr>
        <w:t>approve amendment of The Toro Company Performance Share Plan;</w:t>
      </w:r>
    </w:p>
    <w:p>
      <w:pPr>
        <w:spacing w:after="0" w:line="192" w:lineRule="exact"/>
        <w:rPr>
          <w:sz w:val="24"/>
          <w:szCs w:val="24"/>
          <w:color w:val="auto"/>
        </w:rPr>
      </w:pPr>
    </w:p>
    <w:p>
      <w:pPr>
        <w:ind w:left="368"/>
        <w:spacing w:after="0"/>
        <w:rPr>
          <w:sz w:val="20"/>
          <w:szCs w:val="20"/>
          <w:color w:val="auto"/>
        </w:rPr>
      </w:pPr>
      <w:r>
        <w:rPr>
          <w:rFonts w:ascii="Courier New" w:cs="Courier New" w:eastAsia="Courier New" w:hAnsi="Courier New"/>
          <w:sz w:val="9"/>
          <w:szCs w:val="9"/>
          <w:color w:val="auto"/>
        </w:rPr>
        <w:t>4.</w:t>
      </w:r>
    </w:p>
    <w:p>
      <w:pPr>
        <w:ind w:left="728"/>
        <w:spacing w:after="0" w:line="233" w:lineRule="auto"/>
        <w:rPr>
          <w:sz w:val="20"/>
          <w:szCs w:val="20"/>
          <w:color w:val="auto"/>
        </w:rPr>
      </w:pPr>
      <w:r>
        <w:rPr>
          <w:rFonts w:ascii="Courier New" w:cs="Courier New" w:eastAsia="Courier New" w:hAnsi="Courier New"/>
          <w:sz w:val="9"/>
          <w:szCs w:val="9"/>
          <w:color w:val="auto"/>
        </w:rPr>
        <w:t>To</w:t>
      </w:r>
    </w:p>
    <w:p>
      <w:pPr>
        <w:ind w:left="728"/>
        <w:spacing w:after="0"/>
        <w:rPr>
          <w:sz w:val="20"/>
          <w:szCs w:val="20"/>
          <w:color w:val="auto"/>
        </w:rPr>
      </w:pPr>
      <w:r>
        <w:rPr>
          <w:rFonts w:ascii="Courier New" w:cs="Courier New" w:eastAsia="Courier New" w:hAnsi="Courier New"/>
          <w:sz w:val="9"/>
          <w:szCs w:val="9"/>
          <w:color w:val="auto"/>
        </w:rPr>
        <w:t>approve amendment of The Toro Company Directors Stock Plan;</w:t>
      </w:r>
    </w:p>
    <w:p>
      <w:pPr>
        <w:spacing w:after="0" w:line="192" w:lineRule="exact"/>
        <w:rPr>
          <w:sz w:val="24"/>
          <w:szCs w:val="24"/>
          <w:color w:val="auto"/>
        </w:rPr>
      </w:pPr>
    </w:p>
    <w:p>
      <w:pPr>
        <w:ind w:left="368"/>
        <w:spacing w:after="0"/>
        <w:rPr>
          <w:sz w:val="20"/>
          <w:szCs w:val="20"/>
          <w:color w:val="auto"/>
        </w:rPr>
      </w:pPr>
      <w:r>
        <w:rPr>
          <w:rFonts w:ascii="Courier New" w:cs="Courier New" w:eastAsia="Courier New" w:hAnsi="Courier New"/>
          <w:sz w:val="9"/>
          <w:szCs w:val="9"/>
          <w:color w:val="auto"/>
        </w:rPr>
        <w:t>5.</w:t>
      </w:r>
    </w:p>
    <w:p>
      <w:pPr>
        <w:ind w:left="728"/>
        <w:spacing w:after="0" w:line="233" w:lineRule="auto"/>
        <w:rPr>
          <w:sz w:val="20"/>
          <w:szCs w:val="20"/>
          <w:color w:val="auto"/>
        </w:rPr>
      </w:pPr>
      <w:r>
        <w:rPr>
          <w:rFonts w:ascii="Courier New" w:cs="Courier New" w:eastAsia="Courier New" w:hAnsi="Courier New"/>
          <w:sz w:val="9"/>
          <w:szCs w:val="9"/>
          <w:color w:val="auto"/>
        </w:rPr>
        <w:t>To</w:t>
      </w:r>
    </w:p>
    <w:p>
      <w:pPr>
        <w:ind w:left="728"/>
        <w:spacing w:after="0"/>
        <w:rPr>
          <w:sz w:val="20"/>
          <w:szCs w:val="20"/>
          <w:color w:val="auto"/>
        </w:rPr>
      </w:pPr>
      <w:r>
        <w:rPr>
          <w:rFonts w:ascii="Courier New" w:cs="Courier New" w:eastAsia="Courier New" w:hAnsi="Courier New"/>
          <w:sz w:val="9"/>
          <w:szCs w:val="9"/>
          <w:color w:val="auto"/>
        </w:rPr>
        <w:t>approve The Toro Company 2000 Stock Option Plan;</w:t>
      </w:r>
    </w:p>
    <w:p>
      <w:pPr>
        <w:sectPr>
          <w:pgSz w:w="11900" w:h="16838" w:orient="portrait"/>
          <w:cols w:equalWidth="0" w:num="1">
            <w:col w:w="10808"/>
          </w:cols>
          <w:pgMar w:left="292" w:top="1028" w:right="799" w:bottom="0" w:gutter="0" w:footer="0" w:header="0"/>
        </w:sectPr>
      </w:pPr>
    </w:p>
    <w:bookmarkStart w:id="1" w:name="page2"/>
    <w:bookmarkEnd w:id="1"/>
    <w:p>
      <w:pPr>
        <w:ind w:left="368"/>
        <w:spacing w:after="0"/>
        <w:rPr>
          <w:sz w:val="20"/>
          <w:szCs w:val="20"/>
          <w:color w:val="auto"/>
        </w:rPr>
      </w:pPr>
      <w:r>
        <w:rPr>
          <w:rFonts w:ascii="Courier New" w:cs="Courier New" w:eastAsia="Courier New" w:hAnsi="Courier New"/>
          <w:sz w:val="9"/>
          <w:szCs w:val="9"/>
          <w:color w:val="auto"/>
        </w:rPr>
        <w:t>6.</w:t>
      </w:r>
    </w:p>
    <w:p>
      <w:pPr>
        <w:ind w:left="728"/>
        <w:spacing w:after="0" w:line="233" w:lineRule="auto"/>
        <w:rPr>
          <w:sz w:val="20"/>
          <w:szCs w:val="20"/>
          <w:color w:val="auto"/>
        </w:rPr>
      </w:pPr>
      <w:r>
        <w:rPr>
          <w:rFonts w:ascii="Courier New" w:cs="Courier New" w:eastAsia="Courier New" w:hAnsi="Courier New"/>
          <w:sz w:val="9"/>
          <w:szCs w:val="9"/>
          <w:color w:val="auto"/>
        </w:rPr>
        <w:t>To</w:t>
      </w:r>
    </w:p>
    <w:p>
      <w:pPr>
        <w:ind w:left="728"/>
        <w:spacing w:after="0"/>
        <w:rPr>
          <w:sz w:val="20"/>
          <w:szCs w:val="20"/>
          <w:color w:val="auto"/>
        </w:rPr>
      </w:pPr>
      <w:r>
        <w:rPr>
          <w:rFonts w:ascii="Courier New" w:cs="Courier New" w:eastAsia="Courier New" w:hAnsi="Courier New"/>
          <w:sz w:val="9"/>
          <w:szCs w:val="9"/>
          <w:color w:val="auto"/>
        </w:rPr>
        <w:t>approve the selection of auditors for the Company for Fiscal 2000 (the fiscal year ending October 31, 2000); and</w:t>
      </w:r>
    </w:p>
    <w:p>
      <w:pPr>
        <w:spacing w:after="0" w:line="192" w:lineRule="exact"/>
        <w:rPr>
          <w:sz w:val="20"/>
          <w:szCs w:val="20"/>
          <w:color w:val="auto"/>
        </w:rPr>
      </w:pPr>
    </w:p>
    <w:p>
      <w:pPr>
        <w:ind w:left="368"/>
        <w:spacing w:after="0"/>
        <w:rPr>
          <w:sz w:val="20"/>
          <w:szCs w:val="20"/>
          <w:color w:val="auto"/>
        </w:rPr>
      </w:pPr>
      <w:r>
        <w:rPr>
          <w:rFonts w:ascii="Courier New" w:cs="Courier New" w:eastAsia="Courier New" w:hAnsi="Courier New"/>
          <w:sz w:val="9"/>
          <w:szCs w:val="9"/>
          <w:color w:val="auto"/>
        </w:rPr>
        <w:t>7.</w:t>
      </w:r>
    </w:p>
    <w:p>
      <w:pPr>
        <w:ind w:left="728"/>
        <w:spacing w:after="0" w:line="233" w:lineRule="auto"/>
        <w:rPr>
          <w:sz w:val="20"/>
          <w:szCs w:val="20"/>
          <w:color w:val="auto"/>
        </w:rPr>
      </w:pPr>
      <w:r>
        <w:rPr>
          <w:rFonts w:ascii="Courier New" w:cs="Courier New" w:eastAsia="Courier New" w:hAnsi="Courier New"/>
          <w:sz w:val="9"/>
          <w:szCs w:val="9"/>
          <w:color w:val="auto"/>
        </w:rPr>
        <w:t>To</w:t>
      </w:r>
    </w:p>
    <w:p>
      <w:pPr>
        <w:ind w:left="728"/>
        <w:spacing w:after="0"/>
        <w:rPr>
          <w:sz w:val="20"/>
          <w:szCs w:val="20"/>
          <w:color w:val="auto"/>
        </w:rPr>
      </w:pPr>
      <w:r>
        <w:rPr>
          <w:rFonts w:ascii="Courier New" w:cs="Courier New" w:eastAsia="Courier New" w:hAnsi="Courier New"/>
          <w:sz w:val="9"/>
          <w:szCs w:val="9"/>
          <w:color w:val="auto"/>
        </w:rPr>
        <w:t>transact any other business properly brought before the Annual Meeting or any adjournments of the meeting.</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08"/>
        <w:spacing w:after="0"/>
        <w:rPr>
          <w:sz w:val="20"/>
          <w:szCs w:val="20"/>
          <w:color w:val="auto"/>
        </w:rPr>
      </w:pPr>
      <w:r>
        <w:rPr>
          <w:rFonts w:ascii="Courier New" w:cs="Courier New" w:eastAsia="Courier New" w:hAnsi="Courier New"/>
          <w:sz w:val="9"/>
          <w:szCs w:val="9"/>
          <w:color w:val="auto"/>
        </w:rPr>
        <w:t>Stockholders</w:t>
      </w:r>
    </w:p>
    <w:p>
      <w:pPr>
        <w:ind w:left="8"/>
        <w:spacing w:after="0"/>
        <w:rPr>
          <w:sz w:val="20"/>
          <w:szCs w:val="20"/>
          <w:color w:val="auto"/>
        </w:rPr>
      </w:pPr>
      <w:r>
        <w:rPr>
          <w:rFonts w:ascii="Courier New" w:cs="Courier New" w:eastAsia="Courier New" w:hAnsi="Courier New"/>
          <w:sz w:val="9"/>
          <w:szCs w:val="9"/>
          <w:color w:val="auto"/>
        </w:rPr>
        <w:t>of record at the close of business on January 31, 2000 (the "Record Date") will be entitled to vote at the meeting or any adjournments.</w:t>
      </w:r>
    </w:p>
    <w:p>
      <w:pPr>
        <w:spacing w:after="0" w:line="111" w:lineRule="exact"/>
        <w:rPr>
          <w:sz w:val="20"/>
          <w:szCs w:val="20"/>
          <w:color w:val="auto"/>
        </w:rPr>
      </w:pPr>
    </w:p>
    <w:p>
      <w:pPr>
        <w:ind w:left="208"/>
        <w:spacing w:after="0"/>
        <w:rPr>
          <w:sz w:val="20"/>
          <w:szCs w:val="20"/>
          <w:color w:val="auto"/>
        </w:rPr>
      </w:pPr>
      <w:r>
        <w:rPr>
          <w:rFonts w:ascii="Courier New" w:cs="Courier New" w:eastAsia="Courier New" w:hAnsi="Courier New"/>
          <w:sz w:val="9"/>
          <w:szCs w:val="9"/>
          <w:color w:val="auto"/>
        </w:rPr>
        <w:t>A</w:t>
      </w:r>
    </w:p>
    <w:p>
      <w:pPr>
        <w:ind w:left="8" w:right="1460"/>
        <w:spacing w:after="0" w:line="235" w:lineRule="auto"/>
        <w:rPr>
          <w:sz w:val="20"/>
          <w:szCs w:val="20"/>
          <w:color w:val="auto"/>
        </w:rPr>
      </w:pPr>
      <w:r>
        <w:rPr>
          <w:rFonts w:ascii="Courier New" w:cs="Courier New" w:eastAsia="Courier New" w:hAnsi="Courier New"/>
          <w:sz w:val="9"/>
          <w:szCs w:val="9"/>
          <w:color w:val="auto"/>
        </w:rPr>
        <w:t>stockholder list will be available at the Company's corporate offices beginning March 16, 2000 during normal business hours, for examination by any stockholder registered on the Company's Stock Ledger as of the Record Date, for any purpose germane to the Annual Meeting.</w:t>
      </w:r>
    </w:p>
    <w:p>
      <w:pPr>
        <w:spacing w:after="0" w:line="112" w:lineRule="exact"/>
        <w:rPr>
          <w:sz w:val="20"/>
          <w:szCs w:val="20"/>
          <w:color w:val="auto"/>
        </w:rPr>
      </w:pPr>
    </w:p>
    <w:p>
      <w:pPr>
        <w:ind w:left="208"/>
        <w:spacing w:after="0"/>
        <w:rPr>
          <w:sz w:val="20"/>
          <w:szCs w:val="20"/>
          <w:color w:val="auto"/>
        </w:rPr>
      </w:pPr>
      <w:r>
        <w:rPr>
          <w:rFonts w:ascii="Courier New" w:cs="Courier New" w:eastAsia="Courier New" w:hAnsi="Courier New"/>
          <w:sz w:val="9"/>
          <w:szCs w:val="9"/>
          <w:color w:val="auto"/>
        </w:rPr>
        <w:t>Since</w:t>
      </w:r>
    </w:p>
    <w:p>
      <w:pPr>
        <w:ind w:left="8" w:right="2320"/>
        <w:spacing w:after="0" w:line="235" w:lineRule="auto"/>
        <w:rPr>
          <w:sz w:val="20"/>
          <w:szCs w:val="20"/>
          <w:color w:val="auto"/>
        </w:rPr>
      </w:pPr>
      <w:r>
        <w:rPr>
          <w:rFonts w:ascii="Courier New" w:cs="Courier New" w:eastAsia="Courier New" w:hAnsi="Courier New"/>
          <w:sz w:val="9"/>
          <w:szCs w:val="9"/>
          <w:color w:val="auto"/>
        </w:rPr>
        <w:t xml:space="preserve">a majority of the outstanding shares of the Company's Common Stock must be represented either in person or by proxy to constitute a quorum for the conduct of business, </w:t>
      </w:r>
      <w:r>
        <w:rPr>
          <w:rFonts w:ascii="Courier New" w:cs="Courier New" w:eastAsia="Courier New" w:hAnsi="Courier New"/>
          <w:sz w:val="9"/>
          <w:szCs w:val="9"/>
          <w:b w:val="1"/>
          <w:bCs w:val="1"/>
          <w:color w:val="auto"/>
        </w:rPr>
        <w:t>PLEASE PROMPTLY SIGN, DATE AND RETURN THE ENCLOSED PROXY CARD OR VOTE BY INTERNET OR TELEPHONE.</w:t>
      </w:r>
    </w:p>
    <w:p>
      <w:pPr>
        <w:spacing w:after="0" w:line="112" w:lineRule="exact"/>
        <w:rPr>
          <w:sz w:val="20"/>
          <w:szCs w:val="20"/>
          <w:color w:val="auto"/>
        </w:rPr>
      </w:pPr>
    </w:p>
    <w:p>
      <w:pPr>
        <w:ind w:left="8"/>
        <w:spacing w:after="0"/>
        <w:tabs>
          <w:tab w:leader="none" w:pos="508" w:val="left"/>
        </w:tabs>
        <w:rPr>
          <w:sz w:val="20"/>
          <w:szCs w:val="20"/>
          <w:color w:val="auto"/>
        </w:rPr>
      </w:pPr>
      <w:r>
        <w:rPr>
          <w:rFonts w:ascii="Courier New" w:cs="Courier New" w:eastAsia="Courier New" w:hAnsi="Courier New"/>
          <w:sz w:val="9"/>
          <w:szCs w:val="9"/>
          <w:color w:val="auto"/>
        </w:rPr>
        <w:t>/x/</w:t>
      </w:r>
      <w:r>
        <w:rPr>
          <w:sz w:val="20"/>
          <w:szCs w:val="20"/>
          <w:color w:val="auto"/>
        </w:rPr>
        <w:tab/>
      </w:r>
      <w:r>
        <w:rPr>
          <w:rFonts w:ascii="Courier New" w:cs="Courier New" w:eastAsia="Courier New" w:hAnsi="Courier New"/>
          <w:sz w:val="9"/>
          <w:szCs w:val="9"/>
          <w:color w:val="auto"/>
        </w:rPr>
        <w:t>No fee required.</w:t>
      </w:r>
    </w:p>
    <w:p>
      <w:pPr>
        <w:ind w:left="528" w:right="6920" w:hanging="528"/>
        <w:spacing w:after="0" w:line="233" w:lineRule="auto"/>
        <w:tabs>
          <w:tab w:leader="none" w:pos="105" w:val="left"/>
        </w:tabs>
        <w:numPr>
          <w:ilvl w:val="0"/>
          <w:numId w:val="2"/>
        </w:numPr>
        <w:rPr>
          <w:rFonts w:ascii="Courier New" w:cs="Courier New" w:eastAsia="Courier New" w:hAnsi="Courier New"/>
          <w:sz w:val="9"/>
          <w:szCs w:val="9"/>
          <w:color w:val="auto"/>
        </w:rPr>
      </w:pPr>
      <w:r>
        <w:rPr>
          <w:rFonts w:ascii="Courier New" w:cs="Courier New" w:eastAsia="Courier New" w:hAnsi="Courier New"/>
          <w:sz w:val="9"/>
          <w:szCs w:val="9"/>
          <w:color w:val="auto"/>
        </w:rPr>
        <w:t>/Fee computed on table below per Exchange Act Rules 14a-6(i)(1) and 0-11.</w:t>
      </w:r>
    </w:p>
    <w:p>
      <w:pPr>
        <w:ind w:left="1048" w:hanging="517"/>
        <w:spacing w:after="0"/>
        <w:tabs>
          <w:tab w:leader="none" w:pos="1048" w:val="left"/>
        </w:tabs>
        <w:numPr>
          <w:ilvl w:val="1"/>
          <w:numId w:val="2"/>
        </w:numPr>
        <w:rPr>
          <w:rFonts w:ascii="Courier New" w:cs="Courier New" w:eastAsia="Courier New" w:hAnsi="Courier New"/>
          <w:sz w:val="9"/>
          <w:szCs w:val="9"/>
          <w:color w:val="auto"/>
        </w:rPr>
      </w:pPr>
      <w:r>
        <w:rPr>
          <w:rFonts w:ascii="Courier New" w:cs="Courier New" w:eastAsia="Courier New" w:hAnsi="Courier New"/>
          <w:sz w:val="9"/>
          <w:szCs w:val="9"/>
          <w:color w:val="auto"/>
        </w:rPr>
        <w:t>Title of each class of securities to which transaction applies:</w:t>
      </w:r>
    </w:p>
    <w:p>
      <w:pPr>
        <w:spacing w:after="0" w:line="329" w:lineRule="exact"/>
        <w:rPr>
          <w:rFonts w:ascii="Courier New" w:cs="Courier New" w:eastAsia="Courier New" w:hAnsi="Courier New"/>
          <w:sz w:val="9"/>
          <w:szCs w:val="9"/>
          <w:color w:val="auto"/>
        </w:rPr>
      </w:pPr>
    </w:p>
    <w:p>
      <w:pPr>
        <w:ind w:left="1048" w:hanging="517"/>
        <w:spacing w:after="0"/>
        <w:tabs>
          <w:tab w:leader="none" w:pos="1048" w:val="left"/>
        </w:tabs>
        <w:numPr>
          <w:ilvl w:val="1"/>
          <w:numId w:val="2"/>
        </w:numPr>
        <w:rPr>
          <w:rFonts w:ascii="Courier New" w:cs="Courier New" w:eastAsia="Courier New" w:hAnsi="Courier New"/>
          <w:sz w:val="9"/>
          <w:szCs w:val="9"/>
          <w:color w:val="auto"/>
        </w:rPr>
      </w:pPr>
      <w:r>
        <w:rPr>
          <w:rFonts w:ascii="Courier New" w:cs="Courier New" w:eastAsia="Courier New" w:hAnsi="Courier New"/>
          <w:sz w:val="9"/>
          <w:szCs w:val="9"/>
          <w:color w:val="auto"/>
        </w:rPr>
        <w:t>Aggregate number of securities to which transaction applies:</w:t>
      </w:r>
    </w:p>
    <w:p>
      <w:pPr>
        <w:spacing w:after="0" w:line="331" w:lineRule="exact"/>
        <w:rPr>
          <w:rFonts w:ascii="Courier New" w:cs="Courier New" w:eastAsia="Courier New" w:hAnsi="Courier New"/>
          <w:sz w:val="9"/>
          <w:szCs w:val="9"/>
          <w:color w:val="auto"/>
        </w:rPr>
      </w:pPr>
    </w:p>
    <w:p>
      <w:pPr>
        <w:ind w:left="1048" w:right="4400" w:hanging="517"/>
        <w:spacing w:after="0" w:line="235" w:lineRule="auto"/>
        <w:tabs>
          <w:tab w:leader="none" w:pos="1048" w:val="left"/>
        </w:tabs>
        <w:numPr>
          <w:ilvl w:val="1"/>
          <w:numId w:val="2"/>
        </w:numPr>
        <w:rPr>
          <w:rFonts w:ascii="Courier New" w:cs="Courier New" w:eastAsia="Courier New" w:hAnsi="Courier New"/>
          <w:sz w:val="9"/>
          <w:szCs w:val="9"/>
          <w:color w:val="auto"/>
        </w:rPr>
      </w:pPr>
      <w:r>
        <w:rPr>
          <w:rFonts w:ascii="Courier New" w:cs="Courier New" w:eastAsia="Courier New" w:hAnsi="Courier New"/>
          <w:sz w:val="9"/>
          <w:szCs w:val="9"/>
          <w:color w:val="auto"/>
        </w:rPr>
        <w:t>Per unit price or other underlying value of transaction computed pursuant to Exchange Act Rule 0-11 (set forth the amount on which the filing fee is calculated and state how it was determined):</w:t>
      </w:r>
    </w:p>
    <w:p>
      <w:pPr>
        <w:spacing w:after="0" w:line="330" w:lineRule="exact"/>
        <w:rPr>
          <w:rFonts w:ascii="Courier New" w:cs="Courier New" w:eastAsia="Courier New" w:hAnsi="Courier New"/>
          <w:sz w:val="9"/>
          <w:szCs w:val="9"/>
          <w:color w:val="auto"/>
        </w:rPr>
      </w:pPr>
    </w:p>
    <w:p>
      <w:pPr>
        <w:ind w:left="1048" w:hanging="517"/>
        <w:spacing w:after="0"/>
        <w:tabs>
          <w:tab w:leader="none" w:pos="1048" w:val="left"/>
        </w:tabs>
        <w:numPr>
          <w:ilvl w:val="1"/>
          <w:numId w:val="2"/>
        </w:numPr>
        <w:rPr>
          <w:rFonts w:ascii="Courier New" w:cs="Courier New" w:eastAsia="Courier New" w:hAnsi="Courier New"/>
          <w:sz w:val="9"/>
          <w:szCs w:val="9"/>
          <w:color w:val="auto"/>
        </w:rPr>
      </w:pPr>
      <w:r>
        <w:rPr>
          <w:rFonts w:ascii="Courier New" w:cs="Courier New" w:eastAsia="Courier New" w:hAnsi="Courier New"/>
          <w:sz w:val="9"/>
          <w:szCs w:val="9"/>
          <w:color w:val="auto"/>
        </w:rPr>
        <w:t>Proposed maximum aggregate value of transaction:</w:t>
      </w:r>
    </w:p>
    <w:p>
      <w:pPr>
        <w:spacing w:after="0" w:line="330" w:lineRule="exact"/>
        <w:rPr>
          <w:rFonts w:ascii="Courier New" w:cs="Courier New" w:eastAsia="Courier New" w:hAnsi="Courier New"/>
          <w:sz w:val="9"/>
          <w:szCs w:val="9"/>
          <w:color w:val="auto"/>
        </w:rPr>
      </w:pPr>
    </w:p>
    <w:p>
      <w:pPr>
        <w:ind w:left="1048" w:hanging="517"/>
        <w:spacing w:after="0"/>
        <w:tabs>
          <w:tab w:leader="none" w:pos="1048" w:val="left"/>
        </w:tabs>
        <w:numPr>
          <w:ilvl w:val="1"/>
          <w:numId w:val="2"/>
        </w:numPr>
        <w:rPr>
          <w:rFonts w:ascii="Courier New" w:cs="Courier New" w:eastAsia="Courier New" w:hAnsi="Courier New"/>
          <w:sz w:val="9"/>
          <w:szCs w:val="9"/>
          <w:color w:val="auto"/>
        </w:rPr>
      </w:pPr>
      <w:r>
        <w:rPr>
          <w:rFonts w:ascii="Courier New" w:cs="Courier New" w:eastAsia="Courier New" w:hAnsi="Courier New"/>
          <w:sz w:val="9"/>
          <w:szCs w:val="9"/>
          <w:color w:val="auto"/>
        </w:rPr>
        <w:t>Total fee paid:</w:t>
      </w:r>
    </w:p>
    <w:p>
      <w:pPr>
        <w:spacing w:after="0" w:line="200" w:lineRule="exact"/>
        <w:rPr>
          <w:rFonts w:ascii="Courier New" w:cs="Courier New" w:eastAsia="Courier New" w:hAnsi="Courier New"/>
          <w:sz w:val="9"/>
          <w:szCs w:val="9"/>
          <w:color w:val="auto"/>
        </w:rPr>
      </w:pPr>
    </w:p>
    <w:p>
      <w:pPr>
        <w:spacing w:after="0" w:line="229" w:lineRule="exact"/>
        <w:rPr>
          <w:rFonts w:ascii="Courier New" w:cs="Courier New" w:eastAsia="Courier New" w:hAnsi="Courier New"/>
          <w:sz w:val="9"/>
          <w:szCs w:val="9"/>
          <w:color w:val="auto"/>
        </w:rPr>
      </w:pPr>
    </w:p>
    <w:p>
      <w:pPr>
        <w:ind w:left="108" w:hanging="108"/>
        <w:spacing w:after="0"/>
        <w:tabs>
          <w:tab w:leader="none" w:pos="108" w:val="left"/>
        </w:tabs>
        <w:numPr>
          <w:ilvl w:val="0"/>
          <w:numId w:val="2"/>
        </w:numPr>
        <w:rPr>
          <w:rFonts w:ascii="Courier New" w:cs="Courier New" w:eastAsia="Courier New" w:hAnsi="Courier New"/>
          <w:sz w:val="9"/>
          <w:szCs w:val="9"/>
          <w:color w:val="auto"/>
        </w:rPr>
      </w:pPr>
      <w:r>
        <w:rPr>
          <w:rFonts w:ascii="Courier New" w:cs="Courier New" w:eastAsia="Courier New" w:hAnsi="Courier New"/>
          <w:sz w:val="9"/>
          <w:szCs w:val="9"/>
          <w:color w:val="auto"/>
        </w:rPr>
        <w:t>/Fee paid previously with preliminary materials.</w:t>
      </w:r>
    </w:p>
    <w:p>
      <w:pPr>
        <w:spacing w:after="0" w:line="97" w:lineRule="exact"/>
        <w:rPr>
          <w:rFonts w:ascii="Courier New" w:cs="Courier New" w:eastAsia="Courier New" w:hAnsi="Courier New"/>
          <w:sz w:val="9"/>
          <w:szCs w:val="9"/>
          <w:color w:val="auto"/>
        </w:rPr>
      </w:pPr>
    </w:p>
    <w:p>
      <w:pPr>
        <w:ind w:left="528" w:right="4340" w:hanging="528"/>
        <w:spacing w:after="0" w:line="234" w:lineRule="auto"/>
        <w:tabs>
          <w:tab w:leader="none" w:pos="105" w:val="left"/>
        </w:tabs>
        <w:numPr>
          <w:ilvl w:val="0"/>
          <w:numId w:val="2"/>
        </w:numPr>
        <w:rPr>
          <w:rFonts w:ascii="Courier New" w:cs="Courier New" w:eastAsia="Courier New" w:hAnsi="Courier New"/>
          <w:sz w:val="9"/>
          <w:szCs w:val="9"/>
          <w:color w:val="auto"/>
        </w:rPr>
      </w:pPr>
      <w:r>
        <w:rPr>
          <w:rFonts w:ascii="Courier New" w:cs="Courier New" w:eastAsia="Courier New" w:hAnsi="Courier New"/>
          <w:sz w:val="9"/>
          <w:szCs w:val="9"/>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96" w:lineRule="exact"/>
        <w:rPr>
          <w:rFonts w:ascii="Courier New" w:cs="Courier New" w:eastAsia="Courier New" w:hAnsi="Courier New"/>
          <w:sz w:val="9"/>
          <w:szCs w:val="9"/>
          <w:color w:val="auto"/>
        </w:rPr>
      </w:pPr>
    </w:p>
    <w:p>
      <w:pPr>
        <w:ind w:left="1048" w:hanging="517"/>
        <w:spacing w:after="0"/>
        <w:tabs>
          <w:tab w:leader="none" w:pos="1048" w:val="left"/>
        </w:tabs>
        <w:numPr>
          <w:ilvl w:val="1"/>
          <w:numId w:val="2"/>
        </w:numPr>
        <w:rPr>
          <w:rFonts w:ascii="Courier New" w:cs="Courier New" w:eastAsia="Courier New" w:hAnsi="Courier New"/>
          <w:sz w:val="9"/>
          <w:szCs w:val="9"/>
          <w:color w:val="auto"/>
        </w:rPr>
      </w:pPr>
      <w:r>
        <w:rPr>
          <w:rFonts w:ascii="Courier New" w:cs="Courier New" w:eastAsia="Courier New" w:hAnsi="Courier New"/>
          <w:sz w:val="9"/>
          <w:szCs w:val="9"/>
          <w:color w:val="auto"/>
        </w:rPr>
        <w:t>Amount Previously Paid:</w:t>
      </w:r>
    </w:p>
    <w:p>
      <w:pPr>
        <w:spacing w:after="0" w:line="231" w:lineRule="exact"/>
        <w:rPr>
          <w:rFonts w:ascii="Courier New" w:cs="Courier New" w:eastAsia="Courier New" w:hAnsi="Courier New"/>
          <w:sz w:val="9"/>
          <w:szCs w:val="9"/>
          <w:color w:val="auto"/>
        </w:rPr>
      </w:pPr>
    </w:p>
    <w:p>
      <w:pPr>
        <w:ind w:left="1048" w:hanging="517"/>
        <w:spacing w:after="0"/>
        <w:tabs>
          <w:tab w:leader="none" w:pos="1048" w:val="left"/>
        </w:tabs>
        <w:numPr>
          <w:ilvl w:val="1"/>
          <w:numId w:val="2"/>
        </w:numPr>
        <w:rPr>
          <w:rFonts w:ascii="Courier New" w:cs="Courier New" w:eastAsia="Courier New" w:hAnsi="Courier New"/>
          <w:sz w:val="9"/>
          <w:szCs w:val="9"/>
          <w:color w:val="auto"/>
        </w:rPr>
      </w:pPr>
      <w:r>
        <w:rPr>
          <w:rFonts w:ascii="Courier New" w:cs="Courier New" w:eastAsia="Courier New" w:hAnsi="Courier New"/>
          <w:sz w:val="9"/>
          <w:szCs w:val="9"/>
          <w:color w:val="auto"/>
        </w:rPr>
        <w:t>Form, Schedule or Registration Statement No.:</w:t>
      </w:r>
    </w:p>
    <w:p>
      <w:pPr>
        <w:spacing w:after="0" w:line="231" w:lineRule="exact"/>
        <w:rPr>
          <w:rFonts w:ascii="Courier New" w:cs="Courier New" w:eastAsia="Courier New" w:hAnsi="Courier New"/>
          <w:sz w:val="9"/>
          <w:szCs w:val="9"/>
          <w:color w:val="auto"/>
        </w:rPr>
      </w:pPr>
    </w:p>
    <w:p>
      <w:pPr>
        <w:ind w:left="1048" w:hanging="517"/>
        <w:spacing w:after="0"/>
        <w:tabs>
          <w:tab w:leader="none" w:pos="1048" w:val="left"/>
        </w:tabs>
        <w:numPr>
          <w:ilvl w:val="1"/>
          <w:numId w:val="2"/>
        </w:numPr>
        <w:rPr>
          <w:rFonts w:ascii="Courier New" w:cs="Courier New" w:eastAsia="Courier New" w:hAnsi="Courier New"/>
          <w:sz w:val="9"/>
          <w:szCs w:val="9"/>
          <w:color w:val="auto"/>
        </w:rPr>
      </w:pPr>
      <w:r>
        <w:rPr>
          <w:rFonts w:ascii="Courier New" w:cs="Courier New" w:eastAsia="Courier New" w:hAnsi="Courier New"/>
          <w:sz w:val="9"/>
          <w:szCs w:val="9"/>
          <w:color w:val="auto"/>
        </w:rPr>
        <w:t>Filing Party:</w:t>
      </w:r>
    </w:p>
    <w:p>
      <w:pPr>
        <w:spacing w:after="0" w:line="231" w:lineRule="exact"/>
        <w:rPr>
          <w:rFonts w:ascii="Courier New" w:cs="Courier New" w:eastAsia="Courier New" w:hAnsi="Courier New"/>
          <w:sz w:val="9"/>
          <w:szCs w:val="9"/>
          <w:color w:val="auto"/>
        </w:rPr>
      </w:pPr>
    </w:p>
    <w:p>
      <w:pPr>
        <w:ind w:left="1048" w:hanging="517"/>
        <w:spacing w:after="0"/>
        <w:tabs>
          <w:tab w:leader="none" w:pos="1048" w:val="left"/>
        </w:tabs>
        <w:numPr>
          <w:ilvl w:val="1"/>
          <w:numId w:val="2"/>
        </w:numPr>
        <w:rPr>
          <w:rFonts w:ascii="Courier New" w:cs="Courier New" w:eastAsia="Courier New" w:hAnsi="Courier New"/>
          <w:sz w:val="9"/>
          <w:szCs w:val="9"/>
          <w:color w:val="auto"/>
        </w:rPr>
      </w:pPr>
      <w:r>
        <w:rPr>
          <w:rFonts w:ascii="Courier New" w:cs="Courier New" w:eastAsia="Courier New" w:hAnsi="Courier New"/>
          <w:sz w:val="9"/>
          <w:szCs w:val="9"/>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wp:posOffset>
            </wp:positionH>
            <wp:positionV relativeFrom="paragraph">
              <wp:posOffset>-2345055</wp:posOffset>
            </wp:positionV>
            <wp:extent cx="3498850" cy="184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98850" cy="1841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-2071370</wp:posOffset>
            </wp:positionV>
            <wp:extent cx="3498850" cy="184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98850" cy="1841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-1734185</wp:posOffset>
            </wp:positionV>
            <wp:extent cx="3498850" cy="184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98850" cy="1841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-1459230</wp:posOffset>
            </wp:positionV>
            <wp:extent cx="3498850" cy="184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98850" cy="1841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-1185545</wp:posOffset>
            </wp:positionV>
            <wp:extent cx="3498850" cy="184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98850" cy="1841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-534035</wp:posOffset>
            </wp:positionV>
            <wp:extent cx="3498850" cy="184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98850" cy="1841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-321945</wp:posOffset>
            </wp:positionV>
            <wp:extent cx="3498850" cy="184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98850" cy="1841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-110490</wp:posOffset>
            </wp:positionV>
            <wp:extent cx="3498850" cy="184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98850" cy="1841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100330</wp:posOffset>
            </wp:positionV>
            <wp:extent cx="3498850" cy="18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98850" cy="18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788"/>
        <w:spacing w:after="0"/>
        <w:rPr>
          <w:sz w:val="20"/>
          <w:szCs w:val="20"/>
          <w:color w:val="auto"/>
        </w:rPr>
      </w:pPr>
      <w:r>
        <w:rPr>
          <w:rFonts w:ascii="Courier New" w:cs="Courier New" w:eastAsia="Courier New" w:hAnsi="Courier New"/>
          <w:sz w:val="18"/>
          <w:szCs w:val="18"/>
          <w:b w:val="1"/>
          <w:bCs w:val="1"/>
          <w:color w:val="auto"/>
        </w:rPr>
        <w:t>THE TORO COMPANY</w:t>
      </w:r>
    </w:p>
    <w:p>
      <w:pPr>
        <w:ind w:left="4768"/>
        <w:spacing w:after="0"/>
        <w:rPr>
          <w:sz w:val="20"/>
          <w:szCs w:val="20"/>
          <w:color w:val="auto"/>
        </w:rPr>
      </w:pPr>
      <w:r>
        <w:rPr>
          <w:rFonts w:ascii="Courier New" w:cs="Courier New" w:eastAsia="Courier New" w:hAnsi="Courier New"/>
          <w:sz w:val="12"/>
          <w:szCs w:val="12"/>
          <w:b w:val="1"/>
          <w:bCs w:val="1"/>
          <w:color w:val="auto"/>
        </w:rPr>
        <w:t>8111 Lyndale Avenue South</w:t>
      </w:r>
    </w:p>
    <w:p>
      <w:pPr>
        <w:spacing w:after="0" w:line="133" w:lineRule="exact"/>
        <w:rPr>
          <w:sz w:val="20"/>
          <w:szCs w:val="20"/>
          <w:color w:val="auto"/>
        </w:rPr>
      </w:pPr>
    </w:p>
    <w:p>
      <w:pPr>
        <w:ind w:left="4748"/>
        <w:spacing w:after="0"/>
        <w:rPr>
          <w:sz w:val="20"/>
          <w:szCs w:val="20"/>
          <w:color w:val="auto"/>
        </w:rPr>
      </w:pPr>
      <w:r>
        <w:rPr>
          <w:rFonts w:ascii="Courier New" w:cs="Courier New" w:eastAsia="Courier New" w:hAnsi="Courier New"/>
          <w:sz w:val="12"/>
          <w:szCs w:val="12"/>
          <w:b w:val="1"/>
          <w:bCs w:val="1"/>
          <w:color w:val="auto"/>
        </w:rPr>
        <w:t>Bloomington, MN 55420-1196</w:t>
      </w:r>
    </w:p>
    <w:p>
      <w:pPr>
        <w:spacing w:after="0" w:line="120" w:lineRule="exact"/>
        <w:rPr>
          <w:sz w:val="20"/>
          <w:szCs w:val="20"/>
          <w:color w:val="auto"/>
        </w:rPr>
      </w:pPr>
    </w:p>
    <w:p>
      <w:pPr>
        <w:jc w:val="center"/>
        <w:ind w:right="-447"/>
        <w:spacing w:after="0"/>
        <w:rPr>
          <w:sz w:val="20"/>
          <w:szCs w:val="20"/>
          <w:color w:val="auto"/>
        </w:rPr>
      </w:pPr>
      <w:r>
        <w:rPr>
          <w:rFonts w:ascii="Courier New" w:cs="Courier New" w:eastAsia="Courier New" w:hAnsi="Courier New"/>
          <w:sz w:val="18"/>
          <w:szCs w:val="18"/>
          <w:b w:val="1"/>
          <w:bCs w:val="1"/>
          <w:color w:val="auto"/>
        </w:rPr>
        <w:t>PROXY STATEMENT</w:t>
      </w:r>
    </w:p>
    <w:p>
      <w:pPr>
        <w:spacing w:after="0" w:line="113" w:lineRule="exact"/>
        <w:rPr>
          <w:sz w:val="20"/>
          <w:szCs w:val="20"/>
          <w:color w:val="auto"/>
        </w:rPr>
      </w:pPr>
    </w:p>
    <w:p>
      <w:pPr>
        <w:ind w:left="208"/>
        <w:spacing w:after="0"/>
        <w:rPr>
          <w:sz w:val="20"/>
          <w:szCs w:val="20"/>
          <w:color w:val="auto"/>
        </w:rPr>
      </w:pPr>
      <w:r>
        <w:rPr>
          <w:rFonts w:ascii="Courier New" w:cs="Courier New" w:eastAsia="Courier New" w:hAnsi="Courier New"/>
          <w:sz w:val="9"/>
          <w:szCs w:val="9"/>
          <w:color w:val="auto"/>
        </w:rPr>
        <w:t>The</w:t>
      </w:r>
    </w:p>
    <w:p>
      <w:pPr>
        <w:ind w:left="8" w:right="1620"/>
        <w:spacing w:after="0" w:line="235" w:lineRule="auto"/>
        <w:rPr>
          <w:sz w:val="20"/>
          <w:szCs w:val="20"/>
          <w:color w:val="auto"/>
        </w:rPr>
      </w:pPr>
      <w:r>
        <w:rPr>
          <w:rFonts w:ascii="Courier New" w:cs="Courier New" w:eastAsia="Courier New" w:hAnsi="Courier New"/>
          <w:sz w:val="9"/>
          <w:szCs w:val="9"/>
          <w:color w:val="auto"/>
        </w:rPr>
        <w:t>Toro Company Board of Directors is soliciting your proxy for use at the 2000 Annual Meeting of Stockholders on Wednesday, March 29, 2000. This Notice, Proxy Statement and enclosed form of proxy will be mailed to stockholders beginning February 9, 2000.</w:t>
      </w:r>
    </w:p>
    <w:p>
      <w:pPr>
        <w:spacing w:after="0" w:line="366" w:lineRule="exact"/>
        <w:rPr>
          <w:sz w:val="20"/>
          <w:szCs w:val="20"/>
          <w:color w:val="auto"/>
        </w:rPr>
      </w:pPr>
    </w:p>
    <w:p>
      <w:pPr>
        <w:jc w:val="center"/>
        <w:ind w:right="-447"/>
        <w:spacing w:after="0"/>
        <w:rPr>
          <w:sz w:val="20"/>
          <w:szCs w:val="20"/>
          <w:color w:val="auto"/>
        </w:rPr>
      </w:pPr>
      <w:r>
        <w:rPr>
          <w:rFonts w:ascii="Courier New" w:cs="Courier New" w:eastAsia="Courier New" w:hAnsi="Courier New"/>
          <w:sz w:val="9"/>
          <w:szCs w:val="9"/>
          <w:b w:val="1"/>
          <w:bCs w:val="1"/>
          <w:color w:val="auto"/>
        </w:rPr>
        <w:t>VOTING</w:t>
      </w:r>
    </w:p>
    <w:p>
      <w:pPr>
        <w:spacing w:after="0" w:line="114" w:lineRule="exact"/>
        <w:rPr>
          <w:sz w:val="20"/>
          <w:szCs w:val="20"/>
          <w:color w:val="auto"/>
        </w:rPr>
      </w:pPr>
    </w:p>
    <w:p>
      <w:pPr>
        <w:ind w:left="8"/>
        <w:spacing w:after="0"/>
        <w:rPr>
          <w:sz w:val="20"/>
          <w:szCs w:val="20"/>
          <w:color w:val="auto"/>
        </w:rPr>
      </w:pPr>
      <w:r>
        <w:rPr>
          <w:rFonts w:ascii="Courier New" w:cs="Courier New" w:eastAsia="Courier New" w:hAnsi="Courier New"/>
          <w:sz w:val="9"/>
          <w:szCs w:val="9"/>
          <w:b w:val="1"/>
          <w:bCs w:val="1"/>
          <w:color w:val="auto"/>
        </w:rPr>
        <w:t>Who Can Vote</w:t>
      </w:r>
    </w:p>
    <w:p>
      <w:pPr>
        <w:spacing w:after="0" w:line="112" w:lineRule="exact"/>
        <w:rPr>
          <w:sz w:val="20"/>
          <w:szCs w:val="20"/>
          <w:color w:val="auto"/>
        </w:rPr>
      </w:pPr>
    </w:p>
    <w:p>
      <w:pPr>
        <w:ind w:left="208"/>
        <w:spacing w:after="0"/>
        <w:rPr>
          <w:sz w:val="20"/>
          <w:szCs w:val="20"/>
          <w:color w:val="auto"/>
        </w:rPr>
      </w:pPr>
      <w:r>
        <w:rPr>
          <w:rFonts w:ascii="Courier New" w:cs="Courier New" w:eastAsia="Courier New" w:hAnsi="Courier New"/>
          <w:sz w:val="9"/>
          <w:szCs w:val="9"/>
          <w:color w:val="auto"/>
        </w:rPr>
        <w:t>Only stockholders of record at the close of business on January 31, 2000 will be entitled to notice of and to vote at the Annual Meeting or any</w:t>
      </w:r>
    </w:p>
    <w:p>
      <w:pPr>
        <w:ind w:left="8"/>
        <w:spacing w:after="0"/>
        <w:rPr>
          <w:sz w:val="20"/>
          <w:szCs w:val="20"/>
          <w:color w:val="auto"/>
        </w:rPr>
      </w:pPr>
      <w:r>
        <w:rPr>
          <w:rFonts w:ascii="Courier New" w:cs="Courier New" w:eastAsia="Courier New" w:hAnsi="Courier New"/>
          <w:sz w:val="9"/>
          <w:szCs w:val="9"/>
          <w:color w:val="auto"/>
        </w:rPr>
        <w:t>adjournments of the meeting. On that date the Company had 12,775,899 shares of Common Stock outstanding. Each share of Toro Common Stock you own entitles you to one vote.</w:t>
      </w:r>
    </w:p>
    <w:p>
      <w:pPr>
        <w:spacing w:after="0" w:line="111" w:lineRule="exact"/>
        <w:rPr>
          <w:sz w:val="20"/>
          <w:szCs w:val="20"/>
          <w:color w:val="auto"/>
        </w:rPr>
      </w:pPr>
    </w:p>
    <w:p>
      <w:pPr>
        <w:ind w:left="208"/>
        <w:spacing w:after="0"/>
        <w:tabs>
          <w:tab w:leader="none" w:pos="2148" w:val="left"/>
        </w:tabs>
        <w:rPr>
          <w:sz w:val="20"/>
          <w:szCs w:val="20"/>
          <w:color w:val="auto"/>
        </w:rPr>
      </w:pPr>
      <w:r>
        <w:rPr>
          <w:rFonts w:ascii="Courier New" w:cs="Courier New" w:eastAsia="Courier New" w:hAnsi="Courier New"/>
          <w:sz w:val="9"/>
          <w:szCs w:val="9"/>
          <w:b w:val="1"/>
          <w:bCs w:val="1"/>
          <w:i w:val="1"/>
          <w:iCs w:val="1"/>
          <w:color w:val="auto"/>
        </w:rPr>
        <w:t>Dividend Reinvestment Plan Shares.</w:t>
      </w:r>
      <w:r>
        <w:rPr>
          <w:sz w:val="20"/>
          <w:szCs w:val="20"/>
          <w:color w:val="auto"/>
        </w:rPr>
        <w:tab/>
      </w:r>
      <w:r>
        <w:rPr>
          <w:rFonts w:ascii="Courier New" w:cs="Courier New" w:eastAsia="Courier New" w:hAnsi="Courier New"/>
          <w:sz w:val="8"/>
          <w:szCs w:val="8"/>
          <w:color w:val="auto"/>
        </w:rPr>
        <w:t>If you are a participant in the Company's Dividend</w:t>
      </w:r>
    </w:p>
    <w:p>
      <w:pPr>
        <w:ind w:left="8"/>
        <w:spacing w:after="0"/>
        <w:rPr>
          <w:sz w:val="20"/>
          <w:szCs w:val="20"/>
          <w:color w:val="auto"/>
        </w:rPr>
      </w:pPr>
      <w:r>
        <w:rPr>
          <w:rFonts w:ascii="Courier New" w:cs="Courier New" w:eastAsia="Courier New" w:hAnsi="Courier New"/>
          <w:sz w:val="9"/>
          <w:szCs w:val="9"/>
          <w:color w:val="auto"/>
        </w:rPr>
        <w:t>Reinvestment Plan, the number shown on the enclosed proxy card includes shares held for your account in that plan.</w:t>
      </w:r>
    </w:p>
    <w:p>
      <w:pPr>
        <w:spacing w:after="0" w:line="111" w:lineRule="exact"/>
        <w:rPr>
          <w:sz w:val="20"/>
          <w:szCs w:val="20"/>
          <w:color w:val="auto"/>
        </w:rPr>
      </w:pPr>
    </w:p>
    <w:p>
      <w:pPr>
        <w:ind w:left="208"/>
        <w:spacing w:after="0"/>
        <w:tabs>
          <w:tab w:leader="none" w:pos="1868" w:val="left"/>
        </w:tabs>
        <w:rPr>
          <w:sz w:val="20"/>
          <w:szCs w:val="20"/>
          <w:color w:val="auto"/>
        </w:rPr>
      </w:pPr>
      <w:r>
        <w:rPr>
          <w:rFonts w:ascii="Courier New" w:cs="Courier New" w:eastAsia="Courier New" w:hAnsi="Courier New"/>
          <w:sz w:val="9"/>
          <w:szCs w:val="9"/>
          <w:b w:val="1"/>
          <w:bCs w:val="1"/>
          <w:i w:val="1"/>
          <w:iCs w:val="1"/>
          <w:color w:val="auto"/>
        </w:rPr>
        <w:t>Employee Benefit Plan Shares.</w:t>
      </w:r>
      <w:r>
        <w:rPr>
          <w:sz w:val="20"/>
          <w:szCs w:val="20"/>
          <w:color w:val="auto"/>
        </w:rPr>
        <w:tab/>
      </w:r>
      <w:r>
        <w:rPr>
          <w:rFonts w:ascii="Courier New" w:cs="Courier New" w:eastAsia="Courier New" w:hAnsi="Courier New"/>
          <w:sz w:val="9"/>
          <w:szCs w:val="9"/>
          <w:color w:val="auto"/>
        </w:rPr>
        <w:t>If you are a participant in a Company employee benefit plan that</w:t>
      </w:r>
    </w:p>
    <w:p>
      <w:pPr>
        <w:jc w:val="both"/>
        <w:ind w:left="8"/>
        <w:spacing w:after="0" w:line="234" w:lineRule="auto"/>
        <w:rPr>
          <w:sz w:val="20"/>
          <w:szCs w:val="20"/>
          <w:color w:val="auto"/>
        </w:rPr>
      </w:pPr>
      <w:r>
        <w:rPr>
          <w:rFonts w:ascii="Courier New" w:cs="Courier New" w:eastAsia="Courier New" w:hAnsi="Courier New"/>
          <w:sz w:val="9"/>
          <w:szCs w:val="9"/>
          <w:color w:val="auto"/>
        </w:rPr>
        <w:t>allows participant-directed voting of Common Stock held in the plan, the number shown on the enclosed proxy card includes shares you hold in each plan, as well as shares you own of record, if any. The trustee for each plan will cause votes to be cast confidentially in accordance with your instructions. Plan shares not voted by participants will be voted by the trustee in the same proportion as the votes actually cast by participants, in accordance with the terms of the respective plan.</w:t>
      </w:r>
    </w:p>
    <w:p>
      <w:pPr>
        <w:spacing w:after="0" w:line="115" w:lineRule="exact"/>
        <w:rPr>
          <w:sz w:val="20"/>
          <w:szCs w:val="20"/>
          <w:color w:val="auto"/>
        </w:rPr>
      </w:pPr>
    </w:p>
    <w:p>
      <w:pPr>
        <w:ind w:left="8"/>
        <w:spacing w:after="0"/>
        <w:rPr>
          <w:sz w:val="20"/>
          <w:szCs w:val="20"/>
          <w:color w:val="auto"/>
        </w:rPr>
      </w:pPr>
      <w:r>
        <w:rPr>
          <w:rFonts w:ascii="Courier New" w:cs="Courier New" w:eastAsia="Courier New" w:hAnsi="Courier New"/>
          <w:sz w:val="9"/>
          <w:szCs w:val="9"/>
          <w:b w:val="1"/>
          <w:bCs w:val="1"/>
          <w:color w:val="auto"/>
        </w:rPr>
        <w:t>How You Can Vote</w:t>
      </w:r>
    </w:p>
    <w:p>
      <w:pPr>
        <w:spacing w:after="0" w:line="114" w:lineRule="exact"/>
        <w:rPr>
          <w:sz w:val="20"/>
          <w:szCs w:val="20"/>
          <w:color w:val="auto"/>
        </w:rPr>
      </w:pPr>
    </w:p>
    <w:p>
      <w:pPr>
        <w:ind w:left="208"/>
        <w:spacing w:after="0"/>
        <w:rPr>
          <w:sz w:val="20"/>
          <w:szCs w:val="20"/>
          <w:color w:val="auto"/>
        </w:rPr>
      </w:pPr>
      <w:r>
        <w:rPr>
          <w:rFonts w:ascii="Courier New" w:cs="Courier New" w:eastAsia="Courier New" w:hAnsi="Courier New"/>
          <w:sz w:val="9"/>
          <w:szCs w:val="9"/>
          <w:color w:val="auto"/>
        </w:rPr>
        <w:t>You may vote your shares in person by attending the Annual Meeting or by one of the three following methods:</w:t>
      </w:r>
    </w:p>
    <w:p>
      <w:pPr>
        <w:spacing w:after="0" w:line="200" w:lineRule="exact"/>
        <w:rPr>
          <w:sz w:val="20"/>
          <w:szCs w:val="20"/>
          <w:color w:val="auto"/>
        </w:rPr>
      </w:pPr>
    </w:p>
    <w:p>
      <w:pPr>
        <w:spacing w:after="0" w:line="299" w:lineRule="exact"/>
        <w:rPr>
          <w:sz w:val="20"/>
          <w:szCs w:val="20"/>
          <w:color w:val="auto"/>
        </w:rPr>
      </w:pPr>
    </w:p>
    <w:p>
      <w:pPr>
        <w:ind w:left="368"/>
        <w:spacing w:after="0"/>
        <w:rPr>
          <w:sz w:val="20"/>
          <w:szCs w:val="20"/>
          <w:color w:val="auto"/>
        </w:rPr>
      </w:pPr>
      <w:r>
        <w:rPr>
          <w:rFonts w:ascii="Courier New" w:cs="Courier New" w:eastAsia="Courier New" w:hAnsi="Courier New"/>
          <w:sz w:val="9"/>
          <w:szCs w:val="9"/>
          <w:color w:val="auto"/>
        </w:rPr>
        <w:t>•</w:t>
      </w:r>
    </w:p>
    <w:p>
      <w:pPr>
        <w:ind w:left="728" w:right="4680"/>
        <w:spacing w:after="0" w:line="235" w:lineRule="auto"/>
        <w:rPr>
          <w:sz w:val="20"/>
          <w:szCs w:val="20"/>
          <w:color w:val="auto"/>
        </w:rPr>
      </w:pPr>
      <w:r>
        <w:rPr>
          <w:rFonts w:ascii="Courier New" w:cs="Courier New" w:eastAsia="Courier New" w:hAnsi="Courier New"/>
          <w:sz w:val="9"/>
          <w:szCs w:val="9"/>
          <w:b w:val="1"/>
          <w:bCs w:val="1"/>
          <w:color w:val="auto"/>
        </w:rPr>
        <w:t>Vote by Internet</w:t>
      </w:r>
      <w:r>
        <w:rPr>
          <w:rFonts w:ascii="Courier New" w:cs="Courier New" w:eastAsia="Courier New" w:hAnsi="Courier New"/>
          <w:sz w:val="9"/>
          <w:szCs w:val="9"/>
          <w:color w:val="auto"/>
        </w:rPr>
        <w:t>, by going to the web address www.eproxy.com/ttc/ and following the instructions for</w:t>
      </w:r>
      <w:r>
        <w:rPr>
          <w:rFonts w:ascii="Courier New" w:cs="Courier New" w:eastAsia="Courier New" w:hAnsi="Courier New"/>
          <w:sz w:val="9"/>
          <w:szCs w:val="9"/>
          <w:b w:val="1"/>
          <w:bCs w:val="1"/>
          <w:color w:val="auto"/>
        </w:rPr>
        <w:t xml:space="preserve"> </w:t>
      </w:r>
      <w:r>
        <w:rPr>
          <w:rFonts w:ascii="Courier New" w:cs="Courier New" w:eastAsia="Courier New" w:hAnsi="Courier New"/>
          <w:sz w:val="9"/>
          <w:szCs w:val="9"/>
          <w:color w:val="auto"/>
        </w:rPr>
        <w:t>Internet voting shown on the enclosed proxy card.</w:t>
      </w:r>
    </w:p>
    <w:p>
      <w:pPr>
        <w:spacing w:after="0" w:line="193" w:lineRule="exact"/>
        <w:rPr>
          <w:sz w:val="20"/>
          <w:szCs w:val="20"/>
          <w:color w:val="auto"/>
        </w:rPr>
      </w:pPr>
    </w:p>
    <w:p>
      <w:pPr>
        <w:ind w:left="368"/>
        <w:spacing w:after="0"/>
        <w:rPr>
          <w:sz w:val="20"/>
          <w:szCs w:val="20"/>
          <w:color w:val="auto"/>
        </w:rPr>
      </w:pPr>
      <w:r>
        <w:rPr>
          <w:rFonts w:ascii="Courier New" w:cs="Courier New" w:eastAsia="Courier New" w:hAnsi="Courier New"/>
          <w:sz w:val="9"/>
          <w:szCs w:val="9"/>
          <w:color w:val="auto"/>
        </w:rPr>
        <w:t>•</w:t>
      </w:r>
    </w:p>
    <w:p>
      <w:pPr>
        <w:ind w:left="728"/>
        <w:spacing w:after="0" w:line="233" w:lineRule="auto"/>
        <w:rPr>
          <w:sz w:val="20"/>
          <w:szCs w:val="20"/>
          <w:color w:val="auto"/>
        </w:rPr>
      </w:pPr>
      <w:r>
        <w:rPr>
          <w:rFonts w:ascii="Courier New" w:cs="Courier New" w:eastAsia="Courier New" w:hAnsi="Courier New"/>
          <w:sz w:val="9"/>
          <w:szCs w:val="9"/>
          <w:b w:val="1"/>
          <w:bCs w:val="1"/>
          <w:color w:val="auto"/>
        </w:rPr>
        <w:t>Vote by Phone</w:t>
      </w:r>
      <w:r>
        <w:rPr>
          <w:rFonts w:ascii="Courier New" w:cs="Courier New" w:eastAsia="Courier New" w:hAnsi="Courier New"/>
          <w:sz w:val="9"/>
          <w:szCs w:val="9"/>
          <w:color w:val="auto"/>
        </w:rPr>
        <w:t>, by dialing 1-800-240-6326 and following the instructions</w:t>
      </w:r>
    </w:p>
    <w:p>
      <w:pPr>
        <w:ind w:left="728"/>
        <w:spacing w:after="0"/>
        <w:rPr>
          <w:sz w:val="20"/>
          <w:szCs w:val="20"/>
          <w:color w:val="auto"/>
        </w:rPr>
      </w:pPr>
      <w:r>
        <w:rPr>
          <w:rFonts w:ascii="Courier New" w:cs="Courier New" w:eastAsia="Courier New" w:hAnsi="Courier New"/>
          <w:sz w:val="9"/>
          <w:szCs w:val="9"/>
          <w:color w:val="auto"/>
        </w:rPr>
        <w:t>for telephone voting shown on the enclosed proxy card.</w:t>
      </w:r>
    </w:p>
    <w:p>
      <w:pPr>
        <w:spacing w:after="0" w:line="192" w:lineRule="exact"/>
        <w:rPr>
          <w:sz w:val="20"/>
          <w:szCs w:val="20"/>
          <w:color w:val="auto"/>
        </w:rPr>
      </w:pPr>
    </w:p>
    <w:p>
      <w:pPr>
        <w:ind w:left="368"/>
        <w:spacing w:after="0"/>
        <w:rPr>
          <w:sz w:val="20"/>
          <w:szCs w:val="20"/>
          <w:color w:val="auto"/>
        </w:rPr>
      </w:pPr>
      <w:r>
        <w:rPr>
          <w:rFonts w:ascii="Courier New" w:cs="Courier New" w:eastAsia="Courier New" w:hAnsi="Courier New"/>
          <w:sz w:val="9"/>
          <w:szCs w:val="9"/>
          <w:color w:val="auto"/>
        </w:rPr>
        <w:t>•</w:t>
      </w:r>
    </w:p>
    <w:p>
      <w:pPr>
        <w:ind w:left="728" w:right="4300"/>
        <w:spacing w:after="0" w:line="235" w:lineRule="auto"/>
        <w:rPr>
          <w:sz w:val="20"/>
          <w:szCs w:val="20"/>
          <w:color w:val="auto"/>
        </w:rPr>
      </w:pPr>
      <w:r>
        <w:rPr>
          <w:rFonts w:ascii="Courier New" w:cs="Courier New" w:eastAsia="Courier New" w:hAnsi="Courier New"/>
          <w:sz w:val="9"/>
          <w:szCs w:val="9"/>
          <w:b w:val="1"/>
          <w:bCs w:val="1"/>
          <w:color w:val="auto"/>
        </w:rPr>
        <w:t>Proxy Card</w:t>
      </w:r>
      <w:r>
        <w:rPr>
          <w:rFonts w:ascii="Courier New" w:cs="Courier New" w:eastAsia="Courier New" w:hAnsi="Courier New"/>
          <w:sz w:val="9"/>
          <w:szCs w:val="9"/>
          <w:color w:val="auto"/>
        </w:rPr>
        <w:t>, by completing, signing, dating and mailing the enclosed proxy card in the envelope provided. If</w:t>
      </w:r>
      <w:r>
        <w:rPr>
          <w:rFonts w:ascii="Courier New" w:cs="Courier New" w:eastAsia="Courier New" w:hAnsi="Courier New"/>
          <w:sz w:val="9"/>
          <w:szCs w:val="9"/>
          <w:b w:val="1"/>
          <w:bCs w:val="1"/>
          <w:color w:val="auto"/>
        </w:rPr>
        <w:t xml:space="preserve"> </w:t>
      </w:r>
      <w:r>
        <w:rPr>
          <w:rFonts w:ascii="Courier New" w:cs="Courier New" w:eastAsia="Courier New" w:hAnsi="Courier New"/>
          <w:sz w:val="9"/>
          <w:szCs w:val="9"/>
          <w:color w:val="auto"/>
        </w:rPr>
        <w:t>you vote by phone or Internet, please do not mail your proxy card.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08"/>
        <w:spacing w:after="0"/>
        <w:rPr>
          <w:sz w:val="20"/>
          <w:szCs w:val="20"/>
          <w:color w:val="auto"/>
        </w:rPr>
      </w:pPr>
      <w:r>
        <w:rPr>
          <w:rFonts w:ascii="Courier New" w:cs="Courier New" w:eastAsia="Courier New" w:hAnsi="Courier New"/>
          <w:sz w:val="9"/>
          <w:szCs w:val="9"/>
          <w:color w:val="auto"/>
        </w:rPr>
        <w:t>If</w:t>
      </w:r>
    </w:p>
    <w:p>
      <w:pPr>
        <w:ind w:left="8" w:right="1460"/>
        <w:spacing w:after="0" w:line="235" w:lineRule="auto"/>
        <w:rPr>
          <w:sz w:val="20"/>
          <w:szCs w:val="20"/>
          <w:color w:val="auto"/>
        </w:rPr>
      </w:pPr>
      <w:r>
        <w:rPr>
          <w:rFonts w:ascii="Courier New" w:cs="Courier New" w:eastAsia="Courier New" w:hAnsi="Courier New"/>
          <w:sz w:val="9"/>
          <w:szCs w:val="9"/>
          <w:color w:val="auto"/>
        </w:rPr>
        <w:t>your shares are held in "street name" (through a broker or other nominee), you may need to contact your broker or other nominee to determine whether you will be able to vote electronically using the Internet or telephone.</w:t>
      </w:r>
    </w:p>
    <w:p>
      <w:pPr>
        <w:spacing w:after="0" w:line="112" w:lineRule="exact"/>
        <w:rPr>
          <w:sz w:val="20"/>
          <w:szCs w:val="20"/>
          <w:color w:val="auto"/>
        </w:rPr>
      </w:pPr>
    </w:p>
    <w:p>
      <w:pPr>
        <w:ind w:left="208"/>
        <w:spacing w:after="0"/>
        <w:rPr>
          <w:sz w:val="20"/>
          <w:szCs w:val="20"/>
          <w:color w:val="auto"/>
        </w:rPr>
      </w:pPr>
      <w:r>
        <w:rPr>
          <w:rFonts w:ascii="Courier New" w:cs="Courier New" w:eastAsia="Courier New" w:hAnsi="Courier New"/>
          <w:sz w:val="9"/>
          <w:szCs w:val="9"/>
          <w:color w:val="auto"/>
        </w:rPr>
        <w:t>If</w:t>
      </w:r>
    </w:p>
    <w:p>
      <w:pPr>
        <w:ind w:left="8" w:right="1240"/>
        <w:spacing w:after="0" w:line="234" w:lineRule="auto"/>
        <w:rPr>
          <w:sz w:val="20"/>
          <w:szCs w:val="20"/>
          <w:color w:val="auto"/>
        </w:rPr>
      </w:pPr>
      <w:r>
        <w:rPr>
          <w:rFonts w:ascii="Courier New" w:cs="Courier New" w:eastAsia="Courier New" w:hAnsi="Courier New"/>
          <w:sz w:val="9"/>
          <w:szCs w:val="9"/>
          <w:color w:val="auto"/>
        </w:rPr>
        <w:t>you return your signed proxy card or use Internet or telephone voting before the Annual Meeting, the named proxies will vote your shares as you direct. You have three choices on each matter to be voted upon. For the election of directors, you may vote for (1) all of the nominees, (2) none of the nominees or (3) all of the nominees except those you designate. See Proposal One—Election of Directors. For each of the other proposals, you may vote "FOR", "AGAINST" or "ABSTAIN" from voting.</w:t>
      </w:r>
    </w:p>
    <w:p>
      <w:pPr>
        <w:spacing w:after="0" w:line="116" w:lineRule="exact"/>
        <w:rPr>
          <w:sz w:val="20"/>
          <w:szCs w:val="20"/>
          <w:color w:val="auto"/>
        </w:rPr>
      </w:pPr>
    </w:p>
    <w:p>
      <w:pPr>
        <w:ind w:left="8" w:right="2060" w:firstLine="216"/>
        <w:spacing w:after="0" w:line="235" w:lineRule="auto"/>
        <w:rPr>
          <w:sz w:val="20"/>
          <w:szCs w:val="20"/>
          <w:color w:val="auto"/>
        </w:rPr>
      </w:pPr>
      <w:r>
        <w:rPr>
          <w:rFonts w:ascii="Courier New" w:cs="Courier New" w:eastAsia="Courier New" w:hAnsi="Courier New"/>
          <w:sz w:val="9"/>
          <w:szCs w:val="9"/>
          <w:b w:val="1"/>
          <w:bCs w:val="1"/>
          <w:color w:val="auto"/>
        </w:rPr>
        <w:t>If you send in your proxy card or use Internet or telephone voting, but do not specify how you want to vote your shares, we will vote them FOR the election of all nominees for director as described under</w:t>
      </w:r>
    </w:p>
    <w:p>
      <w:pPr>
        <w:spacing w:after="0" w:line="94" w:lineRule="exact"/>
        <w:rPr>
          <w:sz w:val="20"/>
          <w:szCs w:val="20"/>
          <w:color w:val="auto"/>
        </w:rPr>
      </w:pPr>
    </w:p>
    <w:p>
      <w:pPr>
        <w:ind w:left="8"/>
        <w:spacing w:after="0"/>
        <w:rPr>
          <w:sz w:val="20"/>
          <w:szCs w:val="20"/>
          <w:color w:val="auto"/>
        </w:rPr>
      </w:pPr>
      <w:r>
        <w:rPr>
          <w:rFonts w:ascii="Courier New" w:cs="Courier New" w:eastAsia="Courier New" w:hAnsi="Courier New"/>
          <w:sz w:val="9"/>
          <w:szCs w:val="9"/>
          <w:b w:val="1"/>
          <w:bCs w:val="1"/>
          <w:color w:val="auto"/>
        </w:rPr>
        <w:t>Proposal One—Election of Directors, FOR Proposal Two—Amendment of The Toro Company Annual Management Incentive Plan II, FOR Proposal Three—Amendment of The Toro</w:t>
      </w:r>
    </w:p>
    <w:p>
      <w:pPr>
        <w:ind w:left="8" w:right="1520"/>
        <w:spacing w:after="0" w:line="235" w:lineRule="auto"/>
        <w:rPr>
          <w:sz w:val="20"/>
          <w:szCs w:val="20"/>
          <w:color w:val="auto"/>
        </w:rPr>
      </w:pPr>
      <w:r>
        <w:rPr>
          <w:rFonts w:ascii="Courier New" w:cs="Courier New" w:eastAsia="Courier New" w:hAnsi="Courier New"/>
          <w:sz w:val="9"/>
          <w:szCs w:val="9"/>
          <w:b w:val="1"/>
          <w:bCs w:val="1"/>
          <w:color w:val="auto"/>
        </w:rPr>
        <w:t>Company Performance Share Plan, FOR Proposal Four—Amendment of The Toro Company Directors Stock Plan, FOR Proposal Five—Approval and Adoption of The Toro Company 2000 Stock Option Plan and FOR Proposal Six—Selection of Independent Auditors.</w:t>
      </w:r>
    </w:p>
    <w:p>
      <w:pPr>
        <w:spacing w:after="0" w:line="114" w:lineRule="exact"/>
        <w:rPr>
          <w:sz w:val="20"/>
          <w:szCs w:val="20"/>
          <w:color w:val="auto"/>
        </w:rPr>
      </w:pPr>
    </w:p>
    <w:p>
      <w:pPr>
        <w:ind w:left="8"/>
        <w:spacing w:after="0"/>
        <w:rPr>
          <w:sz w:val="20"/>
          <w:szCs w:val="20"/>
          <w:color w:val="auto"/>
        </w:rPr>
      </w:pPr>
      <w:r>
        <w:rPr>
          <w:rFonts w:ascii="Courier New" w:cs="Courier New" w:eastAsia="Courier New" w:hAnsi="Courier New"/>
          <w:sz w:val="9"/>
          <w:szCs w:val="9"/>
          <w:b w:val="1"/>
          <w:bCs w:val="1"/>
          <w:color w:val="auto"/>
        </w:rPr>
        <w:t>How You May Revoke or Change Your Vote</w:t>
      </w:r>
    </w:p>
    <w:p>
      <w:pPr>
        <w:spacing w:after="0" w:line="114" w:lineRule="exact"/>
        <w:rPr>
          <w:sz w:val="20"/>
          <w:szCs w:val="20"/>
          <w:color w:val="auto"/>
        </w:rPr>
      </w:pPr>
    </w:p>
    <w:p>
      <w:pPr>
        <w:ind w:left="208"/>
        <w:spacing w:after="0"/>
        <w:rPr>
          <w:sz w:val="20"/>
          <w:szCs w:val="20"/>
          <w:color w:val="auto"/>
        </w:rPr>
      </w:pPr>
      <w:r>
        <w:rPr>
          <w:rFonts w:ascii="Courier New" w:cs="Courier New" w:eastAsia="Courier New" w:hAnsi="Courier New"/>
          <w:sz w:val="9"/>
          <w:szCs w:val="9"/>
          <w:color w:val="auto"/>
        </w:rPr>
        <w:t>You may revoke your proxy at any time before it is voted at the Annual Meeting by one of the following methods:</w:t>
      </w:r>
    </w:p>
    <w:p>
      <w:pPr>
        <w:sectPr>
          <w:pgSz w:w="11900" w:h="16838" w:orient="portrait"/>
          <w:cols w:equalWidth="0" w:num="1">
            <w:col w:w="10808"/>
          </w:cols>
          <w:pgMar w:left="292" w:top="332" w:right="799" w:bottom="0" w:gutter="0" w:footer="0" w:header="0"/>
        </w:sectPr>
      </w:pPr>
    </w:p>
    <w:bookmarkStart w:id="2" w:name="page3"/>
    <w:bookmarkEnd w:id="2"/>
    <w:p>
      <w:pPr>
        <w:ind w:left="360"/>
        <w:spacing w:after="0"/>
        <w:rPr>
          <w:sz w:val="20"/>
          <w:szCs w:val="20"/>
          <w:color w:val="auto"/>
        </w:rPr>
      </w:pPr>
      <w:r>
        <w:rPr>
          <w:rFonts w:ascii="Courier New" w:cs="Courier New" w:eastAsia="Courier New" w:hAnsi="Courier New"/>
          <w:sz w:val="9"/>
          <w:szCs w:val="9"/>
          <w:color w:val="auto"/>
        </w:rPr>
        <w:t>•</w:t>
      </w:r>
    </w:p>
    <w:p>
      <w:pPr>
        <w:ind w:left="720"/>
        <w:spacing w:after="0" w:line="233" w:lineRule="auto"/>
        <w:rPr>
          <w:sz w:val="20"/>
          <w:szCs w:val="20"/>
          <w:color w:val="auto"/>
        </w:rPr>
      </w:pPr>
      <w:r>
        <w:rPr>
          <w:rFonts w:ascii="Courier New" w:cs="Courier New" w:eastAsia="Courier New" w:hAnsi="Courier New"/>
          <w:sz w:val="9"/>
          <w:szCs w:val="9"/>
          <w:color w:val="auto"/>
        </w:rPr>
        <w:t>Sending</w:t>
      </w:r>
    </w:p>
    <w:p>
      <w:pPr>
        <w:ind w:left="720"/>
        <w:spacing w:after="0"/>
        <w:rPr>
          <w:sz w:val="20"/>
          <w:szCs w:val="20"/>
          <w:color w:val="auto"/>
        </w:rPr>
      </w:pPr>
      <w:r>
        <w:rPr>
          <w:rFonts w:ascii="Courier New" w:cs="Courier New" w:eastAsia="Courier New" w:hAnsi="Courier New"/>
          <w:sz w:val="9"/>
          <w:szCs w:val="9"/>
          <w:color w:val="auto"/>
        </w:rPr>
        <w:t>written notice of revocation to the Company's Corporate Secretary.</w:t>
      </w:r>
    </w:p>
    <w:p>
      <w:pPr>
        <w:spacing w:after="0" w:line="192"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w:t>
      </w:r>
    </w:p>
    <w:p>
      <w:pPr>
        <w:ind w:left="720"/>
        <w:spacing w:after="0" w:line="233" w:lineRule="auto"/>
        <w:rPr>
          <w:sz w:val="20"/>
          <w:szCs w:val="20"/>
          <w:color w:val="auto"/>
        </w:rPr>
      </w:pPr>
      <w:r>
        <w:rPr>
          <w:rFonts w:ascii="Courier New" w:cs="Courier New" w:eastAsia="Courier New" w:hAnsi="Courier New"/>
          <w:sz w:val="9"/>
          <w:szCs w:val="9"/>
          <w:color w:val="auto"/>
        </w:rPr>
        <w:t>Submitting</w:t>
      </w:r>
    </w:p>
    <w:p>
      <w:pPr>
        <w:ind w:left="720"/>
        <w:spacing w:after="0" w:line="233" w:lineRule="auto"/>
        <w:rPr>
          <w:sz w:val="20"/>
          <w:szCs w:val="20"/>
          <w:color w:val="auto"/>
        </w:rPr>
      </w:pPr>
      <w:r>
        <w:rPr>
          <w:rFonts w:ascii="Courier New" w:cs="Courier New" w:eastAsia="Courier New" w:hAnsi="Courier New"/>
          <w:sz w:val="9"/>
          <w:szCs w:val="9"/>
          <w:color w:val="auto"/>
        </w:rPr>
        <w:t>another proper proxy with a more recent date than that of the proxy first given by (1) following the Internet voting instructions or</w:t>
      </w:r>
    </w:p>
    <w:p>
      <w:pPr>
        <w:ind w:left="720"/>
        <w:spacing w:after="0"/>
        <w:rPr>
          <w:sz w:val="20"/>
          <w:szCs w:val="20"/>
          <w:color w:val="auto"/>
        </w:rPr>
      </w:pPr>
      <w:r>
        <w:rPr>
          <w:rFonts w:ascii="Courier New" w:cs="Courier New" w:eastAsia="Courier New" w:hAnsi="Courier New"/>
          <w:sz w:val="9"/>
          <w:szCs w:val="9"/>
          <w:color w:val="auto"/>
        </w:rPr>
        <w:t>(2) following the telephone voting instructions or (3) completing, signing, dating and returning a proxy card to the Company.</w:t>
      </w:r>
    </w:p>
    <w:p>
      <w:pPr>
        <w:spacing w:after="0" w:line="192"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w:t>
      </w:r>
    </w:p>
    <w:p>
      <w:pPr>
        <w:ind w:left="720"/>
        <w:spacing w:after="0" w:line="233" w:lineRule="auto"/>
        <w:rPr>
          <w:sz w:val="20"/>
          <w:szCs w:val="20"/>
          <w:color w:val="auto"/>
        </w:rPr>
      </w:pPr>
      <w:r>
        <w:rPr>
          <w:rFonts w:ascii="Courier New" w:cs="Courier New" w:eastAsia="Courier New" w:hAnsi="Courier New"/>
          <w:sz w:val="9"/>
          <w:szCs w:val="9"/>
          <w:color w:val="auto"/>
        </w:rPr>
        <w:t>Attending</w:t>
      </w:r>
    </w:p>
    <w:p>
      <w:pPr>
        <w:ind w:left="720"/>
        <w:spacing w:after="0"/>
        <w:rPr>
          <w:sz w:val="20"/>
          <w:szCs w:val="20"/>
          <w:color w:val="auto"/>
        </w:rPr>
      </w:pPr>
      <w:r>
        <w:rPr>
          <w:rFonts w:ascii="Courier New" w:cs="Courier New" w:eastAsia="Courier New" w:hAnsi="Courier New"/>
          <w:sz w:val="9"/>
          <w:szCs w:val="9"/>
          <w:color w:val="auto"/>
        </w:rPr>
        <w:t>the Annual Meeting and voting in person.</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9"/>
          <w:szCs w:val="9"/>
          <w:b w:val="1"/>
          <w:bCs w:val="1"/>
          <w:color w:val="auto"/>
        </w:rPr>
        <w:t>Quorum and Vote Requirements</w:t>
      </w:r>
    </w:p>
    <w:p>
      <w:pPr>
        <w:spacing w:after="0" w:line="112" w:lineRule="exact"/>
        <w:rPr>
          <w:sz w:val="20"/>
          <w:szCs w:val="20"/>
          <w:color w:val="auto"/>
        </w:rPr>
      </w:pPr>
    </w:p>
    <w:p>
      <w:pPr>
        <w:ind w:left="200"/>
        <w:spacing w:after="0"/>
        <w:rPr>
          <w:sz w:val="20"/>
          <w:szCs w:val="20"/>
          <w:color w:val="auto"/>
        </w:rPr>
      </w:pPr>
      <w:r>
        <w:rPr>
          <w:rFonts w:ascii="Courier New" w:cs="Courier New" w:eastAsia="Courier New" w:hAnsi="Courier New"/>
          <w:sz w:val="9"/>
          <w:szCs w:val="9"/>
          <w:color w:val="auto"/>
        </w:rPr>
        <w:t>A majority of the outstanding shares of Common Stock must be present in person or by proxy in order to have a quorum to conduct business at the Annual Meeting.</w:t>
      </w:r>
    </w:p>
    <w:p>
      <w:pPr>
        <w:spacing w:after="0" w:line="233" w:lineRule="auto"/>
        <w:rPr>
          <w:sz w:val="20"/>
          <w:szCs w:val="20"/>
          <w:color w:val="auto"/>
        </w:rPr>
      </w:pPr>
      <w:r>
        <w:rPr>
          <w:rFonts w:ascii="Courier New" w:cs="Courier New" w:eastAsia="Courier New" w:hAnsi="Courier New"/>
          <w:sz w:val="9"/>
          <w:szCs w:val="9"/>
          <w:color w:val="auto"/>
        </w:rPr>
        <w:t>Shares represented by proxies marked "Abstain" and "broker non-votes" are counted in determining whether a quorum is present. A "broker non-vote" is a proxy submitted by a</w:t>
      </w:r>
    </w:p>
    <w:p>
      <w:pPr>
        <w:ind w:right="580"/>
        <w:spacing w:after="0" w:line="235" w:lineRule="auto"/>
        <w:rPr>
          <w:sz w:val="20"/>
          <w:szCs w:val="20"/>
          <w:color w:val="auto"/>
        </w:rPr>
      </w:pPr>
      <w:r>
        <w:rPr>
          <w:rFonts w:ascii="Courier New" w:cs="Courier New" w:eastAsia="Courier New" w:hAnsi="Courier New"/>
          <w:sz w:val="9"/>
          <w:szCs w:val="9"/>
          <w:color w:val="auto"/>
        </w:rPr>
        <w:t>broker that does not indicate a vote for some or all of the proposals because the broker does not have discretionary voting authority and has not received instructions from its client as to how to vote on a particular proposal.</w:t>
      </w:r>
    </w:p>
    <w:p>
      <w:pPr>
        <w:spacing w:after="0" w:line="112" w:lineRule="exact"/>
        <w:rPr>
          <w:sz w:val="20"/>
          <w:szCs w:val="20"/>
          <w:color w:val="auto"/>
        </w:rPr>
      </w:pPr>
    </w:p>
    <w:p>
      <w:pPr>
        <w:ind w:left="200"/>
        <w:spacing w:after="0"/>
        <w:rPr>
          <w:sz w:val="20"/>
          <w:szCs w:val="20"/>
          <w:color w:val="auto"/>
        </w:rPr>
      </w:pPr>
      <w:r>
        <w:rPr>
          <w:rFonts w:ascii="Courier New" w:cs="Courier New" w:eastAsia="Courier New" w:hAnsi="Courier New"/>
          <w:sz w:val="9"/>
          <w:szCs w:val="9"/>
          <w:color w:val="auto"/>
        </w:rPr>
        <w:t>The</w:t>
      </w:r>
    </w:p>
    <w:p>
      <w:pPr>
        <w:spacing w:after="0" w:line="233" w:lineRule="auto"/>
        <w:rPr>
          <w:sz w:val="20"/>
          <w:szCs w:val="20"/>
          <w:color w:val="auto"/>
        </w:rPr>
      </w:pPr>
      <w:r>
        <w:rPr>
          <w:rFonts w:ascii="Courier New" w:cs="Courier New" w:eastAsia="Courier New" w:hAnsi="Courier New"/>
          <w:sz w:val="9"/>
          <w:szCs w:val="9"/>
          <w:color w:val="auto"/>
        </w:rPr>
        <w:t>affirmative vote of a plurality of shares present at the meeting is required for the election of directors. Other matters will be decided by the affirmative vote of a majority of</w:t>
      </w:r>
    </w:p>
    <w:p>
      <w:pPr>
        <w:ind w:right="1120"/>
        <w:spacing w:after="0" w:line="235" w:lineRule="auto"/>
        <w:rPr>
          <w:sz w:val="20"/>
          <w:szCs w:val="20"/>
          <w:color w:val="auto"/>
        </w:rPr>
      </w:pPr>
      <w:r>
        <w:rPr>
          <w:rFonts w:ascii="Courier New" w:cs="Courier New" w:eastAsia="Courier New" w:hAnsi="Courier New"/>
          <w:sz w:val="9"/>
          <w:szCs w:val="9"/>
          <w:color w:val="auto"/>
        </w:rPr>
        <w:t>the shares of Common Stock present, in person or represented by proxy. "Broker non-votes" are not counted, but abstentions are counted, in determining the total number of votes cast on a proposal. An abstention has the effect of a negative vote on matters requiring approval by a majority of votes present.</w:t>
      </w:r>
    </w:p>
    <w:p>
      <w:pPr>
        <w:spacing w:after="0" w:line="114" w:lineRule="exact"/>
        <w:rPr>
          <w:sz w:val="20"/>
          <w:szCs w:val="20"/>
          <w:color w:val="auto"/>
        </w:rPr>
      </w:pPr>
    </w:p>
    <w:p>
      <w:pPr>
        <w:spacing w:after="0"/>
        <w:rPr>
          <w:sz w:val="20"/>
          <w:szCs w:val="20"/>
          <w:color w:val="auto"/>
        </w:rPr>
      </w:pPr>
      <w:r>
        <w:rPr>
          <w:rFonts w:ascii="Courier New" w:cs="Courier New" w:eastAsia="Courier New" w:hAnsi="Courier New"/>
          <w:sz w:val="9"/>
          <w:szCs w:val="9"/>
          <w:b w:val="1"/>
          <w:bCs w:val="1"/>
          <w:color w:val="auto"/>
        </w:rPr>
        <w:t>Procedures at the Annual Meeting</w:t>
      </w:r>
    </w:p>
    <w:p>
      <w:pPr>
        <w:spacing w:after="0" w:line="115" w:lineRule="exact"/>
        <w:rPr>
          <w:sz w:val="20"/>
          <w:szCs w:val="20"/>
          <w:color w:val="auto"/>
        </w:rPr>
      </w:pPr>
    </w:p>
    <w:p>
      <w:pPr>
        <w:ind w:right="2580" w:firstLine="216"/>
        <w:spacing w:after="0" w:line="235" w:lineRule="auto"/>
        <w:rPr>
          <w:sz w:val="20"/>
          <w:szCs w:val="20"/>
          <w:color w:val="auto"/>
        </w:rPr>
      </w:pPr>
      <w:r>
        <w:rPr>
          <w:rFonts w:ascii="Courier New" w:cs="Courier New" w:eastAsia="Courier New" w:hAnsi="Courier New"/>
          <w:sz w:val="9"/>
          <w:szCs w:val="9"/>
          <w:color w:val="auto"/>
        </w:rPr>
        <w:t>The presiding officer at the meeting will determine how business at the Annual Meeting will be conducted. Only matters brought before the Annual Meeting in accordance with the Company's Bylaws will be considered.</w:t>
      </w:r>
    </w:p>
    <w:p>
      <w:pPr>
        <w:spacing w:after="0" w:line="112" w:lineRule="exact"/>
        <w:rPr>
          <w:sz w:val="20"/>
          <w:szCs w:val="20"/>
          <w:color w:val="auto"/>
        </w:rPr>
      </w:pPr>
    </w:p>
    <w:p>
      <w:pPr>
        <w:ind w:left="200"/>
        <w:spacing w:after="0"/>
        <w:rPr>
          <w:sz w:val="20"/>
          <w:szCs w:val="20"/>
          <w:color w:val="auto"/>
        </w:rPr>
      </w:pPr>
      <w:r>
        <w:rPr>
          <w:rFonts w:ascii="Courier New" w:cs="Courier New" w:eastAsia="Courier New" w:hAnsi="Courier New"/>
          <w:sz w:val="9"/>
          <w:szCs w:val="9"/>
          <w:color w:val="auto"/>
        </w:rPr>
        <w:t>Only</w:t>
      </w:r>
    </w:p>
    <w:p>
      <w:pPr>
        <w:spacing w:after="0" w:line="233" w:lineRule="auto"/>
        <w:rPr>
          <w:sz w:val="20"/>
          <w:szCs w:val="20"/>
          <w:color w:val="auto"/>
        </w:rPr>
      </w:pPr>
      <w:r>
        <w:rPr>
          <w:rFonts w:ascii="Courier New" w:cs="Courier New" w:eastAsia="Courier New" w:hAnsi="Courier New"/>
          <w:sz w:val="9"/>
          <w:szCs w:val="9"/>
          <w:color w:val="auto"/>
        </w:rPr>
        <w:t>a natural person present at the Annual Meeting who either is a Toro stockholder or is acting on behalf of a stockholder may make a motion or second a motion. If the person is</w:t>
      </w:r>
    </w:p>
    <w:p>
      <w:pPr>
        <w:ind w:right="520"/>
        <w:spacing w:after="0" w:line="235" w:lineRule="auto"/>
        <w:rPr>
          <w:sz w:val="20"/>
          <w:szCs w:val="20"/>
          <w:color w:val="auto"/>
        </w:rPr>
      </w:pPr>
      <w:r>
        <w:rPr>
          <w:rFonts w:ascii="Courier New" w:cs="Courier New" w:eastAsia="Courier New" w:hAnsi="Courier New"/>
          <w:sz w:val="9"/>
          <w:szCs w:val="9"/>
          <w:color w:val="auto"/>
        </w:rPr>
        <w:t>acting on behalf of a stockholder, a written statement must be presented, executed by the stockholder or the duly authorized representative of the stockholder on whose behalf the person purports to act.</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79"/>
        <w:spacing w:after="0"/>
        <w:rPr>
          <w:sz w:val="20"/>
          <w:szCs w:val="20"/>
          <w:color w:val="auto"/>
        </w:rPr>
      </w:pPr>
      <w:r>
        <w:rPr>
          <w:rFonts w:ascii="Courier New" w:cs="Courier New" w:eastAsia="Courier New" w:hAnsi="Courier New"/>
          <w:sz w:val="9"/>
          <w:szCs w:val="9"/>
          <w:b w:val="1"/>
          <w:bCs w:val="1"/>
          <w:color w:val="auto"/>
        </w:rPr>
        <w:t>STOCK OWNERSHIP</w:t>
      </w:r>
    </w:p>
    <w:p>
      <w:pPr>
        <w:spacing w:after="0" w:line="112" w:lineRule="exact"/>
        <w:rPr>
          <w:sz w:val="20"/>
          <w:szCs w:val="20"/>
          <w:color w:val="auto"/>
        </w:rPr>
      </w:pPr>
    </w:p>
    <w:p>
      <w:pPr>
        <w:ind w:left="200"/>
        <w:spacing w:after="0"/>
        <w:rPr>
          <w:sz w:val="20"/>
          <w:szCs w:val="20"/>
          <w:color w:val="auto"/>
        </w:rPr>
      </w:pPr>
      <w:r>
        <w:rPr>
          <w:rFonts w:ascii="Courier New" w:cs="Courier New" w:eastAsia="Courier New" w:hAnsi="Courier New"/>
          <w:sz w:val="9"/>
          <w:szCs w:val="9"/>
          <w:color w:val="auto"/>
        </w:rPr>
        <w:t>The following table shows how much Toro Common Stock each of the directors and nominees, the Chief Executive Officer and the four other most highly compensated</w:t>
      </w:r>
    </w:p>
    <w:p>
      <w:pPr>
        <w:ind w:right="860"/>
        <w:spacing w:after="0" w:line="235" w:lineRule="auto"/>
        <w:rPr>
          <w:sz w:val="20"/>
          <w:szCs w:val="20"/>
          <w:color w:val="auto"/>
        </w:rPr>
      </w:pPr>
      <w:r>
        <w:rPr>
          <w:rFonts w:ascii="Courier New" w:cs="Courier New" w:eastAsia="Courier New" w:hAnsi="Courier New"/>
          <w:sz w:val="9"/>
          <w:szCs w:val="9"/>
          <w:color w:val="auto"/>
        </w:rPr>
        <w:t>executive officers named in the Summary Compensation Table ("named executive officers") beneficially owned as of January 31, 2000. The table also shows beneficial ownership by holders of more than 5% of the Common Stock and by all directors and executive officers as a group, including the named executive officers.</w:t>
      </w:r>
    </w:p>
    <w:p>
      <w:pPr>
        <w:spacing w:after="0" w:line="114"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February 9, 2000</w:t>
      </w:r>
    </w:p>
    <w:p>
      <w:pPr>
        <w:spacing w:after="0" w:line="96" w:lineRule="exact"/>
        <w:rPr>
          <w:sz w:val="20"/>
          <w:szCs w:val="20"/>
          <w:color w:val="auto"/>
        </w:rPr>
      </w:pPr>
    </w:p>
    <w:p>
      <w:pPr>
        <w:ind w:left="7300"/>
        <w:spacing w:after="0"/>
        <w:rPr>
          <w:sz w:val="20"/>
          <w:szCs w:val="20"/>
          <w:color w:val="auto"/>
        </w:rPr>
      </w:pPr>
      <w:r>
        <w:rPr>
          <w:rFonts w:ascii="Courier New" w:cs="Courier New" w:eastAsia="Courier New" w:hAnsi="Courier New"/>
          <w:sz w:val="9"/>
          <w:szCs w:val="9"/>
          <w:b w:val="1"/>
          <w:bCs w:val="1"/>
          <w:color w:val="auto"/>
        </w:rPr>
        <w:t>BY ORDER OF THE BOARD OF DIRECTORS</w:t>
      </w:r>
    </w:p>
    <w:p>
      <w:pPr>
        <w:spacing w:after="0" w:line="294" w:lineRule="exact"/>
        <w:rPr>
          <w:sz w:val="20"/>
          <w:szCs w:val="20"/>
          <w:color w:val="auto"/>
        </w:rPr>
      </w:pPr>
    </w:p>
    <w:p>
      <w:pPr>
        <w:jc w:val="center"/>
        <w:ind w:left="5140"/>
        <w:spacing w:after="0"/>
        <w:rPr>
          <w:sz w:val="20"/>
          <w:szCs w:val="20"/>
          <w:color w:val="auto"/>
        </w:rPr>
      </w:pPr>
      <w:r>
        <w:rPr>
          <w:rFonts w:ascii="Courier New" w:cs="Courier New" w:eastAsia="Courier New" w:hAnsi="Courier New"/>
          <w:sz w:val="9"/>
          <w:szCs w:val="9"/>
          <w:b w:val="1"/>
          <w:bCs w:val="1"/>
          <w:color w:val="auto"/>
        </w:rPr>
        <w:t>[SIG]</w:t>
      </w:r>
    </w:p>
    <w:p>
      <w:pPr>
        <w:spacing w:after="0" w:line="94" w:lineRule="exact"/>
        <w:rPr>
          <w:sz w:val="20"/>
          <w:szCs w:val="20"/>
          <w:color w:val="auto"/>
        </w:rPr>
      </w:pPr>
    </w:p>
    <w:p>
      <w:pPr>
        <w:jc w:val="center"/>
        <w:ind w:left="5140"/>
        <w:spacing w:after="0"/>
        <w:rPr>
          <w:sz w:val="20"/>
          <w:szCs w:val="20"/>
          <w:color w:val="auto"/>
        </w:rPr>
      </w:pPr>
      <w:r>
        <w:rPr>
          <w:rFonts w:ascii="Courier New" w:cs="Courier New" w:eastAsia="Courier New" w:hAnsi="Courier New"/>
          <w:sz w:val="9"/>
          <w:szCs w:val="9"/>
          <w:b w:val="1"/>
          <w:bCs w:val="1"/>
          <w:color w:val="auto"/>
        </w:rPr>
        <w:t>J. LAWRENCE MCINTYRE</w:t>
      </w:r>
    </w:p>
    <w:p>
      <w:pPr>
        <w:jc w:val="center"/>
        <w:ind w:left="5140"/>
        <w:spacing w:after="0" w:line="233" w:lineRule="auto"/>
        <w:rPr>
          <w:sz w:val="20"/>
          <w:szCs w:val="20"/>
          <w:color w:val="auto"/>
        </w:rPr>
      </w:pPr>
      <w:r>
        <w:rPr>
          <w:rFonts w:ascii="Courier New" w:cs="Courier New" w:eastAsia="Courier New" w:hAnsi="Courier New"/>
          <w:sz w:val="9"/>
          <w:szCs w:val="9"/>
          <w:color w:val="auto"/>
        </w:rPr>
        <w:t>Vice President, Secretary and</w:t>
      </w:r>
    </w:p>
    <w:p>
      <w:pPr>
        <w:jc w:val="center"/>
        <w:ind w:left="5140"/>
        <w:spacing w:after="0"/>
        <w:rPr>
          <w:sz w:val="20"/>
          <w:szCs w:val="20"/>
          <w:color w:val="auto"/>
        </w:rPr>
      </w:pPr>
      <w:r>
        <w:rPr>
          <w:rFonts w:ascii="Courier New" w:cs="Courier New" w:eastAsia="Courier New" w:hAnsi="Courier New"/>
          <w:sz w:val="9"/>
          <w:szCs w:val="9"/>
          <w:color w:val="auto"/>
        </w:rPr>
        <w:t>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36830</wp:posOffset>
            </wp:positionV>
            <wp:extent cx="704215" cy="18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4215" cy="18415"/>
                    </a:xfrm>
                    <a:prstGeom prst="rect">
                      <a:avLst/>
                    </a:prstGeom>
                    <a:noFill/>
                  </pic:spPr>
                </pic:pic>
              </a:graphicData>
            </a:graphic>
          </wp:anchor>
        </w:drawing>
      </w:r>
    </w:p>
    <w:p>
      <w:pPr>
        <w:spacing w:after="0" w:line="307"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w:t>
      </w:r>
    </w:p>
    <w:p>
      <w:pPr>
        <w:ind w:left="360"/>
        <w:spacing w:after="0" w:line="233" w:lineRule="auto"/>
        <w:rPr>
          <w:sz w:val="20"/>
          <w:szCs w:val="20"/>
          <w:color w:val="auto"/>
        </w:rPr>
      </w:pPr>
      <w:r>
        <w:rPr>
          <w:rFonts w:ascii="Courier New" w:cs="Courier New" w:eastAsia="Courier New" w:hAnsi="Courier New"/>
          <w:sz w:val="9"/>
          <w:szCs w:val="9"/>
          <w:color w:val="auto"/>
        </w:rPr>
        <w:t>Less</w:t>
      </w:r>
    </w:p>
    <w:p>
      <w:pPr>
        <w:ind w:left="360"/>
        <w:spacing w:after="0"/>
        <w:rPr>
          <w:sz w:val="20"/>
          <w:szCs w:val="20"/>
          <w:color w:val="auto"/>
        </w:rPr>
      </w:pPr>
      <w:r>
        <w:rPr>
          <w:rFonts w:ascii="Courier New" w:cs="Courier New" w:eastAsia="Courier New" w:hAnsi="Courier New"/>
          <w:sz w:val="9"/>
          <w:szCs w:val="9"/>
          <w:color w:val="auto"/>
        </w:rPr>
        <w:t>than 1% of the outstanding shares of Common Stock.</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(1)</w:t>
      </w:r>
    </w:p>
    <w:p>
      <w:pPr>
        <w:ind w:left="360"/>
        <w:spacing w:after="0" w:line="233" w:lineRule="auto"/>
        <w:rPr>
          <w:sz w:val="20"/>
          <w:szCs w:val="20"/>
          <w:color w:val="auto"/>
        </w:rPr>
      </w:pPr>
      <w:r>
        <w:rPr>
          <w:rFonts w:ascii="Courier New" w:cs="Courier New" w:eastAsia="Courier New" w:hAnsi="Courier New"/>
          <w:sz w:val="9"/>
          <w:szCs w:val="9"/>
          <w:color w:val="auto"/>
        </w:rPr>
        <w:t>Shares</w:t>
      </w:r>
    </w:p>
    <w:p>
      <w:pPr>
        <w:ind w:left="360"/>
        <w:spacing w:after="0" w:line="233" w:lineRule="auto"/>
        <w:rPr>
          <w:sz w:val="20"/>
          <w:szCs w:val="20"/>
          <w:color w:val="auto"/>
        </w:rPr>
      </w:pPr>
      <w:r>
        <w:rPr>
          <w:rFonts w:ascii="Courier New" w:cs="Courier New" w:eastAsia="Courier New" w:hAnsi="Courier New"/>
          <w:sz w:val="9"/>
          <w:szCs w:val="9"/>
          <w:color w:val="auto"/>
        </w:rPr>
        <w:t>are deemed to be "beneficially owned" by a person if such person, directly or indirectly, has or shares (i) the power to vote or to direct the voting of such shares or</w:t>
      </w:r>
    </w:p>
    <w:p>
      <w:pPr>
        <w:ind w:left="360"/>
        <w:spacing w:after="0"/>
        <w:rPr>
          <w:sz w:val="20"/>
          <w:szCs w:val="20"/>
          <w:color w:val="auto"/>
        </w:rPr>
      </w:pPr>
      <w:r>
        <w:rPr>
          <w:rFonts w:ascii="Courier New" w:cs="Courier New" w:eastAsia="Courier New" w:hAnsi="Courier New"/>
          <w:sz w:val="9"/>
          <w:szCs w:val="9"/>
          <w:color w:val="auto"/>
        </w:rPr>
        <w:t>(ii) the power to dispose or direct the disposition of such shares. In addition, beneficial ownership includes shares which such person has the right to acquire within 60 days.</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(2)</w:t>
      </w:r>
    </w:p>
    <w:p>
      <w:pPr>
        <w:ind w:left="360"/>
        <w:spacing w:after="0" w:line="233" w:lineRule="auto"/>
        <w:rPr>
          <w:sz w:val="20"/>
          <w:szCs w:val="20"/>
          <w:color w:val="auto"/>
        </w:rPr>
      </w:pPr>
      <w:r>
        <w:rPr>
          <w:rFonts w:ascii="Courier New" w:cs="Courier New" w:eastAsia="Courier New" w:hAnsi="Courier New"/>
          <w:sz w:val="9"/>
          <w:szCs w:val="9"/>
          <w:color w:val="auto"/>
        </w:rPr>
        <w:t>According</w:t>
      </w:r>
    </w:p>
    <w:p>
      <w:pPr>
        <w:ind w:left="360"/>
        <w:spacing w:after="0" w:line="233" w:lineRule="auto"/>
        <w:rPr>
          <w:sz w:val="20"/>
          <w:szCs w:val="20"/>
          <w:color w:val="auto"/>
        </w:rPr>
      </w:pPr>
      <w:r>
        <w:rPr>
          <w:rFonts w:ascii="Courier New" w:cs="Courier New" w:eastAsia="Courier New" w:hAnsi="Courier New"/>
          <w:sz w:val="9"/>
          <w:szCs w:val="9"/>
          <w:color w:val="auto"/>
        </w:rPr>
        <w:t>to a Schedule 13G dated February 3, 1999, one or more closed-end investment companies or other managed accounts which are advised by certain</w:t>
      </w:r>
    </w:p>
    <w:p>
      <w:pPr>
        <w:ind w:left="360"/>
        <w:spacing w:after="0" w:line="233" w:lineRule="auto"/>
        <w:rPr>
          <w:sz w:val="20"/>
          <w:szCs w:val="20"/>
          <w:color w:val="auto"/>
        </w:rPr>
      </w:pPr>
      <w:r>
        <w:rPr>
          <w:rFonts w:ascii="Courier New" w:cs="Courier New" w:eastAsia="Courier New" w:hAnsi="Courier New"/>
          <w:sz w:val="9"/>
          <w:szCs w:val="9"/>
          <w:color w:val="auto"/>
        </w:rPr>
        <w:t>investment advisory subsidiaries of Franklin Resources, Inc. ("FRI") beneficially own an aggregate of 828,100 shares of the Company's Common Stock, as to which such subsidiaries may be deemed</w:t>
      </w:r>
    </w:p>
    <w:p>
      <w:pPr>
        <w:ind w:left="360" w:right="120"/>
        <w:spacing w:after="0" w:line="289" w:lineRule="auto"/>
        <w:rPr>
          <w:sz w:val="20"/>
          <w:szCs w:val="20"/>
          <w:color w:val="auto"/>
        </w:rPr>
      </w:pPr>
      <w:r>
        <w:rPr>
          <w:rFonts w:ascii="Courier New" w:cs="Courier New" w:eastAsia="Courier New" w:hAnsi="Courier New"/>
          <w:sz w:val="8"/>
          <w:szCs w:val="8"/>
          <w:color w:val="auto"/>
        </w:rPr>
        <w:t>to be the beneficial owner. Charles B. Johnson and Rupert H. Johnson, Jr. each own in excess of 10% of the outstanding common stock of FRI, so that FRI and such individuals may be deemed to be the beneficial owner of all of such shares of the Company's Common Stock. FRI, such individuals and the subsidiaries of FRI disclaim any economic interest in or beneficial ownership of the Common Stock.</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(3)</w:t>
      </w:r>
    </w:p>
    <w:p>
      <w:pPr>
        <w:ind w:left="360"/>
        <w:spacing w:after="0" w:line="233" w:lineRule="auto"/>
        <w:rPr>
          <w:sz w:val="20"/>
          <w:szCs w:val="20"/>
          <w:color w:val="auto"/>
        </w:rPr>
      </w:pPr>
      <w:r>
        <w:rPr>
          <w:rFonts w:ascii="Courier New" w:cs="Courier New" w:eastAsia="Courier New" w:hAnsi="Courier New"/>
          <w:sz w:val="9"/>
          <w:szCs w:val="9"/>
          <w:color w:val="auto"/>
        </w:rPr>
        <w:t>Includes</w:t>
      </w:r>
    </w:p>
    <w:p>
      <w:pPr>
        <w:ind w:left="360"/>
        <w:spacing w:after="0" w:line="233" w:lineRule="auto"/>
        <w:rPr>
          <w:sz w:val="20"/>
          <w:szCs w:val="20"/>
          <w:color w:val="auto"/>
        </w:rPr>
      </w:pPr>
      <w:r>
        <w:rPr>
          <w:rFonts w:ascii="Courier New" w:cs="Courier New" w:eastAsia="Courier New" w:hAnsi="Courier New"/>
          <w:sz w:val="9"/>
          <w:szCs w:val="9"/>
          <w:color w:val="auto"/>
        </w:rPr>
        <w:t>shares that may be acquired upon exercise of stock options within 60 days and shares allocated under The Toro Company Employee Stock Ownership Plan and The Toro</w:t>
      </w:r>
    </w:p>
    <w:p>
      <w:pPr>
        <w:ind w:left="360"/>
        <w:spacing w:after="0" w:line="233" w:lineRule="auto"/>
        <w:rPr>
          <w:sz w:val="20"/>
          <w:szCs w:val="20"/>
          <w:color w:val="auto"/>
        </w:rPr>
      </w:pPr>
      <w:r>
        <w:rPr>
          <w:rFonts w:ascii="Courier New" w:cs="Courier New" w:eastAsia="Courier New" w:hAnsi="Courier New"/>
          <w:sz w:val="9"/>
          <w:szCs w:val="9"/>
          <w:color w:val="auto"/>
        </w:rPr>
        <w:t>Company Investment and Savings Plan, which are subject to some investment restrictions. Stock options exercisable in 60 days for each of the named directors and executive officers are as</w:t>
      </w:r>
    </w:p>
    <w:p>
      <w:pPr>
        <w:ind w:left="360"/>
        <w:spacing w:after="0" w:line="235" w:lineRule="auto"/>
        <w:rPr>
          <w:sz w:val="20"/>
          <w:szCs w:val="20"/>
          <w:color w:val="auto"/>
        </w:rPr>
      </w:pPr>
      <w:r>
        <w:rPr>
          <w:rFonts w:ascii="Courier New" w:cs="Courier New" w:eastAsia="Courier New" w:hAnsi="Courier New"/>
          <w:sz w:val="9"/>
          <w:szCs w:val="9"/>
          <w:color w:val="auto"/>
        </w:rPr>
        <w:t>follows: Ronald O. Baukol 3,000 shares, Robert C. Buhrmaster 3,000 shares, Winslow H. Buxton 1,000 shares, Janet K. Cooper 4,000 shares, Alex A. Meyer 1,000 shares, Robert H. Nassau 4,000 shares, Dale R. Olseth</w:t>
      </w:r>
    </w:p>
    <w:p>
      <w:pPr>
        <w:spacing w:after="0" w:line="94"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4,000 shares, Christopher A. Twomey 1,000 shares, Edwin H. Wingate 4,000 shares, Kendrick B. Melrose 469,432 shares, J. David McIntosh 58,360 shares, Stephen P. Wolfe 41,950 shares, Karen M. Meyer</w:t>
      </w:r>
    </w:p>
    <w:p>
      <w:pPr>
        <w:ind w:left="360"/>
        <w:spacing w:after="0"/>
        <w:rPr>
          <w:sz w:val="20"/>
          <w:szCs w:val="20"/>
          <w:color w:val="auto"/>
        </w:rPr>
      </w:pPr>
      <w:r>
        <w:rPr>
          <w:rFonts w:ascii="Courier New" w:cs="Courier New" w:eastAsia="Courier New" w:hAnsi="Courier New"/>
          <w:sz w:val="9"/>
          <w:szCs w:val="9"/>
          <w:color w:val="auto"/>
        </w:rPr>
        <w:t>42,328 shares and J. Lawrence McIntyre 28,452 shares and all other executive officers as a group 162,822 shares.</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(4)</w:t>
      </w:r>
    </w:p>
    <w:p>
      <w:pPr>
        <w:ind w:left="360"/>
        <w:spacing w:after="0" w:line="233" w:lineRule="auto"/>
        <w:rPr>
          <w:sz w:val="20"/>
          <w:szCs w:val="20"/>
          <w:color w:val="auto"/>
        </w:rPr>
      </w:pPr>
      <w:r>
        <w:rPr>
          <w:rFonts w:ascii="Courier New" w:cs="Courier New" w:eastAsia="Courier New" w:hAnsi="Courier New"/>
          <w:sz w:val="9"/>
          <w:szCs w:val="9"/>
          <w:color w:val="auto"/>
        </w:rPr>
        <w:t>Includes</w:t>
      </w:r>
    </w:p>
    <w:p>
      <w:pPr>
        <w:ind w:left="360"/>
        <w:spacing w:after="0"/>
        <w:rPr>
          <w:sz w:val="20"/>
          <w:szCs w:val="20"/>
          <w:color w:val="auto"/>
        </w:rPr>
      </w:pPr>
      <w:r>
        <w:rPr>
          <w:rFonts w:ascii="Courier New" w:cs="Courier New" w:eastAsia="Courier New" w:hAnsi="Courier New"/>
          <w:sz w:val="9"/>
          <w:szCs w:val="9"/>
          <w:color w:val="auto"/>
        </w:rPr>
        <w:t>72 shares held of record by Mr. McIntosh's spouse as custodian for daughter.</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(5)</w:t>
      </w:r>
    </w:p>
    <w:p>
      <w:pPr>
        <w:ind w:left="360"/>
        <w:spacing w:after="0" w:line="233" w:lineRule="auto"/>
        <w:rPr>
          <w:sz w:val="20"/>
          <w:szCs w:val="20"/>
          <w:color w:val="auto"/>
        </w:rPr>
      </w:pPr>
      <w:r>
        <w:rPr>
          <w:rFonts w:ascii="Courier New" w:cs="Courier New" w:eastAsia="Courier New" w:hAnsi="Courier New"/>
          <w:sz w:val="9"/>
          <w:szCs w:val="9"/>
          <w:color w:val="auto"/>
        </w:rPr>
        <w:t>Includes</w:t>
      </w:r>
    </w:p>
    <w:p>
      <w:pPr>
        <w:ind w:left="360"/>
        <w:spacing w:after="0" w:line="233" w:lineRule="auto"/>
        <w:rPr>
          <w:sz w:val="20"/>
          <w:szCs w:val="20"/>
          <w:color w:val="auto"/>
        </w:rPr>
      </w:pPr>
      <w:r>
        <w:rPr>
          <w:rFonts w:ascii="Courier New" w:cs="Courier New" w:eastAsia="Courier New" w:hAnsi="Courier New"/>
          <w:sz w:val="9"/>
          <w:szCs w:val="9"/>
          <w:color w:val="auto"/>
        </w:rPr>
        <w:t>Common Stock units credited under The Toro Company Deferred Compensation Plan for Officers in connection with Annual Management Incentive Plan II Stock Retention Awards and</w:t>
      </w:r>
    </w:p>
    <w:p>
      <w:pPr>
        <w:ind w:left="360" w:right="220"/>
        <w:spacing w:after="0" w:line="233" w:lineRule="auto"/>
        <w:rPr>
          <w:sz w:val="20"/>
          <w:szCs w:val="20"/>
          <w:color w:val="auto"/>
        </w:rPr>
      </w:pPr>
      <w:r>
        <w:rPr>
          <w:rFonts w:ascii="Courier New" w:cs="Courier New" w:eastAsia="Courier New" w:hAnsi="Courier New"/>
          <w:sz w:val="9"/>
          <w:szCs w:val="9"/>
          <w:color w:val="auto"/>
        </w:rPr>
        <w:t>Performance Share Plan awards. See Compensation Committee Report. Some of these are Matching Units which are subject to forfeiture until vested and vest in four equal annual installments beginning December 2001. Aggregate units credited for each of the named executive officers at January 31, 2000 are as follows: Kendrick B. Melrose 30,244 units, Stephen P. Wolfe 8,604 units, Karen M. Meyer 8,276</w:t>
      </w:r>
    </w:p>
    <w:p>
      <w:pPr>
        <w:ind w:left="360"/>
        <w:spacing w:after="0"/>
        <w:rPr>
          <w:sz w:val="20"/>
          <w:szCs w:val="20"/>
          <w:color w:val="auto"/>
        </w:rPr>
      </w:pPr>
      <w:r>
        <w:rPr>
          <w:rFonts w:ascii="Courier New" w:cs="Courier New" w:eastAsia="Courier New" w:hAnsi="Courier New"/>
          <w:sz w:val="9"/>
          <w:szCs w:val="9"/>
          <w:color w:val="auto"/>
        </w:rPr>
        <w:t>units, J. Lawrence McIntyre 6,470 units and all other executive officers as a group 8,066 units. Common Stock units are not counted in calculating Percent of Class amounts.</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(6)</w:t>
      </w:r>
    </w:p>
    <w:p>
      <w:pPr>
        <w:ind w:left="360"/>
        <w:spacing w:after="0" w:line="233" w:lineRule="auto"/>
        <w:rPr>
          <w:sz w:val="20"/>
          <w:szCs w:val="20"/>
          <w:color w:val="auto"/>
        </w:rPr>
      </w:pPr>
      <w:r>
        <w:rPr>
          <w:rFonts w:ascii="Courier New" w:cs="Courier New" w:eastAsia="Courier New" w:hAnsi="Courier New"/>
          <w:sz w:val="9"/>
          <w:szCs w:val="9"/>
          <w:color w:val="auto"/>
        </w:rPr>
        <w:t>Includes</w:t>
      </w:r>
    </w:p>
    <w:p>
      <w:pPr>
        <w:ind w:left="360" w:right="1520"/>
        <w:spacing w:after="0" w:line="289" w:lineRule="auto"/>
        <w:rPr>
          <w:sz w:val="20"/>
          <w:szCs w:val="20"/>
          <w:color w:val="auto"/>
        </w:rPr>
      </w:pPr>
      <w:r>
        <w:rPr>
          <w:rFonts w:ascii="Courier New" w:cs="Courier New" w:eastAsia="Courier New" w:hAnsi="Courier New"/>
          <w:sz w:val="8"/>
          <w:szCs w:val="8"/>
          <w:color w:val="auto"/>
        </w:rPr>
        <w:t>6,922 shares held in trust accounts on behalf of spouses of executive officers other than named executive officers. Includes Matching Shares issued in connection with Annual Management Incentive Plan II Stock Retention Awards, which are subject to forfeiture until vested and vest in four equal annual installments beginning December 2001.</w:t>
      </w:r>
    </w:p>
    <w:p>
      <w:pPr>
        <w:spacing w:after="0" w:line="348" w:lineRule="exact"/>
        <w:rPr>
          <w:sz w:val="20"/>
          <w:szCs w:val="20"/>
          <w:color w:val="auto"/>
        </w:rPr>
      </w:pPr>
    </w:p>
    <w:p>
      <w:pPr>
        <w:jc w:val="center"/>
        <w:ind w:right="-79"/>
        <w:spacing w:after="0"/>
        <w:rPr>
          <w:sz w:val="20"/>
          <w:szCs w:val="20"/>
          <w:color w:val="auto"/>
        </w:rPr>
      </w:pPr>
      <w:r>
        <w:rPr>
          <w:rFonts w:ascii="Courier New" w:cs="Courier New" w:eastAsia="Courier New" w:hAnsi="Courier New"/>
          <w:sz w:val="9"/>
          <w:szCs w:val="9"/>
          <w:b w:val="1"/>
          <w:bCs w:val="1"/>
          <w:color w:val="auto"/>
        </w:rPr>
        <w:t>SECTION 16(b) BENEFICIAL OWNERSHIP REPORTING COMPLIANCE</w:t>
      </w:r>
    </w:p>
    <w:p>
      <w:pPr>
        <w:spacing w:after="0" w:line="112" w:lineRule="exact"/>
        <w:rPr>
          <w:sz w:val="20"/>
          <w:szCs w:val="20"/>
          <w:color w:val="auto"/>
        </w:rPr>
      </w:pPr>
    </w:p>
    <w:p>
      <w:pPr>
        <w:ind w:left="200"/>
        <w:spacing w:after="0"/>
        <w:rPr>
          <w:sz w:val="20"/>
          <w:szCs w:val="20"/>
          <w:color w:val="auto"/>
        </w:rPr>
      </w:pPr>
      <w:r>
        <w:rPr>
          <w:rFonts w:ascii="Courier New" w:cs="Courier New" w:eastAsia="Courier New" w:hAnsi="Courier New"/>
          <w:sz w:val="9"/>
          <w:szCs w:val="9"/>
          <w:color w:val="auto"/>
        </w:rPr>
        <w:t>The rules of the Securities and Exchange Commission require disclosure by the Company of the identity of directors, executive officers and beneficial owners of</w:t>
      </w:r>
    </w:p>
    <w:p>
      <w:pPr>
        <w:ind w:right="740"/>
        <w:spacing w:after="0" w:line="234" w:lineRule="auto"/>
        <w:rPr>
          <w:sz w:val="20"/>
          <w:szCs w:val="20"/>
          <w:color w:val="auto"/>
        </w:rPr>
      </w:pPr>
      <w:r>
        <w:rPr>
          <w:rFonts w:ascii="Courier New" w:cs="Courier New" w:eastAsia="Courier New" w:hAnsi="Courier New"/>
          <w:sz w:val="9"/>
          <w:szCs w:val="9"/>
          <w:color w:val="auto"/>
        </w:rPr>
        <w:t>more than 10% of the Common Stock of the Company who did not file on a timely basis reports required by Section 16 of the Securities Exchange Act of 1934. Based solely on review of copies of those reports received by the Company, or written representations from certain reporting persons that no Form 5 reports were required for those persons, the Company believes that all directors, executive officers and greater than 10% owners complied with all filing requirements applicable to them during Fiscal 1999, except that a Form 4 report with respect to one transaction was inadvertently filed late on behalf of J. Lawrence McIntyre, an executive officer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340"/>
        <w:spacing w:after="0"/>
        <w:rPr>
          <w:sz w:val="20"/>
          <w:szCs w:val="20"/>
          <w:color w:val="auto"/>
        </w:rPr>
      </w:pPr>
      <w:r>
        <w:rPr>
          <w:rFonts w:ascii="Courier New" w:cs="Courier New" w:eastAsia="Courier New" w:hAnsi="Courier New"/>
          <w:sz w:val="9"/>
          <w:szCs w:val="9"/>
          <w:b w:val="1"/>
          <w:bCs w:val="1"/>
          <w:color w:val="auto"/>
        </w:rPr>
        <w:t>PROPOSAL ONE</w:t>
      </w:r>
    </w:p>
    <w:p>
      <w:pPr>
        <w:ind w:left="5040"/>
        <w:spacing w:after="0"/>
        <w:rPr>
          <w:sz w:val="20"/>
          <w:szCs w:val="20"/>
          <w:color w:val="auto"/>
        </w:rPr>
      </w:pPr>
      <w:r>
        <w:rPr>
          <w:rFonts w:ascii="Courier New" w:cs="Courier New" w:eastAsia="Courier New" w:hAnsi="Courier New"/>
          <w:sz w:val="9"/>
          <w:szCs w:val="9"/>
          <w:b w:val="1"/>
          <w:bCs w:val="1"/>
          <w:color w:val="auto"/>
        </w:rPr>
        <w:t>ELECTION OF DIRECTORS</w:t>
      </w:r>
    </w:p>
    <w:p>
      <w:pPr>
        <w:spacing w:after="0" w:line="111" w:lineRule="exact"/>
        <w:rPr>
          <w:sz w:val="20"/>
          <w:szCs w:val="20"/>
          <w:color w:val="auto"/>
        </w:rPr>
      </w:pPr>
    </w:p>
    <w:p>
      <w:pPr>
        <w:ind w:left="200"/>
        <w:spacing w:after="0"/>
        <w:rPr>
          <w:sz w:val="20"/>
          <w:szCs w:val="20"/>
          <w:color w:val="auto"/>
        </w:rPr>
      </w:pPr>
      <w:r>
        <w:rPr>
          <w:rFonts w:ascii="Courier New" w:cs="Courier New" w:eastAsia="Courier New" w:hAnsi="Courier New"/>
          <w:sz w:val="9"/>
          <w:szCs w:val="9"/>
          <w:color w:val="auto"/>
        </w:rPr>
        <w:t>Under the Company's Certificate of Incorporation, the Toro Board of Directors may be comprised of between eight and eleven directors.</w:t>
      </w:r>
    </w:p>
    <w:p>
      <w:pPr>
        <w:spacing w:after="0" w:line="233" w:lineRule="auto"/>
        <w:rPr>
          <w:sz w:val="20"/>
          <w:szCs w:val="20"/>
          <w:color w:val="auto"/>
        </w:rPr>
      </w:pPr>
      <w:r>
        <w:rPr>
          <w:rFonts w:ascii="Courier New" w:cs="Courier New" w:eastAsia="Courier New" w:hAnsi="Courier New"/>
          <w:sz w:val="9"/>
          <w:szCs w:val="9"/>
          <w:color w:val="auto"/>
        </w:rPr>
        <w:t>Alex A. Meyer who has served as a director since 1986, has given notice that he will be retiring following this Annual Meeting. The Board has fixed the number of directors at ten. The</w:t>
      </w:r>
    </w:p>
    <w:p>
      <w:pPr>
        <w:ind w:right="360"/>
        <w:spacing w:after="0" w:line="234" w:lineRule="auto"/>
        <w:rPr>
          <w:sz w:val="20"/>
          <w:szCs w:val="20"/>
          <w:color w:val="auto"/>
        </w:rPr>
      </w:pPr>
      <w:r>
        <w:rPr>
          <w:rFonts w:ascii="Courier New" w:cs="Courier New" w:eastAsia="Courier New" w:hAnsi="Courier New"/>
          <w:sz w:val="9"/>
          <w:szCs w:val="9"/>
          <w:color w:val="auto"/>
        </w:rPr>
        <w:t>Board expects, however, to increase its number to eleven during Fiscal 2000 after the Nominating Committee completes its candidate selection process. The maximum and minimum number of directors can be changed only by amendment of the Certificate of Incorporation approved by the affirmative vote of 80% of the outstanding Common Stock of the Company. The Board is divided into three classes, with each class elected in a different year for a term of three years. The four nominees for election at the 2000 Annual Meeting—Janet K. Cooper, Kendrick B. Melrose, Gregg W. Steinhafel and Edwin H. Wingate have consented to serve if elected. If any nominee is unable to stand for election, the Board may, by resolution, designate a substitute.</w:t>
      </w:r>
    </w:p>
    <w:p>
      <w:pPr>
        <w:spacing w:after="0" w:line="112" w:lineRule="exact"/>
        <w:rPr>
          <w:sz w:val="20"/>
          <w:szCs w:val="20"/>
          <w:color w:val="auto"/>
        </w:rPr>
      </w:pPr>
    </w:p>
    <w:p>
      <w:pPr>
        <w:ind w:left="200"/>
        <w:spacing w:after="0"/>
        <w:rPr>
          <w:sz w:val="20"/>
          <w:szCs w:val="20"/>
          <w:color w:val="auto"/>
        </w:rPr>
      </w:pPr>
      <w:r>
        <w:rPr>
          <w:rFonts w:ascii="Courier New" w:cs="Courier New" w:eastAsia="Courier New" w:hAnsi="Courier New"/>
          <w:sz w:val="9"/>
          <w:szCs w:val="9"/>
          <w:color w:val="auto"/>
        </w:rPr>
        <w:t>The</w:t>
      </w:r>
    </w:p>
    <w:p>
      <w:pPr>
        <w:ind w:right="1880"/>
        <w:spacing w:after="0" w:line="235" w:lineRule="auto"/>
        <w:rPr>
          <w:sz w:val="20"/>
          <w:szCs w:val="20"/>
          <w:color w:val="auto"/>
        </w:rPr>
      </w:pPr>
      <w:r>
        <w:rPr>
          <w:rFonts w:ascii="Courier New" w:cs="Courier New" w:eastAsia="Courier New" w:hAnsi="Courier New"/>
          <w:sz w:val="9"/>
          <w:szCs w:val="9"/>
          <w:color w:val="auto"/>
        </w:rPr>
        <w:t>Board held six meetings during Fiscal 1999. Each incumbent director with the exception of Mr. Baukol attended at least 75% of the aggregate total number of meetings held by the Board and all committees on which he or she served.</w:t>
      </w:r>
    </w:p>
    <w:p>
      <w:pPr>
        <w:spacing w:after="0" w:line="112" w:lineRule="exact"/>
        <w:rPr>
          <w:sz w:val="20"/>
          <w:szCs w:val="20"/>
          <w:color w:val="auto"/>
        </w:rPr>
      </w:pPr>
    </w:p>
    <w:p>
      <w:pPr>
        <w:ind w:left="200"/>
        <w:spacing w:after="0"/>
        <w:rPr>
          <w:sz w:val="20"/>
          <w:szCs w:val="20"/>
          <w:color w:val="auto"/>
        </w:rPr>
      </w:pPr>
      <w:r>
        <w:rPr>
          <w:rFonts w:ascii="Courier New" w:cs="Courier New" w:eastAsia="Courier New" w:hAnsi="Courier New"/>
          <w:sz w:val="9"/>
          <w:szCs w:val="9"/>
          <w:color w:val="auto"/>
        </w:rPr>
        <w:t>The</w:t>
      </w:r>
    </w:p>
    <w:p>
      <w:pPr>
        <w:ind w:right="1780"/>
        <w:spacing w:after="0" w:line="235" w:lineRule="auto"/>
        <w:rPr>
          <w:sz w:val="20"/>
          <w:szCs w:val="20"/>
          <w:color w:val="auto"/>
        </w:rPr>
      </w:pPr>
      <w:r>
        <w:rPr>
          <w:rFonts w:ascii="Courier New" w:cs="Courier New" w:eastAsia="Courier New" w:hAnsi="Courier New"/>
          <w:sz w:val="9"/>
          <w:szCs w:val="9"/>
          <w:color w:val="auto"/>
        </w:rPr>
        <w:t>following information with respect to business experience of nominees for election to the Board and the continuing directors has been furnished by the respective directors or nominees or obtained from the records of the Company.</w:t>
      </w:r>
    </w:p>
    <w:p>
      <w:pPr>
        <w:spacing w:after="0" w:line="114" w:lineRule="exact"/>
        <w:rPr>
          <w:sz w:val="20"/>
          <w:szCs w:val="20"/>
          <w:color w:val="auto"/>
        </w:rPr>
      </w:pPr>
    </w:p>
    <w:p>
      <w:pPr>
        <w:spacing w:after="0"/>
        <w:rPr>
          <w:sz w:val="20"/>
          <w:szCs w:val="20"/>
          <w:color w:val="auto"/>
        </w:rPr>
      </w:pPr>
      <w:r>
        <w:rPr>
          <w:rFonts w:ascii="Courier New" w:cs="Courier New" w:eastAsia="Courier New" w:hAnsi="Courier New"/>
          <w:sz w:val="9"/>
          <w:szCs w:val="9"/>
          <w:b w:val="1"/>
          <w:bCs w:val="1"/>
          <w:color w:val="auto"/>
        </w:rPr>
        <w:t>Nominees for Election to Board of Directors (Term ending after Fiscal 2002)</w:t>
      </w:r>
    </w:p>
    <w:p>
      <w:pPr>
        <w:spacing w:after="0" w:line="112" w:lineRule="exact"/>
        <w:rPr>
          <w:sz w:val="20"/>
          <w:szCs w:val="20"/>
          <w:color w:val="auto"/>
        </w:rPr>
      </w:pPr>
    </w:p>
    <w:p>
      <w:pPr>
        <w:ind w:left="200"/>
        <w:spacing w:after="0"/>
        <w:tabs>
          <w:tab w:leader="none" w:pos="1600" w:val="left"/>
        </w:tabs>
        <w:rPr>
          <w:sz w:val="20"/>
          <w:szCs w:val="20"/>
          <w:color w:val="auto"/>
        </w:rPr>
      </w:pPr>
      <w:r>
        <w:rPr>
          <w:rFonts w:ascii="Courier New" w:cs="Courier New" w:eastAsia="Courier New" w:hAnsi="Courier New"/>
          <w:sz w:val="9"/>
          <w:szCs w:val="9"/>
          <w:b w:val="1"/>
          <w:bCs w:val="1"/>
          <w:i w:val="1"/>
          <w:iCs w:val="1"/>
          <w:color w:val="auto"/>
        </w:rPr>
        <w:t>Janet K. Cooper, age 46.</w:t>
      </w:r>
      <w:r>
        <w:rPr>
          <w:sz w:val="20"/>
          <w:szCs w:val="20"/>
          <w:color w:val="auto"/>
        </w:rPr>
        <w:tab/>
      </w:r>
      <w:r>
        <w:rPr>
          <w:rFonts w:ascii="Courier New" w:cs="Courier New" w:eastAsia="Courier New" w:hAnsi="Courier New"/>
          <w:sz w:val="8"/>
          <w:szCs w:val="8"/>
          <w:color w:val="auto"/>
        </w:rPr>
        <w:t>Vice President Finance and Controller since June 1999, U S</w:t>
      </w:r>
    </w:p>
    <w:p>
      <w:pPr>
        <w:spacing w:after="0" w:line="233" w:lineRule="auto"/>
        <w:rPr>
          <w:sz w:val="20"/>
          <w:szCs w:val="20"/>
          <w:color w:val="auto"/>
        </w:rPr>
      </w:pPr>
      <w:r>
        <w:rPr>
          <w:rFonts w:ascii="Courier New" w:cs="Courier New" w:eastAsia="Courier New" w:hAnsi="Courier New"/>
          <w:sz w:val="9"/>
          <w:szCs w:val="9"/>
          <w:color w:val="auto"/>
        </w:rPr>
        <w:t>West, Denver, Colorado (telecommunications). Served as Vice President—Treasurer and Controller from February 1999 to June 1999 and Vice President—Treasurer from</w:t>
      </w:r>
    </w:p>
    <w:p>
      <w:pPr>
        <w:ind w:right="1820"/>
        <w:spacing w:after="0" w:line="234" w:lineRule="auto"/>
        <w:rPr>
          <w:sz w:val="20"/>
          <w:szCs w:val="20"/>
          <w:color w:val="auto"/>
        </w:rPr>
      </w:pPr>
      <w:r>
        <w:rPr>
          <w:rFonts w:ascii="Courier New" w:cs="Courier New" w:eastAsia="Courier New" w:hAnsi="Courier New"/>
          <w:sz w:val="9"/>
          <w:szCs w:val="9"/>
          <w:color w:val="auto"/>
        </w:rPr>
        <w:t>May 1998 to February 1999. She previously was employed by The Quaker Oats Company and served as Vice President, Treasurer and Tax from July 1997 to May 1998 and Vice President and Treasurer from July 1992 to July 1997. First elected to the Toro Board in 1994, she is Chair of the Audit Committee and a member of the Compensation Committee. Ms. Cooper is a director of Lennox International Inc., Dallas, Texas.</w:t>
      </w:r>
    </w:p>
    <w:p>
      <w:pPr>
        <w:sectPr>
          <w:pgSz w:w="11900" w:h="16838" w:orient="portrait"/>
          <w:cols w:equalWidth="0" w:num="1">
            <w:col w:w="11160"/>
          </w:cols>
          <w:pgMar w:left="300" w:top="269" w:right="439" w:bottom="0" w:gutter="0" w:footer="0" w:header="0"/>
        </w:sectPr>
      </w:pPr>
    </w:p>
    <w:bookmarkStart w:id="3" w:name="page4"/>
    <w:bookmarkEnd w:id="3"/>
    <w:p>
      <w:pPr>
        <w:ind w:left="200"/>
        <w:spacing w:after="0"/>
        <w:tabs>
          <w:tab w:leader="none" w:pos="1800" w:val="left"/>
        </w:tabs>
        <w:rPr>
          <w:sz w:val="20"/>
          <w:szCs w:val="20"/>
          <w:color w:val="auto"/>
        </w:rPr>
      </w:pPr>
      <w:r>
        <w:rPr>
          <w:rFonts w:ascii="Courier New" w:cs="Courier New" w:eastAsia="Courier New" w:hAnsi="Courier New"/>
          <w:sz w:val="9"/>
          <w:szCs w:val="9"/>
          <w:b w:val="1"/>
          <w:bCs w:val="1"/>
          <w:i w:val="1"/>
          <w:iCs w:val="1"/>
          <w:color w:val="auto"/>
        </w:rPr>
        <w:t>Kendrick B. Melrose, age 59.</w:t>
      </w:r>
      <w:r>
        <w:rPr>
          <w:sz w:val="20"/>
          <w:szCs w:val="20"/>
          <w:color w:val="auto"/>
        </w:rPr>
        <w:tab/>
      </w:r>
      <w:r>
        <w:rPr>
          <w:rFonts w:ascii="Courier New" w:cs="Courier New" w:eastAsia="Courier New" w:hAnsi="Courier New"/>
          <w:sz w:val="9"/>
          <w:szCs w:val="9"/>
          <w:color w:val="auto"/>
        </w:rPr>
        <w:t>Chairman of Toro since December 1987 and Chief Executive</w:t>
      </w:r>
    </w:p>
    <w:p>
      <w:pPr>
        <w:ind w:right="2040"/>
        <w:spacing w:after="0" w:line="235" w:lineRule="auto"/>
        <w:rPr>
          <w:sz w:val="20"/>
          <w:szCs w:val="20"/>
          <w:color w:val="auto"/>
        </w:rPr>
      </w:pPr>
      <w:r>
        <w:rPr>
          <w:rFonts w:ascii="Courier New" w:cs="Courier New" w:eastAsia="Courier New" w:hAnsi="Courier New"/>
          <w:sz w:val="9"/>
          <w:szCs w:val="9"/>
          <w:color w:val="auto"/>
        </w:rPr>
        <w:t>Officer of Toro since December 1983. Employed by Toro since 1970. First elected to the Toro Board in 1981. Mr. Melrose is also Chair of the Executive Committee and an ex-officio member of the Nominating Committee. Mr. Melrose is a director of SurModics, Inc., Donaldson Company, Inc., Jostens, Inc. and The Valspar Corporation.</w:t>
      </w:r>
    </w:p>
    <w:p>
      <w:pPr>
        <w:spacing w:after="0" w:line="112" w:lineRule="exact"/>
        <w:rPr>
          <w:sz w:val="20"/>
          <w:szCs w:val="20"/>
          <w:color w:val="auto"/>
        </w:rPr>
      </w:pPr>
    </w:p>
    <w:p>
      <w:pPr>
        <w:ind w:left="200"/>
        <w:spacing w:after="0"/>
        <w:tabs>
          <w:tab w:leader="none" w:pos="1800" w:val="left"/>
        </w:tabs>
        <w:rPr>
          <w:sz w:val="20"/>
          <w:szCs w:val="20"/>
          <w:color w:val="auto"/>
        </w:rPr>
      </w:pPr>
      <w:r>
        <w:rPr>
          <w:rFonts w:ascii="Courier New" w:cs="Courier New" w:eastAsia="Courier New" w:hAnsi="Courier New"/>
          <w:sz w:val="9"/>
          <w:szCs w:val="9"/>
          <w:b w:val="1"/>
          <w:bCs w:val="1"/>
          <w:i w:val="1"/>
          <w:iCs w:val="1"/>
          <w:color w:val="auto"/>
        </w:rPr>
        <w:t>Gregg W. Steinhafel, age 45.</w:t>
      </w:r>
      <w:r>
        <w:rPr>
          <w:sz w:val="20"/>
          <w:szCs w:val="20"/>
          <w:color w:val="auto"/>
        </w:rPr>
        <w:tab/>
      </w:r>
      <w:r>
        <w:rPr>
          <w:rFonts w:ascii="Courier New" w:cs="Courier New" w:eastAsia="Courier New" w:hAnsi="Courier New"/>
          <w:sz w:val="9"/>
          <w:szCs w:val="9"/>
          <w:color w:val="auto"/>
        </w:rPr>
        <w:t>President since August 1999, Target Stores, a division of</w:t>
      </w:r>
    </w:p>
    <w:p>
      <w:pPr>
        <w:ind w:right="1080"/>
        <w:spacing w:after="0" w:line="235" w:lineRule="auto"/>
        <w:rPr>
          <w:sz w:val="20"/>
          <w:szCs w:val="20"/>
          <w:color w:val="auto"/>
        </w:rPr>
      </w:pPr>
      <w:r>
        <w:rPr>
          <w:rFonts w:ascii="Courier New" w:cs="Courier New" w:eastAsia="Courier New" w:hAnsi="Courier New"/>
          <w:sz w:val="9"/>
          <w:szCs w:val="9"/>
          <w:color w:val="auto"/>
        </w:rPr>
        <w:t>Target Corporation, Minneapolis, Minnesota (retailing). Served as Executive Vice President Merchandising from July 1994 to August 1999. First elected to the Toro Board in 1999, he is a member of the Audit Committee and the Executive Committee.</w:t>
      </w:r>
    </w:p>
    <w:p>
      <w:pPr>
        <w:spacing w:after="0" w:line="112" w:lineRule="exact"/>
        <w:rPr>
          <w:sz w:val="20"/>
          <w:szCs w:val="20"/>
          <w:color w:val="auto"/>
        </w:rPr>
      </w:pPr>
    </w:p>
    <w:p>
      <w:pPr>
        <w:ind w:left="200"/>
        <w:spacing w:after="0"/>
        <w:tabs>
          <w:tab w:leader="none" w:pos="1640" w:val="left"/>
        </w:tabs>
        <w:rPr>
          <w:sz w:val="20"/>
          <w:szCs w:val="20"/>
          <w:color w:val="auto"/>
        </w:rPr>
      </w:pPr>
      <w:r>
        <w:rPr>
          <w:rFonts w:ascii="Courier New" w:cs="Courier New" w:eastAsia="Courier New" w:hAnsi="Courier New"/>
          <w:sz w:val="9"/>
          <w:szCs w:val="9"/>
          <w:b w:val="1"/>
          <w:bCs w:val="1"/>
          <w:i w:val="1"/>
          <w:iCs w:val="1"/>
          <w:color w:val="auto"/>
        </w:rPr>
        <w:t>Edwin H. Wingate, age 67.</w:t>
      </w:r>
      <w:r>
        <w:rPr>
          <w:sz w:val="20"/>
          <w:szCs w:val="20"/>
          <w:color w:val="auto"/>
        </w:rPr>
        <w:tab/>
      </w:r>
      <w:r>
        <w:rPr>
          <w:rFonts w:ascii="Courier New" w:cs="Courier New" w:eastAsia="Courier New" w:hAnsi="Courier New"/>
          <w:sz w:val="8"/>
          <w:szCs w:val="8"/>
          <w:color w:val="auto"/>
        </w:rPr>
        <w:t>Retired. From June 1980 through August 1997 served as</w:t>
      </w:r>
    </w:p>
    <w:p>
      <w:pPr>
        <w:ind w:right="1180"/>
        <w:spacing w:after="0" w:line="235" w:lineRule="auto"/>
        <w:rPr>
          <w:sz w:val="20"/>
          <w:szCs w:val="20"/>
          <w:color w:val="auto"/>
        </w:rPr>
      </w:pPr>
      <w:r>
        <w:rPr>
          <w:rFonts w:ascii="Courier New" w:cs="Courier New" w:eastAsia="Courier New" w:hAnsi="Courier New"/>
          <w:sz w:val="9"/>
          <w:szCs w:val="9"/>
          <w:color w:val="auto"/>
        </w:rPr>
        <w:t>Senior Vice President—Personnel, Dayton Hudson Corporation, Minneapolis, Minnesota (retailing). First elected to the Toro Board in 1989, he is Chair of the Nominating Committee and a member of the Audit Committee.</w:t>
      </w:r>
    </w:p>
    <w:p>
      <w:pPr>
        <w:spacing w:after="0" w:line="114" w:lineRule="exact"/>
        <w:rPr>
          <w:sz w:val="20"/>
          <w:szCs w:val="20"/>
          <w:color w:val="auto"/>
        </w:rPr>
      </w:pPr>
    </w:p>
    <w:p>
      <w:pPr>
        <w:spacing w:after="0"/>
        <w:rPr>
          <w:sz w:val="20"/>
          <w:szCs w:val="20"/>
          <w:color w:val="auto"/>
        </w:rPr>
      </w:pPr>
      <w:r>
        <w:rPr>
          <w:rFonts w:ascii="Courier New" w:cs="Courier New" w:eastAsia="Courier New" w:hAnsi="Courier New"/>
          <w:sz w:val="9"/>
          <w:szCs w:val="9"/>
          <w:b w:val="1"/>
          <w:bCs w:val="1"/>
          <w:color w:val="auto"/>
        </w:rPr>
        <w:t>Members of Board of Directors Continuing in Office (Term ending after Fiscal 2000)</w:t>
      </w:r>
    </w:p>
    <w:p>
      <w:pPr>
        <w:spacing w:after="0" w:line="112" w:lineRule="exact"/>
        <w:rPr>
          <w:sz w:val="20"/>
          <w:szCs w:val="20"/>
          <w:color w:val="auto"/>
        </w:rPr>
      </w:pPr>
    </w:p>
    <w:p>
      <w:pPr>
        <w:ind w:left="200"/>
        <w:spacing w:after="0"/>
        <w:tabs>
          <w:tab w:leader="none" w:pos="1860" w:val="left"/>
        </w:tabs>
        <w:rPr>
          <w:sz w:val="20"/>
          <w:szCs w:val="20"/>
          <w:color w:val="auto"/>
        </w:rPr>
      </w:pPr>
      <w:r>
        <w:rPr>
          <w:rFonts w:ascii="Courier New" w:cs="Courier New" w:eastAsia="Courier New" w:hAnsi="Courier New"/>
          <w:sz w:val="9"/>
          <w:szCs w:val="9"/>
          <w:b w:val="1"/>
          <w:bCs w:val="1"/>
          <w:i w:val="1"/>
          <w:iCs w:val="1"/>
          <w:color w:val="auto"/>
        </w:rPr>
        <w:t>Robert C. Buhrmaster, age 52.</w:t>
      </w:r>
      <w:r>
        <w:rPr>
          <w:sz w:val="20"/>
          <w:szCs w:val="20"/>
          <w:color w:val="auto"/>
        </w:rPr>
        <w:tab/>
      </w:r>
      <w:r>
        <w:rPr>
          <w:rFonts w:ascii="Courier New" w:cs="Courier New" w:eastAsia="Courier New" w:hAnsi="Courier New"/>
          <w:sz w:val="9"/>
          <w:szCs w:val="9"/>
          <w:color w:val="auto"/>
        </w:rPr>
        <w:t>Chairman since February 1998 and President and Chief</w:t>
      </w:r>
    </w:p>
    <w:p>
      <w:pPr>
        <w:ind w:right="2200"/>
        <w:spacing w:after="0" w:line="235" w:lineRule="auto"/>
        <w:rPr>
          <w:sz w:val="20"/>
          <w:szCs w:val="20"/>
          <w:color w:val="auto"/>
        </w:rPr>
      </w:pPr>
      <w:r>
        <w:rPr>
          <w:rFonts w:ascii="Courier New" w:cs="Courier New" w:eastAsia="Courier New" w:hAnsi="Courier New"/>
          <w:sz w:val="9"/>
          <w:szCs w:val="9"/>
          <w:color w:val="auto"/>
        </w:rPr>
        <w:t>Executive Officer since May 1994, Jostens, Inc., Minneapolis, Minnesota (consumer manufacturing). Served as President and Chief Operating Officer from June 1993 to March 1994, as Executive Vice President from December 1992 to June 1993. First elected to the Toro Board in 1996, he is a member of the Audit</w:t>
      </w:r>
    </w:p>
    <w:p>
      <w:pPr>
        <w:spacing w:after="0" w:line="96"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Committee, Executive Committee and Nominating Committee. Mr. Buhrmaster is a director of Jostens, Inc.</w:t>
      </w:r>
    </w:p>
    <w:p>
      <w:pPr>
        <w:spacing w:after="0" w:line="112" w:lineRule="exact"/>
        <w:rPr>
          <w:sz w:val="20"/>
          <w:szCs w:val="20"/>
          <w:color w:val="auto"/>
        </w:rPr>
      </w:pPr>
    </w:p>
    <w:p>
      <w:pPr>
        <w:ind w:left="200"/>
        <w:spacing w:after="0"/>
        <w:tabs>
          <w:tab w:leader="none" w:pos="1700" w:val="left"/>
        </w:tabs>
        <w:rPr>
          <w:sz w:val="20"/>
          <w:szCs w:val="20"/>
          <w:color w:val="auto"/>
        </w:rPr>
      </w:pPr>
      <w:r>
        <w:rPr>
          <w:rFonts w:ascii="Courier New" w:cs="Courier New" w:eastAsia="Courier New" w:hAnsi="Courier New"/>
          <w:sz w:val="9"/>
          <w:szCs w:val="9"/>
          <w:b w:val="1"/>
          <w:bCs w:val="1"/>
          <w:i w:val="1"/>
          <w:iCs w:val="1"/>
          <w:color w:val="auto"/>
        </w:rPr>
        <w:t>Winslow H. Buxton, age 60.</w:t>
      </w:r>
      <w:r>
        <w:rPr>
          <w:sz w:val="20"/>
          <w:szCs w:val="20"/>
          <w:color w:val="auto"/>
        </w:rPr>
        <w:tab/>
      </w:r>
      <w:r>
        <w:rPr>
          <w:rFonts w:ascii="Courier New" w:cs="Courier New" w:eastAsia="Courier New" w:hAnsi="Courier New"/>
          <w:sz w:val="9"/>
          <w:szCs w:val="9"/>
          <w:color w:val="auto"/>
        </w:rPr>
        <w:t>Chairman of the Board of Directors since January 1993 and</w:t>
      </w:r>
    </w:p>
    <w:p>
      <w:pPr>
        <w:spacing w:after="0" w:line="233" w:lineRule="auto"/>
        <w:rPr>
          <w:sz w:val="20"/>
          <w:szCs w:val="20"/>
          <w:color w:val="auto"/>
        </w:rPr>
      </w:pPr>
      <w:r>
        <w:rPr>
          <w:rFonts w:ascii="Courier New" w:cs="Courier New" w:eastAsia="Courier New" w:hAnsi="Courier New"/>
          <w:sz w:val="9"/>
          <w:szCs w:val="9"/>
          <w:color w:val="auto"/>
        </w:rPr>
        <w:t>Chief Executive Officer since August 1992, Pentair, Inc., Saint Paul, Minnesota (diversified manufacturer). From August 1992 to December 1999 he also served as President.</w:t>
      </w:r>
    </w:p>
    <w:p>
      <w:pPr>
        <w:ind w:right="1080"/>
        <w:spacing w:after="0" w:line="235" w:lineRule="auto"/>
        <w:rPr>
          <w:sz w:val="20"/>
          <w:szCs w:val="20"/>
          <w:color w:val="auto"/>
        </w:rPr>
      </w:pPr>
      <w:r>
        <w:rPr>
          <w:rFonts w:ascii="Courier New" w:cs="Courier New" w:eastAsia="Courier New" w:hAnsi="Courier New"/>
          <w:sz w:val="9"/>
          <w:szCs w:val="9"/>
          <w:color w:val="auto"/>
        </w:rPr>
        <w:t>From August 1990 to August 1992 he served as Chief Operating Officer. First elected to the Toro Board in 1998, he is a member of the Audit Committee, Executive Committee and Nominating Committee. Mr. Buxton is a director of Bemis Company, Inc., Willamette Industries, Inc., Portland, Oregon and Pentair, Inc.</w:t>
      </w:r>
    </w:p>
    <w:p>
      <w:pPr>
        <w:spacing w:after="0" w:line="112" w:lineRule="exact"/>
        <w:rPr>
          <w:sz w:val="20"/>
          <w:szCs w:val="20"/>
          <w:color w:val="auto"/>
        </w:rPr>
      </w:pPr>
    </w:p>
    <w:p>
      <w:pPr>
        <w:ind w:left="200"/>
        <w:spacing w:after="0"/>
        <w:tabs>
          <w:tab w:leader="none" w:pos="1640" w:val="left"/>
        </w:tabs>
        <w:rPr>
          <w:sz w:val="20"/>
          <w:szCs w:val="20"/>
          <w:color w:val="auto"/>
        </w:rPr>
      </w:pPr>
      <w:r>
        <w:rPr>
          <w:rFonts w:ascii="Courier New" w:cs="Courier New" w:eastAsia="Courier New" w:hAnsi="Courier New"/>
          <w:sz w:val="9"/>
          <w:szCs w:val="9"/>
          <w:b w:val="1"/>
          <w:bCs w:val="1"/>
          <w:i w:val="1"/>
          <w:iCs w:val="1"/>
          <w:color w:val="auto"/>
        </w:rPr>
        <w:t>Robert H. Nassau, age 58.</w:t>
      </w:r>
      <w:r>
        <w:rPr>
          <w:sz w:val="20"/>
          <w:szCs w:val="20"/>
          <w:color w:val="auto"/>
        </w:rPr>
        <w:tab/>
      </w:r>
      <w:r>
        <w:rPr>
          <w:rFonts w:ascii="Courier New" w:cs="Courier New" w:eastAsia="Courier New" w:hAnsi="Courier New"/>
          <w:sz w:val="9"/>
          <w:szCs w:val="9"/>
          <w:color w:val="auto"/>
        </w:rPr>
        <w:t>Former President and Chief Executive Officer, St. Raymond Wood</w:t>
      </w:r>
    </w:p>
    <w:p>
      <w:pPr>
        <w:ind w:right="1240"/>
        <w:spacing w:after="0" w:line="234" w:lineRule="auto"/>
        <w:rPr>
          <w:sz w:val="20"/>
          <w:szCs w:val="20"/>
          <w:color w:val="auto"/>
        </w:rPr>
      </w:pPr>
      <w:r>
        <w:rPr>
          <w:rFonts w:ascii="Courier New" w:cs="Courier New" w:eastAsia="Courier New" w:hAnsi="Courier New"/>
          <w:sz w:val="9"/>
          <w:szCs w:val="9"/>
          <w:color w:val="auto"/>
        </w:rPr>
        <w:t>Products Holding Limited, Boston, Massachusetts (wood manufacturing). From January 1997 to August 1999, he served as President and Chief Executive Officer, St. Raymond Wood Products Holding Limited. From September 1994 to December 1996 he served as Senior Vice President Ply Gem Industries, Inc., New York, New York and President and CEO of the Goldenberg Group, its wholly-owned subsidiary. Also President and Chief Executive Officer, Allied Plywood Corporation, Concord, Massachusetts, a wholly-owned subsidiary of Ply-Gem Industries, Inc. from July 1991 to December 1996. First elected to the Toro Board in 1988, he is a member of the Compensation Committee and Nominating Committee.</w:t>
      </w:r>
    </w:p>
    <w:p>
      <w:pPr>
        <w:spacing w:after="0" w:line="112" w:lineRule="exact"/>
        <w:rPr>
          <w:sz w:val="20"/>
          <w:szCs w:val="20"/>
          <w:color w:val="auto"/>
        </w:rPr>
      </w:pPr>
    </w:p>
    <w:p>
      <w:pPr>
        <w:ind w:left="200"/>
        <w:spacing w:after="0"/>
        <w:tabs>
          <w:tab w:leader="none" w:pos="1920" w:val="left"/>
        </w:tabs>
        <w:rPr>
          <w:sz w:val="20"/>
          <w:szCs w:val="20"/>
          <w:color w:val="auto"/>
        </w:rPr>
      </w:pPr>
      <w:r>
        <w:rPr>
          <w:rFonts w:ascii="Courier New" w:cs="Courier New" w:eastAsia="Courier New" w:hAnsi="Courier New"/>
          <w:sz w:val="9"/>
          <w:szCs w:val="9"/>
          <w:b w:val="1"/>
          <w:bCs w:val="1"/>
          <w:i w:val="1"/>
          <w:iCs w:val="1"/>
          <w:color w:val="auto"/>
        </w:rPr>
        <w:t>Christopher A. Twomey, age 51.</w:t>
      </w:r>
      <w:r>
        <w:rPr>
          <w:sz w:val="20"/>
          <w:szCs w:val="20"/>
          <w:color w:val="auto"/>
        </w:rPr>
        <w:tab/>
      </w:r>
      <w:r>
        <w:rPr>
          <w:rFonts w:ascii="Courier New" w:cs="Courier New" w:eastAsia="Courier New" w:hAnsi="Courier New"/>
          <w:sz w:val="8"/>
          <w:szCs w:val="8"/>
          <w:color w:val="auto"/>
        </w:rPr>
        <w:t>President and Chief Executive Officer since</w:t>
      </w:r>
    </w:p>
    <w:p>
      <w:pPr>
        <w:ind w:right="1120"/>
        <w:spacing w:after="0" w:line="235" w:lineRule="auto"/>
        <w:rPr>
          <w:sz w:val="20"/>
          <w:szCs w:val="20"/>
          <w:color w:val="auto"/>
        </w:rPr>
      </w:pPr>
      <w:r>
        <w:rPr>
          <w:rFonts w:ascii="Courier New" w:cs="Courier New" w:eastAsia="Courier New" w:hAnsi="Courier New"/>
          <w:sz w:val="9"/>
          <w:szCs w:val="9"/>
          <w:color w:val="auto"/>
        </w:rPr>
        <w:t>February 1986, Arctic Cat Inc., Thief River Falls, Minnesota (recreational vehicle manufacturer). Served as an executive officer in various capacities since 1983. First elected to the Toro Board in 1998 and is a member of the Compensation Committee and Nominating Committee. Mr. Twomey is a director of Arctic Cat Inc.</w:t>
      </w:r>
    </w:p>
    <w:p>
      <w:pPr>
        <w:spacing w:after="0" w:line="114" w:lineRule="exact"/>
        <w:rPr>
          <w:sz w:val="20"/>
          <w:szCs w:val="20"/>
          <w:color w:val="auto"/>
        </w:rPr>
      </w:pPr>
    </w:p>
    <w:p>
      <w:pPr>
        <w:spacing w:after="0"/>
        <w:rPr>
          <w:sz w:val="20"/>
          <w:szCs w:val="20"/>
          <w:color w:val="auto"/>
        </w:rPr>
      </w:pPr>
      <w:r>
        <w:rPr>
          <w:rFonts w:ascii="Courier New" w:cs="Courier New" w:eastAsia="Courier New" w:hAnsi="Courier New"/>
          <w:sz w:val="9"/>
          <w:szCs w:val="9"/>
          <w:b w:val="1"/>
          <w:bCs w:val="1"/>
          <w:color w:val="auto"/>
        </w:rPr>
        <w:t>Members of Board of Directors Continuing in Office (Term ending after Fiscal 2001)</w:t>
      </w:r>
    </w:p>
    <w:p>
      <w:pPr>
        <w:spacing w:after="0" w:line="112" w:lineRule="exact"/>
        <w:rPr>
          <w:sz w:val="20"/>
          <w:szCs w:val="20"/>
          <w:color w:val="auto"/>
        </w:rPr>
      </w:pPr>
    </w:p>
    <w:p>
      <w:pPr>
        <w:ind w:left="200"/>
        <w:spacing w:after="0"/>
        <w:tabs>
          <w:tab w:leader="none" w:pos="1640" w:val="left"/>
        </w:tabs>
        <w:rPr>
          <w:sz w:val="20"/>
          <w:szCs w:val="20"/>
          <w:color w:val="auto"/>
        </w:rPr>
      </w:pPr>
      <w:r>
        <w:rPr>
          <w:rFonts w:ascii="Courier New" w:cs="Courier New" w:eastAsia="Courier New" w:hAnsi="Courier New"/>
          <w:sz w:val="9"/>
          <w:szCs w:val="9"/>
          <w:b w:val="1"/>
          <w:bCs w:val="1"/>
          <w:i w:val="1"/>
          <w:iCs w:val="1"/>
          <w:color w:val="auto"/>
        </w:rPr>
        <w:t>Ronald O. Baukol, age 62.</w:t>
      </w:r>
      <w:r>
        <w:rPr>
          <w:sz w:val="20"/>
          <w:szCs w:val="20"/>
          <w:color w:val="auto"/>
        </w:rPr>
        <w:tab/>
      </w:r>
      <w:r>
        <w:rPr>
          <w:rFonts w:ascii="Courier New" w:cs="Courier New" w:eastAsia="Courier New" w:hAnsi="Courier New"/>
          <w:sz w:val="9"/>
          <w:szCs w:val="9"/>
          <w:color w:val="auto"/>
        </w:rPr>
        <w:t>Executive Vice President, International Operations since</w:t>
      </w:r>
    </w:p>
    <w:p>
      <w:pPr>
        <w:ind w:right="1080"/>
        <w:spacing w:after="0" w:line="234" w:lineRule="auto"/>
        <w:rPr>
          <w:sz w:val="20"/>
          <w:szCs w:val="20"/>
          <w:color w:val="auto"/>
        </w:rPr>
      </w:pPr>
      <w:r>
        <w:rPr>
          <w:rFonts w:ascii="Courier New" w:cs="Courier New" w:eastAsia="Courier New" w:hAnsi="Courier New"/>
          <w:sz w:val="9"/>
          <w:szCs w:val="9"/>
          <w:color w:val="auto"/>
        </w:rPr>
        <w:t>May 1995, Minnesota Mining and Manufacturing Company (3M), Saint Paul, Minnesota (manufacturing). Served as Vice President, Asia Pacific, Canada and Latin America from February 1994 to April 1995, and as Vice President, Asia Pacific from July 1991 to February 1994. First elected to the Toro Board in 1995, he is a member of the Executive Committee, Compensation Committee and Nominating Committee. Mr. Baukol is a director of Graco, Inc. and 3M.</w:t>
      </w:r>
    </w:p>
    <w:p>
      <w:pPr>
        <w:spacing w:after="0" w:line="113" w:lineRule="exact"/>
        <w:rPr>
          <w:sz w:val="20"/>
          <w:szCs w:val="20"/>
          <w:color w:val="auto"/>
        </w:rPr>
      </w:pPr>
    </w:p>
    <w:p>
      <w:pPr>
        <w:ind w:left="200"/>
        <w:spacing w:after="0"/>
        <w:tabs>
          <w:tab w:leader="none" w:pos="1540" w:val="left"/>
        </w:tabs>
        <w:rPr>
          <w:sz w:val="20"/>
          <w:szCs w:val="20"/>
          <w:color w:val="auto"/>
        </w:rPr>
      </w:pPr>
      <w:r>
        <w:rPr>
          <w:rFonts w:ascii="Courier New" w:cs="Courier New" w:eastAsia="Courier New" w:hAnsi="Courier New"/>
          <w:sz w:val="9"/>
          <w:szCs w:val="9"/>
          <w:b w:val="1"/>
          <w:bCs w:val="1"/>
          <w:i w:val="1"/>
          <w:iCs w:val="1"/>
          <w:color w:val="auto"/>
        </w:rPr>
        <w:t>Dale R. Olseth, age 69.</w:t>
      </w:r>
      <w:r>
        <w:rPr>
          <w:sz w:val="20"/>
          <w:szCs w:val="20"/>
          <w:color w:val="auto"/>
        </w:rPr>
        <w:tab/>
      </w:r>
      <w:r>
        <w:rPr>
          <w:rFonts w:ascii="Courier New" w:cs="Courier New" w:eastAsia="Courier New" w:hAnsi="Courier New"/>
          <w:sz w:val="8"/>
          <w:szCs w:val="8"/>
          <w:color w:val="auto"/>
        </w:rPr>
        <w:t>Chairman of the Board and Chief Executive Officer since</w:t>
      </w:r>
    </w:p>
    <w:p>
      <w:pPr>
        <w:spacing w:after="0" w:line="233" w:lineRule="auto"/>
        <w:rPr>
          <w:sz w:val="20"/>
          <w:szCs w:val="20"/>
          <w:color w:val="auto"/>
        </w:rPr>
      </w:pPr>
      <w:r>
        <w:rPr>
          <w:rFonts w:ascii="Courier New" w:cs="Courier New" w:eastAsia="Courier New" w:hAnsi="Courier New"/>
          <w:sz w:val="9"/>
          <w:szCs w:val="9"/>
          <w:color w:val="auto"/>
        </w:rPr>
        <w:t>November 1996, SurModics, Inc., Eden Prairie, Minnesota (surface modification). He also served as President of SurModics, Inc. from November 1996 to July 1998. First</w:t>
      </w:r>
    </w:p>
    <w:p>
      <w:pPr>
        <w:spacing w:after="0"/>
        <w:rPr>
          <w:sz w:val="20"/>
          <w:szCs w:val="20"/>
          <w:color w:val="auto"/>
        </w:rPr>
      </w:pPr>
      <w:r>
        <w:rPr>
          <w:rFonts w:ascii="Courier New" w:cs="Courier New" w:eastAsia="Courier New" w:hAnsi="Courier New"/>
          <w:sz w:val="9"/>
          <w:szCs w:val="9"/>
          <w:color w:val="auto"/>
        </w:rPr>
        <w:t>elected to the Toro Board in 1980, he is Chair of the Compensation Committee and a member of the Executive Committee. Mr. Olseth is a director of Graco, Inc. and SurModics, Inc.</w:t>
      </w:r>
    </w:p>
    <w:p>
      <w:pPr>
        <w:spacing w:after="0" w:line="113" w:lineRule="exact"/>
        <w:rPr>
          <w:sz w:val="20"/>
          <w:szCs w:val="20"/>
          <w:color w:val="auto"/>
        </w:rPr>
      </w:pPr>
    </w:p>
    <w:p>
      <w:pPr>
        <w:spacing w:after="0"/>
        <w:rPr>
          <w:sz w:val="20"/>
          <w:szCs w:val="20"/>
          <w:color w:val="auto"/>
        </w:rPr>
      </w:pPr>
      <w:r>
        <w:rPr>
          <w:rFonts w:ascii="Courier New" w:cs="Courier New" w:eastAsia="Courier New" w:hAnsi="Courier New"/>
          <w:sz w:val="9"/>
          <w:szCs w:val="9"/>
          <w:b w:val="1"/>
          <w:bCs w:val="1"/>
          <w:color w:val="auto"/>
        </w:rPr>
        <w:t>Committees of the Board</w:t>
      </w:r>
    </w:p>
    <w:p>
      <w:pPr>
        <w:spacing w:after="0" w:line="114" w:lineRule="exact"/>
        <w:rPr>
          <w:sz w:val="20"/>
          <w:szCs w:val="20"/>
          <w:color w:val="auto"/>
        </w:rPr>
      </w:pPr>
    </w:p>
    <w:p>
      <w:pPr>
        <w:ind w:left="200"/>
        <w:spacing w:after="0"/>
        <w:rPr>
          <w:sz w:val="20"/>
          <w:szCs w:val="20"/>
          <w:color w:val="auto"/>
        </w:rPr>
      </w:pPr>
      <w:r>
        <w:rPr>
          <w:rFonts w:ascii="Courier New" w:cs="Courier New" w:eastAsia="Courier New" w:hAnsi="Courier New"/>
          <w:sz w:val="9"/>
          <w:szCs w:val="9"/>
          <w:color w:val="auto"/>
        </w:rPr>
        <w:t>To assist in carrying out its duties, the Board has delegated certain authority to the following four standing committees:</w:t>
      </w:r>
    </w:p>
    <w:p>
      <w:pPr>
        <w:spacing w:after="0" w:line="112" w:lineRule="exact"/>
        <w:rPr>
          <w:sz w:val="20"/>
          <w:szCs w:val="20"/>
          <w:color w:val="auto"/>
        </w:rPr>
      </w:pPr>
    </w:p>
    <w:p>
      <w:pPr>
        <w:ind w:left="200"/>
        <w:spacing w:after="0"/>
        <w:tabs>
          <w:tab w:leader="none" w:pos="1380" w:val="left"/>
        </w:tabs>
        <w:rPr>
          <w:sz w:val="20"/>
          <w:szCs w:val="20"/>
          <w:color w:val="auto"/>
        </w:rPr>
      </w:pPr>
      <w:r>
        <w:rPr>
          <w:rFonts w:ascii="Courier New" w:cs="Courier New" w:eastAsia="Courier New" w:hAnsi="Courier New"/>
          <w:sz w:val="9"/>
          <w:szCs w:val="9"/>
          <w:b w:val="1"/>
          <w:bCs w:val="1"/>
          <w:i w:val="1"/>
          <w:iCs w:val="1"/>
          <w:color w:val="auto"/>
        </w:rPr>
        <w:t>Executive Committee.</w:t>
      </w:r>
      <w:r>
        <w:rPr>
          <w:sz w:val="20"/>
          <w:szCs w:val="20"/>
          <w:color w:val="auto"/>
        </w:rPr>
        <w:tab/>
      </w:r>
      <w:r>
        <w:rPr>
          <w:rFonts w:ascii="Courier New" w:cs="Courier New" w:eastAsia="Courier New" w:hAnsi="Courier New"/>
          <w:sz w:val="8"/>
          <w:szCs w:val="8"/>
          <w:color w:val="auto"/>
        </w:rPr>
        <w:t>Its function is to exercise all of the powers and authority of the Board,</w:t>
      </w:r>
    </w:p>
    <w:p>
      <w:pPr>
        <w:spacing w:after="0"/>
        <w:rPr>
          <w:sz w:val="20"/>
          <w:szCs w:val="20"/>
          <w:color w:val="auto"/>
        </w:rPr>
      </w:pPr>
      <w:r>
        <w:rPr>
          <w:rFonts w:ascii="Courier New" w:cs="Courier New" w:eastAsia="Courier New" w:hAnsi="Courier New"/>
          <w:sz w:val="9"/>
          <w:szCs w:val="9"/>
          <w:color w:val="auto"/>
        </w:rPr>
        <w:t>including the power to declare dividends on Toro Common Stock, during intervals between meetings of the Board. No meetings of the committee were held during Fiscal 1999.</w:t>
      </w:r>
    </w:p>
    <w:p>
      <w:pPr>
        <w:spacing w:after="0" w:line="111" w:lineRule="exact"/>
        <w:rPr>
          <w:sz w:val="20"/>
          <w:szCs w:val="20"/>
          <w:color w:val="auto"/>
        </w:rPr>
      </w:pPr>
    </w:p>
    <w:p>
      <w:pPr>
        <w:ind w:left="200"/>
        <w:spacing w:after="0"/>
        <w:tabs>
          <w:tab w:leader="none" w:pos="1160" w:val="left"/>
        </w:tabs>
        <w:rPr>
          <w:sz w:val="20"/>
          <w:szCs w:val="20"/>
          <w:color w:val="auto"/>
        </w:rPr>
      </w:pPr>
      <w:r>
        <w:rPr>
          <w:rFonts w:ascii="Courier New" w:cs="Courier New" w:eastAsia="Courier New" w:hAnsi="Courier New"/>
          <w:sz w:val="9"/>
          <w:szCs w:val="9"/>
          <w:b w:val="1"/>
          <w:bCs w:val="1"/>
          <w:i w:val="1"/>
          <w:iCs w:val="1"/>
          <w:color w:val="auto"/>
        </w:rPr>
        <w:t>Audit Committee.</w:t>
      </w:r>
      <w:r>
        <w:rPr>
          <w:sz w:val="20"/>
          <w:szCs w:val="20"/>
          <w:color w:val="auto"/>
        </w:rPr>
        <w:tab/>
      </w:r>
      <w:r>
        <w:rPr>
          <w:rFonts w:ascii="Courier New" w:cs="Courier New" w:eastAsia="Courier New" w:hAnsi="Courier New"/>
          <w:sz w:val="8"/>
          <w:szCs w:val="8"/>
          <w:color w:val="auto"/>
        </w:rPr>
        <w:t>Members are not employees of the Company ("outside directors") and must have</w:t>
      </w:r>
    </w:p>
    <w:p>
      <w:pPr>
        <w:ind w:right="260"/>
        <w:spacing w:after="0" w:line="234" w:lineRule="auto"/>
        <w:rPr>
          <w:sz w:val="20"/>
          <w:szCs w:val="20"/>
          <w:color w:val="auto"/>
        </w:rPr>
      </w:pPr>
      <w:r>
        <w:rPr>
          <w:rFonts w:ascii="Courier New" w:cs="Courier New" w:eastAsia="Courier New" w:hAnsi="Courier New"/>
          <w:sz w:val="9"/>
          <w:szCs w:val="9"/>
          <w:color w:val="auto"/>
        </w:rPr>
        <w:t>no relationship to the Company that would interfere with the director's independence from management and the Company. It assists the Board in fulfilling its responsibility to stockholders relating to the quality and integrity of the Company's financial reports and accounting and reporting practices. Its duties include reviewing the qualifications, independence and performance of the Company's independent public accountants; review of the scope, magnitude and budgets of all examinations of the Company's financial</w:t>
      </w:r>
    </w:p>
    <w:p>
      <w:pPr>
        <w:spacing w:after="0" w:line="98" w:lineRule="exact"/>
        <w:rPr>
          <w:sz w:val="20"/>
          <w:szCs w:val="20"/>
          <w:color w:val="auto"/>
        </w:rPr>
      </w:pPr>
    </w:p>
    <w:p>
      <w:pPr>
        <w:ind w:right="200"/>
        <w:spacing w:after="0" w:line="233" w:lineRule="auto"/>
        <w:rPr>
          <w:sz w:val="20"/>
          <w:szCs w:val="20"/>
          <w:color w:val="auto"/>
        </w:rPr>
      </w:pPr>
      <w:r>
        <w:rPr>
          <w:rFonts w:ascii="Courier New" w:cs="Courier New" w:eastAsia="Courier New" w:hAnsi="Courier New"/>
          <w:sz w:val="9"/>
          <w:szCs w:val="9"/>
          <w:color w:val="auto"/>
        </w:rPr>
        <w:t>statements by the auditors; review of general policies and procedures with respect to accounting and financial matters and internal controls; reviewing and approving of the cost and types of audit and non-audit services performed by independent public accountants; meeting with independent public accountants not less than once a year without Company representatives to discuss internal</w:t>
      </w:r>
    </w:p>
    <w:p>
      <w:pPr>
        <w:ind w:right="320"/>
        <w:spacing w:after="0" w:line="275" w:lineRule="auto"/>
        <w:rPr>
          <w:sz w:val="20"/>
          <w:szCs w:val="20"/>
          <w:color w:val="auto"/>
        </w:rPr>
      </w:pPr>
      <w:r>
        <w:rPr>
          <w:rFonts w:ascii="Courier New" w:cs="Courier New" w:eastAsia="Courier New" w:hAnsi="Courier New"/>
          <w:sz w:val="8"/>
          <w:szCs w:val="8"/>
          <w:color w:val="auto"/>
        </w:rPr>
        <w:t>controls and accuracy and completeness of the financial statements; reviewing the Company's Code of Business Conduct and monitoring compliance; receiving analyses and comments regarding accounting pronouncements; reviewing results of audits with the independent public accountants and management with a focus on difficulties encountered, material errors or irregularities, weaknesses in internal accounting controls and similar issues, and notifying the Board of major problems or deficiencies discovered with respect to its duties. Three meetings of the committee were held during Fiscal 1999.</w:t>
      </w:r>
    </w:p>
    <w:p>
      <w:pPr>
        <w:spacing w:after="0" w:line="100" w:lineRule="exact"/>
        <w:rPr>
          <w:sz w:val="20"/>
          <w:szCs w:val="20"/>
          <w:color w:val="auto"/>
        </w:rPr>
      </w:pPr>
    </w:p>
    <w:p>
      <w:pPr>
        <w:ind w:left="200"/>
        <w:spacing w:after="0"/>
        <w:tabs>
          <w:tab w:leader="none" w:pos="1540" w:val="left"/>
        </w:tabs>
        <w:rPr>
          <w:sz w:val="20"/>
          <w:szCs w:val="20"/>
          <w:color w:val="auto"/>
        </w:rPr>
      </w:pPr>
      <w:r>
        <w:rPr>
          <w:rFonts w:ascii="Courier New" w:cs="Courier New" w:eastAsia="Courier New" w:hAnsi="Courier New"/>
          <w:sz w:val="9"/>
          <w:szCs w:val="9"/>
          <w:b w:val="1"/>
          <w:bCs w:val="1"/>
          <w:i w:val="1"/>
          <w:iCs w:val="1"/>
          <w:color w:val="auto"/>
        </w:rPr>
        <w:t>Compensation Committee.</w:t>
      </w:r>
      <w:r>
        <w:rPr>
          <w:sz w:val="20"/>
          <w:szCs w:val="20"/>
          <w:color w:val="auto"/>
        </w:rPr>
        <w:tab/>
      </w:r>
      <w:r>
        <w:rPr>
          <w:rFonts w:ascii="Courier New" w:cs="Courier New" w:eastAsia="Courier New" w:hAnsi="Courier New"/>
          <w:sz w:val="8"/>
          <w:szCs w:val="8"/>
          <w:color w:val="auto"/>
        </w:rPr>
        <w:t>All members are outside directors. Its functions include study and</w:t>
      </w:r>
    </w:p>
    <w:p>
      <w:pPr>
        <w:ind w:right="580"/>
        <w:spacing w:after="0" w:line="234" w:lineRule="auto"/>
        <w:rPr>
          <w:sz w:val="20"/>
          <w:szCs w:val="20"/>
          <w:color w:val="auto"/>
        </w:rPr>
      </w:pPr>
      <w:r>
        <w:rPr>
          <w:rFonts w:ascii="Courier New" w:cs="Courier New" w:eastAsia="Courier New" w:hAnsi="Courier New"/>
          <w:sz w:val="9"/>
          <w:szCs w:val="9"/>
          <w:color w:val="auto"/>
        </w:rPr>
        <w:t>analysis of and recommendations to the Board concerning specific and general matters of management compensation; periodic review of management compensation policies and practices, incentive compensation plan and officer salary adjustments; making incentive compensation awards and setting base salaries for officers referred to in Section 162(m) of the Internal Revenue Code of 1986, as amended (the "Code"); and administrative oversight of stock option plans and other incentive and compensation plans. Two meetings of the committee were held during Fiscal 1999.</w:t>
      </w:r>
    </w:p>
    <w:p>
      <w:pPr>
        <w:spacing w:after="0" w:line="113" w:lineRule="exact"/>
        <w:rPr>
          <w:sz w:val="20"/>
          <w:szCs w:val="20"/>
          <w:color w:val="auto"/>
        </w:rPr>
      </w:pPr>
    </w:p>
    <w:p>
      <w:pPr>
        <w:ind w:left="200"/>
        <w:spacing w:after="0"/>
        <w:tabs>
          <w:tab w:leader="none" w:pos="1440" w:val="left"/>
        </w:tabs>
        <w:rPr>
          <w:sz w:val="20"/>
          <w:szCs w:val="20"/>
          <w:color w:val="auto"/>
        </w:rPr>
      </w:pPr>
      <w:r>
        <w:rPr>
          <w:rFonts w:ascii="Courier New" w:cs="Courier New" w:eastAsia="Courier New" w:hAnsi="Courier New"/>
          <w:sz w:val="9"/>
          <w:szCs w:val="9"/>
          <w:b w:val="1"/>
          <w:bCs w:val="1"/>
          <w:i w:val="1"/>
          <w:iCs w:val="1"/>
          <w:color w:val="auto"/>
        </w:rPr>
        <w:t>Nominating Committee.</w:t>
      </w:r>
      <w:r>
        <w:rPr>
          <w:sz w:val="20"/>
          <w:szCs w:val="20"/>
          <w:color w:val="auto"/>
        </w:rPr>
        <w:tab/>
      </w:r>
      <w:r>
        <w:rPr>
          <w:rFonts w:ascii="Courier New" w:cs="Courier New" w:eastAsia="Courier New" w:hAnsi="Courier New"/>
          <w:sz w:val="8"/>
          <w:szCs w:val="8"/>
          <w:color w:val="auto"/>
        </w:rPr>
        <w:t>All members are outside directors (except that the Chief Executive</w:t>
      </w:r>
    </w:p>
    <w:p>
      <w:pPr>
        <w:spacing w:after="0" w:line="233" w:lineRule="auto"/>
        <w:rPr>
          <w:sz w:val="20"/>
          <w:szCs w:val="20"/>
          <w:color w:val="auto"/>
        </w:rPr>
      </w:pPr>
      <w:r>
        <w:rPr>
          <w:rFonts w:ascii="Courier New" w:cs="Courier New" w:eastAsia="Courier New" w:hAnsi="Courier New"/>
          <w:sz w:val="9"/>
          <w:szCs w:val="9"/>
          <w:color w:val="auto"/>
        </w:rPr>
        <w:t>Officer serves as an ex-officio non-voting member). Its functions include determining an appropriate size and composition of the Board; considering qualifications of</w:t>
      </w:r>
    </w:p>
    <w:p>
      <w:pPr>
        <w:ind w:right="200"/>
        <w:spacing w:after="0" w:line="262" w:lineRule="auto"/>
        <w:rPr>
          <w:sz w:val="20"/>
          <w:szCs w:val="20"/>
          <w:color w:val="auto"/>
        </w:rPr>
      </w:pPr>
      <w:r>
        <w:rPr>
          <w:rFonts w:ascii="Courier New" w:cs="Courier New" w:eastAsia="Courier New" w:hAnsi="Courier New"/>
          <w:sz w:val="8"/>
          <w:szCs w:val="8"/>
          <w:color w:val="auto"/>
        </w:rPr>
        <w:t>prospective Board member candidates, including stockholder recommendations; conducting research to identify and recommend nomination of suitable candidates who are willing to serve as members of the Board; reviewing the experience, background, interests, ability and availability of prospective nominees to meet time commitments of the Board and committee responsibilities; consideration of nominees recommended by stockholders who comply with the procedures set forth in the Company's Bylaws, described on page 27; and determining whether any prospective member of the Board has any economic</w:t>
      </w:r>
    </w:p>
    <w:p>
      <w:pPr>
        <w:ind w:right="200"/>
        <w:spacing w:after="0" w:line="234" w:lineRule="auto"/>
        <w:rPr>
          <w:sz w:val="20"/>
          <w:szCs w:val="20"/>
          <w:color w:val="auto"/>
        </w:rPr>
      </w:pPr>
      <w:r>
        <w:rPr>
          <w:rFonts w:ascii="Courier New" w:cs="Courier New" w:eastAsia="Courier New" w:hAnsi="Courier New"/>
          <w:sz w:val="9"/>
          <w:szCs w:val="9"/>
          <w:color w:val="auto"/>
        </w:rPr>
        <w:t>or familial relationship with the Company or its directors or employees which may impair the individual's suitability for such service. The committee also has responsibility to monitor current members of the Board in light of the same guidelines used to select candidates, and to direct the activities of the Board and management in matters of corporate governance. One meeting of the committee was held during Fiscal 1999.</w:t>
      </w:r>
    </w:p>
    <w:p>
      <w:pPr>
        <w:spacing w:after="0" w:line="115" w:lineRule="exact"/>
        <w:rPr>
          <w:sz w:val="20"/>
          <w:szCs w:val="20"/>
          <w:color w:val="auto"/>
        </w:rPr>
      </w:pPr>
    </w:p>
    <w:p>
      <w:pPr>
        <w:spacing w:after="0"/>
        <w:rPr>
          <w:sz w:val="20"/>
          <w:szCs w:val="20"/>
          <w:color w:val="auto"/>
        </w:rPr>
      </w:pPr>
      <w:r>
        <w:rPr>
          <w:rFonts w:ascii="Courier New" w:cs="Courier New" w:eastAsia="Courier New" w:hAnsi="Courier New"/>
          <w:sz w:val="9"/>
          <w:szCs w:val="9"/>
          <w:b w:val="1"/>
          <w:bCs w:val="1"/>
          <w:color w:val="auto"/>
        </w:rPr>
        <w:t>Board Compensation</w:t>
      </w:r>
    </w:p>
    <w:p>
      <w:pPr>
        <w:spacing w:after="0" w:line="112" w:lineRule="exact"/>
        <w:rPr>
          <w:sz w:val="20"/>
          <w:szCs w:val="20"/>
          <w:color w:val="auto"/>
        </w:rPr>
      </w:pPr>
    </w:p>
    <w:p>
      <w:pPr>
        <w:ind w:left="200"/>
        <w:spacing w:after="0"/>
        <w:tabs>
          <w:tab w:leader="none" w:pos="560" w:val="left"/>
        </w:tabs>
        <w:rPr>
          <w:sz w:val="20"/>
          <w:szCs w:val="20"/>
          <w:color w:val="auto"/>
        </w:rPr>
      </w:pPr>
      <w:r>
        <w:rPr>
          <w:rFonts w:ascii="Courier New" w:cs="Courier New" w:eastAsia="Courier New" w:hAnsi="Courier New"/>
          <w:sz w:val="9"/>
          <w:szCs w:val="9"/>
          <w:b w:val="1"/>
          <w:bCs w:val="1"/>
          <w:i w:val="1"/>
          <w:iCs w:val="1"/>
          <w:color w:val="auto"/>
        </w:rPr>
        <w:t>Fees.</w:t>
      </w:r>
      <w:r>
        <w:rPr>
          <w:sz w:val="20"/>
          <w:szCs w:val="20"/>
          <w:color w:val="auto"/>
        </w:rPr>
        <w:tab/>
      </w:r>
      <w:r>
        <w:rPr>
          <w:rFonts w:ascii="Courier New" w:cs="Courier New" w:eastAsia="Courier New" w:hAnsi="Courier New"/>
          <w:sz w:val="9"/>
          <w:szCs w:val="9"/>
          <w:color w:val="auto"/>
        </w:rPr>
        <w:t>Toro's compensation for directors who are not employees attempts to link a director's</w:t>
      </w:r>
    </w:p>
    <w:p>
      <w:pPr>
        <w:ind w:right="260"/>
        <w:spacing w:after="0" w:line="233" w:lineRule="auto"/>
        <w:rPr>
          <w:sz w:val="20"/>
          <w:szCs w:val="20"/>
          <w:color w:val="auto"/>
        </w:rPr>
      </w:pPr>
      <w:r>
        <w:rPr>
          <w:rFonts w:ascii="Courier New" w:cs="Courier New" w:eastAsia="Courier New" w:hAnsi="Courier New"/>
          <w:sz w:val="9"/>
          <w:szCs w:val="9"/>
          <w:color w:val="auto"/>
        </w:rPr>
        <w:t>compensation with stockholder interests. The compensation includes cash and stock components. Cash compensation includes an annual retainer and meeting fees ($15,000 plus a fee of $1,000 for each meeting of the Board or a committee attended, except that no more than one committee meeting fee is paid for committee meetings held in a single day). In addition, outside directors receive an annual grant of Common Stock having a $5,000 market value (valued at the average of the closing prices of Common Stock during the three months prior to the award) and a 1,000 share stock option award (with an exercise price per share equal to 100% of the fair market value of one share of Common Stock on the date of grant) pursuant to The Toro Company Directors Stock Plan ("Directors Plan"). A director may receive the annual retainer fee and meeting fees in cash or shares of Common Stock, or a combination of both, as provided for under the Directors Plan. The Company also supplies directors with Company products for their use.</w:t>
      </w:r>
    </w:p>
    <w:p>
      <w:pPr>
        <w:spacing w:after="0" w:line="114" w:lineRule="exact"/>
        <w:rPr>
          <w:sz w:val="20"/>
          <w:szCs w:val="20"/>
          <w:color w:val="auto"/>
        </w:rPr>
      </w:pPr>
    </w:p>
    <w:p>
      <w:pPr>
        <w:ind w:left="200"/>
        <w:spacing w:after="0"/>
        <w:rPr>
          <w:sz w:val="20"/>
          <w:szCs w:val="20"/>
          <w:color w:val="auto"/>
        </w:rPr>
      </w:pPr>
      <w:r>
        <w:rPr>
          <w:rFonts w:ascii="Courier New" w:cs="Courier New" w:eastAsia="Courier New" w:hAnsi="Courier New"/>
          <w:sz w:val="9"/>
          <w:szCs w:val="9"/>
          <w:color w:val="auto"/>
        </w:rPr>
        <w:t>On</w:t>
      </w:r>
    </w:p>
    <w:p>
      <w:pPr>
        <w:spacing w:after="0" w:line="233" w:lineRule="auto"/>
        <w:rPr>
          <w:sz w:val="20"/>
          <w:szCs w:val="20"/>
          <w:color w:val="auto"/>
        </w:rPr>
      </w:pPr>
      <w:r>
        <w:rPr>
          <w:rFonts w:ascii="Courier New" w:cs="Courier New" w:eastAsia="Courier New" w:hAnsi="Courier New"/>
          <w:sz w:val="9"/>
          <w:szCs w:val="9"/>
          <w:color w:val="auto"/>
        </w:rPr>
        <w:t>December 2, 1999, the Board took action to increase the annual retainer from $15,000 to $20,000, effective January 1, 2000, and to amend the Directors Plan to</w:t>
      </w:r>
    </w:p>
    <w:p>
      <w:pPr>
        <w:ind w:right="1560"/>
        <w:spacing w:after="0" w:line="235" w:lineRule="auto"/>
        <w:rPr>
          <w:sz w:val="20"/>
          <w:szCs w:val="20"/>
          <w:color w:val="auto"/>
        </w:rPr>
      </w:pPr>
      <w:r>
        <w:rPr>
          <w:rFonts w:ascii="Courier New" w:cs="Courier New" w:eastAsia="Courier New" w:hAnsi="Courier New"/>
          <w:sz w:val="9"/>
          <w:szCs w:val="9"/>
          <w:color w:val="auto"/>
        </w:rPr>
        <w:t>increase the value of the annual Common Stock grant from $5,000 to $10,000, effective November 1, 2000. See Proposal Four—Amendment of The Toro Company Directors Stock Plan on page 23.</w:t>
      </w:r>
    </w:p>
    <w:p>
      <w:pPr>
        <w:spacing w:after="0" w:line="211" w:lineRule="exact"/>
        <w:rPr>
          <w:sz w:val="20"/>
          <w:szCs w:val="20"/>
          <w:color w:val="auto"/>
        </w:rPr>
      </w:pPr>
    </w:p>
    <w:p>
      <w:pPr>
        <w:ind w:left="200"/>
        <w:spacing w:after="0"/>
        <w:tabs>
          <w:tab w:leader="none" w:pos="1160" w:val="left"/>
        </w:tabs>
        <w:rPr>
          <w:sz w:val="20"/>
          <w:szCs w:val="20"/>
          <w:color w:val="auto"/>
        </w:rPr>
      </w:pPr>
      <w:r>
        <w:rPr>
          <w:rFonts w:ascii="Courier New" w:cs="Courier New" w:eastAsia="Courier New" w:hAnsi="Courier New"/>
          <w:sz w:val="9"/>
          <w:szCs w:val="9"/>
          <w:b w:val="1"/>
          <w:bCs w:val="1"/>
          <w:i w:val="1"/>
          <w:iCs w:val="1"/>
          <w:color w:val="auto"/>
        </w:rPr>
        <w:t>Retirement Plan.</w:t>
      </w:r>
      <w:r>
        <w:rPr>
          <w:sz w:val="20"/>
          <w:szCs w:val="20"/>
          <w:color w:val="auto"/>
        </w:rPr>
        <w:tab/>
      </w:r>
      <w:r>
        <w:rPr>
          <w:rFonts w:ascii="Courier New" w:cs="Courier New" w:eastAsia="Courier New" w:hAnsi="Courier New"/>
          <w:sz w:val="9"/>
          <w:szCs w:val="9"/>
          <w:color w:val="auto"/>
        </w:rPr>
        <w:t>Under a retirement plan, an outside director who was a member of the Board of</w:t>
      </w:r>
    </w:p>
    <w:p>
      <w:pPr>
        <w:ind w:right="700"/>
        <w:spacing w:after="0" w:line="233" w:lineRule="auto"/>
        <w:rPr>
          <w:sz w:val="20"/>
          <w:szCs w:val="20"/>
          <w:color w:val="auto"/>
        </w:rPr>
      </w:pPr>
      <w:r>
        <w:rPr>
          <w:rFonts w:ascii="Courier New" w:cs="Courier New" w:eastAsia="Courier New" w:hAnsi="Courier New"/>
          <w:sz w:val="9"/>
          <w:szCs w:val="9"/>
          <w:color w:val="auto"/>
        </w:rPr>
        <w:t>Directors prior to December 1995, who has completed five years of service and who ceases to be a member of the Board of Directors for any reason, is entitled to receive, for a period of years equal to the number of full years the director served on the Board but not more than ten years, an annual payment equal to the full amount paid as an annual retainer at the date of termination</w:t>
      </w:r>
      <w:r>
        <w:rPr>
          <w:rFonts w:ascii="Courier New" w:cs="Courier New" w:eastAsia="Courier New" w:hAnsi="Courier New"/>
          <w:sz w:val="9"/>
          <w:szCs w:val="9"/>
          <w:b w:val="1"/>
          <w:bCs w:val="1"/>
          <w:color w:val="auto"/>
        </w:rPr>
        <w:t>.</w:t>
      </w:r>
      <w:r>
        <w:rPr>
          <w:rFonts w:ascii="Courier New" w:cs="Courier New" w:eastAsia="Courier New" w:hAnsi="Courier New"/>
          <w:sz w:val="9"/>
          <w:szCs w:val="9"/>
          <w:color w:val="auto"/>
        </w:rPr>
        <w:t xml:space="preserve"> Since December 1995, that annual payment has been limited to $12,000 annually and payments to new directors are limited to an amount</w:t>
      </w:r>
    </w:p>
    <w:p>
      <w:pPr>
        <w:ind w:right="640"/>
        <w:spacing w:after="0" w:line="235" w:lineRule="auto"/>
        <w:rPr>
          <w:sz w:val="20"/>
          <w:szCs w:val="20"/>
          <w:color w:val="auto"/>
        </w:rPr>
      </w:pPr>
      <w:r>
        <w:rPr>
          <w:rFonts w:ascii="Courier New" w:cs="Courier New" w:eastAsia="Courier New" w:hAnsi="Courier New"/>
          <w:sz w:val="9"/>
          <w:szCs w:val="9"/>
          <w:color w:val="auto"/>
        </w:rPr>
        <w:t>equal to 50% of the amount paid as an annual retainer at the date of termination. In the event of the death of a director who qualifies for the plan, the retirement benefit will be paid to the director's beneficiary.</w:t>
      </w:r>
    </w:p>
    <w:p>
      <w:pPr>
        <w:spacing w:after="0" w:line="112" w:lineRule="exact"/>
        <w:rPr>
          <w:sz w:val="20"/>
          <w:szCs w:val="20"/>
          <w:color w:val="auto"/>
        </w:rPr>
      </w:pPr>
    </w:p>
    <w:p>
      <w:pPr>
        <w:ind w:left="200"/>
        <w:spacing w:after="0"/>
        <w:tabs>
          <w:tab w:leader="none" w:pos="1320" w:val="left"/>
        </w:tabs>
        <w:rPr>
          <w:sz w:val="20"/>
          <w:szCs w:val="20"/>
          <w:color w:val="auto"/>
        </w:rPr>
      </w:pPr>
      <w:r>
        <w:rPr>
          <w:rFonts w:ascii="Courier New" w:cs="Courier New" w:eastAsia="Courier New" w:hAnsi="Courier New"/>
          <w:sz w:val="9"/>
          <w:szCs w:val="9"/>
          <w:b w:val="1"/>
          <w:bCs w:val="1"/>
          <w:i w:val="1"/>
          <w:iCs w:val="1"/>
          <w:color w:val="auto"/>
        </w:rPr>
        <w:t>Other Arrangements.</w:t>
      </w:r>
      <w:r>
        <w:rPr>
          <w:sz w:val="20"/>
          <w:szCs w:val="20"/>
          <w:color w:val="auto"/>
        </w:rPr>
        <w:tab/>
      </w:r>
      <w:r>
        <w:rPr>
          <w:rFonts w:ascii="Courier New" w:cs="Courier New" w:eastAsia="Courier New" w:hAnsi="Courier New"/>
          <w:sz w:val="9"/>
          <w:szCs w:val="9"/>
          <w:color w:val="auto"/>
        </w:rPr>
        <w:t>An outside director may elect to defer receipt of Board compensation under</w:t>
      </w:r>
    </w:p>
    <w:p>
      <w:pPr>
        <w:ind w:right="360"/>
        <w:spacing w:after="0" w:line="234" w:lineRule="auto"/>
        <w:rPr>
          <w:sz w:val="20"/>
          <w:szCs w:val="20"/>
          <w:color w:val="auto"/>
        </w:rPr>
      </w:pPr>
      <w:r>
        <w:rPr>
          <w:rFonts w:ascii="Courier New" w:cs="Courier New" w:eastAsia="Courier New" w:hAnsi="Courier New"/>
          <w:sz w:val="9"/>
          <w:szCs w:val="9"/>
          <w:color w:val="auto"/>
        </w:rPr>
        <w:t>a standard deferred compensation plan, under which interest is accrued quarterly on deferred amounts at the average prime rate charged by U. S. Bank National Association, Minneapolis, Minnesota (ranging from 7.75% to 8.37% in Fiscal 1999). Each director is a party to an indemnification agreement that assures the director of indemnification and advancement of expenses to the fullest extent permitted by Delaware law and the Company's Certificate of Incorporation, and of continued coverage under the Company's directors and officers liability insurance, to the extent it is maintained.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359"/>
        <w:spacing w:after="0"/>
        <w:rPr>
          <w:sz w:val="20"/>
          <w:szCs w:val="20"/>
          <w:color w:val="auto"/>
        </w:rPr>
      </w:pPr>
      <w:r>
        <w:rPr>
          <w:rFonts w:ascii="Courier New" w:cs="Courier New" w:eastAsia="Courier New" w:hAnsi="Courier New"/>
          <w:sz w:val="9"/>
          <w:szCs w:val="9"/>
          <w:b w:val="1"/>
          <w:bCs w:val="1"/>
          <w:color w:val="auto"/>
        </w:rPr>
        <w:t>EXECUTIVE COMPENSATION</w:t>
      </w:r>
    </w:p>
    <w:p>
      <w:pPr>
        <w:jc w:val="center"/>
        <w:ind w:right="-359"/>
        <w:spacing w:after="0"/>
        <w:rPr>
          <w:sz w:val="20"/>
          <w:szCs w:val="20"/>
          <w:color w:val="auto"/>
        </w:rPr>
      </w:pPr>
      <w:r>
        <w:rPr>
          <w:rFonts w:ascii="Courier New" w:cs="Courier New" w:eastAsia="Courier New" w:hAnsi="Courier New"/>
          <w:sz w:val="9"/>
          <w:szCs w:val="9"/>
          <w:b w:val="1"/>
          <w:bCs w:val="1"/>
          <w:color w:val="auto"/>
        </w:rPr>
        <w:t>SUMMARY COMPENSATION TABLE</w:t>
      </w:r>
    </w:p>
    <w:p>
      <w:pPr>
        <w:spacing w:after="0" w:line="111" w:lineRule="exact"/>
        <w:rPr>
          <w:sz w:val="20"/>
          <w:szCs w:val="20"/>
          <w:color w:val="auto"/>
        </w:rPr>
      </w:pPr>
    </w:p>
    <w:p>
      <w:pPr>
        <w:jc w:val="center"/>
        <w:ind w:right="2420"/>
        <w:spacing w:after="0"/>
        <w:rPr>
          <w:sz w:val="20"/>
          <w:szCs w:val="20"/>
          <w:color w:val="auto"/>
        </w:rPr>
      </w:pPr>
      <w:r>
        <w:rPr>
          <w:rFonts w:ascii="Courier New" w:cs="Courier New" w:eastAsia="Courier New" w:hAnsi="Courier New"/>
          <w:sz w:val="9"/>
          <w:szCs w:val="9"/>
          <w:color w:val="auto"/>
        </w:rPr>
        <w:t>The table below shows compensation of the Company's Chief Executive Officer and the named executive officers for the last three fiscal years. The named</w:t>
      </w:r>
    </w:p>
    <w:p>
      <w:pPr>
        <w:jc w:val="center"/>
        <w:ind w:right="2420"/>
        <w:spacing w:after="0"/>
        <w:rPr>
          <w:sz w:val="20"/>
          <w:szCs w:val="20"/>
          <w:color w:val="auto"/>
        </w:rPr>
      </w:pPr>
      <w:r>
        <w:rPr>
          <w:rFonts w:ascii="Courier New" w:cs="Courier New" w:eastAsia="Courier New" w:hAnsi="Courier New"/>
          <w:sz w:val="8"/>
          <w:szCs w:val="8"/>
          <w:color w:val="auto"/>
        </w:rPr>
        <w:t>executive officers include the four most highly compensated executive officers, other than the CEO, who were serving as executive officers on October 31, 1999.</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02"/>
        </w:trPr>
        <w:tc>
          <w:tcPr>
            <w:tcW w:w="10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920" w:type="dxa"/>
            <w:vAlign w:val="bottom"/>
          </w:tcPr>
          <w:p>
            <w:pPr>
              <w:ind w:left="1280"/>
              <w:spacing w:after="0"/>
              <w:rPr>
                <w:sz w:val="20"/>
                <w:szCs w:val="20"/>
                <w:color w:val="auto"/>
              </w:rPr>
            </w:pPr>
            <w:r>
              <w:rPr>
                <w:rFonts w:ascii="Courier New" w:cs="Courier New" w:eastAsia="Courier New" w:hAnsi="Courier New"/>
                <w:sz w:val="9"/>
                <w:szCs w:val="9"/>
                <w:b w:val="1"/>
                <w:bCs w:val="1"/>
                <w:color w:val="auto"/>
              </w:rPr>
              <w:t>Name of</w:t>
            </w:r>
          </w:p>
        </w:tc>
        <w:tc>
          <w:tcPr>
            <w:tcW w:w="260" w:type="dxa"/>
            <w:vAlign w:val="bottom"/>
          </w:tcPr>
          <w:p>
            <w:pPr>
              <w:spacing w:after="0"/>
              <w:rPr>
                <w:sz w:val="8"/>
                <w:szCs w:val="8"/>
                <w:color w:val="auto"/>
              </w:rPr>
            </w:pPr>
          </w:p>
        </w:tc>
        <w:tc>
          <w:tcPr>
            <w:tcW w:w="3120" w:type="dxa"/>
            <w:vAlign w:val="bottom"/>
            <w:gridSpan w:val="2"/>
          </w:tcPr>
          <w:p>
            <w:pPr>
              <w:jc w:val="right"/>
              <w:ind w:right="1660"/>
              <w:spacing w:after="0"/>
              <w:rPr>
                <w:sz w:val="20"/>
                <w:szCs w:val="20"/>
                <w:color w:val="auto"/>
              </w:rPr>
            </w:pPr>
            <w:r>
              <w:rPr>
                <w:rFonts w:ascii="Courier New" w:cs="Courier New" w:eastAsia="Courier New" w:hAnsi="Courier New"/>
                <w:sz w:val="9"/>
                <w:szCs w:val="9"/>
                <w:b w:val="1"/>
                <w:bCs w:val="1"/>
                <w:color w:val="auto"/>
              </w:rPr>
              <w:t>Amount and Nature</w:t>
            </w:r>
          </w:p>
        </w:tc>
        <w:tc>
          <w:tcPr>
            <w:tcW w:w="1100" w:type="dxa"/>
            <w:vAlign w:val="bottom"/>
          </w:tcPr>
          <w:p>
            <w:pPr>
              <w:jc w:val="right"/>
              <w:ind w:right="315"/>
              <w:spacing w:after="0"/>
              <w:rPr>
                <w:sz w:val="20"/>
                <w:szCs w:val="20"/>
                <w:color w:val="auto"/>
              </w:rPr>
            </w:pPr>
            <w:r>
              <w:rPr>
                <w:rFonts w:ascii="Courier New" w:cs="Courier New" w:eastAsia="Courier New" w:hAnsi="Courier New"/>
                <w:sz w:val="9"/>
                <w:szCs w:val="9"/>
                <w:b w:val="1"/>
                <w:bCs w:val="1"/>
                <w:color w:val="auto"/>
              </w:rPr>
              <w:t>Percent</w:t>
            </w:r>
          </w:p>
        </w:tc>
      </w:tr>
      <w:tr>
        <w:trPr>
          <w:trHeight w:val="101"/>
        </w:trPr>
        <w:tc>
          <w:tcPr>
            <w:tcW w:w="10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920" w:type="dxa"/>
            <w:vAlign w:val="bottom"/>
          </w:tcPr>
          <w:p>
            <w:pPr>
              <w:ind w:left="940"/>
              <w:spacing w:after="0"/>
              <w:rPr>
                <w:sz w:val="20"/>
                <w:szCs w:val="20"/>
                <w:color w:val="auto"/>
              </w:rPr>
            </w:pPr>
            <w:r>
              <w:rPr>
                <w:rFonts w:ascii="Courier New" w:cs="Courier New" w:eastAsia="Courier New" w:hAnsi="Courier New"/>
                <w:sz w:val="9"/>
                <w:szCs w:val="9"/>
                <w:b w:val="1"/>
                <w:bCs w:val="1"/>
                <w:color w:val="auto"/>
              </w:rPr>
              <w:t>Beneficial Owner(1)</w:t>
            </w:r>
          </w:p>
        </w:tc>
        <w:tc>
          <w:tcPr>
            <w:tcW w:w="260" w:type="dxa"/>
            <w:vAlign w:val="bottom"/>
          </w:tcPr>
          <w:p>
            <w:pPr>
              <w:spacing w:after="0"/>
              <w:rPr>
                <w:sz w:val="8"/>
                <w:szCs w:val="8"/>
                <w:color w:val="auto"/>
              </w:rPr>
            </w:pPr>
          </w:p>
        </w:tc>
        <w:tc>
          <w:tcPr>
            <w:tcW w:w="3120" w:type="dxa"/>
            <w:vAlign w:val="bottom"/>
            <w:gridSpan w:val="2"/>
          </w:tcPr>
          <w:p>
            <w:pPr>
              <w:jc w:val="right"/>
              <w:ind w:right="1500"/>
              <w:spacing w:after="0"/>
              <w:rPr>
                <w:sz w:val="20"/>
                <w:szCs w:val="20"/>
                <w:color w:val="auto"/>
              </w:rPr>
            </w:pPr>
            <w:r>
              <w:rPr>
                <w:rFonts w:ascii="Courier New" w:cs="Courier New" w:eastAsia="Courier New" w:hAnsi="Courier New"/>
                <w:sz w:val="9"/>
                <w:szCs w:val="9"/>
                <w:b w:val="1"/>
                <w:bCs w:val="1"/>
                <w:color w:val="auto"/>
              </w:rPr>
              <w:t>of Beneficial Ownership</w:t>
            </w:r>
          </w:p>
        </w:tc>
        <w:tc>
          <w:tcPr>
            <w:tcW w:w="1100" w:type="dxa"/>
            <w:vAlign w:val="bottom"/>
          </w:tcPr>
          <w:p>
            <w:pPr>
              <w:jc w:val="right"/>
              <w:ind w:right="295"/>
              <w:spacing w:after="0"/>
              <w:rPr>
                <w:sz w:val="20"/>
                <w:szCs w:val="20"/>
                <w:color w:val="auto"/>
              </w:rPr>
            </w:pPr>
            <w:r>
              <w:rPr>
                <w:rFonts w:ascii="Courier New" w:cs="Courier New" w:eastAsia="Courier New" w:hAnsi="Courier New"/>
                <w:sz w:val="9"/>
                <w:szCs w:val="9"/>
                <w:b w:val="1"/>
                <w:bCs w:val="1"/>
                <w:color w:val="auto"/>
              </w:rPr>
              <w:t>Of Class</w:t>
            </w:r>
          </w:p>
        </w:tc>
      </w:tr>
      <w:tr>
        <w:trPr>
          <w:trHeight w:val="68"/>
        </w:trPr>
        <w:tc>
          <w:tcPr>
            <w:tcW w:w="1080" w:type="dxa"/>
            <w:vAlign w:val="bottom"/>
          </w:tcPr>
          <w:p>
            <w:pPr>
              <w:spacing w:after="0"/>
              <w:rPr>
                <w:sz w:val="5"/>
                <w:szCs w:val="5"/>
                <w:color w:val="auto"/>
              </w:rPr>
            </w:pPr>
          </w:p>
        </w:tc>
        <w:tc>
          <w:tcPr>
            <w:tcW w:w="440" w:type="dxa"/>
            <w:vAlign w:val="bottom"/>
          </w:tcPr>
          <w:p>
            <w:pPr>
              <w:spacing w:after="0"/>
              <w:rPr>
                <w:sz w:val="5"/>
                <w:szCs w:val="5"/>
                <w:color w:val="auto"/>
              </w:rPr>
            </w:pPr>
          </w:p>
        </w:tc>
        <w:tc>
          <w:tcPr>
            <w:tcW w:w="2920" w:type="dxa"/>
            <w:vAlign w:val="bottom"/>
            <w:tcBorders>
              <w:bottom w:val="single" w:sz="8" w:color="808080"/>
            </w:tcBorders>
          </w:tcPr>
          <w:p>
            <w:pPr>
              <w:spacing w:after="0"/>
              <w:rPr>
                <w:sz w:val="5"/>
                <w:szCs w:val="5"/>
                <w:color w:val="auto"/>
              </w:rPr>
            </w:pPr>
          </w:p>
        </w:tc>
        <w:tc>
          <w:tcPr>
            <w:tcW w:w="260" w:type="dxa"/>
            <w:vAlign w:val="bottom"/>
          </w:tcPr>
          <w:p>
            <w:pPr>
              <w:spacing w:after="0"/>
              <w:rPr>
                <w:sz w:val="5"/>
                <w:szCs w:val="5"/>
                <w:color w:val="auto"/>
              </w:rPr>
            </w:pPr>
          </w:p>
        </w:tc>
        <w:tc>
          <w:tcPr>
            <w:tcW w:w="2020" w:type="dxa"/>
            <w:vAlign w:val="bottom"/>
            <w:tcBorders>
              <w:bottom w:val="single" w:sz="8" w:color="808080"/>
            </w:tcBorders>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Borders>
              <w:bottom w:val="single" w:sz="8" w:color="808080"/>
            </w:tcBorders>
          </w:tcPr>
          <w:p>
            <w:pPr>
              <w:spacing w:after="0"/>
              <w:rPr>
                <w:sz w:val="5"/>
                <w:szCs w:val="5"/>
                <w:color w:val="auto"/>
              </w:rPr>
            </w:pPr>
          </w:p>
        </w:tc>
      </w:tr>
      <w:tr>
        <w:trPr>
          <w:trHeight w:val="244"/>
        </w:trPr>
        <w:tc>
          <w:tcPr>
            <w:tcW w:w="1520" w:type="dxa"/>
            <w:vAlign w:val="bottom"/>
            <w:gridSpan w:val="2"/>
          </w:tcPr>
          <w:p>
            <w:pPr>
              <w:spacing w:after="0"/>
              <w:rPr>
                <w:sz w:val="20"/>
                <w:szCs w:val="20"/>
                <w:color w:val="auto"/>
              </w:rPr>
            </w:pPr>
            <w:r>
              <w:rPr>
                <w:rFonts w:ascii="Courier New" w:cs="Courier New" w:eastAsia="Courier New" w:hAnsi="Courier New"/>
                <w:sz w:val="9"/>
                <w:szCs w:val="9"/>
                <w:color w:val="auto"/>
              </w:rPr>
              <w:t>Common Stock</w:t>
            </w:r>
          </w:p>
        </w:tc>
        <w:tc>
          <w:tcPr>
            <w:tcW w:w="2920" w:type="dxa"/>
            <w:vAlign w:val="bottom"/>
          </w:tcPr>
          <w:p>
            <w:pPr>
              <w:spacing w:after="0"/>
              <w:rPr>
                <w:sz w:val="20"/>
                <w:szCs w:val="20"/>
                <w:color w:val="auto"/>
              </w:rPr>
            </w:pPr>
            <w:r>
              <w:rPr>
                <w:rFonts w:ascii="Courier New" w:cs="Courier New" w:eastAsia="Courier New" w:hAnsi="Courier New"/>
                <w:sz w:val="9"/>
                <w:szCs w:val="9"/>
                <w:color w:val="auto"/>
              </w:rPr>
              <w:t>Franklin Resources, Inc.</w:t>
            </w:r>
          </w:p>
        </w:tc>
        <w:tc>
          <w:tcPr>
            <w:tcW w:w="3380" w:type="dxa"/>
            <w:vAlign w:val="bottom"/>
            <w:gridSpan w:val="3"/>
          </w:tcPr>
          <w:p>
            <w:pPr>
              <w:jc w:val="right"/>
              <w:ind w:right="940"/>
              <w:spacing w:after="0"/>
              <w:rPr>
                <w:sz w:val="20"/>
                <w:szCs w:val="20"/>
                <w:color w:val="auto"/>
              </w:rPr>
            </w:pPr>
            <w:r>
              <w:rPr>
                <w:rFonts w:ascii="Courier New" w:cs="Courier New" w:eastAsia="Courier New" w:hAnsi="Courier New"/>
                <w:sz w:val="9"/>
                <w:szCs w:val="9"/>
                <w:color w:val="auto"/>
              </w:rPr>
              <w:t>828,100(2)</w:t>
            </w:r>
          </w:p>
        </w:tc>
        <w:tc>
          <w:tcPr>
            <w:tcW w:w="1100" w:type="dxa"/>
            <w:vAlign w:val="bottom"/>
          </w:tcPr>
          <w:p>
            <w:pPr>
              <w:jc w:val="right"/>
              <w:spacing w:after="0"/>
              <w:rPr>
                <w:sz w:val="20"/>
                <w:szCs w:val="20"/>
                <w:color w:val="auto"/>
              </w:rPr>
            </w:pPr>
            <w:r>
              <w:rPr>
                <w:rFonts w:ascii="Courier New" w:cs="Courier New" w:eastAsia="Courier New" w:hAnsi="Courier New"/>
                <w:sz w:val="9"/>
                <w:szCs w:val="9"/>
                <w:color w:val="auto"/>
              </w:rPr>
              <w:t>6.5</w:t>
            </w:r>
          </w:p>
        </w:tc>
      </w:tr>
      <w:tr>
        <w:trPr>
          <w:trHeight w:val="99"/>
        </w:trPr>
        <w:tc>
          <w:tcPr>
            <w:tcW w:w="10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920" w:type="dxa"/>
            <w:vAlign w:val="bottom"/>
          </w:tcPr>
          <w:p>
            <w:pPr>
              <w:spacing w:after="0" w:line="99" w:lineRule="exact"/>
              <w:rPr>
                <w:sz w:val="20"/>
                <w:szCs w:val="20"/>
                <w:color w:val="auto"/>
              </w:rPr>
            </w:pPr>
            <w:r>
              <w:rPr>
                <w:rFonts w:ascii="Courier New" w:cs="Courier New" w:eastAsia="Courier New" w:hAnsi="Courier New"/>
                <w:sz w:val="9"/>
                <w:szCs w:val="9"/>
                <w:color w:val="auto"/>
              </w:rPr>
              <w:t>777 Mariners Island Blvd.</w:t>
            </w:r>
          </w:p>
        </w:tc>
        <w:tc>
          <w:tcPr>
            <w:tcW w:w="260" w:type="dxa"/>
            <w:vAlign w:val="bottom"/>
          </w:tcPr>
          <w:p>
            <w:pPr>
              <w:spacing w:after="0"/>
              <w:rPr>
                <w:sz w:val="8"/>
                <w:szCs w:val="8"/>
                <w:color w:val="auto"/>
              </w:rPr>
            </w:pPr>
          </w:p>
        </w:tc>
        <w:tc>
          <w:tcPr>
            <w:tcW w:w="20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r>
      <w:tr>
        <w:trPr>
          <w:trHeight w:val="99"/>
        </w:trPr>
        <w:tc>
          <w:tcPr>
            <w:tcW w:w="10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920" w:type="dxa"/>
            <w:vAlign w:val="bottom"/>
          </w:tcPr>
          <w:p>
            <w:pPr>
              <w:spacing w:after="0" w:line="99" w:lineRule="exact"/>
              <w:rPr>
                <w:sz w:val="20"/>
                <w:szCs w:val="20"/>
                <w:color w:val="auto"/>
              </w:rPr>
            </w:pPr>
            <w:r>
              <w:rPr>
                <w:rFonts w:ascii="Courier New" w:cs="Courier New" w:eastAsia="Courier New" w:hAnsi="Courier New"/>
                <w:sz w:val="9"/>
                <w:szCs w:val="9"/>
                <w:color w:val="auto"/>
              </w:rPr>
              <w:t>San Mateo, CA 95504</w:t>
            </w:r>
          </w:p>
        </w:tc>
        <w:tc>
          <w:tcPr>
            <w:tcW w:w="260" w:type="dxa"/>
            <w:vAlign w:val="bottom"/>
          </w:tcPr>
          <w:p>
            <w:pPr>
              <w:spacing w:after="0"/>
              <w:rPr>
                <w:sz w:val="8"/>
                <w:szCs w:val="8"/>
                <w:color w:val="auto"/>
              </w:rPr>
            </w:pPr>
          </w:p>
        </w:tc>
        <w:tc>
          <w:tcPr>
            <w:tcW w:w="20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r>
      <w:tr>
        <w:trPr>
          <w:trHeight w:val="99"/>
        </w:trPr>
        <w:tc>
          <w:tcPr>
            <w:tcW w:w="1520" w:type="dxa"/>
            <w:vAlign w:val="bottom"/>
            <w:gridSpan w:val="2"/>
          </w:tcPr>
          <w:p>
            <w:pPr>
              <w:spacing w:after="0" w:line="99" w:lineRule="exact"/>
              <w:rPr>
                <w:sz w:val="20"/>
                <w:szCs w:val="20"/>
                <w:color w:val="auto"/>
              </w:rPr>
            </w:pPr>
            <w:r>
              <w:rPr>
                <w:rFonts w:ascii="Courier New" w:cs="Courier New" w:eastAsia="Courier New" w:hAnsi="Courier New"/>
                <w:sz w:val="9"/>
                <w:szCs w:val="9"/>
                <w:color w:val="auto"/>
              </w:rPr>
              <w:t>Common Stock</w:t>
            </w:r>
          </w:p>
        </w:tc>
        <w:tc>
          <w:tcPr>
            <w:tcW w:w="2920" w:type="dxa"/>
            <w:vAlign w:val="bottom"/>
          </w:tcPr>
          <w:p>
            <w:pPr>
              <w:spacing w:after="0" w:line="99" w:lineRule="exact"/>
              <w:rPr>
                <w:sz w:val="20"/>
                <w:szCs w:val="20"/>
                <w:color w:val="auto"/>
              </w:rPr>
            </w:pPr>
            <w:r>
              <w:rPr>
                <w:rFonts w:ascii="Courier New" w:cs="Courier New" w:eastAsia="Courier New" w:hAnsi="Courier New"/>
                <w:sz w:val="9"/>
                <w:szCs w:val="9"/>
                <w:color w:val="auto"/>
              </w:rPr>
              <w:t>Ronald O. Baukol</w:t>
            </w:r>
          </w:p>
        </w:tc>
        <w:tc>
          <w:tcPr>
            <w:tcW w:w="3380" w:type="dxa"/>
            <w:vAlign w:val="bottom"/>
            <w:gridSpan w:val="3"/>
          </w:tcPr>
          <w:p>
            <w:pPr>
              <w:jc w:val="right"/>
              <w:ind w:right="940"/>
              <w:spacing w:after="0" w:line="99" w:lineRule="exact"/>
              <w:rPr>
                <w:sz w:val="20"/>
                <w:szCs w:val="20"/>
                <w:color w:val="auto"/>
              </w:rPr>
            </w:pPr>
            <w:r>
              <w:rPr>
                <w:rFonts w:ascii="Courier New" w:cs="Courier New" w:eastAsia="Courier New" w:hAnsi="Courier New"/>
                <w:sz w:val="9"/>
                <w:szCs w:val="9"/>
                <w:color w:val="auto"/>
              </w:rPr>
              <w:t>5,327(3)</w:t>
            </w:r>
          </w:p>
        </w:tc>
        <w:tc>
          <w:tcPr>
            <w:tcW w:w="1100" w:type="dxa"/>
            <w:vAlign w:val="bottom"/>
          </w:tcPr>
          <w:p>
            <w:pPr>
              <w:jc w:val="right"/>
              <w:spacing w:after="0" w:line="99" w:lineRule="exact"/>
              <w:rPr>
                <w:sz w:val="20"/>
                <w:szCs w:val="20"/>
                <w:color w:val="auto"/>
              </w:rPr>
            </w:pPr>
            <w:r>
              <w:rPr>
                <w:rFonts w:ascii="Courier New" w:cs="Courier New" w:eastAsia="Courier New" w:hAnsi="Courier New"/>
                <w:sz w:val="9"/>
                <w:szCs w:val="9"/>
                <w:color w:val="auto"/>
              </w:rPr>
              <w:t>*</w:t>
            </w:r>
          </w:p>
        </w:tc>
      </w:tr>
      <w:tr>
        <w:trPr>
          <w:trHeight w:val="99"/>
        </w:trPr>
        <w:tc>
          <w:tcPr>
            <w:tcW w:w="10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920" w:type="dxa"/>
            <w:vAlign w:val="bottom"/>
          </w:tcPr>
          <w:p>
            <w:pPr>
              <w:spacing w:after="0" w:line="99" w:lineRule="exact"/>
              <w:rPr>
                <w:sz w:val="20"/>
                <w:szCs w:val="20"/>
                <w:color w:val="auto"/>
              </w:rPr>
            </w:pPr>
            <w:r>
              <w:rPr>
                <w:rFonts w:ascii="Courier New" w:cs="Courier New" w:eastAsia="Courier New" w:hAnsi="Courier New"/>
                <w:sz w:val="9"/>
                <w:szCs w:val="9"/>
                <w:color w:val="auto"/>
              </w:rPr>
              <w:t>Robert C. Buhrmaster</w:t>
            </w:r>
          </w:p>
        </w:tc>
        <w:tc>
          <w:tcPr>
            <w:tcW w:w="3380" w:type="dxa"/>
            <w:vAlign w:val="bottom"/>
            <w:gridSpan w:val="3"/>
          </w:tcPr>
          <w:p>
            <w:pPr>
              <w:jc w:val="right"/>
              <w:ind w:right="940"/>
              <w:spacing w:after="0" w:line="99" w:lineRule="exact"/>
              <w:rPr>
                <w:sz w:val="20"/>
                <w:szCs w:val="20"/>
                <w:color w:val="auto"/>
              </w:rPr>
            </w:pPr>
            <w:r>
              <w:rPr>
                <w:rFonts w:ascii="Courier New" w:cs="Courier New" w:eastAsia="Courier New" w:hAnsi="Courier New"/>
                <w:sz w:val="9"/>
                <w:szCs w:val="9"/>
                <w:color w:val="auto"/>
              </w:rPr>
              <w:t>5,150(3)</w:t>
            </w:r>
          </w:p>
        </w:tc>
        <w:tc>
          <w:tcPr>
            <w:tcW w:w="1100" w:type="dxa"/>
            <w:vAlign w:val="bottom"/>
          </w:tcPr>
          <w:p>
            <w:pPr>
              <w:jc w:val="right"/>
              <w:spacing w:after="0" w:line="99" w:lineRule="exact"/>
              <w:rPr>
                <w:sz w:val="20"/>
                <w:szCs w:val="20"/>
                <w:color w:val="auto"/>
              </w:rPr>
            </w:pPr>
            <w:r>
              <w:rPr>
                <w:rFonts w:ascii="Courier New" w:cs="Courier New" w:eastAsia="Courier New" w:hAnsi="Courier New"/>
                <w:sz w:val="9"/>
                <w:szCs w:val="9"/>
                <w:color w:val="auto"/>
              </w:rPr>
              <w:t>*</w:t>
            </w:r>
          </w:p>
        </w:tc>
      </w:tr>
      <w:tr>
        <w:trPr>
          <w:trHeight w:val="99"/>
        </w:trPr>
        <w:tc>
          <w:tcPr>
            <w:tcW w:w="10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920" w:type="dxa"/>
            <w:vAlign w:val="bottom"/>
          </w:tcPr>
          <w:p>
            <w:pPr>
              <w:spacing w:after="0" w:line="99" w:lineRule="exact"/>
              <w:rPr>
                <w:sz w:val="20"/>
                <w:szCs w:val="20"/>
                <w:color w:val="auto"/>
              </w:rPr>
            </w:pPr>
            <w:r>
              <w:rPr>
                <w:rFonts w:ascii="Courier New" w:cs="Courier New" w:eastAsia="Courier New" w:hAnsi="Courier New"/>
                <w:sz w:val="9"/>
                <w:szCs w:val="9"/>
                <w:color w:val="auto"/>
              </w:rPr>
              <w:t>Winslow H. Buxton</w:t>
            </w:r>
          </w:p>
        </w:tc>
        <w:tc>
          <w:tcPr>
            <w:tcW w:w="3380" w:type="dxa"/>
            <w:vAlign w:val="bottom"/>
            <w:gridSpan w:val="3"/>
          </w:tcPr>
          <w:p>
            <w:pPr>
              <w:jc w:val="right"/>
              <w:ind w:right="940"/>
              <w:spacing w:after="0" w:line="99" w:lineRule="exact"/>
              <w:rPr>
                <w:sz w:val="20"/>
                <w:szCs w:val="20"/>
                <w:color w:val="auto"/>
              </w:rPr>
            </w:pPr>
            <w:r>
              <w:rPr>
                <w:rFonts w:ascii="Courier New" w:cs="Courier New" w:eastAsia="Courier New" w:hAnsi="Courier New"/>
                <w:sz w:val="9"/>
                <w:szCs w:val="9"/>
                <w:color w:val="auto"/>
              </w:rPr>
              <w:t>3,485(3)</w:t>
            </w:r>
          </w:p>
        </w:tc>
        <w:tc>
          <w:tcPr>
            <w:tcW w:w="1100" w:type="dxa"/>
            <w:vAlign w:val="bottom"/>
          </w:tcPr>
          <w:p>
            <w:pPr>
              <w:jc w:val="right"/>
              <w:spacing w:after="0" w:line="99" w:lineRule="exact"/>
              <w:rPr>
                <w:sz w:val="20"/>
                <w:szCs w:val="20"/>
                <w:color w:val="auto"/>
              </w:rPr>
            </w:pPr>
            <w:r>
              <w:rPr>
                <w:rFonts w:ascii="Courier New" w:cs="Courier New" w:eastAsia="Courier New" w:hAnsi="Courier New"/>
                <w:sz w:val="9"/>
                <w:szCs w:val="9"/>
                <w:color w:val="auto"/>
              </w:rPr>
              <w:t>*</w:t>
            </w:r>
          </w:p>
        </w:tc>
      </w:tr>
      <w:tr>
        <w:trPr>
          <w:trHeight w:val="99"/>
        </w:trPr>
        <w:tc>
          <w:tcPr>
            <w:tcW w:w="10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920" w:type="dxa"/>
            <w:vAlign w:val="bottom"/>
          </w:tcPr>
          <w:p>
            <w:pPr>
              <w:spacing w:after="0" w:line="99" w:lineRule="exact"/>
              <w:rPr>
                <w:sz w:val="20"/>
                <w:szCs w:val="20"/>
                <w:color w:val="auto"/>
              </w:rPr>
            </w:pPr>
            <w:r>
              <w:rPr>
                <w:rFonts w:ascii="Courier New" w:cs="Courier New" w:eastAsia="Courier New" w:hAnsi="Courier New"/>
                <w:sz w:val="9"/>
                <w:szCs w:val="9"/>
                <w:color w:val="auto"/>
              </w:rPr>
              <w:t>Janet K. Cooper</w:t>
            </w:r>
          </w:p>
        </w:tc>
        <w:tc>
          <w:tcPr>
            <w:tcW w:w="3380" w:type="dxa"/>
            <w:vAlign w:val="bottom"/>
            <w:gridSpan w:val="3"/>
          </w:tcPr>
          <w:p>
            <w:pPr>
              <w:jc w:val="right"/>
              <w:ind w:right="940"/>
              <w:spacing w:after="0" w:line="99" w:lineRule="exact"/>
              <w:rPr>
                <w:sz w:val="20"/>
                <w:szCs w:val="20"/>
                <w:color w:val="auto"/>
              </w:rPr>
            </w:pPr>
            <w:r>
              <w:rPr>
                <w:rFonts w:ascii="Courier New" w:cs="Courier New" w:eastAsia="Courier New" w:hAnsi="Courier New"/>
                <w:sz w:val="9"/>
                <w:szCs w:val="9"/>
                <w:color w:val="auto"/>
              </w:rPr>
              <w:t>6,156(3)</w:t>
            </w:r>
          </w:p>
        </w:tc>
        <w:tc>
          <w:tcPr>
            <w:tcW w:w="1100" w:type="dxa"/>
            <w:vAlign w:val="bottom"/>
          </w:tcPr>
          <w:p>
            <w:pPr>
              <w:jc w:val="right"/>
              <w:spacing w:after="0" w:line="99" w:lineRule="exact"/>
              <w:rPr>
                <w:sz w:val="20"/>
                <w:szCs w:val="20"/>
                <w:color w:val="auto"/>
              </w:rPr>
            </w:pPr>
            <w:r>
              <w:rPr>
                <w:rFonts w:ascii="Courier New" w:cs="Courier New" w:eastAsia="Courier New" w:hAnsi="Courier New"/>
                <w:sz w:val="9"/>
                <w:szCs w:val="9"/>
                <w:color w:val="auto"/>
              </w:rPr>
              <w:t>*</w:t>
            </w:r>
          </w:p>
        </w:tc>
      </w:tr>
      <w:tr>
        <w:trPr>
          <w:trHeight w:val="99"/>
        </w:trPr>
        <w:tc>
          <w:tcPr>
            <w:tcW w:w="10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920" w:type="dxa"/>
            <w:vAlign w:val="bottom"/>
          </w:tcPr>
          <w:p>
            <w:pPr>
              <w:spacing w:after="0" w:line="99" w:lineRule="exact"/>
              <w:rPr>
                <w:sz w:val="20"/>
                <w:szCs w:val="20"/>
                <w:color w:val="auto"/>
              </w:rPr>
            </w:pPr>
            <w:r>
              <w:rPr>
                <w:rFonts w:ascii="Courier New" w:cs="Courier New" w:eastAsia="Courier New" w:hAnsi="Courier New"/>
                <w:sz w:val="9"/>
                <w:szCs w:val="9"/>
                <w:color w:val="auto"/>
              </w:rPr>
              <w:t>J. David McIntosh</w:t>
            </w:r>
          </w:p>
        </w:tc>
        <w:tc>
          <w:tcPr>
            <w:tcW w:w="3380" w:type="dxa"/>
            <w:vAlign w:val="bottom"/>
            <w:gridSpan w:val="3"/>
          </w:tcPr>
          <w:p>
            <w:pPr>
              <w:jc w:val="right"/>
              <w:ind w:right="780"/>
              <w:spacing w:after="0" w:line="99" w:lineRule="exact"/>
              <w:rPr>
                <w:sz w:val="20"/>
                <w:szCs w:val="20"/>
                <w:color w:val="auto"/>
              </w:rPr>
            </w:pPr>
            <w:r>
              <w:rPr>
                <w:rFonts w:ascii="Courier New" w:cs="Courier New" w:eastAsia="Courier New" w:hAnsi="Courier New"/>
                <w:sz w:val="9"/>
                <w:szCs w:val="9"/>
                <w:color w:val="auto"/>
              </w:rPr>
              <w:t>97,438(3)(4)</w:t>
            </w:r>
          </w:p>
        </w:tc>
        <w:tc>
          <w:tcPr>
            <w:tcW w:w="1100" w:type="dxa"/>
            <w:vAlign w:val="bottom"/>
          </w:tcPr>
          <w:p>
            <w:pPr>
              <w:jc w:val="right"/>
              <w:spacing w:after="0" w:line="99" w:lineRule="exact"/>
              <w:rPr>
                <w:sz w:val="20"/>
                <w:szCs w:val="20"/>
                <w:color w:val="auto"/>
              </w:rPr>
            </w:pPr>
            <w:r>
              <w:rPr>
                <w:rFonts w:ascii="Courier New" w:cs="Courier New" w:eastAsia="Courier New" w:hAnsi="Courier New"/>
                <w:sz w:val="9"/>
                <w:szCs w:val="9"/>
                <w:color w:val="auto"/>
              </w:rPr>
              <w:t>*</w:t>
            </w:r>
          </w:p>
        </w:tc>
      </w:tr>
      <w:tr>
        <w:trPr>
          <w:trHeight w:val="99"/>
        </w:trPr>
        <w:tc>
          <w:tcPr>
            <w:tcW w:w="10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920" w:type="dxa"/>
            <w:vAlign w:val="bottom"/>
          </w:tcPr>
          <w:p>
            <w:pPr>
              <w:spacing w:after="0" w:line="99" w:lineRule="exact"/>
              <w:rPr>
                <w:sz w:val="20"/>
                <w:szCs w:val="20"/>
                <w:color w:val="auto"/>
              </w:rPr>
            </w:pPr>
            <w:r>
              <w:rPr>
                <w:rFonts w:ascii="Courier New" w:cs="Courier New" w:eastAsia="Courier New" w:hAnsi="Courier New"/>
                <w:sz w:val="9"/>
                <w:szCs w:val="9"/>
                <w:color w:val="auto"/>
              </w:rPr>
              <w:t>J. Lawrence McIntyre</w:t>
            </w:r>
          </w:p>
        </w:tc>
        <w:tc>
          <w:tcPr>
            <w:tcW w:w="3380" w:type="dxa"/>
            <w:vAlign w:val="bottom"/>
            <w:gridSpan w:val="3"/>
          </w:tcPr>
          <w:p>
            <w:pPr>
              <w:jc w:val="right"/>
              <w:ind w:right="780"/>
              <w:spacing w:after="0" w:line="99" w:lineRule="exact"/>
              <w:rPr>
                <w:sz w:val="20"/>
                <w:szCs w:val="20"/>
                <w:color w:val="auto"/>
              </w:rPr>
            </w:pPr>
            <w:r>
              <w:rPr>
                <w:rFonts w:ascii="Courier New" w:cs="Courier New" w:eastAsia="Courier New" w:hAnsi="Courier New"/>
                <w:sz w:val="9"/>
                <w:szCs w:val="9"/>
                <w:color w:val="auto"/>
              </w:rPr>
              <w:t>43,657(3)(5)</w:t>
            </w:r>
          </w:p>
        </w:tc>
        <w:tc>
          <w:tcPr>
            <w:tcW w:w="1100" w:type="dxa"/>
            <w:vAlign w:val="bottom"/>
          </w:tcPr>
          <w:p>
            <w:pPr>
              <w:jc w:val="right"/>
              <w:spacing w:after="0" w:line="99" w:lineRule="exact"/>
              <w:rPr>
                <w:sz w:val="20"/>
                <w:szCs w:val="20"/>
                <w:color w:val="auto"/>
              </w:rPr>
            </w:pPr>
            <w:r>
              <w:rPr>
                <w:rFonts w:ascii="Courier New" w:cs="Courier New" w:eastAsia="Courier New" w:hAnsi="Courier New"/>
                <w:sz w:val="9"/>
                <w:szCs w:val="9"/>
                <w:color w:val="auto"/>
              </w:rPr>
              <w:t>*</w:t>
            </w:r>
          </w:p>
        </w:tc>
      </w:tr>
      <w:tr>
        <w:trPr>
          <w:trHeight w:val="99"/>
        </w:trPr>
        <w:tc>
          <w:tcPr>
            <w:tcW w:w="10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920" w:type="dxa"/>
            <w:vAlign w:val="bottom"/>
          </w:tcPr>
          <w:p>
            <w:pPr>
              <w:spacing w:after="0" w:line="99" w:lineRule="exact"/>
              <w:rPr>
                <w:sz w:val="20"/>
                <w:szCs w:val="20"/>
                <w:color w:val="auto"/>
              </w:rPr>
            </w:pPr>
            <w:r>
              <w:rPr>
                <w:rFonts w:ascii="Courier New" w:cs="Courier New" w:eastAsia="Courier New" w:hAnsi="Courier New"/>
                <w:sz w:val="9"/>
                <w:szCs w:val="9"/>
                <w:color w:val="auto"/>
              </w:rPr>
              <w:t>Kendrick B. Melrose</w:t>
            </w:r>
          </w:p>
        </w:tc>
        <w:tc>
          <w:tcPr>
            <w:tcW w:w="3380" w:type="dxa"/>
            <w:vAlign w:val="bottom"/>
            <w:gridSpan w:val="3"/>
          </w:tcPr>
          <w:p>
            <w:pPr>
              <w:jc w:val="right"/>
              <w:ind w:right="780"/>
              <w:spacing w:after="0" w:line="99" w:lineRule="exact"/>
              <w:rPr>
                <w:sz w:val="20"/>
                <w:szCs w:val="20"/>
                <w:color w:val="auto"/>
              </w:rPr>
            </w:pPr>
            <w:r>
              <w:rPr>
                <w:rFonts w:ascii="Courier New" w:cs="Courier New" w:eastAsia="Courier New" w:hAnsi="Courier New"/>
                <w:sz w:val="9"/>
                <w:szCs w:val="9"/>
                <w:color w:val="auto"/>
              </w:rPr>
              <w:t>680,537(3)(5)</w:t>
            </w:r>
          </w:p>
        </w:tc>
        <w:tc>
          <w:tcPr>
            <w:tcW w:w="1100" w:type="dxa"/>
            <w:vAlign w:val="bottom"/>
          </w:tcPr>
          <w:p>
            <w:pPr>
              <w:jc w:val="right"/>
              <w:spacing w:after="0" w:line="99" w:lineRule="exact"/>
              <w:rPr>
                <w:sz w:val="20"/>
                <w:szCs w:val="20"/>
                <w:color w:val="auto"/>
              </w:rPr>
            </w:pPr>
            <w:r>
              <w:rPr>
                <w:rFonts w:ascii="Courier New" w:cs="Courier New" w:eastAsia="Courier New" w:hAnsi="Courier New"/>
                <w:sz w:val="9"/>
                <w:szCs w:val="9"/>
                <w:color w:val="auto"/>
              </w:rPr>
              <w:t>4.9</w:t>
            </w:r>
          </w:p>
        </w:tc>
      </w:tr>
      <w:tr>
        <w:trPr>
          <w:trHeight w:val="99"/>
        </w:trPr>
        <w:tc>
          <w:tcPr>
            <w:tcW w:w="10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920" w:type="dxa"/>
            <w:vAlign w:val="bottom"/>
          </w:tcPr>
          <w:p>
            <w:pPr>
              <w:spacing w:after="0" w:line="99" w:lineRule="exact"/>
              <w:rPr>
                <w:sz w:val="20"/>
                <w:szCs w:val="20"/>
                <w:color w:val="auto"/>
              </w:rPr>
            </w:pPr>
            <w:r>
              <w:rPr>
                <w:rFonts w:ascii="Courier New" w:cs="Courier New" w:eastAsia="Courier New" w:hAnsi="Courier New"/>
                <w:sz w:val="9"/>
                <w:szCs w:val="9"/>
                <w:color w:val="auto"/>
              </w:rPr>
              <w:t>Alex A. Meyer</w:t>
            </w:r>
          </w:p>
        </w:tc>
        <w:tc>
          <w:tcPr>
            <w:tcW w:w="3380" w:type="dxa"/>
            <w:vAlign w:val="bottom"/>
            <w:gridSpan w:val="3"/>
          </w:tcPr>
          <w:p>
            <w:pPr>
              <w:jc w:val="right"/>
              <w:ind w:right="940"/>
              <w:spacing w:after="0" w:line="99" w:lineRule="exact"/>
              <w:rPr>
                <w:sz w:val="20"/>
                <w:szCs w:val="20"/>
                <w:color w:val="auto"/>
              </w:rPr>
            </w:pPr>
            <w:r>
              <w:rPr>
                <w:rFonts w:ascii="Courier New" w:cs="Courier New" w:eastAsia="Courier New" w:hAnsi="Courier New"/>
                <w:sz w:val="9"/>
                <w:szCs w:val="9"/>
                <w:color w:val="auto"/>
              </w:rPr>
              <w:t>4,300(3)</w:t>
            </w:r>
          </w:p>
        </w:tc>
        <w:tc>
          <w:tcPr>
            <w:tcW w:w="1100" w:type="dxa"/>
            <w:vAlign w:val="bottom"/>
          </w:tcPr>
          <w:p>
            <w:pPr>
              <w:jc w:val="right"/>
              <w:spacing w:after="0" w:line="99" w:lineRule="exact"/>
              <w:rPr>
                <w:sz w:val="20"/>
                <w:szCs w:val="20"/>
                <w:color w:val="auto"/>
              </w:rPr>
            </w:pPr>
            <w:r>
              <w:rPr>
                <w:rFonts w:ascii="Courier New" w:cs="Courier New" w:eastAsia="Courier New" w:hAnsi="Courier New"/>
                <w:sz w:val="9"/>
                <w:szCs w:val="9"/>
                <w:color w:val="auto"/>
              </w:rPr>
              <w:t>*</w:t>
            </w:r>
          </w:p>
        </w:tc>
      </w:tr>
      <w:tr>
        <w:trPr>
          <w:trHeight w:val="99"/>
        </w:trPr>
        <w:tc>
          <w:tcPr>
            <w:tcW w:w="10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920" w:type="dxa"/>
            <w:vAlign w:val="bottom"/>
          </w:tcPr>
          <w:p>
            <w:pPr>
              <w:spacing w:after="0" w:line="99" w:lineRule="exact"/>
              <w:rPr>
                <w:sz w:val="20"/>
                <w:szCs w:val="20"/>
                <w:color w:val="auto"/>
              </w:rPr>
            </w:pPr>
            <w:r>
              <w:rPr>
                <w:rFonts w:ascii="Courier New" w:cs="Courier New" w:eastAsia="Courier New" w:hAnsi="Courier New"/>
                <w:sz w:val="9"/>
                <w:szCs w:val="9"/>
                <w:color w:val="auto"/>
              </w:rPr>
              <w:t>Karen M. Meyer</w:t>
            </w:r>
          </w:p>
        </w:tc>
        <w:tc>
          <w:tcPr>
            <w:tcW w:w="3380" w:type="dxa"/>
            <w:vAlign w:val="bottom"/>
            <w:gridSpan w:val="3"/>
          </w:tcPr>
          <w:p>
            <w:pPr>
              <w:jc w:val="right"/>
              <w:ind w:right="780"/>
              <w:spacing w:after="0" w:line="99" w:lineRule="exact"/>
              <w:rPr>
                <w:sz w:val="20"/>
                <w:szCs w:val="20"/>
                <w:color w:val="auto"/>
              </w:rPr>
            </w:pPr>
            <w:r>
              <w:rPr>
                <w:rFonts w:ascii="Courier New" w:cs="Courier New" w:eastAsia="Courier New" w:hAnsi="Courier New"/>
                <w:sz w:val="9"/>
                <w:szCs w:val="9"/>
                <w:color w:val="auto"/>
              </w:rPr>
              <w:t>66,104(3)(5)</w:t>
            </w:r>
          </w:p>
        </w:tc>
        <w:tc>
          <w:tcPr>
            <w:tcW w:w="1100" w:type="dxa"/>
            <w:vAlign w:val="bottom"/>
          </w:tcPr>
          <w:p>
            <w:pPr>
              <w:jc w:val="right"/>
              <w:spacing w:after="0" w:line="99" w:lineRule="exact"/>
              <w:rPr>
                <w:sz w:val="20"/>
                <w:szCs w:val="20"/>
                <w:color w:val="auto"/>
              </w:rPr>
            </w:pPr>
            <w:r>
              <w:rPr>
                <w:rFonts w:ascii="Courier New" w:cs="Courier New" w:eastAsia="Courier New" w:hAnsi="Courier New"/>
                <w:sz w:val="9"/>
                <w:szCs w:val="9"/>
                <w:color w:val="auto"/>
              </w:rPr>
              <w:t>*</w:t>
            </w:r>
          </w:p>
        </w:tc>
      </w:tr>
      <w:tr>
        <w:trPr>
          <w:trHeight w:val="99"/>
        </w:trPr>
        <w:tc>
          <w:tcPr>
            <w:tcW w:w="10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920" w:type="dxa"/>
            <w:vAlign w:val="bottom"/>
          </w:tcPr>
          <w:p>
            <w:pPr>
              <w:spacing w:after="0" w:line="99" w:lineRule="exact"/>
              <w:rPr>
                <w:sz w:val="20"/>
                <w:szCs w:val="20"/>
                <w:color w:val="auto"/>
              </w:rPr>
            </w:pPr>
            <w:r>
              <w:rPr>
                <w:rFonts w:ascii="Courier New" w:cs="Courier New" w:eastAsia="Courier New" w:hAnsi="Courier New"/>
                <w:sz w:val="9"/>
                <w:szCs w:val="9"/>
                <w:color w:val="auto"/>
              </w:rPr>
              <w:t>Robert H. Nassau</w:t>
            </w:r>
          </w:p>
        </w:tc>
        <w:tc>
          <w:tcPr>
            <w:tcW w:w="3380" w:type="dxa"/>
            <w:vAlign w:val="bottom"/>
            <w:gridSpan w:val="3"/>
          </w:tcPr>
          <w:p>
            <w:pPr>
              <w:jc w:val="right"/>
              <w:ind w:right="940"/>
              <w:spacing w:after="0" w:line="99" w:lineRule="exact"/>
              <w:rPr>
                <w:sz w:val="20"/>
                <w:szCs w:val="20"/>
                <w:color w:val="auto"/>
              </w:rPr>
            </w:pPr>
            <w:r>
              <w:rPr>
                <w:rFonts w:ascii="Courier New" w:cs="Courier New" w:eastAsia="Courier New" w:hAnsi="Courier New"/>
                <w:sz w:val="9"/>
                <w:szCs w:val="9"/>
                <w:color w:val="auto"/>
              </w:rPr>
              <w:t>5,521(3)</w:t>
            </w:r>
          </w:p>
        </w:tc>
        <w:tc>
          <w:tcPr>
            <w:tcW w:w="1100" w:type="dxa"/>
            <w:vAlign w:val="bottom"/>
          </w:tcPr>
          <w:p>
            <w:pPr>
              <w:jc w:val="right"/>
              <w:spacing w:after="0" w:line="99" w:lineRule="exact"/>
              <w:rPr>
                <w:sz w:val="20"/>
                <w:szCs w:val="20"/>
                <w:color w:val="auto"/>
              </w:rPr>
            </w:pPr>
            <w:r>
              <w:rPr>
                <w:rFonts w:ascii="Courier New" w:cs="Courier New" w:eastAsia="Courier New" w:hAnsi="Courier New"/>
                <w:sz w:val="9"/>
                <w:szCs w:val="9"/>
                <w:color w:val="auto"/>
              </w:rPr>
              <w:t>*</w:t>
            </w:r>
          </w:p>
        </w:tc>
      </w:tr>
      <w:tr>
        <w:trPr>
          <w:trHeight w:val="99"/>
        </w:trPr>
        <w:tc>
          <w:tcPr>
            <w:tcW w:w="10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920" w:type="dxa"/>
            <w:vAlign w:val="bottom"/>
          </w:tcPr>
          <w:p>
            <w:pPr>
              <w:spacing w:after="0" w:line="99" w:lineRule="exact"/>
              <w:rPr>
                <w:sz w:val="20"/>
                <w:szCs w:val="20"/>
                <w:color w:val="auto"/>
              </w:rPr>
            </w:pPr>
            <w:r>
              <w:rPr>
                <w:rFonts w:ascii="Courier New" w:cs="Courier New" w:eastAsia="Courier New" w:hAnsi="Courier New"/>
                <w:sz w:val="9"/>
                <w:szCs w:val="9"/>
                <w:color w:val="auto"/>
              </w:rPr>
              <w:t>Dale R. Olseth</w:t>
            </w:r>
          </w:p>
        </w:tc>
        <w:tc>
          <w:tcPr>
            <w:tcW w:w="3380" w:type="dxa"/>
            <w:vAlign w:val="bottom"/>
            <w:gridSpan w:val="3"/>
          </w:tcPr>
          <w:p>
            <w:pPr>
              <w:jc w:val="right"/>
              <w:ind w:right="940"/>
              <w:spacing w:after="0" w:line="99" w:lineRule="exact"/>
              <w:rPr>
                <w:sz w:val="20"/>
                <w:szCs w:val="20"/>
                <w:color w:val="auto"/>
              </w:rPr>
            </w:pPr>
            <w:r>
              <w:rPr>
                <w:rFonts w:ascii="Courier New" w:cs="Courier New" w:eastAsia="Courier New" w:hAnsi="Courier New"/>
                <w:sz w:val="9"/>
                <w:szCs w:val="9"/>
                <w:color w:val="auto"/>
              </w:rPr>
              <w:t>11,669(3)</w:t>
            </w:r>
          </w:p>
        </w:tc>
        <w:tc>
          <w:tcPr>
            <w:tcW w:w="1100" w:type="dxa"/>
            <w:vAlign w:val="bottom"/>
          </w:tcPr>
          <w:p>
            <w:pPr>
              <w:jc w:val="right"/>
              <w:spacing w:after="0" w:line="99" w:lineRule="exact"/>
              <w:rPr>
                <w:sz w:val="20"/>
                <w:szCs w:val="20"/>
                <w:color w:val="auto"/>
              </w:rPr>
            </w:pPr>
            <w:r>
              <w:rPr>
                <w:rFonts w:ascii="Courier New" w:cs="Courier New" w:eastAsia="Courier New" w:hAnsi="Courier New"/>
                <w:sz w:val="9"/>
                <w:szCs w:val="9"/>
                <w:color w:val="auto"/>
              </w:rPr>
              <w:t>*</w:t>
            </w:r>
          </w:p>
        </w:tc>
      </w:tr>
      <w:tr>
        <w:trPr>
          <w:trHeight w:val="99"/>
        </w:trPr>
        <w:tc>
          <w:tcPr>
            <w:tcW w:w="10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920" w:type="dxa"/>
            <w:vAlign w:val="bottom"/>
          </w:tcPr>
          <w:p>
            <w:pPr>
              <w:spacing w:after="0" w:line="99" w:lineRule="exact"/>
              <w:rPr>
                <w:sz w:val="20"/>
                <w:szCs w:val="20"/>
                <w:color w:val="auto"/>
              </w:rPr>
            </w:pPr>
            <w:r>
              <w:rPr>
                <w:rFonts w:ascii="Courier New" w:cs="Courier New" w:eastAsia="Courier New" w:hAnsi="Courier New"/>
                <w:sz w:val="9"/>
                <w:szCs w:val="9"/>
                <w:color w:val="auto"/>
              </w:rPr>
              <w:t>Gregg W. Steinhafel</w:t>
            </w:r>
          </w:p>
        </w:tc>
        <w:tc>
          <w:tcPr>
            <w:tcW w:w="3380" w:type="dxa"/>
            <w:vAlign w:val="bottom"/>
            <w:gridSpan w:val="3"/>
          </w:tcPr>
          <w:p>
            <w:pPr>
              <w:jc w:val="right"/>
              <w:ind w:right="940"/>
              <w:spacing w:after="0" w:line="99" w:lineRule="exact"/>
              <w:rPr>
                <w:sz w:val="20"/>
                <w:szCs w:val="20"/>
                <w:color w:val="auto"/>
              </w:rPr>
            </w:pPr>
            <w:r>
              <w:rPr>
                <w:rFonts w:ascii="Courier New" w:cs="Courier New" w:eastAsia="Courier New" w:hAnsi="Courier New"/>
                <w:sz w:val="9"/>
                <w:szCs w:val="9"/>
                <w:color w:val="auto"/>
              </w:rPr>
              <w:t>136(3)</w:t>
            </w:r>
          </w:p>
        </w:tc>
        <w:tc>
          <w:tcPr>
            <w:tcW w:w="1100" w:type="dxa"/>
            <w:vAlign w:val="bottom"/>
          </w:tcPr>
          <w:p>
            <w:pPr>
              <w:jc w:val="right"/>
              <w:spacing w:after="0" w:line="99" w:lineRule="exact"/>
              <w:rPr>
                <w:sz w:val="20"/>
                <w:szCs w:val="20"/>
                <w:color w:val="auto"/>
              </w:rPr>
            </w:pPr>
            <w:r>
              <w:rPr>
                <w:rFonts w:ascii="Courier New" w:cs="Courier New" w:eastAsia="Courier New" w:hAnsi="Courier New"/>
                <w:sz w:val="9"/>
                <w:szCs w:val="9"/>
                <w:color w:val="auto"/>
              </w:rPr>
              <w:t>*</w:t>
            </w:r>
          </w:p>
        </w:tc>
      </w:tr>
      <w:tr>
        <w:trPr>
          <w:trHeight w:val="99"/>
        </w:trPr>
        <w:tc>
          <w:tcPr>
            <w:tcW w:w="10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920" w:type="dxa"/>
            <w:vAlign w:val="bottom"/>
          </w:tcPr>
          <w:p>
            <w:pPr>
              <w:spacing w:after="0" w:line="99" w:lineRule="exact"/>
              <w:rPr>
                <w:sz w:val="20"/>
                <w:szCs w:val="20"/>
                <w:color w:val="auto"/>
              </w:rPr>
            </w:pPr>
            <w:r>
              <w:rPr>
                <w:rFonts w:ascii="Courier New" w:cs="Courier New" w:eastAsia="Courier New" w:hAnsi="Courier New"/>
                <w:sz w:val="9"/>
                <w:szCs w:val="9"/>
                <w:color w:val="auto"/>
              </w:rPr>
              <w:t>Christopher A. Twomey</w:t>
            </w:r>
          </w:p>
        </w:tc>
        <w:tc>
          <w:tcPr>
            <w:tcW w:w="3380" w:type="dxa"/>
            <w:vAlign w:val="bottom"/>
            <w:gridSpan w:val="3"/>
          </w:tcPr>
          <w:p>
            <w:pPr>
              <w:jc w:val="right"/>
              <w:ind w:right="940"/>
              <w:spacing w:after="0" w:line="99" w:lineRule="exact"/>
              <w:rPr>
                <w:sz w:val="20"/>
                <w:szCs w:val="20"/>
                <w:color w:val="auto"/>
              </w:rPr>
            </w:pPr>
            <w:r>
              <w:rPr>
                <w:rFonts w:ascii="Courier New" w:cs="Courier New" w:eastAsia="Courier New" w:hAnsi="Courier New"/>
                <w:sz w:val="9"/>
                <w:szCs w:val="9"/>
                <w:color w:val="auto"/>
              </w:rPr>
              <w:t>2,369(3)</w:t>
            </w:r>
          </w:p>
        </w:tc>
        <w:tc>
          <w:tcPr>
            <w:tcW w:w="1100" w:type="dxa"/>
            <w:vAlign w:val="bottom"/>
          </w:tcPr>
          <w:p>
            <w:pPr>
              <w:jc w:val="right"/>
              <w:spacing w:after="0" w:line="99" w:lineRule="exact"/>
              <w:rPr>
                <w:sz w:val="20"/>
                <w:szCs w:val="20"/>
                <w:color w:val="auto"/>
              </w:rPr>
            </w:pPr>
            <w:r>
              <w:rPr>
                <w:rFonts w:ascii="Courier New" w:cs="Courier New" w:eastAsia="Courier New" w:hAnsi="Courier New"/>
                <w:sz w:val="9"/>
                <w:szCs w:val="9"/>
                <w:color w:val="auto"/>
              </w:rPr>
              <w:t>*</w:t>
            </w:r>
          </w:p>
        </w:tc>
      </w:tr>
      <w:tr>
        <w:trPr>
          <w:trHeight w:val="99"/>
        </w:trPr>
        <w:tc>
          <w:tcPr>
            <w:tcW w:w="10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920" w:type="dxa"/>
            <w:vAlign w:val="bottom"/>
          </w:tcPr>
          <w:p>
            <w:pPr>
              <w:spacing w:after="0" w:line="99" w:lineRule="exact"/>
              <w:rPr>
                <w:sz w:val="20"/>
                <w:szCs w:val="20"/>
                <w:color w:val="auto"/>
              </w:rPr>
            </w:pPr>
            <w:r>
              <w:rPr>
                <w:rFonts w:ascii="Courier New" w:cs="Courier New" w:eastAsia="Courier New" w:hAnsi="Courier New"/>
                <w:sz w:val="9"/>
                <w:szCs w:val="9"/>
                <w:color w:val="auto"/>
              </w:rPr>
              <w:t>Edwin H. Wingate</w:t>
            </w:r>
          </w:p>
        </w:tc>
        <w:tc>
          <w:tcPr>
            <w:tcW w:w="3380" w:type="dxa"/>
            <w:vAlign w:val="bottom"/>
            <w:gridSpan w:val="3"/>
          </w:tcPr>
          <w:p>
            <w:pPr>
              <w:jc w:val="right"/>
              <w:ind w:right="940"/>
              <w:spacing w:after="0" w:line="99" w:lineRule="exact"/>
              <w:rPr>
                <w:sz w:val="20"/>
                <w:szCs w:val="20"/>
                <w:color w:val="auto"/>
              </w:rPr>
            </w:pPr>
            <w:r>
              <w:rPr>
                <w:rFonts w:ascii="Courier New" w:cs="Courier New" w:eastAsia="Courier New" w:hAnsi="Courier New"/>
                <w:sz w:val="9"/>
                <w:szCs w:val="9"/>
                <w:color w:val="auto"/>
              </w:rPr>
              <w:t>6,649(3)</w:t>
            </w:r>
          </w:p>
        </w:tc>
        <w:tc>
          <w:tcPr>
            <w:tcW w:w="1100" w:type="dxa"/>
            <w:vAlign w:val="bottom"/>
          </w:tcPr>
          <w:p>
            <w:pPr>
              <w:jc w:val="right"/>
              <w:spacing w:after="0" w:line="99" w:lineRule="exact"/>
              <w:rPr>
                <w:sz w:val="20"/>
                <w:szCs w:val="20"/>
                <w:color w:val="auto"/>
              </w:rPr>
            </w:pPr>
            <w:r>
              <w:rPr>
                <w:rFonts w:ascii="Courier New" w:cs="Courier New" w:eastAsia="Courier New" w:hAnsi="Courier New"/>
                <w:sz w:val="9"/>
                <w:szCs w:val="9"/>
                <w:color w:val="auto"/>
              </w:rPr>
              <w:t>*</w:t>
            </w:r>
          </w:p>
        </w:tc>
      </w:tr>
      <w:tr>
        <w:trPr>
          <w:trHeight w:val="99"/>
        </w:trPr>
        <w:tc>
          <w:tcPr>
            <w:tcW w:w="10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920" w:type="dxa"/>
            <w:vAlign w:val="bottom"/>
          </w:tcPr>
          <w:p>
            <w:pPr>
              <w:spacing w:after="0" w:line="99" w:lineRule="exact"/>
              <w:rPr>
                <w:sz w:val="20"/>
                <w:szCs w:val="20"/>
                <w:color w:val="auto"/>
              </w:rPr>
            </w:pPr>
            <w:r>
              <w:rPr>
                <w:rFonts w:ascii="Courier New" w:cs="Courier New" w:eastAsia="Courier New" w:hAnsi="Courier New"/>
                <w:sz w:val="9"/>
                <w:szCs w:val="9"/>
                <w:color w:val="auto"/>
              </w:rPr>
              <w:t>Stephen P. Wolfe</w:t>
            </w:r>
          </w:p>
        </w:tc>
        <w:tc>
          <w:tcPr>
            <w:tcW w:w="3380" w:type="dxa"/>
            <w:vAlign w:val="bottom"/>
            <w:gridSpan w:val="3"/>
          </w:tcPr>
          <w:p>
            <w:pPr>
              <w:jc w:val="right"/>
              <w:ind w:right="780"/>
              <w:spacing w:after="0" w:line="99" w:lineRule="exact"/>
              <w:rPr>
                <w:sz w:val="20"/>
                <w:szCs w:val="20"/>
                <w:color w:val="auto"/>
              </w:rPr>
            </w:pPr>
            <w:r>
              <w:rPr>
                <w:rFonts w:ascii="Courier New" w:cs="Courier New" w:eastAsia="Courier New" w:hAnsi="Courier New"/>
                <w:sz w:val="9"/>
                <w:szCs w:val="9"/>
                <w:color w:val="auto"/>
              </w:rPr>
              <w:t>65,675(3)(5)</w:t>
            </w:r>
          </w:p>
        </w:tc>
        <w:tc>
          <w:tcPr>
            <w:tcW w:w="1100" w:type="dxa"/>
            <w:vAlign w:val="bottom"/>
          </w:tcPr>
          <w:p>
            <w:pPr>
              <w:jc w:val="right"/>
              <w:spacing w:after="0" w:line="99" w:lineRule="exact"/>
              <w:rPr>
                <w:sz w:val="20"/>
                <w:szCs w:val="20"/>
                <w:color w:val="auto"/>
              </w:rPr>
            </w:pPr>
            <w:r>
              <w:rPr>
                <w:rFonts w:ascii="Courier New" w:cs="Courier New" w:eastAsia="Courier New" w:hAnsi="Courier New"/>
                <w:sz w:val="9"/>
                <w:szCs w:val="9"/>
                <w:color w:val="auto"/>
              </w:rPr>
              <w:t>*</w:t>
            </w:r>
          </w:p>
        </w:tc>
      </w:tr>
      <w:tr>
        <w:trPr>
          <w:trHeight w:val="99"/>
        </w:trPr>
        <w:tc>
          <w:tcPr>
            <w:tcW w:w="1520" w:type="dxa"/>
            <w:vAlign w:val="bottom"/>
            <w:gridSpan w:val="2"/>
          </w:tcPr>
          <w:p>
            <w:pPr>
              <w:spacing w:after="0" w:line="99" w:lineRule="exact"/>
              <w:rPr>
                <w:sz w:val="20"/>
                <w:szCs w:val="20"/>
                <w:color w:val="auto"/>
              </w:rPr>
            </w:pPr>
            <w:r>
              <w:rPr>
                <w:rFonts w:ascii="Courier New" w:cs="Courier New" w:eastAsia="Courier New" w:hAnsi="Courier New"/>
                <w:sz w:val="9"/>
                <w:szCs w:val="9"/>
                <w:color w:val="auto"/>
              </w:rPr>
              <w:t>Common Stock</w:t>
            </w:r>
          </w:p>
        </w:tc>
        <w:tc>
          <w:tcPr>
            <w:tcW w:w="2920" w:type="dxa"/>
            <w:vAlign w:val="bottom"/>
          </w:tcPr>
          <w:p>
            <w:pPr>
              <w:spacing w:after="0" w:line="99" w:lineRule="exact"/>
              <w:rPr>
                <w:sz w:val="20"/>
                <w:szCs w:val="20"/>
                <w:color w:val="auto"/>
              </w:rPr>
            </w:pPr>
            <w:r>
              <w:rPr>
                <w:rFonts w:ascii="Courier New" w:cs="Courier New" w:eastAsia="Courier New" w:hAnsi="Courier New"/>
                <w:sz w:val="9"/>
                <w:szCs w:val="9"/>
                <w:color w:val="auto"/>
              </w:rPr>
              <w:t>All directors and executive officers as a group (20</w:t>
            </w:r>
          </w:p>
        </w:tc>
        <w:tc>
          <w:tcPr>
            <w:tcW w:w="3380" w:type="dxa"/>
            <w:vAlign w:val="bottom"/>
            <w:gridSpan w:val="3"/>
          </w:tcPr>
          <w:p>
            <w:pPr>
              <w:jc w:val="right"/>
              <w:ind w:right="460"/>
              <w:spacing w:after="0" w:line="99" w:lineRule="exact"/>
              <w:rPr>
                <w:sz w:val="20"/>
                <w:szCs w:val="20"/>
                <w:color w:val="auto"/>
              </w:rPr>
            </w:pPr>
            <w:r>
              <w:rPr>
                <w:rFonts w:ascii="Courier New" w:cs="Courier New" w:eastAsia="Courier New" w:hAnsi="Courier New"/>
                <w:sz w:val="9"/>
                <w:szCs w:val="9"/>
                <w:color w:val="auto"/>
              </w:rPr>
              <w:t>1,108,986(3)(4)(5)(6)</w:t>
            </w:r>
          </w:p>
        </w:tc>
        <w:tc>
          <w:tcPr>
            <w:tcW w:w="1100" w:type="dxa"/>
            <w:vAlign w:val="bottom"/>
          </w:tcPr>
          <w:p>
            <w:pPr>
              <w:jc w:val="right"/>
              <w:spacing w:after="0" w:line="99" w:lineRule="exact"/>
              <w:rPr>
                <w:sz w:val="20"/>
                <w:szCs w:val="20"/>
                <w:color w:val="auto"/>
              </w:rPr>
            </w:pPr>
            <w:r>
              <w:rPr>
                <w:rFonts w:ascii="Courier New" w:cs="Courier New" w:eastAsia="Courier New" w:hAnsi="Courier New"/>
                <w:sz w:val="9"/>
                <w:szCs w:val="9"/>
                <w:color w:val="auto"/>
              </w:rPr>
              <w:t>8.1</w:t>
            </w:r>
          </w:p>
        </w:tc>
      </w:tr>
      <w:tr>
        <w:trPr>
          <w:trHeight w:val="101"/>
        </w:trPr>
        <w:tc>
          <w:tcPr>
            <w:tcW w:w="10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920" w:type="dxa"/>
            <w:vAlign w:val="bottom"/>
          </w:tcPr>
          <w:p>
            <w:pPr>
              <w:spacing w:after="0"/>
              <w:rPr>
                <w:sz w:val="20"/>
                <w:szCs w:val="20"/>
                <w:color w:val="auto"/>
              </w:rPr>
            </w:pPr>
            <w:r>
              <w:rPr>
                <w:rFonts w:ascii="Courier New" w:cs="Courier New" w:eastAsia="Courier New" w:hAnsi="Courier New"/>
                <w:sz w:val="9"/>
                <w:szCs w:val="9"/>
                <w:color w:val="auto"/>
              </w:rPr>
              <w:t>persons)</w:t>
            </w:r>
          </w:p>
        </w:tc>
        <w:tc>
          <w:tcPr>
            <w:tcW w:w="260" w:type="dxa"/>
            <w:vAlign w:val="bottom"/>
          </w:tcPr>
          <w:p>
            <w:pPr>
              <w:spacing w:after="0"/>
              <w:rPr>
                <w:sz w:val="8"/>
                <w:szCs w:val="8"/>
                <w:color w:val="auto"/>
              </w:rPr>
            </w:pPr>
          </w:p>
        </w:tc>
        <w:tc>
          <w:tcPr>
            <w:tcW w:w="20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r>
      <w:tr>
        <w:trPr>
          <w:trHeight w:val="68"/>
        </w:trPr>
        <w:tc>
          <w:tcPr>
            <w:tcW w:w="1080" w:type="dxa"/>
            <w:vAlign w:val="bottom"/>
            <w:tcBorders>
              <w:bottom w:val="single" w:sz="8" w:color="808080"/>
            </w:tcBorders>
          </w:tcPr>
          <w:p>
            <w:pPr>
              <w:spacing w:after="0"/>
              <w:rPr>
                <w:sz w:val="5"/>
                <w:szCs w:val="5"/>
                <w:color w:val="auto"/>
              </w:rPr>
            </w:pPr>
          </w:p>
        </w:tc>
        <w:tc>
          <w:tcPr>
            <w:tcW w:w="440" w:type="dxa"/>
            <w:vAlign w:val="bottom"/>
          </w:tcPr>
          <w:p>
            <w:pPr>
              <w:spacing w:after="0"/>
              <w:rPr>
                <w:sz w:val="5"/>
                <w:szCs w:val="5"/>
                <w:color w:val="auto"/>
              </w:rPr>
            </w:pPr>
          </w:p>
        </w:tc>
        <w:tc>
          <w:tcPr>
            <w:tcW w:w="29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2808605</wp:posOffset>
            </wp:positionH>
            <wp:positionV relativeFrom="paragraph">
              <wp:posOffset>-1417320</wp:posOffset>
            </wp:positionV>
            <wp:extent cx="1270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962660</wp:posOffset>
            </wp:positionH>
            <wp:positionV relativeFrom="paragraph">
              <wp:posOffset>-1417320</wp:posOffset>
            </wp:positionV>
            <wp:extent cx="1270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4254500</wp:posOffset>
            </wp:positionH>
            <wp:positionV relativeFrom="paragraph">
              <wp:posOffset>-1417320</wp:posOffset>
            </wp:positionV>
            <wp:extent cx="1270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2980055</wp:posOffset>
            </wp:positionH>
            <wp:positionV relativeFrom="paragraph">
              <wp:posOffset>-1417320</wp:posOffset>
            </wp:positionV>
            <wp:extent cx="12700"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-1417320</wp:posOffset>
            </wp:positionV>
            <wp:extent cx="1270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4957445</wp:posOffset>
            </wp:positionH>
            <wp:positionV relativeFrom="paragraph">
              <wp:posOffset>-1417320</wp:posOffset>
            </wp:positionV>
            <wp:extent cx="12700"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682625</wp:posOffset>
            </wp:positionH>
            <wp:positionV relativeFrom="paragraph">
              <wp:posOffset>-11430</wp:posOffset>
            </wp:positionV>
            <wp:extent cx="12700"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-11430</wp:posOffset>
            </wp:positionV>
            <wp:extent cx="12700"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(1)</w:t>
      </w:r>
    </w:p>
    <w:p>
      <w:pPr>
        <w:ind w:left="360"/>
        <w:spacing w:after="0" w:line="233" w:lineRule="auto"/>
        <w:rPr>
          <w:sz w:val="20"/>
          <w:szCs w:val="20"/>
          <w:color w:val="auto"/>
        </w:rPr>
      </w:pPr>
      <w:r>
        <w:rPr>
          <w:rFonts w:ascii="Courier New" w:cs="Courier New" w:eastAsia="Courier New" w:hAnsi="Courier New"/>
          <w:sz w:val="9"/>
          <w:szCs w:val="9"/>
          <w:color w:val="auto"/>
        </w:rPr>
        <w:t>Amounts</w:t>
      </w:r>
    </w:p>
    <w:p>
      <w:pPr>
        <w:ind w:left="360"/>
        <w:spacing w:after="0" w:line="233" w:lineRule="auto"/>
        <w:rPr>
          <w:sz w:val="20"/>
          <w:szCs w:val="20"/>
          <w:color w:val="auto"/>
        </w:rPr>
      </w:pPr>
      <w:r>
        <w:rPr>
          <w:rFonts w:ascii="Courier New" w:cs="Courier New" w:eastAsia="Courier New" w:hAnsi="Courier New"/>
          <w:sz w:val="9"/>
          <w:szCs w:val="9"/>
          <w:color w:val="auto"/>
        </w:rPr>
        <w:t>include payments made or deferred at the election of the officer pursuant to the Annual Management Incentive Plan II (the "Annual Plan") as in effect for Fiscal 1999, Fiscal</w:t>
      </w:r>
    </w:p>
    <w:p>
      <w:pPr>
        <w:ind w:left="360"/>
        <w:spacing w:after="0" w:line="233" w:lineRule="auto"/>
        <w:rPr>
          <w:sz w:val="20"/>
          <w:szCs w:val="20"/>
          <w:color w:val="auto"/>
        </w:rPr>
      </w:pPr>
      <w:r>
        <w:rPr>
          <w:rFonts w:ascii="Courier New" w:cs="Courier New" w:eastAsia="Courier New" w:hAnsi="Courier New"/>
          <w:sz w:val="9"/>
          <w:szCs w:val="9"/>
          <w:color w:val="auto"/>
        </w:rPr>
        <w:t>1998 and Fiscal 1997, including cash awards converted to Common Stock units under Stock Retention Awards under the plan as in effect for Fiscal 1999 (Mr. Melrose $671,474; Mr. McIntosh</w:t>
      </w:r>
    </w:p>
    <w:p>
      <w:pPr>
        <w:ind w:left="360"/>
        <w:spacing w:after="0" w:line="233" w:lineRule="auto"/>
        <w:rPr>
          <w:sz w:val="20"/>
          <w:szCs w:val="20"/>
          <w:color w:val="auto"/>
        </w:rPr>
      </w:pPr>
      <w:r>
        <w:rPr>
          <w:rFonts w:ascii="Courier New" w:cs="Courier New" w:eastAsia="Courier New" w:hAnsi="Courier New"/>
          <w:sz w:val="9"/>
          <w:szCs w:val="9"/>
          <w:color w:val="auto"/>
        </w:rPr>
        <w:t>$254,962; Mr. Wolfe, $200,036; Ms. Meyer $191,892 and Mr. McIntyre $178,033). Units were credited to each officer's deferred compensation account under The Toro Company Deferred</w:t>
      </w:r>
    </w:p>
    <w:p>
      <w:pPr>
        <w:ind w:left="360"/>
        <w:spacing w:after="0" w:line="233" w:lineRule="auto"/>
        <w:rPr>
          <w:sz w:val="20"/>
          <w:szCs w:val="20"/>
          <w:color w:val="auto"/>
        </w:rPr>
      </w:pPr>
      <w:r>
        <w:rPr>
          <w:rFonts w:ascii="Courier New" w:cs="Courier New" w:eastAsia="Courier New" w:hAnsi="Courier New"/>
          <w:sz w:val="9"/>
          <w:szCs w:val="9"/>
          <w:color w:val="auto"/>
        </w:rPr>
        <w:t>Compensation Plan for Officers ("Officers Deferred Plan"). Amounts do not include Matching Common Stock units, which are shown in the Restricted Stock column. See Note (6). For more information</w:t>
      </w:r>
    </w:p>
    <w:p>
      <w:pPr>
        <w:ind w:left="360"/>
        <w:spacing w:after="0" w:line="233" w:lineRule="auto"/>
        <w:rPr>
          <w:sz w:val="20"/>
          <w:szCs w:val="20"/>
          <w:color w:val="auto"/>
        </w:rPr>
      </w:pPr>
      <w:r>
        <w:rPr>
          <w:rFonts w:ascii="Courier New" w:cs="Courier New" w:eastAsia="Courier New" w:hAnsi="Courier New"/>
          <w:sz w:val="9"/>
          <w:szCs w:val="9"/>
          <w:color w:val="auto"/>
        </w:rPr>
        <w:t>on this plan, see the Compensation Committee Report and Proposal Two. In addition, the amount for Fiscal 1999 includes the value of Performance Shares vested for the one year Fiscal 1999 transition period under The Toro Company Performance Share Plan, a long term incentive plan, and those amounts are not included under the LTIP Payouts column. See Note (4). The shares are valued as of December 2, 1999, the date the Compensation Committee certified performance goal achievement. The number of shares (and their dollar value) issued or credited to each officer and included in the Bonus column amount are as follows: Kendrick B. Melrose 15,351 ($519,056), J. David McIntosh 5,117 ($173,019), Stephen P. Wolfe 4,167 ($140,897),</w:t>
      </w:r>
    </w:p>
    <w:p>
      <w:pPr>
        <w:ind w:left="360" w:right="280"/>
        <w:spacing w:after="0" w:line="235" w:lineRule="auto"/>
        <w:rPr>
          <w:sz w:val="20"/>
          <w:szCs w:val="20"/>
          <w:color w:val="auto"/>
        </w:rPr>
      </w:pPr>
      <w:r>
        <w:rPr>
          <w:rFonts w:ascii="Courier New" w:cs="Courier New" w:eastAsia="Courier New" w:hAnsi="Courier New"/>
          <w:sz w:val="9"/>
          <w:szCs w:val="9"/>
          <w:color w:val="auto"/>
        </w:rPr>
        <w:t>Karen M. Meyer 4,021 ($135,960) and J. Lawrence McIntyre 3,363 ($113,711). With the exception of Mr. McIntosh, each of the named officers elected to defer all or a portion of these Performance Shares under the Officers Deferred Plan. See the Compensation Committee Report and Proposal Three.</w:t>
      </w:r>
    </w:p>
    <w:p>
      <w:pPr>
        <w:sectPr>
          <w:pgSz w:w="11900" w:h="16838" w:orient="portrait"/>
          <w:cols w:equalWidth="0" w:num="1">
            <w:col w:w="11000"/>
          </w:cols>
          <w:pgMar w:left="300" w:top="134" w:right="599" w:bottom="0" w:gutter="0" w:footer="0" w:header="0"/>
        </w:sectPr>
      </w:pP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8"/>
          <w:szCs w:val="8"/>
          <w:color w:val="auto"/>
        </w:rPr>
        <w:t>(2)</w:t>
      </w:r>
    </w:p>
    <w:p>
      <w:pPr>
        <w:sectPr>
          <w:pgSz w:w="11900" w:h="16838" w:orient="portrait"/>
          <w:cols w:equalWidth="0" w:num="1">
            <w:col w:w="11000"/>
          </w:cols>
          <w:pgMar w:left="300" w:top="134" w:right="599" w:bottom="0" w:gutter="0" w:footer="0" w:header="0"/>
          <w:type w:val="continuous"/>
        </w:sectPr>
      </w:pPr>
    </w:p>
    <w:bookmarkStart w:id="4" w:name="page5"/>
    <w:bookmarkEnd w:id="4"/>
    <w:p>
      <w:pPr>
        <w:spacing w:after="0" w:line="79"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Includes</w:t>
      </w:r>
    </w:p>
    <w:p>
      <w:pPr>
        <w:ind w:left="360" w:right="1720"/>
        <w:spacing w:after="0" w:line="235" w:lineRule="auto"/>
        <w:rPr>
          <w:sz w:val="20"/>
          <w:szCs w:val="20"/>
          <w:color w:val="auto"/>
        </w:rPr>
      </w:pPr>
      <w:r>
        <w:rPr>
          <w:rFonts w:ascii="Courier New" w:cs="Courier New" w:eastAsia="Courier New" w:hAnsi="Courier New"/>
          <w:sz w:val="9"/>
          <w:szCs w:val="9"/>
          <w:color w:val="auto"/>
        </w:rPr>
        <w:t>the dollar value of the difference between the fair market value and the option exercise price (before payment of applicable income taxes) on stock options exercised. Fair market value is based on the closing price on the New York Stock Exchange on the date of exercise or actual sale price. Also</w:t>
      </w:r>
    </w:p>
    <w:p>
      <w:pPr>
        <w:spacing w:after="0" w:line="96"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includes the dollar value of executive perquisites for Mr. Melrose ($28,956 of his perquisites was for car lease and expenses).</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(3)</w:t>
      </w:r>
    </w:p>
    <w:p>
      <w:pPr>
        <w:ind w:left="360"/>
        <w:spacing w:after="0" w:line="233" w:lineRule="auto"/>
        <w:rPr>
          <w:sz w:val="20"/>
          <w:szCs w:val="20"/>
          <w:color w:val="auto"/>
        </w:rPr>
      </w:pPr>
      <w:r>
        <w:rPr>
          <w:rFonts w:ascii="Courier New" w:cs="Courier New" w:eastAsia="Courier New" w:hAnsi="Courier New"/>
          <w:sz w:val="9"/>
          <w:szCs w:val="9"/>
          <w:color w:val="auto"/>
        </w:rPr>
        <w:t>Options</w:t>
      </w:r>
    </w:p>
    <w:p>
      <w:pPr>
        <w:ind w:left="360"/>
        <w:spacing w:after="0"/>
        <w:rPr>
          <w:sz w:val="20"/>
          <w:szCs w:val="20"/>
          <w:color w:val="auto"/>
        </w:rPr>
      </w:pPr>
      <w:r>
        <w:rPr>
          <w:rFonts w:ascii="Courier New" w:cs="Courier New" w:eastAsia="Courier New" w:hAnsi="Courier New"/>
          <w:sz w:val="9"/>
          <w:szCs w:val="9"/>
          <w:color w:val="auto"/>
        </w:rPr>
        <w:t>granted pursuant to The Toro Company 1993 Stock Option Plan.</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(4)</w:t>
      </w:r>
    </w:p>
    <w:p>
      <w:pPr>
        <w:ind w:left="360"/>
        <w:spacing w:after="0" w:line="233" w:lineRule="auto"/>
        <w:rPr>
          <w:sz w:val="20"/>
          <w:szCs w:val="20"/>
          <w:color w:val="auto"/>
        </w:rPr>
      </w:pPr>
      <w:r>
        <w:rPr>
          <w:rFonts w:ascii="Courier New" w:cs="Courier New" w:eastAsia="Courier New" w:hAnsi="Courier New"/>
          <w:sz w:val="9"/>
          <w:szCs w:val="9"/>
          <w:color w:val="auto"/>
        </w:rPr>
        <w:t>Amounts</w:t>
      </w:r>
    </w:p>
    <w:p>
      <w:pPr>
        <w:ind w:left="360"/>
        <w:spacing w:after="0" w:line="233" w:lineRule="auto"/>
        <w:rPr>
          <w:sz w:val="20"/>
          <w:szCs w:val="20"/>
          <w:color w:val="auto"/>
        </w:rPr>
      </w:pPr>
      <w:r>
        <w:rPr>
          <w:rFonts w:ascii="Courier New" w:cs="Courier New" w:eastAsia="Courier New" w:hAnsi="Courier New"/>
          <w:sz w:val="9"/>
          <w:szCs w:val="9"/>
          <w:color w:val="auto"/>
        </w:rPr>
        <w:t>shown for Fiscal 1997 and 1998 are for payments made pursuant to the Continuous Performance Award Plan based on the Company's return on beginning equity performance relative</w:t>
      </w:r>
    </w:p>
    <w:p>
      <w:pPr>
        <w:ind w:left="360" w:right="300"/>
        <w:spacing w:after="0" w:line="234" w:lineRule="auto"/>
        <w:rPr>
          <w:sz w:val="20"/>
          <w:szCs w:val="20"/>
          <w:color w:val="auto"/>
        </w:rPr>
      </w:pPr>
      <w:r>
        <w:rPr>
          <w:rFonts w:ascii="Courier New" w:cs="Courier New" w:eastAsia="Courier New" w:hAnsi="Courier New"/>
          <w:sz w:val="9"/>
          <w:szCs w:val="9"/>
          <w:color w:val="auto"/>
        </w:rPr>
        <w:t>to its peer group of businesses for the three year performance periods ending with Fiscal 1997 and Fiscal 1998. The Continuous Performance Award Plan was replaced with the Performance Share Plan in Fiscal 1999. The value of Performance Shares vested with respect to the Fiscal 1999 one year transition period are included in the amount in the Bonus column. See Note (1). Award payouts were based on net income and after tax interest expense and corporate average net assets with respect to the one year transition period. For a more detailed description of the new plan and Performance Share Awards, see Long Term Incentive Compensation and the Compensation Committee Report. This plan is proposed to be amended. See Proposal Three.</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(5)</w:t>
      </w:r>
    </w:p>
    <w:p>
      <w:pPr>
        <w:ind w:left="360"/>
        <w:spacing w:after="0" w:line="233" w:lineRule="auto"/>
        <w:rPr>
          <w:sz w:val="20"/>
          <w:szCs w:val="20"/>
          <w:color w:val="auto"/>
        </w:rPr>
      </w:pPr>
      <w:r>
        <w:rPr>
          <w:rFonts w:ascii="Courier New" w:cs="Courier New" w:eastAsia="Courier New" w:hAnsi="Courier New"/>
          <w:sz w:val="9"/>
          <w:szCs w:val="9"/>
          <w:color w:val="auto"/>
        </w:rPr>
        <w:t>Amounts</w:t>
      </w:r>
    </w:p>
    <w:p>
      <w:pPr>
        <w:ind w:left="360"/>
        <w:spacing w:after="0" w:line="233" w:lineRule="auto"/>
        <w:rPr>
          <w:sz w:val="20"/>
          <w:szCs w:val="20"/>
          <w:color w:val="auto"/>
        </w:rPr>
      </w:pPr>
      <w:r>
        <w:rPr>
          <w:rFonts w:ascii="Courier New" w:cs="Courier New" w:eastAsia="Courier New" w:hAnsi="Courier New"/>
          <w:sz w:val="9"/>
          <w:szCs w:val="9"/>
          <w:color w:val="auto"/>
        </w:rPr>
        <w:t>include Company contributions to The Toro Company Investment and Savings Plan (a defined contribution retirement plan) and allocations to the Company's Employee Stock</w:t>
      </w:r>
    </w:p>
    <w:p>
      <w:pPr>
        <w:ind w:left="360" w:right="960"/>
        <w:spacing w:after="0" w:line="233" w:lineRule="auto"/>
        <w:rPr>
          <w:sz w:val="20"/>
          <w:szCs w:val="20"/>
          <w:color w:val="auto"/>
        </w:rPr>
      </w:pPr>
      <w:r>
        <w:rPr>
          <w:rFonts w:ascii="Courier New" w:cs="Courier New" w:eastAsia="Courier New" w:hAnsi="Courier New"/>
          <w:sz w:val="9"/>
          <w:szCs w:val="9"/>
          <w:color w:val="auto"/>
        </w:rPr>
        <w:t>Ownership Plan ($19,207 each for Mr. Melrose and the other named executive officers). Also includes amounts accrued pursuant to the Company's Supplemental Management Retirement Plan for executive officers who receive annual compensation of $150,000 or more ($204,129 for Mr. Melrose, $71,622 for Mr. McIntosh, $52,575 for Mr. Wolfe, $49,774 for Ms. Meyer and $43,115 for Mr. McIntyre). Participants' accounts are credited with an amount equal to the difference between the aggregate amount that would have been allocated to tax-qualified</w:t>
      </w:r>
    </w:p>
    <w:p>
      <w:pPr>
        <w:ind w:left="360" w:right="200"/>
        <w:spacing w:after="0" w:line="233" w:lineRule="auto"/>
        <w:rPr>
          <w:sz w:val="20"/>
          <w:szCs w:val="20"/>
          <w:color w:val="auto"/>
        </w:rPr>
      </w:pPr>
      <w:r>
        <w:rPr>
          <w:rFonts w:ascii="Courier New" w:cs="Courier New" w:eastAsia="Courier New" w:hAnsi="Courier New"/>
          <w:sz w:val="9"/>
          <w:szCs w:val="9"/>
          <w:color w:val="auto"/>
        </w:rPr>
        <w:t>profit-sharing and other defined contribution plans, without regard to limitations imposed by the Code, and the aggregate amount of contributions actually allocated ("excess benefits accounts"). Also includes immaterial amounts for dollar value of above-market interest accrued during the fiscal year on excess benefit and other deferred compensation accounts for each named executive. Although amounts credited to such accounts remain a part of the general assets of the Company, upon the occurrence of a threat of or actual change of control of the Company (as defined in the plans), or upon the Company's acceptance of a request made by a qualified participant to direct investment of the account, the Company will transfer to a trust an amount in cash equal to the total amount of accrued benefits for all participants or for the electing participant, as the case may be. Because the Company's benefit plans operate on a calendar year basis, amounts shown for Fiscal 1999 may have been accrued with respect to the prior fiscal year.</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(6)</w:t>
      </w:r>
    </w:p>
    <w:p>
      <w:pPr>
        <w:ind w:left="360"/>
        <w:spacing w:after="0" w:line="233" w:lineRule="auto"/>
        <w:rPr>
          <w:sz w:val="20"/>
          <w:szCs w:val="20"/>
          <w:color w:val="auto"/>
        </w:rPr>
      </w:pPr>
      <w:r>
        <w:rPr>
          <w:rFonts w:ascii="Courier New" w:cs="Courier New" w:eastAsia="Courier New" w:hAnsi="Courier New"/>
          <w:sz w:val="9"/>
          <w:szCs w:val="9"/>
          <w:color w:val="auto"/>
        </w:rPr>
        <w:t>Includes</w:t>
      </w:r>
    </w:p>
    <w:p>
      <w:pPr>
        <w:ind w:left="360"/>
        <w:spacing w:after="0" w:line="233" w:lineRule="auto"/>
        <w:rPr>
          <w:sz w:val="20"/>
          <w:szCs w:val="20"/>
          <w:color w:val="auto"/>
        </w:rPr>
      </w:pPr>
      <w:r>
        <w:rPr>
          <w:rFonts w:ascii="Courier New" w:cs="Courier New" w:eastAsia="Courier New" w:hAnsi="Courier New"/>
          <w:sz w:val="9"/>
          <w:szCs w:val="9"/>
          <w:color w:val="auto"/>
        </w:rPr>
        <w:t>the value of Common Stock units credited to each officer's deferred compensation account as Matching Units awarded in connection with Stock Retention Awards under the</w:t>
      </w:r>
    </w:p>
    <w:p>
      <w:pPr>
        <w:jc w:val="both"/>
        <w:ind w:left="360" w:right="680"/>
        <w:spacing w:after="0" w:line="233" w:lineRule="auto"/>
        <w:rPr>
          <w:sz w:val="20"/>
          <w:szCs w:val="20"/>
          <w:color w:val="auto"/>
        </w:rPr>
      </w:pPr>
      <w:r>
        <w:rPr>
          <w:rFonts w:ascii="Courier New" w:cs="Courier New" w:eastAsia="Courier New" w:hAnsi="Courier New"/>
          <w:sz w:val="9"/>
          <w:szCs w:val="9"/>
          <w:color w:val="auto"/>
        </w:rPr>
        <w:t>Annual Plan. Units are valued at the closing price of Common Stock on the New York Stock Exchange on December 2, 1999, the date the Committee certified performance goal achievement under the Annual Plan. These Matching Units are subject to forfeiture, with vesting in four equal annual installments beginning December 2001, and are intended to encourage officer stock ownership by conversion of a portion of the annual bonus shown in the Bonus column to shares or deferred units of Common Stock. Matching</w:t>
      </w:r>
    </w:p>
    <w:p>
      <w:pPr>
        <w:ind w:left="360" w:right="1020"/>
        <w:spacing w:after="0" w:line="234" w:lineRule="auto"/>
        <w:rPr>
          <w:sz w:val="20"/>
          <w:szCs w:val="20"/>
          <w:color w:val="auto"/>
        </w:rPr>
      </w:pPr>
      <w:r>
        <w:rPr>
          <w:rFonts w:ascii="Courier New" w:cs="Courier New" w:eastAsia="Courier New" w:hAnsi="Courier New"/>
          <w:sz w:val="9"/>
          <w:szCs w:val="9"/>
          <w:color w:val="auto"/>
        </w:rPr>
        <w:t>Units credited for each of the named officers are as follows: Kendrick B. Melrose 4,964 Matching Units, Stephen P. Wolfe 1,479 Matching Units, Karen M. Meyer 1,418 Matching Units and J. Lawrence McIntyre 1,316 Matching Units. Mr. Melrose also has 14,847 shares of restricted stock previously awarded under the Chief Executive Officer Succession Incentive Agreement in July 1995. The value of these shares based on the closing price of the Common Stock on October 29, 1999 was $532,636.</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(7)</w:t>
      </w:r>
    </w:p>
    <w:p>
      <w:pPr>
        <w:ind w:left="360"/>
        <w:spacing w:after="0" w:line="233" w:lineRule="auto"/>
        <w:rPr>
          <w:sz w:val="20"/>
          <w:szCs w:val="20"/>
          <w:color w:val="auto"/>
        </w:rPr>
      </w:pPr>
      <w:r>
        <w:rPr>
          <w:rFonts w:ascii="Courier New" w:cs="Courier New" w:eastAsia="Courier New" w:hAnsi="Courier New"/>
          <w:sz w:val="9"/>
          <w:szCs w:val="9"/>
          <w:color w:val="auto"/>
        </w:rPr>
        <w:t>See</w:t>
      </w:r>
    </w:p>
    <w:p>
      <w:pPr>
        <w:ind w:left="360" w:right="2140"/>
        <w:spacing w:after="0" w:line="235" w:lineRule="auto"/>
        <w:rPr>
          <w:sz w:val="20"/>
          <w:szCs w:val="20"/>
          <w:color w:val="auto"/>
        </w:rPr>
      </w:pPr>
      <w:r>
        <w:rPr>
          <w:rFonts w:ascii="Courier New" w:cs="Courier New" w:eastAsia="Courier New" w:hAnsi="Courier New"/>
          <w:sz w:val="9"/>
          <w:szCs w:val="9"/>
          <w:color w:val="auto"/>
        </w:rPr>
        <w:t>Notes (1) and (4). The amount shown for Mr. Melrose includes the value of shares of restricted stock vested with respect to achievement of a performance goal under the Chief Executive Officer Succession Incentive Agreement. Shares are valued at the closing price of the Common Stock on</w:t>
      </w:r>
    </w:p>
    <w:p>
      <w:pPr>
        <w:spacing w:after="0" w:line="96"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December 2, 1999, the date the Committee certified performance goal achievement. See the Compensation Committee Report.</w:t>
      </w:r>
    </w:p>
    <w:p>
      <w:pPr>
        <w:spacing w:after="0" w:line="366" w:lineRule="exact"/>
        <w:rPr>
          <w:sz w:val="20"/>
          <w:szCs w:val="20"/>
          <w:color w:val="auto"/>
        </w:rPr>
      </w:pPr>
    </w:p>
    <w:p>
      <w:pPr>
        <w:spacing w:after="0"/>
        <w:rPr>
          <w:sz w:val="20"/>
          <w:szCs w:val="20"/>
          <w:color w:val="auto"/>
        </w:rPr>
      </w:pPr>
      <w:r>
        <w:rPr>
          <w:rFonts w:ascii="Courier New" w:cs="Courier New" w:eastAsia="Courier New" w:hAnsi="Courier New"/>
          <w:sz w:val="9"/>
          <w:szCs w:val="9"/>
          <w:b w:val="1"/>
          <w:bCs w:val="1"/>
          <w:color w:val="auto"/>
        </w:rPr>
        <w:t>Employment Agreements</w:t>
      </w:r>
    </w:p>
    <w:p>
      <w:pPr>
        <w:spacing w:after="0" w:line="112" w:lineRule="exact"/>
        <w:rPr>
          <w:sz w:val="20"/>
          <w:szCs w:val="20"/>
          <w:color w:val="auto"/>
        </w:rPr>
      </w:pPr>
    </w:p>
    <w:p>
      <w:pPr>
        <w:ind w:left="200"/>
        <w:spacing w:after="0"/>
        <w:rPr>
          <w:sz w:val="20"/>
          <w:szCs w:val="20"/>
          <w:color w:val="auto"/>
        </w:rPr>
      </w:pPr>
      <w:r>
        <w:rPr>
          <w:rFonts w:ascii="Courier New" w:cs="Courier New" w:eastAsia="Courier New" w:hAnsi="Courier New"/>
          <w:sz w:val="9"/>
          <w:szCs w:val="9"/>
          <w:color w:val="auto"/>
        </w:rPr>
        <w:t>Each of the executive officers, including those named in the Summary Compensation Table, is a party to a change of control employment agreement adopted in</w:t>
      </w:r>
    </w:p>
    <w:p>
      <w:pPr>
        <w:ind w:right="660"/>
        <w:spacing w:after="0" w:line="235" w:lineRule="auto"/>
        <w:rPr>
          <w:sz w:val="20"/>
          <w:szCs w:val="20"/>
          <w:color w:val="auto"/>
        </w:rPr>
      </w:pPr>
      <w:r>
        <w:rPr>
          <w:rFonts w:ascii="Courier New" w:cs="Courier New" w:eastAsia="Courier New" w:hAnsi="Courier New"/>
          <w:sz w:val="9"/>
          <w:szCs w:val="9"/>
          <w:color w:val="auto"/>
        </w:rPr>
        <w:t>Fiscal 1995 and amended in Fiscal 1998. The agreements are operative only upon the occurrence of a "change in control", which includes substantially those events described below. Absent a change in control, the agreements do not require the Company to retain the executives or to pay them any specified level of compensation or benefits.</w:t>
      </w:r>
    </w:p>
    <w:p>
      <w:pPr>
        <w:spacing w:after="0" w:line="112" w:lineRule="exact"/>
        <w:rPr>
          <w:sz w:val="20"/>
          <w:szCs w:val="20"/>
          <w:color w:val="auto"/>
        </w:rPr>
      </w:pPr>
    </w:p>
    <w:p>
      <w:pPr>
        <w:ind w:left="200"/>
        <w:spacing w:after="0"/>
        <w:rPr>
          <w:sz w:val="20"/>
          <w:szCs w:val="20"/>
          <w:color w:val="auto"/>
        </w:rPr>
      </w:pPr>
      <w:r>
        <w:rPr>
          <w:rFonts w:ascii="Courier New" w:cs="Courier New" w:eastAsia="Courier New" w:hAnsi="Courier New"/>
          <w:sz w:val="9"/>
          <w:szCs w:val="9"/>
          <w:color w:val="auto"/>
        </w:rPr>
        <w:t>Each</w:t>
      </w:r>
    </w:p>
    <w:p>
      <w:pPr>
        <w:spacing w:after="0" w:line="233" w:lineRule="auto"/>
        <w:rPr>
          <w:sz w:val="20"/>
          <w:szCs w:val="20"/>
          <w:color w:val="auto"/>
        </w:rPr>
      </w:pPr>
      <w:r>
        <w:rPr>
          <w:rFonts w:ascii="Courier New" w:cs="Courier New" w:eastAsia="Courier New" w:hAnsi="Courier New"/>
          <w:sz w:val="9"/>
          <w:szCs w:val="9"/>
          <w:color w:val="auto"/>
        </w:rPr>
        <w:t>agreement provides that for three years after a change in control, there will be no adverse change in the executive's salary, bonus opportunity, benefits or location of</w:t>
      </w:r>
    </w:p>
    <w:p>
      <w:pPr>
        <w:ind w:right="560"/>
        <w:spacing w:after="0" w:line="233" w:lineRule="auto"/>
        <w:rPr>
          <w:sz w:val="20"/>
          <w:szCs w:val="20"/>
          <w:color w:val="auto"/>
        </w:rPr>
      </w:pPr>
      <w:r>
        <w:rPr>
          <w:rFonts w:ascii="Courier New" w:cs="Courier New" w:eastAsia="Courier New" w:hAnsi="Courier New"/>
          <w:sz w:val="9"/>
          <w:szCs w:val="9"/>
          <w:color w:val="auto"/>
        </w:rPr>
        <w:t>employment. If during this three year period the executive's employment is terminated by the Company other than for cause, or if the executive terminates his employment for good reason (as defined in the agreements, and including compensation reductions, demotions, relocation and excess travel), or voluntarily during the 30-day period following the first anniversary of the change in</w:t>
      </w:r>
    </w:p>
    <w:p>
      <w:pPr>
        <w:ind w:right="780"/>
        <w:spacing w:after="0" w:line="233" w:lineRule="auto"/>
        <w:rPr>
          <w:sz w:val="20"/>
          <w:szCs w:val="20"/>
          <w:color w:val="auto"/>
        </w:rPr>
      </w:pPr>
      <w:r>
        <w:rPr>
          <w:rFonts w:ascii="Courier New" w:cs="Courier New" w:eastAsia="Courier New" w:hAnsi="Courier New"/>
          <w:sz w:val="9"/>
          <w:szCs w:val="9"/>
          <w:color w:val="auto"/>
        </w:rPr>
        <w:t>control, the executive is entitled to receive an accrued salary and annual incentive payments through the date of termination and, except in the event of death or disability, a lump sum severance payment ("Lump Sum Payment") equal to three times the sum of base salary and annual bonus (and certain insurance and other welfare plan benefits). Further, an additional payment</w:t>
      </w:r>
    </w:p>
    <w:p>
      <w:pPr>
        <w:ind w:right="2080"/>
        <w:spacing w:after="0" w:line="235" w:lineRule="auto"/>
        <w:rPr>
          <w:sz w:val="20"/>
          <w:szCs w:val="20"/>
          <w:color w:val="auto"/>
        </w:rPr>
      </w:pPr>
      <w:r>
        <w:rPr>
          <w:rFonts w:ascii="Courier New" w:cs="Courier New" w:eastAsia="Courier New" w:hAnsi="Courier New"/>
          <w:sz w:val="9"/>
          <w:szCs w:val="9"/>
          <w:color w:val="auto"/>
        </w:rPr>
        <w:t>("gross-up") is required in an amount such that after the payment of all taxes, income and excise, the executive will be in the same after-tax position as if no excise tax under the Code had been imposed.</w:t>
      </w:r>
    </w:p>
    <w:p>
      <w:pPr>
        <w:spacing w:after="0" w:line="112" w:lineRule="exact"/>
        <w:rPr>
          <w:sz w:val="20"/>
          <w:szCs w:val="20"/>
          <w:color w:val="auto"/>
        </w:rPr>
      </w:pPr>
    </w:p>
    <w:p>
      <w:pPr>
        <w:ind w:left="200"/>
        <w:spacing w:after="0"/>
        <w:rPr>
          <w:sz w:val="20"/>
          <w:szCs w:val="20"/>
          <w:color w:val="auto"/>
        </w:rPr>
      </w:pPr>
      <w:r>
        <w:rPr>
          <w:rFonts w:ascii="Courier New" w:cs="Courier New" w:eastAsia="Courier New" w:hAnsi="Courier New"/>
          <w:sz w:val="9"/>
          <w:szCs w:val="9"/>
          <w:color w:val="auto"/>
        </w:rPr>
        <w:t>Generally,</w:t>
      </w:r>
    </w:p>
    <w:p>
      <w:pPr>
        <w:spacing w:after="0" w:line="233" w:lineRule="auto"/>
        <w:rPr>
          <w:sz w:val="20"/>
          <w:szCs w:val="20"/>
          <w:color w:val="auto"/>
        </w:rPr>
      </w:pPr>
      <w:r>
        <w:rPr>
          <w:rFonts w:ascii="Courier New" w:cs="Courier New" w:eastAsia="Courier New" w:hAnsi="Courier New"/>
          <w:sz w:val="9"/>
          <w:szCs w:val="9"/>
          <w:color w:val="auto"/>
        </w:rPr>
        <w:t>and subject to certain exceptions, a change in control is deemed to have occurred if: (1) a majority of Toro's Board of Directors becomes comprised of persons other</w:t>
      </w:r>
    </w:p>
    <w:p>
      <w:pPr>
        <w:ind w:right="500"/>
        <w:spacing w:after="0" w:line="233" w:lineRule="auto"/>
        <w:rPr>
          <w:sz w:val="20"/>
          <w:szCs w:val="20"/>
          <w:color w:val="auto"/>
        </w:rPr>
      </w:pPr>
      <w:r>
        <w:rPr>
          <w:rFonts w:ascii="Courier New" w:cs="Courier New" w:eastAsia="Courier New" w:hAnsi="Courier New"/>
          <w:sz w:val="9"/>
          <w:szCs w:val="9"/>
          <w:color w:val="auto"/>
        </w:rPr>
        <w:t>than persons for whose election proxies have been solicited by the Board, or who are then serving as directors appointed by the Board to fill vacancies caused by death or resignation (but not removal) of a director or to fill newly created directorships; (2) another party becomes the beneficial owner of at least 15% of Toro's outstanding voting stock; or (3) Toro's stockholders</w:t>
      </w:r>
    </w:p>
    <w:p>
      <w:pPr>
        <w:ind w:right="780"/>
        <w:spacing w:after="0" w:line="235" w:lineRule="auto"/>
        <w:rPr>
          <w:sz w:val="20"/>
          <w:szCs w:val="20"/>
          <w:color w:val="auto"/>
        </w:rPr>
      </w:pPr>
      <w:r>
        <w:rPr>
          <w:rFonts w:ascii="Courier New" w:cs="Courier New" w:eastAsia="Courier New" w:hAnsi="Courier New"/>
          <w:sz w:val="9"/>
          <w:szCs w:val="9"/>
          <w:color w:val="auto"/>
        </w:rPr>
        <w:t>approve a definitive agreement or plan to merge or consolidate Toro with another party (other than certain limited types of mergers), exchange shares of voting stock of Toro for shares of another corporation pursuant to a statutory exchange, sell or otherwise dispose of all or substantially all of Toro's assets, or liquidate or dissolve Toro.</w:t>
      </w:r>
    </w:p>
    <w:p>
      <w:pPr>
        <w:spacing w:after="0" w:line="112" w:lineRule="exact"/>
        <w:rPr>
          <w:sz w:val="20"/>
          <w:szCs w:val="20"/>
          <w:color w:val="auto"/>
        </w:rPr>
      </w:pPr>
    </w:p>
    <w:p>
      <w:pPr>
        <w:ind w:left="200"/>
        <w:spacing w:after="0"/>
        <w:rPr>
          <w:sz w:val="20"/>
          <w:szCs w:val="20"/>
          <w:color w:val="auto"/>
        </w:rPr>
      </w:pPr>
      <w:r>
        <w:rPr>
          <w:rFonts w:ascii="Courier New" w:cs="Courier New" w:eastAsia="Courier New" w:hAnsi="Courier New"/>
          <w:sz w:val="9"/>
          <w:szCs w:val="9"/>
          <w:color w:val="auto"/>
        </w:rPr>
        <w:t>If</w:t>
      </w:r>
    </w:p>
    <w:p>
      <w:pPr>
        <w:spacing w:after="0" w:line="233" w:lineRule="auto"/>
        <w:rPr>
          <w:sz w:val="20"/>
          <w:szCs w:val="20"/>
          <w:color w:val="auto"/>
        </w:rPr>
      </w:pPr>
      <w:r>
        <w:rPr>
          <w:rFonts w:ascii="Courier New" w:cs="Courier New" w:eastAsia="Courier New" w:hAnsi="Courier New"/>
          <w:sz w:val="9"/>
          <w:szCs w:val="9"/>
          <w:color w:val="auto"/>
        </w:rPr>
        <w:t>a change in control of the Company had occurred at the commencement of the 2000 calendar year (January 1, 2000) and had resulted in the involuntary termination of the named</w:t>
      </w:r>
    </w:p>
    <w:p>
      <w:pPr>
        <w:ind w:right="500"/>
        <w:spacing w:after="0" w:line="233" w:lineRule="auto"/>
        <w:rPr>
          <w:sz w:val="20"/>
          <w:szCs w:val="20"/>
          <w:color w:val="auto"/>
        </w:rPr>
      </w:pPr>
      <w:r>
        <w:rPr>
          <w:rFonts w:ascii="Courier New" w:cs="Courier New" w:eastAsia="Courier New" w:hAnsi="Courier New"/>
          <w:sz w:val="9"/>
          <w:szCs w:val="9"/>
          <w:color w:val="auto"/>
        </w:rPr>
        <w:t>executives at such time or the termination by such executives for good reason, the Lump Sum Payment to be made under such agreements to those executive officers named in the Summary Compensation Table above in the aggregate would have been approximately $12,465,279. The Company has also established a trust for the benefit of these officers which, in the event of a threatened or actual change of control, must be</w:t>
      </w:r>
    </w:p>
    <w:p>
      <w:pPr>
        <w:ind w:right="560"/>
        <w:spacing w:after="0" w:line="234" w:lineRule="auto"/>
        <w:rPr>
          <w:sz w:val="20"/>
          <w:szCs w:val="20"/>
          <w:color w:val="auto"/>
        </w:rPr>
      </w:pPr>
      <w:r>
        <w:rPr>
          <w:rFonts w:ascii="Courier New" w:cs="Courier New" w:eastAsia="Courier New" w:hAnsi="Courier New"/>
          <w:sz w:val="9"/>
          <w:szCs w:val="9"/>
          <w:color w:val="auto"/>
        </w:rPr>
        <w:t>funded in an amount equal to the Company's accrued liability related to such agreements. The Company has prefunded this trust with shares of Common Stock that it would be obligated to transfer to the trust in connection with a change of control under the Officers Deferred Plan, and may further prefund the trust as permitted by plans and the related trust agreement. Prefunding of obligations denominated in Common Stock fixes the Company's compensation expense affording greater certainty.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60"/>
        <w:spacing w:after="0"/>
        <w:rPr>
          <w:sz w:val="20"/>
          <w:szCs w:val="20"/>
          <w:color w:val="auto"/>
        </w:rPr>
      </w:pPr>
      <w:r>
        <w:rPr>
          <w:rFonts w:ascii="Courier New" w:cs="Courier New" w:eastAsia="Courier New" w:hAnsi="Courier New"/>
          <w:sz w:val="9"/>
          <w:szCs w:val="9"/>
          <w:b w:val="1"/>
          <w:bCs w:val="1"/>
          <w:color w:val="auto"/>
        </w:rPr>
        <w:t>STOCK OPTIONS</w:t>
      </w:r>
    </w:p>
    <w:p>
      <w:pPr>
        <w:spacing w:after="0" w:line="114" w:lineRule="exact"/>
        <w:rPr>
          <w:sz w:val="20"/>
          <w:szCs w:val="20"/>
          <w:color w:val="auto"/>
        </w:rPr>
      </w:pPr>
    </w:p>
    <w:p>
      <w:pPr>
        <w:ind w:left="200"/>
        <w:spacing w:after="0"/>
        <w:rPr>
          <w:sz w:val="20"/>
          <w:szCs w:val="20"/>
          <w:color w:val="auto"/>
        </w:rPr>
      </w:pPr>
      <w:r>
        <w:rPr>
          <w:rFonts w:ascii="Courier New" w:cs="Courier New" w:eastAsia="Courier New" w:hAnsi="Courier New"/>
          <w:sz w:val="9"/>
          <w:szCs w:val="9"/>
          <w:color w:val="auto"/>
        </w:rPr>
        <w:t>The following table shows options granted under The Toro Company 1993 Stock Option Plan (the "1993 Plan") during Fiscal 1999.</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91"/>
        </w:trPr>
        <w:tc>
          <w:tcPr>
            <w:tcW w:w="108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500" w:type="dxa"/>
            <w:vAlign w:val="bottom"/>
            <w:gridSpan w:val="6"/>
          </w:tcPr>
          <w:p>
            <w:pPr>
              <w:jc w:val="right"/>
              <w:ind w:right="200"/>
              <w:spacing w:after="0"/>
              <w:rPr>
                <w:sz w:val="20"/>
                <w:szCs w:val="20"/>
                <w:color w:val="auto"/>
              </w:rPr>
            </w:pPr>
            <w:r>
              <w:rPr>
                <w:rFonts w:ascii="Courier New" w:cs="Courier New" w:eastAsia="Courier New" w:hAnsi="Courier New"/>
                <w:sz w:val="8"/>
                <w:szCs w:val="8"/>
                <w:b w:val="1"/>
                <w:bCs w:val="1"/>
                <w:color w:val="auto"/>
              </w:rPr>
              <w:t>Long Term Compensation</w:t>
            </w:r>
          </w:p>
        </w:tc>
        <w:tc>
          <w:tcPr>
            <w:tcW w:w="860" w:type="dxa"/>
            <w:vAlign w:val="bottom"/>
          </w:tcPr>
          <w:p>
            <w:pPr>
              <w:spacing w:after="0"/>
              <w:rPr>
                <w:sz w:val="7"/>
                <w:szCs w:val="7"/>
                <w:color w:val="auto"/>
              </w:rPr>
            </w:pPr>
          </w:p>
        </w:tc>
      </w:tr>
      <w:tr>
        <w:trPr>
          <w:trHeight w:val="69"/>
        </w:trPr>
        <w:tc>
          <w:tcPr>
            <w:tcW w:w="108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840" w:type="dxa"/>
            <w:vAlign w:val="bottom"/>
            <w:gridSpan w:val="3"/>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460" w:type="dxa"/>
            <w:vAlign w:val="bottom"/>
            <w:tcBorders>
              <w:bottom w:val="single" w:sz="8" w:color="808080"/>
            </w:tcBorders>
          </w:tcPr>
          <w:p>
            <w:pPr>
              <w:spacing w:after="0"/>
              <w:rPr>
                <w:sz w:val="6"/>
                <w:szCs w:val="6"/>
                <w:color w:val="auto"/>
              </w:rPr>
            </w:pPr>
          </w:p>
        </w:tc>
        <w:tc>
          <w:tcPr>
            <w:tcW w:w="8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580" w:type="dxa"/>
            <w:vAlign w:val="bottom"/>
            <w:tcBorders>
              <w:bottom w:val="single" w:sz="8" w:color="808080"/>
            </w:tcBorders>
          </w:tcPr>
          <w:p>
            <w:pPr>
              <w:spacing w:after="0"/>
              <w:rPr>
                <w:sz w:val="6"/>
                <w:szCs w:val="6"/>
                <w:color w:val="auto"/>
              </w:rPr>
            </w:pPr>
          </w:p>
        </w:tc>
        <w:tc>
          <w:tcPr>
            <w:tcW w:w="16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860" w:type="dxa"/>
            <w:vAlign w:val="bottom"/>
            <w:tcBorders>
              <w:bottom w:val="single" w:sz="8" w:color="808080"/>
            </w:tcBorders>
          </w:tcPr>
          <w:p>
            <w:pPr>
              <w:spacing w:after="0"/>
              <w:rPr>
                <w:sz w:val="6"/>
                <w:szCs w:val="6"/>
                <w:color w:val="auto"/>
              </w:rPr>
            </w:pPr>
          </w:p>
        </w:tc>
      </w:tr>
      <w:tr>
        <w:trPr>
          <w:trHeight w:val="136"/>
        </w:trPr>
        <w:tc>
          <w:tcPr>
            <w:tcW w:w="10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5"/>
          </w:tcPr>
          <w:p>
            <w:pPr>
              <w:ind w:left="500"/>
              <w:spacing w:after="0"/>
              <w:rPr>
                <w:sz w:val="20"/>
                <w:szCs w:val="20"/>
                <w:color w:val="auto"/>
              </w:rPr>
            </w:pPr>
            <w:r>
              <w:rPr>
                <w:rFonts w:ascii="Courier New" w:cs="Courier New" w:eastAsia="Courier New" w:hAnsi="Courier New"/>
                <w:sz w:val="8"/>
                <w:szCs w:val="8"/>
                <w:b w:val="1"/>
                <w:bCs w:val="1"/>
                <w:color w:val="auto"/>
                <w:w w:val="98"/>
              </w:rPr>
              <w:t>Annual Compensation</w:t>
            </w: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40"/>
              <w:spacing w:after="0"/>
              <w:rPr>
                <w:sz w:val="20"/>
                <w:szCs w:val="20"/>
                <w:color w:val="auto"/>
              </w:rPr>
            </w:pPr>
            <w:r>
              <w:rPr>
                <w:rFonts w:ascii="Courier New" w:cs="Courier New" w:eastAsia="Courier New" w:hAnsi="Courier New"/>
                <w:sz w:val="8"/>
                <w:szCs w:val="8"/>
                <w:b w:val="1"/>
                <w:bCs w:val="1"/>
                <w:color w:val="auto"/>
              </w:rPr>
              <w:t>Awards</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3"/>
          </w:tcPr>
          <w:p>
            <w:pPr>
              <w:jc w:val="center"/>
              <w:ind w:right="400"/>
              <w:spacing w:after="0"/>
              <w:rPr>
                <w:sz w:val="20"/>
                <w:szCs w:val="20"/>
                <w:color w:val="auto"/>
              </w:rPr>
            </w:pPr>
            <w:r>
              <w:rPr>
                <w:rFonts w:ascii="Courier New" w:cs="Courier New" w:eastAsia="Courier New" w:hAnsi="Courier New"/>
                <w:sz w:val="8"/>
                <w:szCs w:val="8"/>
                <w:b w:val="1"/>
                <w:bCs w:val="1"/>
                <w:color w:val="auto"/>
              </w:rPr>
              <w:t>Payouts</w:t>
            </w:r>
          </w:p>
        </w:tc>
        <w:tc>
          <w:tcPr>
            <w:tcW w:w="860" w:type="dxa"/>
            <w:vAlign w:val="bottom"/>
          </w:tcPr>
          <w:p>
            <w:pPr>
              <w:spacing w:after="0"/>
              <w:rPr>
                <w:sz w:val="11"/>
                <w:szCs w:val="11"/>
                <w:color w:val="auto"/>
              </w:rPr>
            </w:pPr>
          </w:p>
        </w:tc>
      </w:tr>
      <w:tr>
        <w:trPr>
          <w:trHeight w:val="69"/>
        </w:trPr>
        <w:tc>
          <w:tcPr>
            <w:tcW w:w="108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Borders>
              <w:bottom w:val="single" w:sz="8" w:color="808080"/>
            </w:tcBorders>
          </w:tcPr>
          <w:p>
            <w:pPr>
              <w:spacing w:after="0"/>
              <w:rPr>
                <w:sz w:val="6"/>
                <w:szCs w:val="6"/>
                <w:color w:val="auto"/>
              </w:rPr>
            </w:pPr>
          </w:p>
        </w:tc>
        <w:tc>
          <w:tcPr>
            <w:tcW w:w="8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520" w:type="dxa"/>
            <w:vAlign w:val="bottom"/>
            <w:tcBorders>
              <w:bottom w:val="single" w:sz="8" w:color="808080"/>
            </w:tcBorders>
          </w:tcPr>
          <w:p>
            <w:pPr>
              <w:spacing w:after="0"/>
              <w:rPr>
                <w:sz w:val="6"/>
                <w:szCs w:val="6"/>
                <w:color w:val="auto"/>
              </w:rPr>
            </w:pPr>
          </w:p>
        </w:tc>
        <w:tc>
          <w:tcPr>
            <w:tcW w:w="60" w:type="dxa"/>
            <w:vAlign w:val="bottom"/>
            <w:tcBorders>
              <w:bottom w:val="single" w:sz="8" w:color="808080"/>
            </w:tcBorders>
          </w:tcPr>
          <w:p>
            <w:pPr>
              <w:spacing w:after="0"/>
              <w:rPr>
                <w:sz w:val="6"/>
                <w:szCs w:val="6"/>
                <w:color w:val="auto"/>
              </w:rPr>
            </w:pPr>
          </w:p>
        </w:tc>
        <w:tc>
          <w:tcPr>
            <w:tcW w:w="16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60" w:type="dxa"/>
            <w:vAlign w:val="bottom"/>
            <w:tcBorders>
              <w:bottom w:val="single" w:sz="8" w:color="808080"/>
            </w:tcBorders>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860" w:type="dxa"/>
            <w:vAlign w:val="bottom"/>
            <w:tcBorders>
              <w:bottom w:val="single" w:sz="8" w:color="808080"/>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460" w:type="dxa"/>
            <w:vAlign w:val="bottom"/>
            <w:tcBorders>
              <w:bottom w:val="single" w:sz="8" w:color="808080"/>
            </w:tcBorders>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580" w:type="dxa"/>
            <w:vAlign w:val="bottom"/>
            <w:tcBorders>
              <w:bottom w:val="single" w:sz="8" w:color="808080"/>
            </w:tcBorders>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tcPr>
          <w:p>
            <w:pPr>
              <w:spacing w:after="0"/>
              <w:rPr>
                <w:sz w:val="6"/>
                <w:szCs w:val="6"/>
                <w:color w:val="auto"/>
              </w:rPr>
            </w:pPr>
          </w:p>
        </w:tc>
      </w:tr>
      <w:tr>
        <w:trPr>
          <w:trHeight w:val="134"/>
        </w:trPr>
        <w:tc>
          <w:tcPr>
            <w:tcW w:w="10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jc w:val="center"/>
              <w:ind w:right="200"/>
              <w:spacing w:after="0"/>
              <w:rPr>
                <w:sz w:val="20"/>
                <w:szCs w:val="20"/>
                <w:color w:val="auto"/>
              </w:rPr>
            </w:pPr>
            <w:r>
              <w:rPr>
                <w:rFonts w:ascii="Courier New" w:cs="Courier New" w:eastAsia="Courier New" w:hAnsi="Courier New"/>
                <w:sz w:val="8"/>
                <w:szCs w:val="8"/>
                <w:b w:val="1"/>
                <w:bCs w:val="1"/>
                <w:color w:val="auto"/>
              </w:rPr>
              <w:t>Other Annual</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3"/>
          </w:tcPr>
          <w:p>
            <w:pPr>
              <w:jc w:val="center"/>
              <w:ind w:right="380"/>
              <w:spacing w:after="0"/>
              <w:rPr>
                <w:sz w:val="20"/>
                <w:szCs w:val="20"/>
                <w:color w:val="auto"/>
              </w:rPr>
            </w:pPr>
            <w:r>
              <w:rPr>
                <w:rFonts w:ascii="Courier New" w:cs="Courier New" w:eastAsia="Courier New" w:hAnsi="Courier New"/>
                <w:sz w:val="8"/>
                <w:szCs w:val="8"/>
                <w:b w:val="1"/>
                <w:bCs w:val="1"/>
                <w:color w:val="auto"/>
              </w:rPr>
              <w:t>LTIP</w:t>
            </w:r>
          </w:p>
        </w:tc>
        <w:tc>
          <w:tcPr>
            <w:tcW w:w="860" w:type="dxa"/>
            <w:vAlign w:val="bottom"/>
          </w:tcPr>
          <w:p>
            <w:pPr>
              <w:jc w:val="center"/>
              <w:ind w:right="100"/>
              <w:spacing w:after="0"/>
              <w:rPr>
                <w:sz w:val="20"/>
                <w:szCs w:val="20"/>
                <w:color w:val="auto"/>
              </w:rPr>
            </w:pPr>
            <w:r>
              <w:rPr>
                <w:rFonts w:ascii="Courier New" w:cs="Courier New" w:eastAsia="Courier New" w:hAnsi="Courier New"/>
                <w:sz w:val="8"/>
                <w:szCs w:val="8"/>
                <w:b w:val="1"/>
                <w:bCs w:val="1"/>
                <w:color w:val="auto"/>
              </w:rPr>
              <w:t>All Other</w:t>
            </w:r>
          </w:p>
        </w:tc>
      </w:tr>
      <w:tr>
        <w:trPr>
          <w:trHeight w:val="90"/>
        </w:trPr>
        <w:tc>
          <w:tcPr>
            <w:tcW w:w="108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gridSpan w:val="2"/>
          </w:tcPr>
          <w:p>
            <w:pPr>
              <w:ind w:left="60"/>
              <w:spacing w:after="0"/>
              <w:rPr>
                <w:sz w:val="20"/>
                <w:szCs w:val="20"/>
                <w:color w:val="auto"/>
              </w:rPr>
            </w:pPr>
            <w:r>
              <w:rPr>
                <w:rFonts w:ascii="Courier New" w:cs="Courier New" w:eastAsia="Courier New" w:hAnsi="Courier New"/>
                <w:sz w:val="8"/>
                <w:szCs w:val="8"/>
                <w:b w:val="1"/>
                <w:bCs w:val="1"/>
                <w:color w:val="auto"/>
              </w:rPr>
              <w:t>Salary</w:t>
            </w:r>
          </w:p>
        </w:tc>
        <w:tc>
          <w:tcPr>
            <w:tcW w:w="160" w:type="dxa"/>
            <w:vAlign w:val="bottom"/>
          </w:tcPr>
          <w:p>
            <w:pPr>
              <w:spacing w:after="0"/>
              <w:rPr>
                <w:sz w:val="7"/>
                <w:szCs w:val="7"/>
                <w:color w:val="auto"/>
              </w:rPr>
            </w:pPr>
          </w:p>
        </w:tc>
        <w:tc>
          <w:tcPr>
            <w:tcW w:w="680" w:type="dxa"/>
            <w:vAlign w:val="bottom"/>
            <w:gridSpan w:val="2"/>
          </w:tcPr>
          <w:p>
            <w:pPr>
              <w:ind w:left="100"/>
              <w:spacing w:after="0"/>
              <w:rPr>
                <w:sz w:val="20"/>
                <w:szCs w:val="20"/>
                <w:color w:val="auto"/>
              </w:rPr>
            </w:pPr>
            <w:r>
              <w:rPr>
                <w:rFonts w:ascii="Courier New" w:cs="Courier New" w:eastAsia="Courier New" w:hAnsi="Courier New"/>
                <w:sz w:val="8"/>
                <w:szCs w:val="8"/>
                <w:b w:val="1"/>
                <w:bCs w:val="1"/>
                <w:color w:val="auto"/>
              </w:rPr>
              <w:t>Bonus</w:t>
            </w:r>
          </w:p>
        </w:tc>
        <w:tc>
          <w:tcPr>
            <w:tcW w:w="140" w:type="dxa"/>
            <w:vAlign w:val="bottom"/>
          </w:tcPr>
          <w:p>
            <w:pPr>
              <w:spacing w:after="0"/>
              <w:rPr>
                <w:sz w:val="7"/>
                <w:szCs w:val="7"/>
                <w:color w:val="auto"/>
              </w:rPr>
            </w:pPr>
          </w:p>
        </w:tc>
        <w:tc>
          <w:tcPr>
            <w:tcW w:w="920" w:type="dxa"/>
            <w:vAlign w:val="bottom"/>
            <w:gridSpan w:val="2"/>
          </w:tcPr>
          <w:p>
            <w:pPr>
              <w:jc w:val="center"/>
              <w:ind w:right="200"/>
              <w:spacing w:after="0"/>
              <w:rPr>
                <w:sz w:val="20"/>
                <w:szCs w:val="20"/>
                <w:color w:val="auto"/>
              </w:rPr>
            </w:pPr>
            <w:r>
              <w:rPr>
                <w:rFonts w:ascii="Courier New" w:cs="Courier New" w:eastAsia="Courier New" w:hAnsi="Courier New"/>
                <w:sz w:val="8"/>
                <w:szCs w:val="8"/>
                <w:b w:val="1"/>
                <w:bCs w:val="1"/>
                <w:color w:val="auto"/>
              </w:rPr>
              <w:t>Compensation</w:t>
            </w:r>
          </w:p>
        </w:tc>
        <w:tc>
          <w:tcPr>
            <w:tcW w:w="80" w:type="dxa"/>
            <w:vAlign w:val="bottom"/>
          </w:tcPr>
          <w:p>
            <w:pPr>
              <w:spacing w:after="0"/>
              <w:rPr>
                <w:sz w:val="7"/>
                <w:szCs w:val="7"/>
                <w:color w:val="auto"/>
              </w:rPr>
            </w:pPr>
          </w:p>
        </w:tc>
        <w:tc>
          <w:tcPr>
            <w:tcW w:w="760" w:type="dxa"/>
            <w:vAlign w:val="bottom"/>
            <w:gridSpan w:val="2"/>
          </w:tcPr>
          <w:p>
            <w:pPr>
              <w:jc w:val="right"/>
              <w:ind w:right="240"/>
              <w:spacing w:after="0"/>
              <w:rPr>
                <w:sz w:val="20"/>
                <w:szCs w:val="20"/>
                <w:color w:val="auto"/>
              </w:rPr>
            </w:pPr>
            <w:r>
              <w:rPr>
                <w:rFonts w:ascii="Courier New" w:cs="Courier New" w:eastAsia="Courier New" w:hAnsi="Courier New"/>
                <w:sz w:val="8"/>
                <w:szCs w:val="8"/>
                <w:b w:val="1"/>
                <w:bCs w:val="1"/>
                <w:color w:val="auto"/>
              </w:rPr>
              <w:t>Restricted</w:t>
            </w:r>
          </w:p>
        </w:tc>
        <w:tc>
          <w:tcPr>
            <w:tcW w:w="540" w:type="dxa"/>
            <w:vAlign w:val="bottom"/>
            <w:gridSpan w:val="2"/>
          </w:tcPr>
          <w:p>
            <w:pPr>
              <w:jc w:val="center"/>
              <w:ind w:right="80"/>
              <w:spacing w:after="0"/>
              <w:rPr>
                <w:sz w:val="20"/>
                <w:szCs w:val="20"/>
                <w:color w:val="auto"/>
              </w:rPr>
            </w:pPr>
            <w:r>
              <w:rPr>
                <w:rFonts w:ascii="Courier New" w:cs="Courier New" w:eastAsia="Courier New" w:hAnsi="Courier New"/>
                <w:sz w:val="8"/>
                <w:szCs w:val="8"/>
                <w:b w:val="1"/>
                <w:bCs w:val="1"/>
                <w:color w:val="auto"/>
              </w:rPr>
              <w:t>Options</w:t>
            </w:r>
          </w:p>
        </w:tc>
        <w:tc>
          <w:tcPr>
            <w:tcW w:w="100" w:type="dxa"/>
            <w:vAlign w:val="bottom"/>
          </w:tcPr>
          <w:p>
            <w:pPr>
              <w:spacing w:after="0"/>
              <w:rPr>
                <w:sz w:val="7"/>
                <w:szCs w:val="7"/>
                <w:color w:val="auto"/>
              </w:rPr>
            </w:pPr>
          </w:p>
        </w:tc>
        <w:tc>
          <w:tcPr>
            <w:tcW w:w="860" w:type="dxa"/>
            <w:vAlign w:val="bottom"/>
            <w:gridSpan w:val="3"/>
          </w:tcPr>
          <w:p>
            <w:pPr>
              <w:jc w:val="center"/>
              <w:ind w:right="400"/>
              <w:spacing w:after="0"/>
              <w:rPr>
                <w:sz w:val="20"/>
                <w:szCs w:val="20"/>
                <w:color w:val="auto"/>
              </w:rPr>
            </w:pPr>
            <w:r>
              <w:rPr>
                <w:rFonts w:ascii="Courier New" w:cs="Courier New" w:eastAsia="Courier New" w:hAnsi="Courier New"/>
                <w:sz w:val="8"/>
                <w:szCs w:val="8"/>
                <w:b w:val="1"/>
                <w:bCs w:val="1"/>
                <w:color w:val="auto"/>
              </w:rPr>
              <w:t>Payouts</w:t>
            </w:r>
          </w:p>
        </w:tc>
        <w:tc>
          <w:tcPr>
            <w:tcW w:w="860" w:type="dxa"/>
            <w:vAlign w:val="bottom"/>
          </w:tcPr>
          <w:p>
            <w:pPr>
              <w:jc w:val="center"/>
              <w:ind w:right="80"/>
              <w:spacing w:after="0"/>
              <w:rPr>
                <w:sz w:val="20"/>
                <w:szCs w:val="20"/>
                <w:color w:val="auto"/>
              </w:rPr>
            </w:pPr>
            <w:r>
              <w:rPr>
                <w:rFonts w:ascii="Courier New" w:cs="Courier New" w:eastAsia="Courier New" w:hAnsi="Courier New"/>
                <w:sz w:val="8"/>
                <w:szCs w:val="8"/>
                <w:b w:val="1"/>
                <w:bCs w:val="1"/>
                <w:color w:val="auto"/>
              </w:rPr>
              <w:t>Compensation</w:t>
            </w:r>
          </w:p>
        </w:tc>
      </w:tr>
      <w:tr>
        <w:trPr>
          <w:trHeight w:val="91"/>
        </w:trPr>
        <w:tc>
          <w:tcPr>
            <w:tcW w:w="1460" w:type="dxa"/>
            <w:vAlign w:val="bottom"/>
            <w:gridSpan w:val="3"/>
          </w:tcPr>
          <w:p>
            <w:pPr>
              <w:spacing w:after="0"/>
              <w:rPr>
                <w:sz w:val="20"/>
                <w:szCs w:val="20"/>
                <w:color w:val="auto"/>
              </w:rPr>
            </w:pPr>
            <w:r>
              <w:rPr>
                <w:rFonts w:ascii="Courier New" w:cs="Courier New" w:eastAsia="Courier New" w:hAnsi="Courier New"/>
                <w:sz w:val="8"/>
                <w:szCs w:val="8"/>
                <w:b w:val="1"/>
                <w:bCs w:val="1"/>
                <w:color w:val="auto"/>
              </w:rPr>
              <w:t>Name and Principal Position</w:t>
            </w:r>
          </w:p>
        </w:tc>
        <w:tc>
          <w:tcPr>
            <w:tcW w:w="320" w:type="dxa"/>
            <w:vAlign w:val="bottom"/>
          </w:tcPr>
          <w:p>
            <w:pPr>
              <w:ind w:left="60"/>
              <w:spacing w:after="0"/>
              <w:rPr>
                <w:sz w:val="20"/>
                <w:szCs w:val="20"/>
                <w:color w:val="auto"/>
              </w:rPr>
            </w:pPr>
            <w:r>
              <w:rPr>
                <w:rFonts w:ascii="Courier New" w:cs="Courier New" w:eastAsia="Courier New" w:hAnsi="Courier New"/>
                <w:sz w:val="8"/>
                <w:szCs w:val="8"/>
                <w:b w:val="1"/>
                <w:bCs w:val="1"/>
                <w:color w:val="auto"/>
              </w:rPr>
              <w:t>Year</w:t>
            </w: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jc w:val="right"/>
              <w:ind w:right="200"/>
              <w:spacing w:after="0"/>
              <w:rPr>
                <w:sz w:val="20"/>
                <w:szCs w:val="20"/>
                <w:color w:val="auto"/>
              </w:rPr>
            </w:pPr>
            <w:r>
              <w:rPr>
                <w:rFonts w:ascii="Courier New" w:cs="Courier New" w:eastAsia="Courier New" w:hAnsi="Courier New"/>
                <w:sz w:val="8"/>
                <w:szCs w:val="8"/>
                <w:b w:val="1"/>
                <w:bCs w:val="1"/>
                <w:color w:val="auto"/>
              </w:rPr>
              <w:t>($)</w:t>
            </w: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jc w:val="right"/>
              <w:ind w:right="200"/>
              <w:spacing w:after="0"/>
              <w:rPr>
                <w:sz w:val="20"/>
                <w:szCs w:val="20"/>
                <w:color w:val="auto"/>
              </w:rPr>
            </w:pPr>
            <w:r>
              <w:rPr>
                <w:rFonts w:ascii="Courier New" w:cs="Courier New" w:eastAsia="Courier New" w:hAnsi="Courier New"/>
                <w:sz w:val="8"/>
                <w:szCs w:val="8"/>
                <w:b w:val="1"/>
                <w:bCs w:val="1"/>
                <w:color w:val="auto"/>
              </w:rPr>
              <w:t>($)(1)</w:t>
            </w: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jc w:val="center"/>
              <w:ind w:right="100"/>
              <w:spacing w:after="0"/>
              <w:rPr>
                <w:sz w:val="20"/>
                <w:szCs w:val="20"/>
                <w:color w:val="auto"/>
              </w:rPr>
            </w:pPr>
            <w:r>
              <w:rPr>
                <w:rFonts w:ascii="Courier New" w:cs="Courier New" w:eastAsia="Courier New" w:hAnsi="Courier New"/>
                <w:sz w:val="8"/>
                <w:szCs w:val="8"/>
                <w:b w:val="1"/>
                <w:bCs w:val="1"/>
                <w:color w:val="auto"/>
                <w:w w:val="97"/>
              </w:rPr>
              <w:t>($)(2)</w:t>
            </w: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gridSpan w:val="2"/>
          </w:tcPr>
          <w:p>
            <w:pPr>
              <w:jc w:val="right"/>
              <w:ind w:right="300"/>
              <w:spacing w:after="0"/>
              <w:rPr>
                <w:sz w:val="20"/>
                <w:szCs w:val="20"/>
                <w:color w:val="auto"/>
              </w:rPr>
            </w:pPr>
            <w:r>
              <w:rPr>
                <w:rFonts w:ascii="Courier New" w:cs="Courier New" w:eastAsia="Courier New" w:hAnsi="Courier New"/>
                <w:sz w:val="8"/>
                <w:szCs w:val="8"/>
                <w:b w:val="1"/>
                <w:bCs w:val="1"/>
                <w:color w:val="auto"/>
              </w:rPr>
              <w:t>Stock($)</w:t>
            </w:r>
          </w:p>
        </w:tc>
        <w:tc>
          <w:tcPr>
            <w:tcW w:w="460" w:type="dxa"/>
            <w:vAlign w:val="bottom"/>
          </w:tcPr>
          <w:p>
            <w:pPr>
              <w:jc w:val="right"/>
              <w:ind w:right="40"/>
              <w:spacing w:after="0"/>
              <w:rPr>
                <w:sz w:val="20"/>
                <w:szCs w:val="20"/>
                <w:color w:val="auto"/>
              </w:rPr>
            </w:pPr>
            <w:r>
              <w:rPr>
                <w:rFonts w:ascii="Courier New" w:cs="Courier New" w:eastAsia="Courier New" w:hAnsi="Courier New"/>
                <w:sz w:val="8"/>
                <w:szCs w:val="8"/>
                <w:b w:val="1"/>
                <w:bCs w:val="1"/>
                <w:color w:val="auto"/>
              </w:rPr>
              <w:t>(#)(3)</w:t>
            </w: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jc w:val="right"/>
              <w:ind w:right="160"/>
              <w:spacing w:after="0"/>
              <w:rPr>
                <w:sz w:val="20"/>
                <w:szCs w:val="20"/>
                <w:color w:val="auto"/>
              </w:rPr>
            </w:pPr>
            <w:r>
              <w:rPr>
                <w:rFonts w:ascii="Courier New" w:cs="Courier New" w:eastAsia="Courier New" w:hAnsi="Courier New"/>
                <w:sz w:val="8"/>
                <w:szCs w:val="8"/>
                <w:b w:val="1"/>
                <w:bCs w:val="1"/>
                <w:color w:val="auto"/>
              </w:rPr>
              <w:t>($)(4)</w:t>
            </w: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jc w:val="center"/>
              <w:ind w:right="80"/>
              <w:spacing w:after="0"/>
              <w:rPr>
                <w:sz w:val="20"/>
                <w:szCs w:val="20"/>
                <w:color w:val="auto"/>
              </w:rPr>
            </w:pPr>
            <w:r>
              <w:rPr>
                <w:rFonts w:ascii="Courier New" w:cs="Courier New" w:eastAsia="Courier New" w:hAnsi="Courier New"/>
                <w:sz w:val="8"/>
                <w:szCs w:val="8"/>
                <w:b w:val="1"/>
                <w:bCs w:val="1"/>
                <w:color w:val="auto"/>
              </w:rPr>
              <w:t>($)(5)</w:t>
            </w:r>
          </w:p>
        </w:tc>
      </w:tr>
      <w:tr>
        <w:trPr>
          <w:trHeight w:val="69"/>
        </w:trPr>
        <w:tc>
          <w:tcPr>
            <w:tcW w:w="1080" w:type="dxa"/>
            <w:vAlign w:val="bottom"/>
            <w:tcBorders>
              <w:bottom w:val="single" w:sz="8" w:color="808080"/>
            </w:tcBorders>
          </w:tcPr>
          <w:p>
            <w:pPr>
              <w:spacing w:after="0"/>
              <w:rPr>
                <w:sz w:val="6"/>
                <w:szCs w:val="6"/>
                <w:color w:val="auto"/>
              </w:rPr>
            </w:pPr>
          </w:p>
        </w:tc>
        <w:tc>
          <w:tcPr>
            <w:tcW w:w="300" w:type="dxa"/>
            <w:vAlign w:val="bottom"/>
            <w:tcBorders>
              <w:bottom w:val="single" w:sz="8" w:color="808080"/>
            </w:tcBorders>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Borders>
              <w:bottom w:val="single" w:sz="8" w:color="808080"/>
            </w:tcBorders>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520" w:type="dxa"/>
            <w:vAlign w:val="bottom"/>
            <w:tcBorders>
              <w:bottom w:val="single" w:sz="8" w:color="808080"/>
            </w:tcBorders>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860" w:type="dxa"/>
            <w:vAlign w:val="bottom"/>
            <w:tcBorders>
              <w:bottom w:val="single" w:sz="8" w:color="808080"/>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140" w:type="dxa"/>
            <w:vAlign w:val="bottom"/>
          </w:tcPr>
          <w:p>
            <w:pPr>
              <w:spacing w:after="0"/>
              <w:rPr>
                <w:sz w:val="6"/>
                <w:szCs w:val="6"/>
                <w:color w:val="auto"/>
              </w:rPr>
            </w:pPr>
          </w:p>
        </w:tc>
        <w:tc>
          <w:tcPr>
            <w:tcW w:w="460" w:type="dxa"/>
            <w:vAlign w:val="bottom"/>
            <w:tcBorders>
              <w:bottom w:val="single" w:sz="8" w:color="808080"/>
            </w:tcBorders>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580" w:type="dxa"/>
            <w:vAlign w:val="bottom"/>
            <w:tcBorders>
              <w:bottom w:val="single" w:sz="8" w:color="808080"/>
            </w:tcBorders>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860" w:type="dxa"/>
            <w:vAlign w:val="bottom"/>
            <w:tcBorders>
              <w:bottom w:val="single" w:sz="8" w:color="808080"/>
            </w:tcBorders>
          </w:tcPr>
          <w:p>
            <w:pPr>
              <w:spacing w:after="0"/>
              <w:rPr>
                <w:sz w:val="6"/>
                <w:szCs w:val="6"/>
                <w:color w:val="auto"/>
              </w:rPr>
            </w:pPr>
          </w:p>
        </w:tc>
      </w:tr>
      <w:tr>
        <w:trPr>
          <w:trHeight w:val="224"/>
        </w:trPr>
        <w:tc>
          <w:tcPr>
            <w:tcW w:w="1460" w:type="dxa"/>
            <w:vAlign w:val="bottom"/>
            <w:gridSpan w:val="3"/>
          </w:tcPr>
          <w:p>
            <w:pPr>
              <w:spacing w:after="0"/>
              <w:rPr>
                <w:sz w:val="20"/>
                <w:szCs w:val="20"/>
                <w:color w:val="auto"/>
              </w:rPr>
            </w:pPr>
            <w:r>
              <w:rPr>
                <w:rFonts w:ascii="Courier New" w:cs="Courier New" w:eastAsia="Courier New" w:hAnsi="Courier New"/>
                <w:sz w:val="8"/>
                <w:szCs w:val="8"/>
                <w:color w:val="auto"/>
              </w:rPr>
              <w:t>Kendrick B. Melrose</w:t>
            </w:r>
          </w:p>
        </w:tc>
        <w:tc>
          <w:tcPr>
            <w:tcW w:w="320" w:type="dxa"/>
            <w:vAlign w:val="bottom"/>
          </w:tcPr>
          <w:p>
            <w:pPr>
              <w:ind w:left="60"/>
              <w:spacing w:after="0"/>
              <w:rPr>
                <w:sz w:val="20"/>
                <w:szCs w:val="20"/>
                <w:color w:val="auto"/>
              </w:rPr>
            </w:pPr>
            <w:r>
              <w:rPr>
                <w:rFonts w:ascii="Courier New" w:cs="Courier New" w:eastAsia="Courier New" w:hAnsi="Courier New"/>
                <w:sz w:val="8"/>
                <w:szCs w:val="8"/>
                <w:color w:val="auto"/>
              </w:rPr>
              <w:t>1999</w:t>
            </w:r>
          </w:p>
        </w:tc>
        <w:tc>
          <w:tcPr>
            <w:tcW w:w="180" w:type="dxa"/>
            <w:vAlign w:val="bottom"/>
            <w:gridSpan w:val="2"/>
          </w:tcPr>
          <w:p>
            <w:pPr>
              <w:jc w:val="right"/>
              <w:ind w:right="60"/>
              <w:spacing w:after="0"/>
              <w:rPr>
                <w:sz w:val="20"/>
                <w:szCs w:val="20"/>
                <w:color w:val="auto"/>
              </w:rPr>
            </w:pPr>
            <w:r>
              <w:rPr>
                <w:rFonts w:ascii="Courier New" w:cs="Courier New" w:eastAsia="Courier New" w:hAnsi="Courier New"/>
                <w:sz w:val="8"/>
                <w:szCs w:val="8"/>
                <w:color w:val="auto"/>
              </w:rPr>
              <w:t>$</w:t>
            </w:r>
          </w:p>
        </w:tc>
        <w:tc>
          <w:tcPr>
            <w:tcW w:w="580" w:type="dxa"/>
            <w:vAlign w:val="bottom"/>
            <w:gridSpan w:val="2"/>
          </w:tcPr>
          <w:p>
            <w:pPr>
              <w:jc w:val="right"/>
              <w:ind w:right="60"/>
              <w:spacing w:after="0"/>
              <w:rPr>
                <w:sz w:val="20"/>
                <w:szCs w:val="20"/>
                <w:color w:val="auto"/>
              </w:rPr>
            </w:pPr>
            <w:r>
              <w:rPr>
                <w:rFonts w:ascii="Courier New" w:cs="Courier New" w:eastAsia="Courier New" w:hAnsi="Courier New"/>
                <w:sz w:val="8"/>
                <w:szCs w:val="8"/>
                <w:color w:val="auto"/>
              </w:rPr>
              <w:t>597,503</w:t>
            </w:r>
          </w:p>
        </w:tc>
        <w:tc>
          <w:tcPr>
            <w:tcW w:w="160" w:type="dxa"/>
            <w:vAlign w:val="bottom"/>
          </w:tcPr>
          <w:p>
            <w:pPr>
              <w:jc w:val="right"/>
              <w:ind w:right="60"/>
              <w:spacing w:after="0"/>
              <w:rPr>
                <w:sz w:val="20"/>
                <w:szCs w:val="20"/>
                <w:color w:val="auto"/>
              </w:rPr>
            </w:pPr>
            <w:r>
              <w:rPr>
                <w:rFonts w:ascii="Courier New" w:cs="Courier New" w:eastAsia="Courier New" w:hAnsi="Courier New"/>
                <w:sz w:val="8"/>
                <w:szCs w:val="8"/>
                <w:color w:val="auto"/>
                <w:w w:val="82"/>
              </w:rPr>
              <w:t>$</w:t>
            </w:r>
          </w:p>
        </w:tc>
        <w:tc>
          <w:tcPr>
            <w:tcW w:w="680" w:type="dxa"/>
            <w:vAlign w:val="bottom"/>
            <w:gridSpan w:val="2"/>
          </w:tcPr>
          <w:p>
            <w:pPr>
              <w:jc w:val="right"/>
              <w:ind w:right="60"/>
              <w:spacing w:after="0"/>
              <w:rPr>
                <w:sz w:val="20"/>
                <w:szCs w:val="20"/>
                <w:color w:val="auto"/>
              </w:rPr>
            </w:pPr>
            <w:r>
              <w:rPr>
                <w:rFonts w:ascii="Courier New" w:cs="Courier New" w:eastAsia="Courier New" w:hAnsi="Courier New"/>
                <w:sz w:val="8"/>
                <w:szCs w:val="8"/>
                <w:color w:val="auto"/>
              </w:rPr>
              <w:t>1,190,530</w:t>
            </w:r>
          </w:p>
        </w:tc>
        <w:tc>
          <w:tcPr>
            <w:tcW w:w="140" w:type="dxa"/>
            <w:vAlign w:val="bottom"/>
          </w:tcPr>
          <w:p>
            <w:pPr>
              <w:jc w:val="right"/>
              <w:ind w:right="40"/>
              <w:spacing w:after="0"/>
              <w:rPr>
                <w:sz w:val="20"/>
                <w:szCs w:val="20"/>
                <w:color w:val="auto"/>
              </w:rPr>
            </w:pPr>
            <w:r>
              <w:rPr>
                <w:rFonts w:ascii="Courier New" w:cs="Courier New" w:eastAsia="Courier New" w:hAnsi="Courier New"/>
                <w:sz w:val="8"/>
                <w:szCs w:val="8"/>
                <w:color w:val="auto"/>
                <w:w w:val="82"/>
              </w:rPr>
              <w:t>$</w:t>
            </w:r>
          </w:p>
        </w:tc>
        <w:tc>
          <w:tcPr>
            <w:tcW w:w="920" w:type="dxa"/>
            <w:vAlign w:val="bottom"/>
            <w:gridSpan w:val="2"/>
          </w:tcPr>
          <w:p>
            <w:pPr>
              <w:jc w:val="right"/>
              <w:ind w:right="60"/>
              <w:spacing w:after="0"/>
              <w:rPr>
                <w:sz w:val="20"/>
                <w:szCs w:val="20"/>
                <w:color w:val="auto"/>
              </w:rPr>
            </w:pPr>
            <w:r>
              <w:rPr>
                <w:rFonts w:ascii="Courier New" w:cs="Courier New" w:eastAsia="Courier New" w:hAnsi="Courier New"/>
                <w:sz w:val="8"/>
                <w:szCs w:val="8"/>
                <w:color w:val="auto"/>
              </w:rPr>
              <w:t>497,025</w:t>
            </w:r>
          </w:p>
        </w:tc>
        <w:tc>
          <w:tcPr>
            <w:tcW w:w="80" w:type="dxa"/>
            <w:vAlign w:val="bottom"/>
          </w:tcPr>
          <w:p>
            <w:pPr>
              <w:jc w:val="right"/>
              <w:spacing w:after="0"/>
              <w:rPr>
                <w:sz w:val="20"/>
                <w:szCs w:val="20"/>
                <w:color w:val="auto"/>
              </w:rPr>
            </w:pPr>
            <w:r>
              <w:rPr>
                <w:rFonts w:ascii="Courier New" w:cs="Courier New" w:eastAsia="Courier New" w:hAnsi="Courier New"/>
                <w:sz w:val="8"/>
                <w:szCs w:val="8"/>
                <w:color w:val="auto"/>
                <w:w w:val="82"/>
              </w:rPr>
              <w:t>$</w:t>
            </w:r>
          </w:p>
        </w:tc>
        <w:tc>
          <w:tcPr>
            <w:tcW w:w="760" w:type="dxa"/>
            <w:vAlign w:val="bottom"/>
            <w:gridSpan w:val="2"/>
          </w:tcPr>
          <w:p>
            <w:pPr>
              <w:jc w:val="right"/>
              <w:spacing w:after="0"/>
              <w:rPr>
                <w:sz w:val="20"/>
                <w:szCs w:val="20"/>
                <w:color w:val="auto"/>
              </w:rPr>
            </w:pPr>
            <w:r>
              <w:rPr>
                <w:rFonts w:ascii="Courier New" w:cs="Courier New" w:eastAsia="Courier New" w:hAnsi="Courier New"/>
                <w:sz w:val="8"/>
                <w:szCs w:val="8"/>
                <w:color w:val="auto"/>
              </w:rPr>
              <w:t>167,845(6)</w:t>
            </w:r>
          </w:p>
        </w:tc>
        <w:tc>
          <w:tcPr>
            <w:tcW w:w="540" w:type="dxa"/>
            <w:vAlign w:val="bottom"/>
            <w:gridSpan w:val="2"/>
          </w:tcPr>
          <w:p>
            <w:pPr>
              <w:jc w:val="right"/>
              <w:ind w:right="80"/>
              <w:spacing w:after="0"/>
              <w:rPr>
                <w:sz w:val="20"/>
                <w:szCs w:val="20"/>
                <w:color w:val="auto"/>
              </w:rPr>
            </w:pPr>
            <w:r>
              <w:rPr>
                <w:rFonts w:ascii="Courier New" w:cs="Courier New" w:eastAsia="Courier New" w:hAnsi="Courier New"/>
                <w:sz w:val="8"/>
                <w:szCs w:val="8"/>
                <w:color w:val="auto"/>
              </w:rPr>
              <w:t>48,500</w:t>
            </w:r>
          </w:p>
        </w:tc>
        <w:tc>
          <w:tcPr>
            <w:tcW w:w="100" w:type="dxa"/>
            <w:vAlign w:val="bottom"/>
          </w:tcPr>
          <w:p>
            <w:pPr>
              <w:jc w:val="right"/>
              <w:ind w:right="40"/>
              <w:spacing w:after="0"/>
              <w:rPr>
                <w:sz w:val="20"/>
                <w:szCs w:val="20"/>
                <w:color w:val="auto"/>
              </w:rPr>
            </w:pPr>
            <w:r>
              <w:rPr>
                <w:rFonts w:ascii="Courier New" w:cs="Courier New" w:eastAsia="Courier New" w:hAnsi="Courier New"/>
                <w:sz w:val="4"/>
                <w:szCs w:val="4"/>
                <w:color w:val="auto"/>
                <w:w w:val="81"/>
              </w:rPr>
              <w:t>$</w:t>
            </w:r>
          </w:p>
        </w:tc>
        <w:tc>
          <w:tcPr>
            <w:tcW w:w="860" w:type="dxa"/>
            <w:vAlign w:val="bottom"/>
            <w:gridSpan w:val="3"/>
          </w:tcPr>
          <w:p>
            <w:pPr>
              <w:jc w:val="right"/>
              <w:ind w:right="80"/>
              <w:spacing w:after="0"/>
              <w:rPr>
                <w:sz w:val="20"/>
                <w:szCs w:val="20"/>
                <w:color w:val="auto"/>
              </w:rPr>
            </w:pPr>
            <w:r>
              <w:rPr>
                <w:rFonts w:ascii="Courier New" w:cs="Courier New" w:eastAsia="Courier New" w:hAnsi="Courier New"/>
                <w:sz w:val="8"/>
                <w:szCs w:val="8"/>
                <w:color w:val="auto"/>
              </w:rPr>
              <w:t>88,589(7)$</w:t>
            </w:r>
          </w:p>
        </w:tc>
        <w:tc>
          <w:tcPr>
            <w:tcW w:w="860" w:type="dxa"/>
            <w:vAlign w:val="bottom"/>
          </w:tcPr>
          <w:p>
            <w:pPr>
              <w:jc w:val="right"/>
              <w:spacing w:after="0"/>
              <w:rPr>
                <w:sz w:val="20"/>
                <w:szCs w:val="20"/>
                <w:color w:val="auto"/>
              </w:rPr>
            </w:pPr>
            <w:r>
              <w:rPr>
                <w:rFonts w:ascii="Courier New" w:cs="Courier New" w:eastAsia="Courier New" w:hAnsi="Courier New"/>
                <w:sz w:val="8"/>
                <w:szCs w:val="8"/>
                <w:color w:val="auto"/>
              </w:rPr>
              <w:t>306,932</w:t>
            </w:r>
          </w:p>
        </w:tc>
      </w:tr>
      <w:tr>
        <w:trPr>
          <w:trHeight w:val="90"/>
        </w:trPr>
        <w:tc>
          <w:tcPr>
            <w:tcW w:w="1460" w:type="dxa"/>
            <w:vAlign w:val="bottom"/>
            <w:gridSpan w:val="3"/>
          </w:tcPr>
          <w:p>
            <w:pPr>
              <w:spacing w:after="0"/>
              <w:rPr>
                <w:sz w:val="20"/>
                <w:szCs w:val="20"/>
                <w:color w:val="auto"/>
              </w:rPr>
            </w:pPr>
            <w:r>
              <w:rPr>
                <w:rFonts w:ascii="Courier New" w:cs="Courier New" w:eastAsia="Courier New" w:hAnsi="Courier New"/>
                <w:sz w:val="8"/>
                <w:szCs w:val="8"/>
                <w:color w:val="auto"/>
              </w:rPr>
              <w:t>Chairman of the Board &amp;</w:t>
            </w:r>
          </w:p>
        </w:tc>
        <w:tc>
          <w:tcPr>
            <w:tcW w:w="320" w:type="dxa"/>
            <w:vAlign w:val="bottom"/>
          </w:tcPr>
          <w:p>
            <w:pPr>
              <w:ind w:left="60"/>
              <w:spacing w:after="0"/>
              <w:rPr>
                <w:sz w:val="20"/>
                <w:szCs w:val="20"/>
                <w:color w:val="auto"/>
              </w:rPr>
            </w:pPr>
            <w:r>
              <w:rPr>
                <w:rFonts w:ascii="Courier New" w:cs="Courier New" w:eastAsia="Courier New" w:hAnsi="Courier New"/>
                <w:sz w:val="8"/>
                <w:szCs w:val="8"/>
                <w:color w:val="auto"/>
              </w:rPr>
              <w:t>1998</w:t>
            </w: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gridSpan w:val="2"/>
          </w:tcPr>
          <w:p>
            <w:pPr>
              <w:jc w:val="right"/>
              <w:ind w:right="60"/>
              <w:spacing w:after="0"/>
              <w:rPr>
                <w:sz w:val="20"/>
                <w:szCs w:val="20"/>
                <w:color w:val="auto"/>
              </w:rPr>
            </w:pPr>
            <w:r>
              <w:rPr>
                <w:rFonts w:ascii="Courier New" w:cs="Courier New" w:eastAsia="Courier New" w:hAnsi="Courier New"/>
                <w:sz w:val="8"/>
                <w:szCs w:val="8"/>
                <w:color w:val="auto"/>
              </w:rPr>
              <w:t>574,371</w:t>
            </w:r>
          </w:p>
        </w:tc>
        <w:tc>
          <w:tcPr>
            <w:tcW w:w="160" w:type="dxa"/>
            <w:vAlign w:val="bottom"/>
          </w:tcPr>
          <w:p>
            <w:pPr>
              <w:spacing w:after="0"/>
              <w:rPr>
                <w:sz w:val="7"/>
                <w:szCs w:val="7"/>
                <w:color w:val="auto"/>
              </w:rPr>
            </w:pPr>
          </w:p>
        </w:tc>
        <w:tc>
          <w:tcPr>
            <w:tcW w:w="680" w:type="dxa"/>
            <w:vAlign w:val="bottom"/>
            <w:gridSpan w:val="2"/>
          </w:tcPr>
          <w:p>
            <w:pPr>
              <w:jc w:val="right"/>
              <w:ind w:right="60"/>
              <w:spacing w:after="0"/>
              <w:rPr>
                <w:sz w:val="20"/>
                <w:szCs w:val="20"/>
                <w:color w:val="auto"/>
              </w:rPr>
            </w:pPr>
            <w:r>
              <w:rPr>
                <w:rFonts w:ascii="Courier New" w:cs="Courier New" w:eastAsia="Courier New" w:hAnsi="Courier New"/>
                <w:sz w:val="8"/>
                <w:szCs w:val="8"/>
                <w:color w:val="auto"/>
              </w:rPr>
              <w:t>0</w:t>
            </w:r>
          </w:p>
        </w:tc>
        <w:tc>
          <w:tcPr>
            <w:tcW w:w="140" w:type="dxa"/>
            <w:vAlign w:val="bottom"/>
          </w:tcPr>
          <w:p>
            <w:pPr>
              <w:spacing w:after="0"/>
              <w:rPr>
                <w:sz w:val="7"/>
                <w:szCs w:val="7"/>
                <w:color w:val="auto"/>
              </w:rPr>
            </w:pPr>
          </w:p>
        </w:tc>
        <w:tc>
          <w:tcPr>
            <w:tcW w:w="920" w:type="dxa"/>
            <w:vAlign w:val="bottom"/>
            <w:gridSpan w:val="2"/>
          </w:tcPr>
          <w:p>
            <w:pPr>
              <w:jc w:val="right"/>
              <w:ind w:right="60"/>
              <w:spacing w:after="0"/>
              <w:rPr>
                <w:sz w:val="20"/>
                <w:szCs w:val="20"/>
                <w:color w:val="auto"/>
              </w:rPr>
            </w:pPr>
            <w:r>
              <w:rPr>
                <w:rFonts w:ascii="Courier New" w:cs="Courier New" w:eastAsia="Courier New" w:hAnsi="Courier New"/>
                <w:sz w:val="8"/>
                <w:szCs w:val="8"/>
                <w:color w:val="auto"/>
              </w:rPr>
              <w:t>497,624</w:t>
            </w:r>
          </w:p>
        </w:tc>
        <w:tc>
          <w:tcPr>
            <w:tcW w:w="80" w:type="dxa"/>
            <w:vAlign w:val="bottom"/>
          </w:tcPr>
          <w:p>
            <w:pPr>
              <w:spacing w:after="0"/>
              <w:rPr>
                <w:sz w:val="7"/>
                <w:szCs w:val="7"/>
                <w:color w:val="auto"/>
              </w:rPr>
            </w:pPr>
          </w:p>
        </w:tc>
        <w:tc>
          <w:tcPr>
            <w:tcW w:w="620" w:type="dxa"/>
            <w:vAlign w:val="bottom"/>
          </w:tcPr>
          <w:p>
            <w:pPr>
              <w:jc w:val="right"/>
              <w:spacing w:after="0"/>
              <w:rPr>
                <w:sz w:val="20"/>
                <w:szCs w:val="20"/>
                <w:color w:val="auto"/>
              </w:rPr>
            </w:pPr>
            <w:r>
              <w:rPr>
                <w:rFonts w:ascii="Courier New" w:cs="Courier New" w:eastAsia="Courier New" w:hAnsi="Courier New"/>
                <w:sz w:val="8"/>
                <w:szCs w:val="8"/>
                <w:color w:val="auto"/>
              </w:rPr>
              <w:t>0</w:t>
            </w:r>
          </w:p>
        </w:tc>
        <w:tc>
          <w:tcPr>
            <w:tcW w:w="140" w:type="dxa"/>
            <w:vAlign w:val="bottom"/>
          </w:tcPr>
          <w:p>
            <w:pPr>
              <w:spacing w:after="0"/>
              <w:rPr>
                <w:sz w:val="7"/>
                <w:szCs w:val="7"/>
                <w:color w:val="auto"/>
              </w:rPr>
            </w:pPr>
          </w:p>
        </w:tc>
        <w:tc>
          <w:tcPr>
            <w:tcW w:w="540" w:type="dxa"/>
            <w:vAlign w:val="bottom"/>
            <w:gridSpan w:val="2"/>
          </w:tcPr>
          <w:p>
            <w:pPr>
              <w:jc w:val="right"/>
              <w:ind w:right="80"/>
              <w:spacing w:after="0"/>
              <w:rPr>
                <w:sz w:val="20"/>
                <w:szCs w:val="20"/>
                <w:color w:val="auto"/>
              </w:rPr>
            </w:pPr>
            <w:r>
              <w:rPr>
                <w:rFonts w:ascii="Courier New" w:cs="Courier New" w:eastAsia="Courier New" w:hAnsi="Courier New"/>
                <w:sz w:val="8"/>
                <w:szCs w:val="8"/>
                <w:color w:val="auto"/>
              </w:rPr>
              <w:t>50,215</w:t>
            </w:r>
          </w:p>
        </w:tc>
        <w:tc>
          <w:tcPr>
            <w:tcW w:w="100" w:type="dxa"/>
            <w:vAlign w:val="bottom"/>
          </w:tcPr>
          <w:p>
            <w:pPr>
              <w:spacing w:after="0"/>
              <w:rPr>
                <w:sz w:val="7"/>
                <w:szCs w:val="7"/>
                <w:color w:val="auto"/>
              </w:rPr>
            </w:pPr>
          </w:p>
        </w:tc>
        <w:tc>
          <w:tcPr>
            <w:tcW w:w="740" w:type="dxa"/>
            <w:vAlign w:val="bottom"/>
            <w:gridSpan w:val="2"/>
          </w:tcPr>
          <w:p>
            <w:pPr>
              <w:jc w:val="right"/>
              <w:ind w:right="160"/>
              <w:spacing w:after="0"/>
              <w:rPr>
                <w:sz w:val="20"/>
                <w:szCs w:val="20"/>
                <w:color w:val="auto"/>
              </w:rPr>
            </w:pPr>
            <w:r>
              <w:rPr>
                <w:rFonts w:ascii="Courier New" w:cs="Courier New" w:eastAsia="Courier New" w:hAnsi="Courier New"/>
                <w:sz w:val="8"/>
                <w:szCs w:val="8"/>
                <w:color w:val="auto"/>
              </w:rPr>
              <w:t>45,835</w:t>
            </w:r>
          </w:p>
        </w:tc>
        <w:tc>
          <w:tcPr>
            <w:tcW w:w="120" w:type="dxa"/>
            <w:vAlign w:val="bottom"/>
          </w:tcPr>
          <w:p>
            <w:pPr>
              <w:spacing w:after="0"/>
              <w:rPr>
                <w:sz w:val="7"/>
                <w:szCs w:val="7"/>
                <w:color w:val="auto"/>
              </w:rPr>
            </w:pPr>
          </w:p>
        </w:tc>
        <w:tc>
          <w:tcPr>
            <w:tcW w:w="860" w:type="dxa"/>
            <w:vAlign w:val="bottom"/>
          </w:tcPr>
          <w:p>
            <w:pPr>
              <w:jc w:val="right"/>
              <w:spacing w:after="0"/>
              <w:rPr>
                <w:sz w:val="20"/>
                <w:szCs w:val="20"/>
                <w:color w:val="auto"/>
              </w:rPr>
            </w:pPr>
            <w:r>
              <w:rPr>
                <w:rFonts w:ascii="Courier New" w:cs="Courier New" w:eastAsia="Courier New" w:hAnsi="Courier New"/>
                <w:sz w:val="8"/>
                <w:szCs w:val="8"/>
                <w:color w:val="auto"/>
              </w:rPr>
              <w:t>146,764</w:t>
            </w:r>
          </w:p>
        </w:tc>
      </w:tr>
      <w:tr>
        <w:trPr>
          <w:trHeight w:val="90"/>
        </w:trPr>
        <w:tc>
          <w:tcPr>
            <w:tcW w:w="1460" w:type="dxa"/>
            <w:vAlign w:val="bottom"/>
            <w:gridSpan w:val="3"/>
          </w:tcPr>
          <w:p>
            <w:pPr>
              <w:spacing w:after="0"/>
              <w:rPr>
                <w:sz w:val="20"/>
                <w:szCs w:val="20"/>
                <w:color w:val="auto"/>
              </w:rPr>
            </w:pPr>
            <w:r>
              <w:rPr>
                <w:rFonts w:ascii="Courier New" w:cs="Courier New" w:eastAsia="Courier New" w:hAnsi="Courier New"/>
                <w:sz w:val="8"/>
                <w:szCs w:val="8"/>
                <w:color w:val="auto"/>
              </w:rPr>
              <w:t>Chief Executive Officer</w:t>
            </w:r>
          </w:p>
        </w:tc>
        <w:tc>
          <w:tcPr>
            <w:tcW w:w="320" w:type="dxa"/>
            <w:vAlign w:val="bottom"/>
          </w:tcPr>
          <w:p>
            <w:pPr>
              <w:ind w:left="60"/>
              <w:spacing w:after="0"/>
              <w:rPr>
                <w:sz w:val="20"/>
                <w:szCs w:val="20"/>
                <w:color w:val="auto"/>
              </w:rPr>
            </w:pPr>
            <w:r>
              <w:rPr>
                <w:rFonts w:ascii="Courier New" w:cs="Courier New" w:eastAsia="Courier New" w:hAnsi="Courier New"/>
                <w:sz w:val="8"/>
                <w:szCs w:val="8"/>
                <w:color w:val="auto"/>
              </w:rPr>
              <w:t>1997</w:t>
            </w: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gridSpan w:val="2"/>
          </w:tcPr>
          <w:p>
            <w:pPr>
              <w:jc w:val="right"/>
              <w:ind w:right="60"/>
              <w:spacing w:after="0"/>
              <w:rPr>
                <w:sz w:val="20"/>
                <w:szCs w:val="20"/>
                <w:color w:val="auto"/>
              </w:rPr>
            </w:pPr>
            <w:r>
              <w:rPr>
                <w:rFonts w:ascii="Courier New" w:cs="Courier New" w:eastAsia="Courier New" w:hAnsi="Courier New"/>
                <w:sz w:val="8"/>
                <w:szCs w:val="8"/>
                <w:color w:val="auto"/>
              </w:rPr>
              <w:t>541,859</w:t>
            </w:r>
          </w:p>
        </w:tc>
        <w:tc>
          <w:tcPr>
            <w:tcW w:w="160" w:type="dxa"/>
            <w:vAlign w:val="bottom"/>
          </w:tcPr>
          <w:p>
            <w:pPr>
              <w:spacing w:after="0"/>
              <w:rPr>
                <w:sz w:val="7"/>
                <w:szCs w:val="7"/>
                <w:color w:val="auto"/>
              </w:rPr>
            </w:pPr>
          </w:p>
        </w:tc>
        <w:tc>
          <w:tcPr>
            <w:tcW w:w="680" w:type="dxa"/>
            <w:vAlign w:val="bottom"/>
            <w:gridSpan w:val="2"/>
          </w:tcPr>
          <w:p>
            <w:pPr>
              <w:jc w:val="right"/>
              <w:ind w:right="60"/>
              <w:spacing w:after="0"/>
              <w:rPr>
                <w:sz w:val="20"/>
                <w:szCs w:val="20"/>
                <w:color w:val="auto"/>
              </w:rPr>
            </w:pPr>
            <w:r>
              <w:rPr>
                <w:rFonts w:ascii="Courier New" w:cs="Courier New" w:eastAsia="Courier New" w:hAnsi="Courier New"/>
                <w:sz w:val="8"/>
                <w:szCs w:val="8"/>
                <w:color w:val="auto"/>
              </w:rPr>
              <w:t>186,264</w:t>
            </w:r>
          </w:p>
        </w:tc>
        <w:tc>
          <w:tcPr>
            <w:tcW w:w="140" w:type="dxa"/>
            <w:vAlign w:val="bottom"/>
          </w:tcPr>
          <w:p>
            <w:pPr>
              <w:spacing w:after="0"/>
              <w:rPr>
                <w:sz w:val="7"/>
                <w:szCs w:val="7"/>
                <w:color w:val="auto"/>
              </w:rPr>
            </w:pPr>
          </w:p>
        </w:tc>
        <w:tc>
          <w:tcPr>
            <w:tcW w:w="920" w:type="dxa"/>
            <w:vAlign w:val="bottom"/>
            <w:gridSpan w:val="2"/>
          </w:tcPr>
          <w:p>
            <w:pPr>
              <w:jc w:val="right"/>
              <w:ind w:right="60"/>
              <w:spacing w:after="0"/>
              <w:rPr>
                <w:sz w:val="20"/>
                <w:szCs w:val="20"/>
                <w:color w:val="auto"/>
              </w:rPr>
            </w:pPr>
            <w:r>
              <w:rPr>
                <w:rFonts w:ascii="Courier New" w:cs="Courier New" w:eastAsia="Courier New" w:hAnsi="Courier New"/>
                <w:sz w:val="8"/>
                <w:szCs w:val="8"/>
                <w:color w:val="auto"/>
              </w:rPr>
              <w:t>1,188,463</w:t>
            </w:r>
          </w:p>
        </w:tc>
        <w:tc>
          <w:tcPr>
            <w:tcW w:w="80" w:type="dxa"/>
            <w:vAlign w:val="bottom"/>
          </w:tcPr>
          <w:p>
            <w:pPr>
              <w:spacing w:after="0"/>
              <w:rPr>
                <w:sz w:val="7"/>
                <w:szCs w:val="7"/>
                <w:color w:val="auto"/>
              </w:rPr>
            </w:pPr>
          </w:p>
        </w:tc>
        <w:tc>
          <w:tcPr>
            <w:tcW w:w="620" w:type="dxa"/>
            <w:vAlign w:val="bottom"/>
          </w:tcPr>
          <w:p>
            <w:pPr>
              <w:jc w:val="right"/>
              <w:spacing w:after="0"/>
              <w:rPr>
                <w:sz w:val="20"/>
                <w:szCs w:val="20"/>
                <w:color w:val="auto"/>
              </w:rPr>
            </w:pPr>
            <w:r>
              <w:rPr>
                <w:rFonts w:ascii="Courier New" w:cs="Courier New" w:eastAsia="Courier New" w:hAnsi="Courier New"/>
                <w:sz w:val="8"/>
                <w:szCs w:val="8"/>
                <w:color w:val="auto"/>
              </w:rPr>
              <w:t>0</w:t>
            </w:r>
          </w:p>
        </w:tc>
        <w:tc>
          <w:tcPr>
            <w:tcW w:w="140" w:type="dxa"/>
            <w:vAlign w:val="bottom"/>
          </w:tcPr>
          <w:p>
            <w:pPr>
              <w:spacing w:after="0"/>
              <w:rPr>
                <w:sz w:val="7"/>
                <w:szCs w:val="7"/>
                <w:color w:val="auto"/>
              </w:rPr>
            </w:pPr>
          </w:p>
        </w:tc>
        <w:tc>
          <w:tcPr>
            <w:tcW w:w="540" w:type="dxa"/>
            <w:vAlign w:val="bottom"/>
            <w:gridSpan w:val="2"/>
          </w:tcPr>
          <w:p>
            <w:pPr>
              <w:jc w:val="right"/>
              <w:ind w:right="80"/>
              <w:spacing w:after="0"/>
              <w:rPr>
                <w:sz w:val="20"/>
                <w:szCs w:val="20"/>
                <w:color w:val="auto"/>
              </w:rPr>
            </w:pPr>
            <w:r>
              <w:rPr>
                <w:rFonts w:ascii="Courier New" w:cs="Courier New" w:eastAsia="Courier New" w:hAnsi="Courier New"/>
                <w:sz w:val="8"/>
                <w:szCs w:val="8"/>
                <w:color w:val="auto"/>
              </w:rPr>
              <w:t>40,054</w:t>
            </w:r>
          </w:p>
        </w:tc>
        <w:tc>
          <w:tcPr>
            <w:tcW w:w="100" w:type="dxa"/>
            <w:vAlign w:val="bottom"/>
          </w:tcPr>
          <w:p>
            <w:pPr>
              <w:spacing w:after="0"/>
              <w:rPr>
                <w:sz w:val="7"/>
                <w:szCs w:val="7"/>
                <w:color w:val="auto"/>
              </w:rPr>
            </w:pPr>
          </w:p>
        </w:tc>
        <w:tc>
          <w:tcPr>
            <w:tcW w:w="740" w:type="dxa"/>
            <w:vAlign w:val="bottom"/>
            <w:gridSpan w:val="2"/>
          </w:tcPr>
          <w:p>
            <w:pPr>
              <w:jc w:val="right"/>
              <w:ind w:right="160"/>
              <w:spacing w:after="0"/>
              <w:rPr>
                <w:sz w:val="20"/>
                <w:szCs w:val="20"/>
                <w:color w:val="auto"/>
              </w:rPr>
            </w:pPr>
            <w:r>
              <w:rPr>
                <w:rFonts w:ascii="Courier New" w:cs="Courier New" w:eastAsia="Courier New" w:hAnsi="Courier New"/>
                <w:sz w:val="8"/>
                <w:szCs w:val="8"/>
                <w:color w:val="auto"/>
              </w:rPr>
              <w:t>302,682</w:t>
            </w:r>
          </w:p>
        </w:tc>
        <w:tc>
          <w:tcPr>
            <w:tcW w:w="120" w:type="dxa"/>
            <w:vAlign w:val="bottom"/>
          </w:tcPr>
          <w:p>
            <w:pPr>
              <w:spacing w:after="0"/>
              <w:rPr>
                <w:sz w:val="7"/>
                <w:szCs w:val="7"/>
                <w:color w:val="auto"/>
              </w:rPr>
            </w:pPr>
          </w:p>
        </w:tc>
        <w:tc>
          <w:tcPr>
            <w:tcW w:w="860" w:type="dxa"/>
            <w:vAlign w:val="bottom"/>
          </w:tcPr>
          <w:p>
            <w:pPr>
              <w:jc w:val="right"/>
              <w:spacing w:after="0"/>
              <w:rPr>
                <w:sz w:val="20"/>
                <w:szCs w:val="20"/>
                <w:color w:val="auto"/>
              </w:rPr>
            </w:pPr>
            <w:r>
              <w:rPr>
                <w:rFonts w:ascii="Courier New" w:cs="Courier New" w:eastAsia="Courier New" w:hAnsi="Courier New"/>
                <w:sz w:val="8"/>
                <w:szCs w:val="8"/>
                <w:color w:val="auto"/>
              </w:rPr>
              <w:t>141,546</w:t>
            </w:r>
          </w:p>
        </w:tc>
      </w:tr>
      <w:tr>
        <w:trPr>
          <w:trHeight w:val="90"/>
        </w:trPr>
        <w:tc>
          <w:tcPr>
            <w:tcW w:w="1460" w:type="dxa"/>
            <w:vAlign w:val="bottom"/>
            <w:gridSpan w:val="3"/>
          </w:tcPr>
          <w:p>
            <w:pPr>
              <w:spacing w:after="0"/>
              <w:rPr>
                <w:sz w:val="20"/>
                <w:szCs w:val="20"/>
                <w:color w:val="auto"/>
              </w:rPr>
            </w:pPr>
            <w:r>
              <w:rPr>
                <w:rFonts w:ascii="Courier New" w:cs="Courier New" w:eastAsia="Courier New" w:hAnsi="Courier New"/>
                <w:sz w:val="8"/>
                <w:szCs w:val="8"/>
                <w:color w:val="auto"/>
              </w:rPr>
              <w:t>J. David McIntosh</w:t>
            </w:r>
          </w:p>
        </w:tc>
        <w:tc>
          <w:tcPr>
            <w:tcW w:w="320" w:type="dxa"/>
            <w:vAlign w:val="bottom"/>
          </w:tcPr>
          <w:p>
            <w:pPr>
              <w:ind w:left="60"/>
              <w:spacing w:after="0"/>
              <w:rPr>
                <w:sz w:val="20"/>
                <w:szCs w:val="20"/>
                <w:color w:val="auto"/>
              </w:rPr>
            </w:pPr>
            <w:r>
              <w:rPr>
                <w:rFonts w:ascii="Courier New" w:cs="Courier New" w:eastAsia="Courier New" w:hAnsi="Courier New"/>
                <w:sz w:val="8"/>
                <w:szCs w:val="8"/>
                <w:color w:val="auto"/>
              </w:rPr>
              <w:t>1999</w:t>
            </w: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gridSpan w:val="2"/>
          </w:tcPr>
          <w:p>
            <w:pPr>
              <w:jc w:val="right"/>
              <w:ind w:right="60"/>
              <w:spacing w:after="0"/>
              <w:rPr>
                <w:sz w:val="20"/>
                <w:szCs w:val="20"/>
                <w:color w:val="auto"/>
              </w:rPr>
            </w:pPr>
            <w:r>
              <w:rPr>
                <w:rFonts w:ascii="Courier New" w:cs="Courier New" w:eastAsia="Courier New" w:hAnsi="Courier New"/>
                <w:sz w:val="8"/>
                <w:szCs w:val="8"/>
                <w:color w:val="auto"/>
              </w:rPr>
              <w:t>302,500</w:t>
            </w:r>
          </w:p>
        </w:tc>
        <w:tc>
          <w:tcPr>
            <w:tcW w:w="160" w:type="dxa"/>
            <w:vAlign w:val="bottom"/>
          </w:tcPr>
          <w:p>
            <w:pPr>
              <w:spacing w:after="0"/>
              <w:rPr>
                <w:sz w:val="7"/>
                <w:szCs w:val="7"/>
                <w:color w:val="auto"/>
              </w:rPr>
            </w:pPr>
          </w:p>
        </w:tc>
        <w:tc>
          <w:tcPr>
            <w:tcW w:w="680" w:type="dxa"/>
            <w:vAlign w:val="bottom"/>
            <w:gridSpan w:val="2"/>
          </w:tcPr>
          <w:p>
            <w:pPr>
              <w:jc w:val="right"/>
              <w:ind w:right="60"/>
              <w:spacing w:after="0"/>
              <w:rPr>
                <w:sz w:val="20"/>
                <w:szCs w:val="20"/>
                <w:color w:val="auto"/>
              </w:rPr>
            </w:pPr>
            <w:r>
              <w:rPr>
                <w:rFonts w:ascii="Courier New" w:cs="Courier New" w:eastAsia="Courier New" w:hAnsi="Courier New"/>
                <w:sz w:val="8"/>
                <w:szCs w:val="8"/>
                <w:color w:val="auto"/>
              </w:rPr>
              <w:t>427,981</w:t>
            </w:r>
          </w:p>
        </w:tc>
        <w:tc>
          <w:tcPr>
            <w:tcW w:w="140" w:type="dxa"/>
            <w:vAlign w:val="bottom"/>
          </w:tcPr>
          <w:p>
            <w:pPr>
              <w:spacing w:after="0"/>
              <w:rPr>
                <w:sz w:val="7"/>
                <w:szCs w:val="7"/>
                <w:color w:val="auto"/>
              </w:rPr>
            </w:pPr>
          </w:p>
        </w:tc>
        <w:tc>
          <w:tcPr>
            <w:tcW w:w="920" w:type="dxa"/>
            <w:vAlign w:val="bottom"/>
            <w:gridSpan w:val="2"/>
          </w:tcPr>
          <w:p>
            <w:pPr>
              <w:jc w:val="right"/>
              <w:ind w:right="60"/>
              <w:spacing w:after="0"/>
              <w:rPr>
                <w:sz w:val="20"/>
                <w:szCs w:val="20"/>
                <w:color w:val="auto"/>
              </w:rPr>
            </w:pPr>
            <w:r>
              <w:rPr>
                <w:rFonts w:ascii="Courier New" w:cs="Courier New" w:eastAsia="Courier New" w:hAnsi="Courier New"/>
                <w:sz w:val="8"/>
                <w:szCs w:val="8"/>
                <w:color w:val="auto"/>
              </w:rPr>
              <w:t>0</w:t>
            </w:r>
          </w:p>
        </w:tc>
        <w:tc>
          <w:tcPr>
            <w:tcW w:w="80" w:type="dxa"/>
            <w:vAlign w:val="bottom"/>
          </w:tcPr>
          <w:p>
            <w:pPr>
              <w:spacing w:after="0"/>
              <w:rPr>
                <w:sz w:val="7"/>
                <w:szCs w:val="7"/>
                <w:color w:val="auto"/>
              </w:rPr>
            </w:pPr>
          </w:p>
        </w:tc>
        <w:tc>
          <w:tcPr>
            <w:tcW w:w="620" w:type="dxa"/>
            <w:vAlign w:val="bottom"/>
          </w:tcPr>
          <w:p>
            <w:pPr>
              <w:jc w:val="right"/>
              <w:spacing w:after="0"/>
              <w:rPr>
                <w:sz w:val="20"/>
                <w:szCs w:val="20"/>
                <w:color w:val="auto"/>
              </w:rPr>
            </w:pPr>
            <w:r>
              <w:rPr>
                <w:rFonts w:ascii="Courier New" w:cs="Courier New" w:eastAsia="Courier New" w:hAnsi="Courier New"/>
                <w:sz w:val="8"/>
                <w:szCs w:val="8"/>
                <w:color w:val="auto"/>
              </w:rPr>
              <w:t>0</w:t>
            </w:r>
          </w:p>
        </w:tc>
        <w:tc>
          <w:tcPr>
            <w:tcW w:w="140" w:type="dxa"/>
            <w:vAlign w:val="bottom"/>
          </w:tcPr>
          <w:p>
            <w:pPr>
              <w:spacing w:after="0"/>
              <w:rPr>
                <w:sz w:val="7"/>
                <w:szCs w:val="7"/>
                <w:color w:val="auto"/>
              </w:rPr>
            </w:pPr>
          </w:p>
        </w:tc>
        <w:tc>
          <w:tcPr>
            <w:tcW w:w="540" w:type="dxa"/>
            <w:vAlign w:val="bottom"/>
            <w:gridSpan w:val="2"/>
          </w:tcPr>
          <w:p>
            <w:pPr>
              <w:jc w:val="right"/>
              <w:ind w:right="80"/>
              <w:spacing w:after="0"/>
              <w:rPr>
                <w:sz w:val="20"/>
                <w:szCs w:val="20"/>
                <w:color w:val="auto"/>
              </w:rPr>
            </w:pPr>
            <w:r>
              <w:rPr>
                <w:rFonts w:ascii="Courier New" w:cs="Courier New" w:eastAsia="Courier New" w:hAnsi="Courier New"/>
                <w:sz w:val="8"/>
                <w:szCs w:val="8"/>
                <w:color w:val="auto"/>
              </w:rPr>
              <w:t>16,000</w:t>
            </w:r>
          </w:p>
        </w:tc>
        <w:tc>
          <w:tcPr>
            <w:tcW w:w="100" w:type="dxa"/>
            <w:vAlign w:val="bottom"/>
          </w:tcPr>
          <w:p>
            <w:pPr>
              <w:spacing w:after="0"/>
              <w:rPr>
                <w:sz w:val="7"/>
                <w:szCs w:val="7"/>
                <w:color w:val="auto"/>
              </w:rPr>
            </w:pPr>
          </w:p>
        </w:tc>
        <w:tc>
          <w:tcPr>
            <w:tcW w:w="580" w:type="dxa"/>
            <w:vAlign w:val="bottom"/>
          </w:tcPr>
          <w:p>
            <w:pPr>
              <w:jc w:val="right"/>
              <w:ind w:right="160"/>
              <w:spacing w:after="0"/>
              <w:rPr>
                <w:sz w:val="20"/>
                <w:szCs w:val="20"/>
                <w:color w:val="auto"/>
              </w:rPr>
            </w:pPr>
            <w:r>
              <w:rPr>
                <w:rFonts w:ascii="Courier New" w:cs="Courier New" w:eastAsia="Courier New" w:hAnsi="Courier New"/>
                <w:sz w:val="8"/>
                <w:szCs w:val="8"/>
                <w:color w:val="auto"/>
              </w:rPr>
              <w:t>(7)</w:t>
            </w: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jc w:val="right"/>
              <w:spacing w:after="0"/>
              <w:rPr>
                <w:sz w:val="20"/>
                <w:szCs w:val="20"/>
                <w:color w:val="auto"/>
              </w:rPr>
            </w:pPr>
            <w:r>
              <w:rPr>
                <w:rFonts w:ascii="Courier New" w:cs="Courier New" w:eastAsia="Courier New" w:hAnsi="Courier New"/>
                <w:sz w:val="8"/>
                <w:szCs w:val="8"/>
                <w:color w:val="auto"/>
              </w:rPr>
              <w:t>129,887</w:t>
            </w:r>
          </w:p>
        </w:tc>
      </w:tr>
      <w:tr>
        <w:trPr>
          <w:trHeight w:val="90"/>
        </w:trPr>
        <w:tc>
          <w:tcPr>
            <w:tcW w:w="1460" w:type="dxa"/>
            <w:vAlign w:val="bottom"/>
            <w:gridSpan w:val="3"/>
          </w:tcPr>
          <w:p>
            <w:pPr>
              <w:spacing w:after="0"/>
              <w:rPr>
                <w:sz w:val="20"/>
                <w:szCs w:val="20"/>
                <w:color w:val="auto"/>
              </w:rPr>
            </w:pPr>
            <w:r>
              <w:rPr>
                <w:rFonts w:ascii="Courier New" w:cs="Courier New" w:eastAsia="Courier New" w:hAnsi="Courier New"/>
                <w:sz w:val="8"/>
                <w:szCs w:val="8"/>
                <w:color w:val="auto"/>
              </w:rPr>
              <w:t>Executive Vice President</w:t>
            </w:r>
          </w:p>
        </w:tc>
        <w:tc>
          <w:tcPr>
            <w:tcW w:w="320" w:type="dxa"/>
            <w:vAlign w:val="bottom"/>
          </w:tcPr>
          <w:p>
            <w:pPr>
              <w:ind w:left="60"/>
              <w:spacing w:after="0"/>
              <w:rPr>
                <w:sz w:val="20"/>
                <w:szCs w:val="20"/>
                <w:color w:val="auto"/>
              </w:rPr>
            </w:pPr>
            <w:r>
              <w:rPr>
                <w:rFonts w:ascii="Courier New" w:cs="Courier New" w:eastAsia="Courier New" w:hAnsi="Courier New"/>
                <w:sz w:val="8"/>
                <w:szCs w:val="8"/>
                <w:color w:val="auto"/>
              </w:rPr>
              <w:t>1998</w:t>
            </w: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gridSpan w:val="2"/>
          </w:tcPr>
          <w:p>
            <w:pPr>
              <w:jc w:val="right"/>
              <w:ind w:right="60"/>
              <w:spacing w:after="0"/>
              <w:rPr>
                <w:sz w:val="20"/>
                <w:szCs w:val="20"/>
                <w:color w:val="auto"/>
              </w:rPr>
            </w:pPr>
            <w:r>
              <w:rPr>
                <w:rFonts w:ascii="Courier New" w:cs="Courier New" w:eastAsia="Courier New" w:hAnsi="Courier New"/>
                <w:sz w:val="8"/>
                <w:szCs w:val="8"/>
                <w:color w:val="auto"/>
              </w:rPr>
              <w:t>272,898</w:t>
            </w:r>
          </w:p>
        </w:tc>
        <w:tc>
          <w:tcPr>
            <w:tcW w:w="160" w:type="dxa"/>
            <w:vAlign w:val="bottom"/>
          </w:tcPr>
          <w:p>
            <w:pPr>
              <w:spacing w:after="0"/>
              <w:rPr>
                <w:sz w:val="7"/>
                <w:szCs w:val="7"/>
                <w:color w:val="auto"/>
              </w:rPr>
            </w:pPr>
          </w:p>
        </w:tc>
        <w:tc>
          <w:tcPr>
            <w:tcW w:w="680" w:type="dxa"/>
            <w:vAlign w:val="bottom"/>
            <w:gridSpan w:val="2"/>
          </w:tcPr>
          <w:p>
            <w:pPr>
              <w:jc w:val="right"/>
              <w:ind w:right="60"/>
              <w:spacing w:after="0"/>
              <w:rPr>
                <w:sz w:val="20"/>
                <w:szCs w:val="20"/>
                <w:color w:val="auto"/>
              </w:rPr>
            </w:pPr>
            <w:r>
              <w:rPr>
                <w:rFonts w:ascii="Courier New" w:cs="Courier New" w:eastAsia="Courier New" w:hAnsi="Courier New"/>
                <w:sz w:val="8"/>
                <w:szCs w:val="8"/>
                <w:color w:val="auto"/>
              </w:rPr>
              <w:t>0</w:t>
            </w:r>
          </w:p>
        </w:tc>
        <w:tc>
          <w:tcPr>
            <w:tcW w:w="140" w:type="dxa"/>
            <w:vAlign w:val="bottom"/>
          </w:tcPr>
          <w:p>
            <w:pPr>
              <w:spacing w:after="0"/>
              <w:rPr>
                <w:sz w:val="7"/>
                <w:szCs w:val="7"/>
                <w:color w:val="auto"/>
              </w:rPr>
            </w:pPr>
          </w:p>
        </w:tc>
        <w:tc>
          <w:tcPr>
            <w:tcW w:w="920" w:type="dxa"/>
            <w:vAlign w:val="bottom"/>
            <w:gridSpan w:val="2"/>
          </w:tcPr>
          <w:p>
            <w:pPr>
              <w:jc w:val="right"/>
              <w:ind w:right="60"/>
              <w:spacing w:after="0"/>
              <w:rPr>
                <w:sz w:val="20"/>
                <w:szCs w:val="20"/>
                <w:color w:val="auto"/>
              </w:rPr>
            </w:pPr>
            <w:r>
              <w:rPr>
                <w:rFonts w:ascii="Courier New" w:cs="Courier New" w:eastAsia="Courier New" w:hAnsi="Courier New"/>
                <w:sz w:val="8"/>
                <w:szCs w:val="8"/>
                <w:color w:val="auto"/>
              </w:rPr>
              <w:t>154,807</w:t>
            </w:r>
          </w:p>
        </w:tc>
        <w:tc>
          <w:tcPr>
            <w:tcW w:w="80" w:type="dxa"/>
            <w:vAlign w:val="bottom"/>
          </w:tcPr>
          <w:p>
            <w:pPr>
              <w:spacing w:after="0"/>
              <w:rPr>
                <w:sz w:val="7"/>
                <w:szCs w:val="7"/>
                <w:color w:val="auto"/>
              </w:rPr>
            </w:pPr>
          </w:p>
        </w:tc>
        <w:tc>
          <w:tcPr>
            <w:tcW w:w="620" w:type="dxa"/>
            <w:vAlign w:val="bottom"/>
          </w:tcPr>
          <w:p>
            <w:pPr>
              <w:jc w:val="right"/>
              <w:spacing w:after="0"/>
              <w:rPr>
                <w:sz w:val="20"/>
                <w:szCs w:val="20"/>
                <w:color w:val="auto"/>
              </w:rPr>
            </w:pPr>
            <w:r>
              <w:rPr>
                <w:rFonts w:ascii="Courier New" w:cs="Courier New" w:eastAsia="Courier New" w:hAnsi="Courier New"/>
                <w:sz w:val="8"/>
                <w:szCs w:val="8"/>
                <w:color w:val="auto"/>
              </w:rPr>
              <w:t>0</w:t>
            </w:r>
          </w:p>
        </w:tc>
        <w:tc>
          <w:tcPr>
            <w:tcW w:w="140" w:type="dxa"/>
            <w:vAlign w:val="bottom"/>
          </w:tcPr>
          <w:p>
            <w:pPr>
              <w:spacing w:after="0"/>
              <w:rPr>
                <w:sz w:val="7"/>
                <w:szCs w:val="7"/>
                <w:color w:val="auto"/>
              </w:rPr>
            </w:pPr>
          </w:p>
        </w:tc>
        <w:tc>
          <w:tcPr>
            <w:tcW w:w="540" w:type="dxa"/>
            <w:vAlign w:val="bottom"/>
            <w:gridSpan w:val="2"/>
          </w:tcPr>
          <w:p>
            <w:pPr>
              <w:jc w:val="right"/>
              <w:ind w:right="80"/>
              <w:spacing w:after="0"/>
              <w:rPr>
                <w:sz w:val="20"/>
                <w:szCs w:val="20"/>
                <w:color w:val="auto"/>
              </w:rPr>
            </w:pPr>
            <w:r>
              <w:rPr>
                <w:rFonts w:ascii="Courier New" w:cs="Courier New" w:eastAsia="Courier New" w:hAnsi="Courier New"/>
                <w:sz w:val="8"/>
                <w:szCs w:val="8"/>
                <w:color w:val="auto"/>
              </w:rPr>
              <w:t>17,585</w:t>
            </w:r>
          </w:p>
        </w:tc>
        <w:tc>
          <w:tcPr>
            <w:tcW w:w="100" w:type="dxa"/>
            <w:vAlign w:val="bottom"/>
          </w:tcPr>
          <w:p>
            <w:pPr>
              <w:spacing w:after="0"/>
              <w:rPr>
                <w:sz w:val="7"/>
                <w:szCs w:val="7"/>
                <w:color w:val="auto"/>
              </w:rPr>
            </w:pPr>
          </w:p>
        </w:tc>
        <w:tc>
          <w:tcPr>
            <w:tcW w:w="740" w:type="dxa"/>
            <w:vAlign w:val="bottom"/>
            <w:gridSpan w:val="2"/>
          </w:tcPr>
          <w:p>
            <w:pPr>
              <w:jc w:val="right"/>
              <w:ind w:right="160"/>
              <w:spacing w:after="0"/>
              <w:rPr>
                <w:sz w:val="20"/>
                <w:szCs w:val="20"/>
                <w:color w:val="auto"/>
              </w:rPr>
            </w:pPr>
            <w:r>
              <w:rPr>
                <w:rFonts w:ascii="Courier New" w:cs="Courier New" w:eastAsia="Courier New" w:hAnsi="Courier New"/>
                <w:sz w:val="8"/>
                <w:szCs w:val="8"/>
                <w:color w:val="auto"/>
              </w:rPr>
              <w:t>10,889</w:t>
            </w:r>
          </w:p>
        </w:tc>
        <w:tc>
          <w:tcPr>
            <w:tcW w:w="120" w:type="dxa"/>
            <w:vAlign w:val="bottom"/>
          </w:tcPr>
          <w:p>
            <w:pPr>
              <w:spacing w:after="0"/>
              <w:rPr>
                <w:sz w:val="7"/>
                <w:szCs w:val="7"/>
                <w:color w:val="auto"/>
              </w:rPr>
            </w:pPr>
          </w:p>
        </w:tc>
        <w:tc>
          <w:tcPr>
            <w:tcW w:w="860" w:type="dxa"/>
            <w:vAlign w:val="bottom"/>
          </w:tcPr>
          <w:p>
            <w:pPr>
              <w:jc w:val="right"/>
              <w:spacing w:after="0"/>
              <w:rPr>
                <w:sz w:val="20"/>
                <w:szCs w:val="20"/>
                <w:color w:val="auto"/>
              </w:rPr>
            </w:pPr>
            <w:r>
              <w:rPr>
                <w:rFonts w:ascii="Courier New" w:cs="Courier New" w:eastAsia="Courier New" w:hAnsi="Courier New"/>
                <w:sz w:val="8"/>
                <w:szCs w:val="8"/>
                <w:color w:val="auto"/>
              </w:rPr>
              <w:t>59,978</w:t>
            </w:r>
          </w:p>
        </w:tc>
      </w:tr>
      <w:tr>
        <w:trPr>
          <w:trHeight w:val="90"/>
        </w:trPr>
        <w:tc>
          <w:tcPr>
            <w:tcW w:w="1460" w:type="dxa"/>
            <w:vAlign w:val="bottom"/>
            <w:gridSpan w:val="3"/>
          </w:tcPr>
          <w:p>
            <w:pPr>
              <w:spacing w:after="0"/>
              <w:rPr>
                <w:sz w:val="20"/>
                <w:szCs w:val="20"/>
                <w:color w:val="auto"/>
              </w:rPr>
            </w:pPr>
            <w:r>
              <w:rPr>
                <w:rFonts w:ascii="Courier New" w:cs="Courier New" w:eastAsia="Courier New" w:hAnsi="Courier New"/>
                <w:sz w:val="8"/>
                <w:szCs w:val="8"/>
                <w:color w:val="auto"/>
              </w:rPr>
              <w:t>Professional Business</w:t>
            </w:r>
          </w:p>
        </w:tc>
        <w:tc>
          <w:tcPr>
            <w:tcW w:w="320" w:type="dxa"/>
            <w:vAlign w:val="bottom"/>
          </w:tcPr>
          <w:p>
            <w:pPr>
              <w:ind w:left="60"/>
              <w:spacing w:after="0"/>
              <w:rPr>
                <w:sz w:val="20"/>
                <w:szCs w:val="20"/>
                <w:color w:val="auto"/>
              </w:rPr>
            </w:pPr>
            <w:r>
              <w:rPr>
                <w:rFonts w:ascii="Courier New" w:cs="Courier New" w:eastAsia="Courier New" w:hAnsi="Courier New"/>
                <w:sz w:val="8"/>
                <w:szCs w:val="8"/>
                <w:color w:val="auto"/>
              </w:rPr>
              <w:t>1997</w:t>
            </w: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gridSpan w:val="2"/>
          </w:tcPr>
          <w:p>
            <w:pPr>
              <w:jc w:val="right"/>
              <w:ind w:right="60"/>
              <w:spacing w:after="0"/>
              <w:rPr>
                <w:sz w:val="20"/>
                <w:szCs w:val="20"/>
                <w:color w:val="auto"/>
              </w:rPr>
            </w:pPr>
            <w:r>
              <w:rPr>
                <w:rFonts w:ascii="Courier New" w:cs="Courier New" w:eastAsia="Courier New" w:hAnsi="Courier New"/>
                <w:sz w:val="8"/>
                <w:szCs w:val="8"/>
                <w:color w:val="auto"/>
              </w:rPr>
              <w:t>261,837</w:t>
            </w:r>
          </w:p>
        </w:tc>
        <w:tc>
          <w:tcPr>
            <w:tcW w:w="160" w:type="dxa"/>
            <w:vAlign w:val="bottom"/>
          </w:tcPr>
          <w:p>
            <w:pPr>
              <w:spacing w:after="0"/>
              <w:rPr>
                <w:sz w:val="7"/>
                <w:szCs w:val="7"/>
                <w:color w:val="auto"/>
              </w:rPr>
            </w:pPr>
          </w:p>
        </w:tc>
        <w:tc>
          <w:tcPr>
            <w:tcW w:w="680" w:type="dxa"/>
            <w:vAlign w:val="bottom"/>
            <w:gridSpan w:val="2"/>
          </w:tcPr>
          <w:p>
            <w:pPr>
              <w:jc w:val="right"/>
              <w:ind w:right="60"/>
              <w:spacing w:after="0"/>
              <w:rPr>
                <w:sz w:val="20"/>
                <w:szCs w:val="20"/>
                <w:color w:val="auto"/>
              </w:rPr>
            </w:pPr>
            <w:r>
              <w:rPr>
                <w:rFonts w:ascii="Courier New" w:cs="Courier New" w:eastAsia="Courier New" w:hAnsi="Courier New"/>
                <w:sz w:val="8"/>
                <w:szCs w:val="8"/>
                <w:color w:val="auto"/>
              </w:rPr>
              <w:t>69,125</w:t>
            </w:r>
          </w:p>
        </w:tc>
        <w:tc>
          <w:tcPr>
            <w:tcW w:w="140" w:type="dxa"/>
            <w:vAlign w:val="bottom"/>
          </w:tcPr>
          <w:p>
            <w:pPr>
              <w:spacing w:after="0"/>
              <w:rPr>
                <w:sz w:val="7"/>
                <w:szCs w:val="7"/>
                <w:color w:val="auto"/>
              </w:rPr>
            </w:pPr>
          </w:p>
        </w:tc>
        <w:tc>
          <w:tcPr>
            <w:tcW w:w="920" w:type="dxa"/>
            <w:vAlign w:val="bottom"/>
            <w:gridSpan w:val="2"/>
          </w:tcPr>
          <w:p>
            <w:pPr>
              <w:jc w:val="right"/>
              <w:ind w:right="60"/>
              <w:spacing w:after="0"/>
              <w:rPr>
                <w:sz w:val="20"/>
                <w:szCs w:val="20"/>
                <w:color w:val="auto"/>
              </w:rPr>
            </w:pPr>
            <w:r>
              <w:rPr>
                <w:rFonts w:ascii="Courier New" w:cs="Courier New" w:eastAsia="Courier New" w:hAnsi="Courier New"/>
                <w:sz w:val="8"/>
                <w:szCs w:val="8"/>
                <w:color w:val="auto"/>
              </w:rPr>
              <w:t>242,136</w:t>
            </w:r>
          </w:p>
        </w:tc>
        <w:tc>
          <w:tcPr>
            <w:tcW w:w="80" w:type="dxa"/>
            <w:vAlign w:val="bottom"/>
          </w:tcPr>
          <w:p>
            <w:pPr>
              <w:spacing w:after="0"/>
              <w:rPr>
                <w:sz w:val="7"/>
                <w:szCs w:val="7"/>
                <w:color w:val="auto"/>
              </w:rPr>
            </w:pPr>
          </w:p>
        </w:tc>
        <w:tc>
          <w:tcPr>
            <w:tcW w:w="620" w:type="dxa"/>
            <w:vAlign w:val="bottom"/>
          </w:tcPr>
          <w:p>
            <w:pPr>
              <w:jc w:val="right"/>
              <w:spacing w:after="0"/>
              <w:rPr>
                <w:sz w:val="20"/>
                <w:szCs w:val="20"/>
                <w:color w:val="auto"/>
              </w:rPr>
            </w:pPr>
            <w:r>
              <w:rPr>
                <w:rFonts w:ascii="Courier New" w:cs="Courier New" w:eastAsia="Courier New" w:hAnsi="Courier New"/>
                <w:sz w:val="8"/>
                <w:szCs w:val="8"/>
                <w:color w:val="auto"/>
              </w:rPr>
              <w:t>0</w:t>
            </w:r>
          </w:p>
        </w:tc>
        <w:tc>
          <w:tcPr>
            <w:tcW w:w="140" w:type="dxa"/>
            <w:vAlign w:val="bottom"/>
          </w:tcPr>
          <w:p>
            <w:pPr>
              <w:spacing w:after="0"/>
              <w:rPr>
                <w:sz w:val="7"/>
                <w:szCs w:val="7"/>
                <w:color w:val="auto"/>
              </w:rPr>
            </w:pPr>
          </w:p>
        </w:tc>
        <w:tc>
          <w:tcPr>
            <w:tcW w:w="540" w:type="dxa"/>
            <w:vAlign w:val="bottom"/>
            <w:gridSpan w:val="2"/>
          </w:tcPr>
          <w:p>
            <w:pPr>
              <w:jc w:val="right"/>
              <w:ind w:right="80"/>
              <w:spacing w:after="0"/>
              <w:rPr>
                <w:sz w:val="20"/>
                <w:szCs w:val="20"/>
                <w:color w:val="auto"/>
              </w:rPr>
            </w:pPr>
            <w:r>
              <w:rPr>
                <w:rFonts w:ascii="Courier New" w:cs="Courier New" w:eastAsia="Courier New" w:hAnsi="Courier New"/>
                <w:sz w:val="8"/>
                <w:szCs w:val="8"/>
                <w:color w:val="auto"/>
              </w:rPr>
              <w:t>11,970</w:t>
            </w:r>
          </w:p>
        </w:tc>
        <w:tc>
          <w:tcPr>
            <w:tcW w:w="100" w:type="dxa"/>
            <w:vAlign w:val="bottom"/>
          </w:tcPr>
          <w:p>
            <w:pPr>
              <w:spacing w:after="0"/>
              <w:rPr>
                <w:sz w:val="7"/>
                <w:szCs w:val="7"/>
                <w:color w:val="auto"/>
              </w:rPr>
            </w:pPr>
          </w:p>
        </w:tc>
        <w:tc>
          <w:tcPr>
            <w:tcW w:w="740" w:type="dxa"/>
            <w:vAlign w:val="bottom"/>
            <w:gridSpan w:val="2"/>
          </w:tcPr>
          <w:p>
            <w:pPr>
              <w:jc w:val="right"/>
              <w:ind w:right="160"/>
              <w:spacing w:after="0"/>
              <w:rPr>
                <w:sz w:val="20"/>
                <w:szCs w:val="20"/>
                <w:color w:val="auto"/>
              </w:rPr>
            </w:pPr>
            <w:r>
              <w:rPr>
                <w:rFonts w:ascii="Courier New" w:cs="Courier New" w:eastAsia="Courier New" w:hAnsi="Courier New"/>
                <w:sz w:val="8"/>
                <w:szCs w:val="8"/>
                <w:color w:val="auto"/>
              </w:rPr>
              <w:t>73,131</w:t>
            </w:r>
          </w:p>
        </w:tc>
        <w:tc>
          <w:tcPr>
            <w:tcW w:w="120" w:type="dxa"/>
            <w:vAlign w:val="bottom"/>
          </w:tcPr>
          <w:p>
            <w:pPr>
              <w:spacing w:after="0"/>
              <w:rPr>
                <w:sz w:val="7"/>
                <w:szCs w:val="7"/>
                <w:color w:val="auto"/>
              </w:rPr>
            </w:pPr>
          </w:p>
        </w:tc>
        <w:tc>
          <w:tcPr>
            <w:tcW w:w="860" w:type="dxa"/>
            <w:vAlign w:val="bottom"/>
          </w:tcPr>
          <w:p>
            <w:pPr>
              <w:jc w:val="right"/>
              <w:spacing w:after="0"/>
              <w:rPr>
                <w:sz w:val="20"/>
                <w:szCs w:val="20"/>
                <w:color w:val="auto"/>
              </w:rPr>
            </w:pPr>
            <w:r>
              <w:rPr>
                <w:rFonts w:ascii="Courier New" w:cs="Courier New" w:eastAsia="Courier New" w:hAnsi="Courier New"/>
                <w:sz w:val="8"/>
                <w:szCs w:val="8"/>
                <w:color w:val="auto"/>
              </w:rPr>
              <w:t>50,237</w:t>
            </w:r>
          </w:p>
        </w:tc>
      </w:tr>
      <w:tr>
        <w:trPr>
          <w:trHeight w:val="90"/>
        </w:trPr>
        <w:tc>
          <w:tcPr>
            <w:tcW w:w="1460" w:type="dxa"/>
            <w:vAlign w:val="bottom"/>
            <w:gridSpan w:val="3"/>
          </w:tcPr>
          <w:p>
            <w:pPr>
              <w:spacing w:after="0"/>
              <w:rPr>
                <w:sz w:val="20"/>
                <w:szCs w:val="20"/>
                <w:color w:val="auto"/>
              </w:rPr>
            </w:pPr>
            <w:r>
              <w:rPr>
                <w:rFonts w:ascii="Courier New" w:cs="Courier New" w:eastAsia="Courier New" w:hAnsi="Courier New"/>
                <w:sz w:val="8"/>
                <w:szCs w:val="8"/>
                <w:color w:val="auto"/>
              </w:rPr>
              <w:t>and International</w:t>
            </w: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r>
      <w:tr>
        <w:trPr>
          <w:trHeight w:val="90"/>
        </w:trPr>
        <w:tc>
          <w:tcPr>
            <w:tcW w:w="1460" w:type="dxa"/>
            <w:vAlign w:val="bottom"/>
            <w:gridSpan w:val="3"/>
          </w:tcPr>
          <w:p>
            <w:pPr>
              <w:spacing w:after="0"/>
              <w:rPr>
                <w:sz w:val="20"/>
                <w:szCs w:val="20"/>
                <w:color w:val="auto"/>
              </w:rPr>
            </w:pPr>
            <w:r>
              <w:rPr>
                <w:rFonts w:ascii="Courier New" w:cs="Courier New" w:eastAsia="Courier New" w:hAnsi="Courier New"/>
                <w:sz w:val="8"/>
                <w:szCs w:val="8"/>
                <w:color w:val="auto"/>
              </w:rPr>
              <w:t>Stephen P. Wolfe</w:t>
            </w:r>
          </w:p>
        </w:tc>
        <w:tc>
          <w:tcPr>
            <w:tcW w:w="320" w:type="dxa"/>
            <w:vAlign w:val="bottom"/>
          </w:tcPr>
          <w:p>
            <w:pPr>
              <w:ind w:left="60"/>
              <w:spacing w:after="0"/>
              <w:rPr>
                <w:sz w:val="20"/>
                <w:szCs w:val="20"/>
                <w:color w:val="auto"/>
              </w:rPr>
            </w:pPr>
            <w:r>
              <w:rPr>
                <w:rFonts w:ascii="Courier New" w:cs="Courier New" w:eastAsia="Courier New" w:hAnsi="Courier New"/>
                <w:sz w:val="8"/>
                <w:szCs w:val="8"/>
                <w:color w:val="auto"/>
              </w:rPr>
              <w:t>1999</w:t>
            </w: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gridSpan w:val="2"/>
          </w:tcPr>
          <w:p>
            <w:pPr>
              <w:jc w:val="right"/>
              <w:ind w:right="60"/>
              <w:spacing w:after="0"/>
              <w:rPr>
                <w:sz w:val="20"/>
                <w:szCs w:val="20"/>
                <w:color w:val="auto"/>
              </w:rPr>
            </w:pPr>
            <w:r>
              <w:rPr>
                <w:rFonts w:ascii="Courier New" w:cs="Courier New" w:eastAsia="Courier New" w:hAnsi="Courier New"/>
                <w:sz w:val="8"/>
                <w:szCs w:val="8"/>
                <w:color w:val="auto"/>
              </w:rPr>
              <w:t>237,333</w:t>
            </w:r>
          </w:p>
        </w:tc>
        <w:tc>
          <w:tcPr>
            <w:tcW w:w="160" w:type="dxa"/>
            <w:vAlign w:val="bottom"/>
          </w:tcPr>
          <w:p>
            <w:pPr>
              <w:spacing w:after="0"/>
              <w:rPr>
                <w:sz w:val="7"/>
                <w:szCs w:val="7"/>
                <w:color w:val="auto"/>
              </w:rPr>
            </w:pPr>
          </w:p>
        </w:tc>
        <w:tc>
          <w:tcPr>
            <w:tcW w:w="680" w:type="dxa"/>
            <w:vAlign w:val="bottom"/>
            <w:gridSpan w:val="2"/>
          </w:tcPr>
          <w:p>
            <w:pPr>
              <w:jc w:val="right"/>
              <w:ind w:right="60"/>
              <w:spacing w:after="0"/>
              <w:rPr>
                <w:sz w:val="20"/>
                <w:szCs w:val="20"/>
                <w:color w:val="auto"/>
              </w:rPr>
            </w:pPr>
            <w:r>
              <w:rPr>
                <w:rFonts w:ascii="Courier New" w:cs="Courier New" w:eastAsia="Courier New" w:hAnsi="Courier New"/>
                <w:sz w:val="8"/>
                <w:szCs w:val="8"/>
                <w:color w:val="auto"/>
              </w:rPr>
              <w:t>340,933</w:t>
            </w:r>
          </w:p>
        </w:tc>
        <w:tc>
          <w:tcPr>
            <w:tcW w:w="140" w:type="dxa"/>
            <w:vAlign w:val="bottom"/>
          </w:tcPr>
          <w:p>
            <w:pPr>
              <w:spacing w:after="0"/>
              <w:rPr>
                <w:sz w:val="7"/>
                <w:szCs w:val="7"/>
                <w:color w:val="auto"/>
              </w:rPr>
            </w:pPr>
          </w:p>
        </w:tc>
        <w:tc>
          <w:tcPr>
            <w:tcW w:w="920" w:type="dxa"/>
            <w:vAlign w:val="bottom"/>
            <w:gridSpan w:val="2"/>
          </w:tcPr>
          <w:p>
            <w:pPr>
              <w:jc w:val="right"/>
              <w:ind w:right="60"/>
              <w:spacing w:after="0"/>
              <w:rPr>
                <w:sz w:val="20"/>
                <w:szCs w:val="20"/>
                <w:color w:val="auto"/>
              </w:rPr>
            </w:pPr>
            <w:r>
              <w:rPr>
                <w:rFonts w:ascii="Courier New" w:cs="Courier New" w:eastAsia="Courier New" w:hAnsi="Courier New"/>
                <w:sz w:val="8"/>
                <w:szCs w:val="8"/>
                <w:color w:val="auto"/>
              </w:rPr>
              <w:t>54,077</w:t>
            </w:r>
          </w:p>
        </w:tc>
        <w:tc>
          <w:tcPr>
            <w:tcW w:w="80" w:type="dxa"/>
            <w:vAlign w:val="bottom"/>
          </w:tcPr>
          <w:p>
            <w:pPr>
              <w:spacing w:after="0"/>
              <w:rPr>
                <w:sz w:val="7"/>
                <w:szCs w:val="7"/>
                <w:color w:val="auto"/>
              </w:rPr>
            </w:pPr>
          </w:p>
        </w:tc>
        <w:tc>
          <w:tcPr>
            <w:tcW w:w="760" w:type="dxa"/>
            <w:vAlign w:val="bottom"/>
            <w:gridSpan w:val="2"/>
          </w:tcPr>
          <w:p>
            <w:pPr>
              <w:jc w:val="right"/>
              <w:spacing w:after="0"/>
              <w:rPr>
                <w:sz w:val="20"/>
                <w:szCs w:val="20"/>
                <w:color w:val="auto"/>
              </w:rPr>
            </w:pPr>
            <w:r>
              <w:rPr>
                <w:rFonts w:ascii="Courier New" w:cs="Courier New" w:eastAsia="Courier New" w:hAnsi="Courier New"/>
                <w:sz w:val="8"/>
                <w:szCs w:val="8"/>
                <w:color w:val="auto"/>
              </w:rPr>
              <w:t>50,009(6)</w:t>
            </w:r>
          </w:p>
        </w:tc>
        <w:tc>
          <w:tcPr>
            <w:tcW w:w="540" w:type="dxa"/>
            <w:vAlign w:val="bottom"/>
            <w:gridSpan w:val="2"/>
          </w:tcPr>
          <w:p>
            <w:pPr>
              <w:jc w:val="right"/>
              <w:ind w:right="80"/>
              <w:spacing w:after="0"/>
              <w:rPr>
                <w:sz w:val="20"/>
                <w:szCs w:val="20"/>
                <w:color w:val="auto"/>
              </w:rPr>
            </w:pPr>
            <w:r>
              <w:rPr>
                <w:rFonts w:ascii="Courier New" w:cs="Courier New" w:eastAsia="Courier New" w:hAnsi="Courier New"/>
                <w:sz w:val="8"/>
                <w:szCs w:val="8"/>
                <w:color w:val="auto"/>
              </w:rPr>
              <w:t>13,200</w:t>
            </w:r>
          </w:p>
        </w:tc>
        <w:tc>
          <w:tcPr>
            <w:tcW w:w="100" w:type="dxa"/>
            <w:vAlign w:val="bottom"/>
          </w:tcPr>
          <w:p>
            <w:pPr>
              <w:spacing w:after="0"/>
              <w:rPr>
                <w:sz w:val="7"/>
                <w:szCs w:val="7"/>
                <w:color w:val="auto"/>
              </w:rPr>
            </w:pPr>
          </w:p>
        </w:tc>
        <w:tc>
          <w:tcPr>
            <w:tcW w:w="580" w:type="dxa"/>
            <w:vAlign w:val="bottom"/>
          </w:tcPr>
          <w:p>
            <w:pPr>
              <w:jc w:val="right"/>
              <w:ind w:right="160"/>
              <w:spacing w:after="0"/>
              <w:rPr>
                <w:sz w:val="20"/>
                <w:szCs w:val="20"/>
                <w:color w:val="auto"/>
              </w:rPr>
            </w:pPr>
            <w:r>
              <w:rPr>
                <w:rFonts w:ascii="Courier New" w:cs="Courier New" w:eastAsia="Courier New" w:hAnsi="Courier New"/>
                <w:sz w:val="8"/>
                <w:szCs w:val="8"/>
                <w:color w:val="auto"/>
              </w:rPr>
              <w:t>(7)</w:t>
            </w: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jc w:val="right"/>
              <w:spacing w:after="0"/>
              <w:rPr>
                <w:sz w:val="20"/>
                <w:szCs w:val="20"/>
                <w:color w:val="auto"/>
              </w:rPr>
            </w:pPr>
            <w:r>
              <w:rPr>
                <w:rFonts w:ascii="Courier New" w:cs="Courier New" w:eastAsia="Courier New" w:hAnsi="Courier New"/>
                <w:sz w:val="8"/>
                <w:szCs w:val="8"/>
                <w:color w:val="auto"/>
              </w:rPr>
              <w:t>99,848</w:t>
            </w:r>
          </w:p>
        </w:tc>
      </w:tr>
      <w:tr>
        <w:trPr>
          <w:trHeight w:val="90"/>
        </w:trPr>
        <w:tc>
          <w:tcPr>
            <w:tcW w:w="1460" w:type="dxa"/>
            <w:vAlign w:val="bottom"/>
            <w:gridSpan w:val="3"/>
          </w:tcPr>
          <w:p>
            <w:pPr>
              <w:spacing w:after="0"/>
              <w:rPr>
                <w:sz w:val="20"/>
                <w:szCs w:val="20"/>
                <w:color w:val="auto"/>
              </w:rPr>
            </w:pPr>
            <w:r>
              <w:rPr>
                <w:rFonts w:ascii="Courier New" w:cs="Courier New" w:eastAsia="Courier New" w:hAnsi="Courier New"/>
                <w:sz w:val="8"/>
                <w:szCs w:val="8"/>
                <w:color w:val="auto"/>
              </w:rPr>
              <w:t>Vice President Finance &amp;</w:t>
            </w:r>
          </w:p>
        </w:tc>
        <w:tc>
          <w:tcPr>
            <w:tcW w:w="320" w:type="dxa"/>
            <w:vAlign w:val="bottom"/>
          </w:tcPr>
          <w:p>
            <w:pPr>
              <w:ind w:left="60"/>
              <w:spacing w:after="0"/>
              <w:rPr>
                <w:sz w:val="20"/>
                <w:szCs w:val="20"/>
                <w:color w:val="auto"/>
              </w:rPr>
            </w:pPr>
            <w:r>
              <w:rPr>
                <w:rFonts w:ascii="Courier New" w:cs="Courier New" w:eastAsia="Courier New" w:hAnsi="Courier New"/>
                <w:sz w:val="8"/>
                <w:szCs w:val="8"/>
                <w:color w:val="auto"/>
              </w:rPr>
              <w:t>1998</w:t>
            </w: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gridSpan w:val="2"/>
          </w:tcPr>
          <w:p>
            <w:pPr>
              <w:jc w:val="right"/>
              <w:ind w:right="60"/>
              <w:spacing w:after="0"/>
              <w:rPr>
                <w:sz w:val="20"/>
                <w:szCs w:val="20"/>
                <w:color w:val="auto"/>
              </w:rPr>
            </w:pPr>
            <w:r>
              <w:rPr>
                <w:rFonts w:ascii="Courier New" w:cs="Courier New" w:eastAsia="Courier New" w:hAnsi="Courier New"/>
                <w:sz w:val="8"/>
                <w:szCs w:val="8"/>
                <w:color w:val="auto"/>
              </w:rPr>
              <w:t>186,669</w:t>
            </w:r>
          </w:p>
        </w:tc>
        <w:tc>
          <w:tcPr>
            <w:tcW w:w="160" w:type="dxa"/>
            <w:vAlign w:val="bottom"/>
          </w:tcPr>
          <w:p>
            <w:pPr>
              <w:spacing w:after="0"/>
              <w:rPr>
                <w:sz w:val="7"/>
                <w:szCs w:val="7"/>
                <w:color w:val="auto"/>
              </w:rPr>
            </w:pPr>
          </w:p>
        </w:tc>
        <w:tc>
          <w:tcPr>
            <w:tcW w:w="680" w:type="dxa"/>
            <w:vAlign w:val="bottom"/>
            <w:gridSpan w:val="2"/>
          </w:tcPr>
          <w:p>
            <w:pPr>
              <w:jc w:val="right"/>
              <w:ind w:right="60"/>
              <w:spacing w:after="0"/>
              <w:rPr>
                <w:sz w:val="20"/>
                <w:szCs w:val="20"/>
                <w:color w:val="auto"/>
              </w:rPr>
            </w:pPr>
            <w:r>
              <w:rPr>
                <w:rFonts w:ascii="Courier New" w:cs="Courier New" w:eastAsia="Courier New" w:hAnsi="Courier New"/>
                <w:sz w:val="8"/>
                <w:szCs w:val="8"/>
                <w:color w:val="auto"/>
              </w:rPr>
              <w:t>0</w:t>
            </w:r>
          </w:p>
        </w:tc>
        <w:tc>
          <w:tcPr>
            <w:tcW w:w="140" w:type="dxa"/>
            <w:vAlign w:val="bottom"/>
          </w:tcPr>
          <w:p>
            <w:pPr>
              <w:spacing w:after="0"/>
              <w:rPr>
                <w:sz w:val="7"/>
                <w:szCs w:val="7"/>
                <w:color w:val="auto"/>
              </w:rPr>
            </w:pPr>
          </w:p>
        </w:tc>
        <w:tc>
          <w:tcPr>
            <w:tcW w:w="920" w:type="dxa"/>
            <w:vAlign w:val="bottom"/>
            <w:gridSpan w:val="2"/>
          </w:tcPr>
          <w:p>
            <w:pPr>
              <w:jc w:val="right"/>
              <w:ind w:right="60"/>
              <w:spacing w:after="0"/>
              <w:rPr>
                <w:sz w:val="20"/>
                <w:szCs w:val="20"/>
                <w:color w:val="auto"/>
              </w:rPr>
            </w:pPr>
            <w:r>
              <w:rPr>
                <w:rFonts w:ascii="Courier New" w:cs="Courier New" w:eastAsia="Courier New" w:hAnsi="Courier New"/>
                <w:sz w:val="8"/>
                <w:szCs w:val="8"/>
                <w:color w:val="auto"/>
              </w:rPr>
              <w:t>0</w:t>
            </w:r>
          </w:p>
        </w:tc>
        <w:tc>
          <w:tcPr>
            <w:tcW w:w="80" w:type="dxa"/>
            <w:vAlign w:val="bottom"/>
          </w:tcPr>
          <w:p>
            <w:pPr>
              <w:spacing w:after="0"/>
              <w:rPr>
                <w:sz w:val="7"/>
                <w:szCs w:val="7"/>
                <w:color w:val="auto"/>
              </w:rPr>
            </w:pPr>
          </w:p>
        </w:tc>
        <w:tc>
          <w:tcPr>
            <w:tcW w:w="620" w:type="dxa"/>
            <w:vAlign w:val="bottom"/>
          </w:tcPr>
          <w:p>
            <w:pPr>
              <w:jc w:val="right"/>
              <w:spacing w:after="0"/>
              <w:rPr>
                <w:sz w:val="20"/>
                <w:szCs w:val="20"/>
                <w:color w:val="auto"/>
              </w:rPr>
            </w:pPr>
            <w:r>
              <w:rPr>
                <w:rFonts w:ascii="Courier New" w:cs="Courier New" w:eastAsia="Courier New" w:hAnsi="Courier New"/>
                <w:sz w:val="8"/>
                <w:szCs w:val="8"/>
                <w:color w:val="auto"/>
              </w:rPr>
              <w:t>0</w:t>
            </w:r>
          </w:p>
        </w:tc>
        <w:tc>
          <w:tcPr>
            <w:tcW w:w="140" w:type="dxa"/>
            <w:vAlign w:val="bottom"/>
          </w:tcPr>
          <w:p>
            <w:pPr>
              <w:spacing w:after="0"/>
              <w:rPr>
                <w:sz w:val="7"/>
                <w:szCs w:val="7"/>
                <w:color w:val="auto"/>
              </w:rPr>
            </w:pPr>
          </w:p>
        </w:tc>
        <w:tc>
          <w:tcPr>
            <w:tcW w:w="540" w:type="dxa"/>
            <w:vAlign w:val="bottom"/>
            <w:gridSpan w:val="2"/>
          </w:tcPr>
          <w:p>
            <w:pPr>
              <w:jc w:val="right"/>
              <w:ind w:right="80"/>
              <w:spacing w:after="0"/>
              <w:rPr>
                <w:sz w:val="20"/>
                <w:szCs w:val="20"/>
                <w:color w:val="auto"/>
              </w:rPr>
            </w:pPr>
            <w:r>
              <w:rPr>
                <w:rFonts w:ascii="Courier New" w:cs="Courier New" w:eastAsia="Courier New" w:hAnsi="Courier New"/>
                <w:sz w:val="8"/>
                <w:szCs w:val="8"/>
                <w:color w:val="auto"/>
              </w:rPr>
              <w:t>13,159</w:t>
            </w:r>
          </w:p>
        </w:tc>
        <w:tc>
          <w:tcPr>
            <w:tcW w:w="100" w:type="dxa"/>
            <w:vAlign w:val="bottom"/>
          </w:tcPr>
          <w:p>
            <w:pPr>
              <w:spacing w:after="0"/>
              <w:rPr>
                <w:sz w:val="7"/>
                <w:szCs w:val="7"/>
                <w:color w:val="auto"/>
              </w:rPr>
            </w:pPr>
          </w:p>
        </w:tc>
        <w:tc>
          <w:tcPr>
            <w:tcW w:w="740" w:type="dxa"/>
            <w:vAlign w:val="bottom"/>
            <w:gridSpan w:val="2"/>
          </w:tcPr>
          <w:p>
            <w:pPr>
              <w:jc w:val="right"/>
              <w:ind w:right="160"/>
              <w:spacing w:after="0"/>
              <w:rPr>
                <w:sz w:val="20"/>
                <w:szCs w:val="20"/>
                <w:color w:val="auto"/>
              </w:rPr>
            </w:pPr>
            <w:r>
              <w:rPr>
                <w:rFonts w:ascii="Courier New" w:cs="Courier New" w:eastAsia="Courier New" w:hAnsi="Courier New"/>
                <w:sz w:val="8"/>
                <w:szCs w:val="8"/>
                <w:color w:val="auto"/>
              </w:rPr>
              <w:t>5,214</w:t>
            </w:r>
          </w:p>
        </w:tc>
        <w:tc>
          <w:tcPr>
            <w:tcW w:w="120" w:type="dxa"/>
            <w:vAlign w:val="bottom"/>
          </w:tcPr>
          <w:p>
            <w:pPr>
              <w:spacing w:after="0"/>
              <w:rPr>
                <w:sz w:val="7"/>
                <w:szCs w:val="7"/>
                <w:color w:val="auto"/>
              </w:rPr>
            </w:pPr>
          </w:p>
        </w:tc>
        <w:tc>
          <w:tcPr>
            <w:tcW w:w="860" w:type="dxa"/>
            <w:vAlign w:val="bottom"/>
          </w:tcPr>
          <w:p>
            <w:pPr>
              <w:jc w:val="right"/>
              <w:spacing w:after="0"/>
              <w:rPr>
                <w:sz w:val="20"/>
                <w:szCs w:val="20"/>
                <w:color w:val="auto"/>
              </w:rPr>
            </w:pPr>
            <w:r>
              <w:rPr>
                <w:rFonts w:ascii="Courier New" w:cs="Courier New" w:eastAsia="Courier New" w:hAnsi="Courier New"/>
                <w:sz w:val="8"/>
                <w:szCs w:val="8"/>
                <w:color w:val="auto"/>
              </w:rPr>
              <w:t>49,228</w:t>
            </w:r>
          </w:p>
        </w:tc>
      </w:tr>
      <w:tr>
        <w:trPr>
          <w:trHeight w:val="90"/>
        </w:trPr>
        <w:tc>
          <w:tcPr>
            <w:tcW w:w="1460" w:type="dxa"/>
            <w:vAlign w:val="bottom"/>
            <w:gridSpan w:val="3"/>
          </w:tcPr>
          <w:p>
            <w:pPr>
              <w:spacing w:after="0"/>
              <w:rPr>
                <w:sz w:val="20"/>
                <w:szCs w:val="20"/>
                <w:color w:val="auto"/>
              </w:rPr>
            </w:pPr>
            <w:r>
              <w:rPr>
                <w:rFonts w:ascii="Courier New" w:cs="Courier New" w:eastAsia="Courier New" w:hAnsi="Courier New"/>
                <w:sz w:val="8"/>
                <w:szCs w:val="8"/>
                <w:color w:val="auto"/>
              </w:rPr>
              <w:t>Chief Financial Officer</w:t>
            </w:r>
          </w:p>
        </w:tc>
        <w:tc>
          <w:tcPr>
            <w:tcW w:w="320" w:type="dxa"/>
            <w:vAlign w:val="bottom"/>
          </w:tcPr>
          <w:p>
            <w:pPr>
              <w:ind w:left="60"/>
              <w:spacing w:after="0"/>
              <w:rPr>
                <w:sz w:val="20"/>
                <w:szCs w:val="20"/>
                <w:color w:val="auto"/>
              </w:rPr>
            </w:pPr>
            <w:r>
              <w:rPr>
                <w:rFonts w:ascii="Courier New" w:cs="Courier New" w:eastAsia="Courier New" w:hAnsi="Courier New"/>
                <w:sz w:val="8"/>
                <w:szCs w:val="8"/>
                <w:color w:val="auto"/>
              </w:rPr>
              <w:t>1997</w:t>
            </w: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gridSpan w:val="2"/>
          </w:tcPr>
          <w:p>
            <w:pPr>
              <w:jc w:val="right"/>
              <w:ind w:right="60"/>
              <w:spacing w:after="0"/>
              <w:rPr>
                <w:sz w:val="20"/>
                <w:szCs w:val="20"/>
                <w:color w:val="auto"/>
              </w:rPr>
            </w:pPr>
            <w:r>
              <w:rPr>
                <w:rFonts w:ascii="Courier New" w:cs="Courier New" w:eastAsia="Courier New" w:hAnsi="Courier New"/>
                <w:sz w:val="8"/>
                <w:szCs w:val="8"/>
                <w:color w:val="auto"/>
              </w:rPr>
              <w:t>151,816</w:t>
            </w:r>
          </w:p>
        </w:tc>
        <w:tc>
          <w:tcPr>
            <w:tcW w:w="160" w:type="dxa"/>
            <w:vAlign w:val="bottom"/>
          </w:tcPr>
          <w:p>
            <w:pPr>
              <w:spacing w:after="0"/>
              <w:rPr>
                <w:sz w:val="7"/>
                <w:szCs w:val="7"/>
                <w:color w:val="auto"/>
              </w:rPr>
            </w:pPr>
          </w:p>
        </w:tc>
        <w:tc>
          <w:tcPr>
            <w:tcW w:w="680" w:type="dxa"/>
            <w:vAlign w:val="bottom"/>
            <w:gridSpan w:val="2"/>
          </w:tcPr>
          <w:p>
            <w:pPr>
              <w:jc w:val="right"/>
              <w:ind w:right="60"/>
              <w:spacing w:after="0"/>
              <w:rPr>
                <w:sz w:val="20"/>
                <w:szCs w:val="20"/>
                <w:color w:val="auto"/>
              </w:rPr>
            </w:pPr>
            <w:r>
              <w:rPr>
                <w:rFonts w:ascii="Courier New" w:cs="Courier New" w:eastAsia="Courier New" w:hAnsi="Courier New"/>
                <w:sz w:val="8"/>
                <w:szCs w:val="8"/>
                <w:color w:val="auto"/>
              </w:rPr>
              <w:t>38,968</w:t>
            </w:r>
          </w:p>
        </w:tc>
        <w:tc>
          <w:tcPr>
            <w:tcW w:w="140" w:type="dxa"/>
            <w:vAlign w:val="bottom"/>
          </w:tcPr>
          <w:p>
            <w:pPr>
              <w:spacing w:after="0"/>
              <w:rPr>
                <w:sz w:val="7"/>
                <w:szCs w:val="7"/>
                <w:color w:val="auto"/>
              </w:rPr>
            </w:pPr>
          </w:p>
        </w:tc>
        <w:tc>
          <w:tcPr>
            <w:tcW w:w="920" w:type="dxa"/>
            <w:vAlign w:val="bottom"/>
            <w:gridSpan w:val="2"/>
          </w:tcPr>
          <w:p>
            <w:pPr>
              <w:jc w:val="right"/>
              <w:ind w:right="60"/>
              <w:spacing w:after="0"/>
              <w:rPr>
                <w:sz w:val="20"/>
                <w:szCs w:val="20"/>
                <w:color w:val="auto"/>
              </w:rPr>
            </w:pPr>
            <w:r>
              <w:rPr>
                <w:rFonts w:ascii="Courier New" w:cs="Courier New" w:eastAsia="Courier New" w:hAnsi="Courier New"/>
                <w:sz w:val="8"/>
                <w:szCs w:val="8"/>
                <w:color w:val="auto"/>
              </w:rPr>
              <w:t>121,130</w:t>
            </w:r>
          </w:p>
        </w:tc>
        <w:tc>
          <w:tcPr>
            <w:tcW w:w="80" w:type="dxa"/>
            <w:vAlign w:val="bottom"/>
          </w:tcPr>
          <w:p>
            <w:pPr>
              <w:spacing w:after="0"/>
              <w:rPr>
                <w:sz w:val="7"/>
                <w:szCs w:val="7"/>
                <w:color w:val="auto"/>
              </w:rPr>
            </w:pPr>
          </w:p>
        </w:tc>
        <w:tc>
          <w:tcPr>
            <w:tcW w:w="620" w:type="dxa"/>
            <w:vAlign w:val="bottom"/>
          </w:tcPr>
          <w:p>
            <w:pPr>
              <w:jc w:val="right"/>
              <w:spacing w:after="0"/>
              <w:rPr>
                <w:sz w:val="20"/>
                <w:szCs w:val="20"/>
                <w:color w:val="auto"/>
              </w:rPr>
            </w:pPr>
            <w:r>
              <w:rPr>
                <w:rFonts w:ascii="Courier New" w:cs="Courier New" w:eastAsia="Courier New" w:hAnsi="Courier New"/>
                <w:sz w:val="8"/>
                <w:szCs w:val="8"/>
                <w:color w:val="auto"/>
              </w:rPr>
              <w:t>0</w:t>
            </w:r>
          </w:p>
        </w:tc>
        <w:tc>
          <w:tcPr>
            <w:tcW w:w="140" w:type="dxa"/>
            <w:vAlign w:val="bottom"/>
          </w:tcPr>
          <w:p>
            <w:pPr>
              <w:spacing w:after="0"/>
              <w:rPr>
                <w:sz w:val="7"/>
                <w:szCs w:val="7"/>
                <w:color w:val="auto"/>
              </w:rPr>
            </w:pPr>
          </w:p>
        </w:tc>
        <w:tc>
          <w:tcPr>
            <w:tcW w:w="540" w:type="dxa"/>
            <w:vAlign w:val="bottom"/>
            <w:gridSpan w:val="2"/>
          </w:tcPr>
          <w:p>
            <w:pPr>
              <w:jc w:val="right"/>
              <w:ind w:right="80"/>
              <w:spacing w:after="0"/>
              <w:rPr>
                <w:sz w:val="20"/>
                <w:szCs w:val="20"/>
                <w:color w:val="auto"/>
              </w:rPr>
            </w:pPr>
            <w:r>
              <w:rPr>
                <w:rFonts w:ascii="Courier New" w:cs="Courier New" w:eastAsia="Courier New" w:hAnsi="Courier New"/>
                <w:sz w:val="8"/>
                <w:szCs w:val="8"/>
                <w:color w:val="auto"/>
              </w:rPr>
              <w:t>3,833</w:t>
            </w:r>
          </w:p>
        </w:tc>
        <w:tc>
          <w:tcPr>
            <w:tcW w:w="100" w:type="dxa"/>
            <w:vAlign w:val="bottom"/>
          </w:tcPr>
          <w:p>
            <w:pPr>
              <w:spacing w:after="0"/>
              <w:rPr>
                <w:sz w:val="7"/>
                <w:szCs w:val="7"/>
                <w:color w:val="auto"/>
              </w:rPr>
            </w:pPr>
          </w:p>
        </w:tc>
        <w:tc>
          <w:tcPr>
            <w:tcW w:w="740" w:type="dxa"/>
            <w:vAlign w:val="bottom"/>
            <w:gridSpan w:val="2"/>
          </w:tcPr>
          <w:p>
            <w:pPr>
              <w:jc w:val="right"/>
              <w:ind w:right="160"/>
              <w:spacing w:after="0"/>
              <w:rPr>
                <w:sz w:val="20"/>
                <w:szCs w:val="20"/>
                <w:color w:val="auto"/>
              </w:rPr>
            </w:pPr>
            <w:r>
              <w:rPr>
                <w:rFonts w:ascii="Courier New" w:cs="Courier New" w:eastAsia="Courier New" w:hAnsi="Courier New"/>
                <w:sz w:val="8"/>
                <w:szCs w:val="8"/>
                <w:color w:val="auto"/>
              </w:rPr>
              <w:t>0</w:t>
            </w:r>
          </w:p>
        </w:tc>
        <w:tc>
          <w:tcPr>
            <w:tcW w:w="120" w:type="dxa"/>
            <w:vAlign w:val="bottom"/>
          </w:tcPr>
          <w:p>
            <w:pPr>
              <w:spacing w:after="0"/>
              <w:rPr>
                <w:sz w:val="7"/>
                <w:szCs w:val="7"/>
                <w:color w:val="auto"/>
              </w:rPr>
            </w:pPr>
          </w:p>
        </w:tc>
        <w:tc>
          <w:tcPr>
            <w:tcW w:w="860" w:type="dxa"/>
            <w:vAlign w:val="bottom"/>
          </w:tcPr>
          <w:p>
            <w:pPr>
              <w:jc w:val="right"/>
              <w:spacing w:after="0"/>
              <w:rPr>
                <w:sz w:val="20"/>
                <w:szCs w:val="20"/>
                <w:color w:val="auto"/>
              </w:rPr>
            </w:pPr>
            <w:r>
              <w:rPr>
                <w:rFonts w:ascii="Courier New" w:cs="Courier New" w:eastAsia="Courier New" w:hAnsi="Courier New"/>
                <w:sz w:val="8"/>
                <w:szCs w:val="8"/>
                <w:color w:val="auto"/>
              </w:rPr>
              <w:t>45,316</w:t>
            </w:r>
          </w:p>
        </w:tc>
      </w:tr>
      <w:tr>
        <w:trPr>
          <w:trHeight w:val="90"/>
        </w:trPr>
        <w:tc>
          <w:tcPr>
            <w:tcW w:w="1460" w:type="dxa"/>
            <w:vAlign w:val="bottom"/>
            <w:gridSpan w:val="3"/>
          </w:tcPr>
          <w:p>
            <w:pPr>
              <w:spacing w:after="0"/>
              <w:rPr>
                <w:sz w:val="20"/>
                <w:szCs w:val="20"/>
                <w:color w:val="auto"/>
              </w:rPr>
            </w:pPr>
            <w:r>
              <w:rPr>
                <w:rFonts w:ascii="Courier New" w:cs="Courier New" w:eastAsia="Courier New" w:hAnsi="Courier New"/>
                <w:sz w:val="8"/>
                <w:szCs w:val="8"/>
                <w:color w:val="auto"/>
              </w:rPr>
              <w:t>Karen M. Meyer</w:t>
            </w:r>
          </w:p>
        </w:tc>
        <w:tc>
          <w:tcPr>
            <w:tcW w:w="320" w:type="dxa"/>
            <w:vAlign w:val="bottom"/>
          </w:tcPr>
          <w:p>
            <w:pPr>
              <w:ind w:left="60"/>
              <w:spacing w:after="0"/>
              <w:rPr>
                <w:sz w:val="20"/>
                <w:szCs w:val="20"/>
                <w:color w:val="auto"/>
              </w:rPr>
            </w:pPr>
            <w:r>
              <w:rPr>
                <w:rFonts w:ascii="Courier New" w:cs="Courier New" w:eastAsia="Courier New" w:hAnsi="Courier New"/>
                <w:sz w:val="8"/>
                <w:szCs w:val="8"/>
                <w:color w:val="auto"/>
              </w:rPr>
              <w:t>1999</w:t>
            </w: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gridSpan w:val="2"/>
          </w:tcPr>
          <w:p>
            <w:pPr>
              <w:jc w:val="right"/>
              <w:ind w:right="60"/>
              <w:spacing w:after="0"/>
              <w:rPr>
                <w:sz w:val="20"/>
                <w:szCs w:val="20"/>
                <w:color w:val="auto"/>
              </w:rPr>
            </w:pPr>
            <w:r>
              <w:rPr>
                <w:rFonts w:ascii="Courier New" w:cs="Courier New" w:eastAsia="Courier New" w:hAnsi="Courier New"/>
                <w:sz w:val="8"/>
                <w:szCs w:val="8"/>
                <w:color w:val="auto"/>
              </w:rPr>
              <w:t>227,670</w:t>
            </w:r>
          </w:p>
        </w:tc>
        <w:tc>
          <w:tcPr>
            <w:tcW w:w="160" w:type="dxa"/>
            <w:vAlign w:val="bottom"/>
          </w:tcPr>
          <w:p>
            <w:pPr>
              <w:spacing w:after="0"/>
              <w:rPr>
                <w:sz w:val="7"/>
                <w:szCs w:val="7"/>
                <w:color w:val="auto"/>
              </w:rPr>
            </w:pPr>
          </w:p>
        </w:tc>
        <w:tc>
          <w:tcPr>
            <w:tcW w:w="680" w:type="dxa"/>
            <w:vAlign w:val="bottom"/>
            <w:gridSpan w:val="2"/>
          </w:tcPr>
          <w:p>
            <w:pPr>
              <w:jc w:val="right"/>
              <w:ind w:right="60"/>
              <w:spacing w:after="0"/>
              <w:rPr>
                <w:sz w:val="20"/>
                <w:szCs w:val="20"/>
                <w:color w:val="auto"/>
              </w:rPr>
            </w:pPr>
            <w:r>
              <w:rPr>
                <w:rFonts w:ascii="Courier New" w:cs="Courier New" w:eastAsia="Courier New" w:hAnsi="Courier New"/>
                <w:sz w:val="8"/>
                <w:szCs w:val="8"/>
                <w:color w:val="auto"/>
              </w:rPr>
              <w:t>327,852</w:t>
            </w:r>
          </w:p>
        </w:tc>
        <w:tc>
          <w:tcPr>
            <w:tcW w:w="140" w:type="dxa"/>
            <w:vAlign w:val="bottom"/>
          </w:tcPr>
          <w:p>
            <w:pPr>
              <w:spacing w:after="0"/>
              <w:rPr>
                <w:sz w:val="7"/>
                <w:szCs w:val="7"/>
                <w:color w:val="auto"/>
              </w:rPr>
            </w:pPr>
          </w:p>
        </w:tc>
        <w:tc>
          <w:tcPr>
            <w:tcW w:w="920" w:type="dxa"/>
            <w:vAlign w:val="bottom"/>
            <w:gridSpan w:val="2"/>
          </w:tcPr>
          <w:p>
            <w:pPr>
              <w:jc w:val="right"/>
              <w:ind w:right="60"/>
              <w:spacing w:after="0"/>
              <w:rPr>
                <w:sz w:val="20"/>
                <w:szCs w:val="20"/>
                <w:color w:val="auto"/>
              </w:rPr>
            </w:pPr>
            <w:r>
              <w:rPr>
                <w:rFonts w:ascii="Courier New" w:cs="Courier New" w:eastAsia="Courier New" w:hAnsi="Courier New"/>
                <w:sz w:val="8"/>
                <w:szCs w:val="8"/>
                <w:color w:val="auto"/>
              </w:rPr>
              <w:t>0</w:t>
            </w:r>
          </w:p>
        </w:tc>
        <w:tc>
          <w:tcPr>
            <w:tcW w:w="80" w:type="dxa"/>
            <w:vAlign w:val="bottom"/>
          </w:tcPr>
          <w:p>
            <w:pPr>
              <w:spacing w:after="0"/>
              <w:rPr>
                <w:sz w:val="7"/>
                <w:szCs w:val="7"/>
                <w:color w:val="auto"/>
              </w:rPr>
            </w:pPr>
          </w:p>
        </w:tc>
        <w:tc>
          <w:tcPr>
            <w:tcW w:w="760" w:type="dxa"/>
            <w:vAlign w:val="bottom"/>
            <w:gridSpan w:val="2"/>
          </w:tcPr>
          <w:p>
            <w:pPr>
              <w:jc w:val="right"/>
              <w:spacing w:after="0"/>
              <w:rPr>
                <w:sz w:val="20"/>
                <w:szCs w:val="20"/>
                <w:color w:val="auto"/>
              </w:rPr>
            </w:pPr>
            <w:r>
              <w:rPr>
                <w:rFonts w:ascii="Courier New" w:cs="Courier New" w:eastAsia="Courier New" w:hAnsi="Courier New"/>
                <w:sz w:val="8"/>
                <w:szCs w:val="8"/>
                <w:color w:val="auto"/>
              </w:rPr>
              <w:t>47,946(6)</w:t>
            </w:r>
          </w:p>
        </w:tc>
        <w:tc>
          <w:tcPr>
            <w:tcW w:w="540" w:type="dxa"/>
            <w:vAlign w:val="bottom"/>
            <w:gridSpan w:val="2"/>
          </w:tcPr>
          <w:p>
            <w:pPr>
              <w:jc w:val="right"/>
              <w:ind w:right="80"/>
              <w:spacing w:after="0"/>
              <w:rPr>
                <w:sz w:val="20"/>
                <w:szCs w:val="20"/>
                <w:color w:val="auto"/>
              </w:rPr>
            </w:pPr>
            <w:r>
              <w:rPr>
                <w:rFonts w:ascii="Courier New" w:cs="Courier New" w:eastAsia="Courier New" w:hAnsi="Courier New"/>
                <w:sz w:val="8"/>
                <w:szCs w:val="8"/>
                <w:color w:val="auto"/>
              </w:rPr>
              <w:t>12,700</w:t>
            </w:r>
          </w:p>
        </w:tc>
        <w:tc>
          <w:tcPr>
            <w:tcW w:w="100" w:type="dxa"/>
            <w:vAlign w:val="bottom"/>
          </w:tcPr>
          <w:p>
            <w:pPr>
              <w:spacing w:after="0"/>
              <w:rPr>
                <w:sz w:val="7"/>
                <w:szCs w:val="7"/>
                <w:color w:val="auto"/>
              </w:rPr>
            </w:pPr>
          </w:p>
        </w:tc>
        <w:tc>
          <w:tcPr>
            <w:tcW w:w="580" w:type="dxa"/>
            <w:vAlign w:val="bottom"/>
          </w:tcPr>
          <w:p>
            <w:pPr>
              <w:jc w:val="right"/>
              <w:ind w:right="160"/>
              <w:spacing w:after="0"/>
              <w:rPr>
                <w:sz w:val="20"/>
                <w:szCs w:val="20"/>
                <w:color w:val="auto"/>
              </w:rPr>
            </w:pPr>
            <w:r>
              <w:rPr>
                <w:rFonts w:ascii="Courier New" w:cs="Courier New" w:eastAsia="Courier New" w:hAnsi="Courier New"/>
                <w:sz w:val="8"/>
                <w:szCs w:val="8"/>
                <w:color w:val="auto"/>
              </w:rPr>
              <w:t>(7)</w:t>
            </w: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jc w:val="right"/>
              <w:spacing w:after="0"/>
              <w:rPr>
                <w:sz w:val="20"/>
                <w:szCs w:val="20"/>
                <w:color w:val="auto"/>
              </w:rPr>
            </w:pPr>
            <w:r>
              <w:rPr>
                <w:rFonts w:ascii="Courier New" w:cs="Courier New" w:eastAsia="Courier New" w:hAnsi="Courier New"/>
                <w:sz w:val="8"/>
                <w:szCs w:val="8"/>
                <w:color w:val="auto"/>
              </w:rPr>
              <w:t>97,057</w:t>
            </w:r>
          </w:p>
        </w:tc>
      </w:tr>
      <w:tr>
        <w:trPr>
          <w:trHeight w:val="90"/>
        </w:trPr>
        <w:tc>
          <w:tcPr>
            <w:tcW w:w="1460" w:type="dxa"/>
            <w:vAlign w:val="bottom"/>
            <w:gridSpan w:val="3"/>
          </w:tcPr>
          <w:p>
            <w:pPr>
              <w:spacing w:after="0"/>
              <w:rPr>
                <w:sz w:val="20"/>
                <w:szCs w:val="20"/>
                <w:color w:val="auto"/>
              </w:rPr>
            </w:pPr>
            <w:r>
              <w:rPr>
                <w:rFonts w:ascii="Courier New" w:cs="Courier New" w:eastAsia="Courier New" w:hAnsi="Courier New"/>
                <w:sz w:val="8"/>
                <w:szCs w:val="8"/>
                <w:color w:val="auto"/>
              </w:rPr>
              <w:t>Vice President</w:t>
            </w:r>
          </w:p>
        </w:tc>
        <w:tc>
          <w:tcPr>
            <w:tcW w:w="320" w:type="dxa"/>
            <w:vAlign w:val="bottom"/>
          </w:tcPr>
          <w:p>
            <w:pPr>
              <w:ind w:left="60"/>
              <w:spacing w:after="0"/>
              <w:rPr>
                <w:sz w:val="20"/>
                <w:szCs w:val="20"/>
                <w:color w:val="auto"/>
              </w:rPr>
            </w:pPr>
            <w:r>
              <w:rPr>
                <w:rFonts w:ascii="Courier New" w:cs="Courier New" w:eastAsia="Courier New" w:hAnsi="Courier New"/>
                <w:sz w:val="8"/>
                <w:szCs w:val="8"/>
                <w:color w:val="auto"/>
              </w:rPr>
              <w:t>1998</w:t>
            </w: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gridSpan w:val="2"/>
          </w:tcPr>
          <w:p>
            <w:pPr>
              <w:jc w:val="right"/>
              <w:ind w:right="60"/>
              <w:spacing w:after="0"/>
              <w:rPr>
                <w:sz w:val="20"/>
                <w:szCs w:val="20"/>
                <w:color w:val="auto"/>
              </w:rPr>
            </w:pPr>
            <w:r>
              <w:rPr>
                <w:rFonts w:ascii="Courier New" w:cs="Courier New" w:eastAsia="Courier New" w:hAnsi="Courier New"/>
                <w:sz w:val="8"/>
                <w:szCs w:val="8"/>
                <w:color w:val="auto"/>
              </w:rPr>
              <w:t>171,804</w:t>
            </w:r>
          </w:p>
        </w:tc>
        <w:tc>
          <w:tcPr>
            <w:tcW w:w="160" w:type="dxa"/>
            <w:vAlign w:val="bottom"/>
          </w:tcPr>
          <w:p>
            <w:pPr>
              <w:spacing w:after="0"/>
              <w:rPr>
                <w:sz w:val="7"/>
                <w:szCs w:val="7"/>
                <w:color w:val="auto"/>
              </w:rPr>
            </w:pPr>
          </w:p>
        </w:tc>
        <w:tc>
          <w:tcPr>
            <w:tcW w:w="680" w:type="dxa"/>
            <w:vAlign w:val="bottom"/>
            <w:gridSpan w:val="2"/>
          </w:tcPr>
          <w:p>
            <w:pPr>
              <w:jc w:val="right"/>
              <w:ind w:right="60"/>
              <w:spacing w:after="0"/>
              <w:rPr>
                <w:sz w:val="20"/>
                <w:szCs w:val="20"/>
                <w:color w:val="auto"/>
              </w:rPr>
            </w:pPr>
            <w:r>
              <w:rPr>
                <w:rFonts w:ascii="Courier New" w:cs="Courier New" w:eastAsia="Courier New" w:hAnsi="Courier New"/>
                <w:sz w:val="8"/>
                <w:szCs w:val="8"/>
                <w:color w:val="auto"/>
              </w:rPr>
              <w:t>0</w:t>
            </w:r>
          </w:p>
        </w:tc>
        <w:tc>
          <w:tcPr>
            <w:tcW w:w="140" w:type="dxa"/>
            <w:vAlign w:val="bottom"/>
          </w:tcPr>
          <w:p>
            <w:pPr>
              <w:spacing w:after="0"/>
              <w:rPr>
                <w:sz w:val="7"/>
                <w:szCs w:val="7"/>
                <w:color w:val="auto"/>
              </w:rPr>
            </w:pPr>
          </w:p>
        </w:tc>
        <w:tc>
          <w:tcPr>
            <w:tcW w:w="920" w:type="dxa"/>
            <w:vAlign w:val="bottom"/>
            <w:gridSpan w:val="2"/>
          </w:tcPr>
          <w:p>
            <w:pPr>
              <w:jc w:val="right"/>
              <w:ind w:right="60"/>
              <w:spacing w:after="0"/>
              <w:rPr>
                <w:sz w:val="20"/>
                <w:szCs w:val="20"/>
                <w:color w:val="auto"/>
              </w:rPr>
            </w:pPr>
            <w:r>
              <w:rPr>
                <w:rFonts w:ascii="Courier New" w:cs="Courier New" w:eastAsia="Courier New" w:hAnsi="Courier New"/>
                <w:sz w:val="8"/>
                <w:szCs w:val="8"/>
                <w:color w:val="auto"/>
              </w:rPr>
              <w:t>14,970</w:t>
            </w:r>
          </w:p>
        </w:tc>
        <w:tc>
          <w:tcPr>
            <w:tcW w:w="80" w:type="dxa"/>
            <w:vAlign w:val="bottom"/>
          </w:tcPr>
          <w:p>
            <w:pPr>
              <w:spacing w:after="0"/>
              <w:rPr>
                <w:sz w:val="7"/>
                <w:szCs w:val="7"/>
                <w:color w:val="auto"/>
              </w:rPr>
            </w:pPr>
          </w:p>
        </w:tc>
        <w:tc>
          <w:tcPr>
            <w:tcW w:w="620" w:type="dxa"/>
            <w:vAlign w:val="bottom"/>
          </w:tcPr>
          <w:p>
            <w:pPr>
              <w:jc w:val="right"/>
              <w:spacing w:after="0"/>
              <w:rPr>
                <w:sz w:val="20"/>
                <w:szCs w:val="20"/>
                <w:color w:val="auto"/>
              </w:rPr>
            </w:pPr>
            <w:r>
              <w:rPr>
                <w:rFonts w:ascii="Courier New" w:cs="Courier New" w:eastAsia="Courier New" w:hAnsi="Courier New"/>
                <w:sz w:val="8"/>
                <w:szCs w:val="8"/>
                <w:color w:val="auto"/>
              </w:rPr>
              <w:t>0</w:t>
            </w:r>
          </w:p>
        </w:tc>
        <w:tc>
          <w:tcPr>
            <w:tcW w:w="140" w:type="dxa"/>
            <w:vAlign w:val="bottom"/>
          </w:tcPr>
          <w:p>
            <w:pPr>
              <w:spacing w:after="0"/>
              <w:rPr>
                <w:sz w:val="7"/>
                <w:szCs w:val="7"/>
                <w:color w:val="auto"/>
              </w:rPr>
            </w:pPr>
          </w:p>
        </w:tc>
        <w:tc>
          <w:tcPr>
            <w:tcW w:w="540" w:type="dxa"/>
            <w:vAlign w:val="bottom"/>
            <w:gridSpan w:val="2"/>
          </w:tcPr>
          <w:p>
            <w:pPr>
              <w:jc w:val="right"/>
              <w:ind w:right="80"/>
              <w:spacing w:after="0"/>
              <w:rPr>
                <w:sz w:val="20"/>
                <w:szCs w:val="20"/>
                <w:color w:val="auto"/>
              </w:rPr>
            </w:pPr>
            <w:r>
              <w:rPr>
                <w:rFonts w:ascii="Courier New" w:cs="Courier New" w:eastAsia="Courier New" w:hAnsi="Courier New"/>
                <w:sz w:val="8"/>
                <w:szCs w:val="8"/>
                <w:color w:val="auto"/>
              </w:rPr>
              <w:t>9,905</w:t>
            </w:r>
          </w:p>
        </w:tc>
        <w:tc>
          <w:tcPr>
            <w:tcW w:w="100" w:type="dxa"/>
            <w:vAlign w:val="bottom"/>
          </w:tcPr>
          <w:p>
            <w:pPr>
              <w:spacing w:after="0"/>
              <w:rPr>
                <w:sz w:val="7"/>
                <w:szCs w:val="7"/>
                <w:color w:val="auto"/>
              </w:rPr>
            </w:pPr>
          </w:p>
        </w:tc>
        <w:tc>
          <w:tcPr>
            <w:tcW w:w="740" w:type="dxa"/>
            <w:vAlign w:val="bottom"/>
            <w:gridSpan w:val="2"/>
          </w:tcPr>
          <w:p>
            <w:pPr>
              <w:jc w:val="right"/>
              <w:ind w:right="160"/>
              <w:spacing w:after="0"/>
              <w:rPr>
                <w:sz w:val="20"/>
                <w:szCs w:val="20"/>
                <w:color w:val="auto"/>
              </w:rPr>
            </w:pPr>
            <w:r>
              <w:rPr>
                <w:rFonts w:ascii="Courier New" w:cs="Courier New" w:eastAsia="Courier New" w:hAnsi="Courier New"/>
                <w:sz w:val="8"/>
                <w:szCs w:val="8"/>
                <w:color w:val="auto"/>
              </w:rPr>
              <w:t>4,799</w:t>
            </w:r>
          </w:p>
        </w:tc>
        <w:tc>
          <w:tcPr>
            <w:tcW w:w="120" w:type="dxa"/>
            <w:vAlign w:val="bottom"/>
          </w:tcPr>
          <w:p>
            <w:pPr>
              <w:spacing w:after="0"/>
              <w:rPr>
                <w:sz w:val="7"/>
                <w:szCs w:val="7"/>
                <w:color w:val="auto"/>
              </w:rPr>
            </w:pPr>
          </w:p>
        </w:tc>
        <w:tc>
          <w:tcPr>
            <w:tcW w:w="860" w:type="dxa"/>
            <w:vAlign w:val="bottom"/>
          </w:tcPr>
          <w:p>
            <w:pPr>
              <w:jc w:val="right"/>
              <w:spacing w:after="0"/>
              <w:rPr>
                <w:sz w:val="20"/>
                <w:szCs w:val="20"/>
                <w:color w:val="auto"/>
              </w:rPr>
            </w:pPr>
            <w:r>
              <w:rPr>
                <w:rFonts w:ascii="Courier New" w:cs="Courier New" w:eastAsia="Courier New" w:hAnsi="Courier New"/>
                <w:sz w:val="8"/>
                <w:szCs w:val="8"/>
                <w:color w:val="auto"/>
              </w:rPr>
              <w:t>46,808</w:t>
            </w:r>
          </w:p>
        </w:tc>
      </w:tr>
      <w:tr>
        <w:trPr>
          <w:trHeight w:val="90"/>
        </w:trPr>
        <w:tc>
          <w:tcPr>
            <w:tcW w:w="1460" w:type="dxa"/>
            <w:vAlign w:val="bottom"/>
            <w:gridSpan w:val="3"/>
          </w:tcPr>
          <w:p>
            <w:pPr>
              <w:spacing w:after="0"/>
              <w:rPr>
                <w:sz w:val="20"/>
                <w:szCs w:val="20"/>
                <w:color w:val="auto"/>
              </w:rPr>
            </w:pPr>
            <w:r>
              <w:rPr>
                <w:rFonts w:ascii="Courier New" w:cs="Courier New" w:eastAsia="Courier New" w:hAnsi="Courier New"/>
                <w:sz w:val="8"/>
                <w:szCs w:val="8"/>
                <w:color w:val="auto"/>
              </w:rPr>
              <w:t>Administration</w:t>
            </w:r>
          </w:p>
        </w:tc>
        <w:tc>
          <w:tcPr>
            <w:tcW w:w="320" w:type="dxa"/>
            <w:vAlign w:val="bottom"/>
          </w:tcPr>
          <w:p>
            <w:pPr>
              <w:ind w:left="60"/>
              <w:spacing w:after="0"/>
              <w:rPr>
                <w:sz w:val="20"/>
                <w:szCs w:val="20"/>
                <w:color w:val="auto"/>
              </w:rPr>
            </w:pPr>
            <w:r>
              <w:rPr>
                <w:rFonts w:ascii="Courier New" w:cs="Courier New" w:eastAsia="Courier New" w:hAnsi="Courier New"/>
                <w:sz w:val="8"/>
                <w:szCs w:val="8"/>
                <w:color w:val="auto"/>
              </w:rPr>
              <w:t>1997</w:t>
            </w: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gridSpan w:val="2"/>
          </w:tcPr>
          <w:p>
            <w:pPr>
              <w:jc w:val="right"/>
              <w:ind w:right="60"/>
              <w:spacing w:after="0"/>
              <w:rPr>
                <w:sz w:val="20"/>
                <w:szCs w:val="20"/>
                <w:color w:val="auto"/>
              </w:rPr>
            </w:pPr>
            <w:r>
              <w:rPr>
                <w:rFonts w:ascii="Courier New" w:cs="Courier New" w:eastAsia="Courier New" w:hAnsi="Courier New"/>
                <w:sz w:val="8"/>
                <w:szCs w:val="8"/>
                <w:color w:val="auto"/>
              </w:rPr>
              <w:t>160,519</w:t>
            </w:r>
          </w:p>
        </w:tc>
        <w:tc>
          <w:tcPr>
            <w:tcW w:w="160" w:type="dxa"/>
            <w:vAlign w:val="bottom"/>
          </w:tcPr>
          <w:p>
            <w:pPr>
              <w:spacing w:after="0"/>
              <w:rPr>
                <w:sz w:val="7"/>
                <w:szCs w:val="7"/>
                <w:color w:val="auto"/>
              </w:rPr>
            </w:pPr>
          </w:p>
        </w:tc>
        <w:tc>
          <w:tcPr>
            <w:tcW w:w="680" w:type="dxa"/>
            <w:vAlign w:val="bottom"/>
            <w:gridSpan w:val="2"/>
          </w:tcPr>
          <w:p>
            <w:pPr>
              <w:jc w:val="right"/>
              <w:ind w:right="60"/>
              <w:spacing w:after="0"/>
              <w:rPr>
                <w:sz w:val="20"/>
                <w:szCs w:val="20"/>
                <w:color w:val="auto"/>
              </w:rPr>
            </w:pPr>
            <w:r>
              <w:rPr>
                <w:rFonts w:ascii="Courier New" w:cs="Courier New" w:eastAsia="Courier New" w:hAnsi="Courier New"/>
                <w:sz w:val="8"/>
                <w:szCs w:val="8"/>
                <w:color w:val="auto"/>
              </w:rPr>
              <w:t>44,143</w:t>
            </w:r>
          </w:p>
        </w:tc>
        <w:tc>
          <w:tcPr>
            <w:tcW w:w="140" w:type="dxa"/>
            <w:vAlign w:val="bottom"/>
          </w:tcPr>
          <w:p>
            <w:pPr>
              <w:spacing w:after="0"/>
              <w:rPr>
                <w:sz w:val="7"/>
                <w:szCs w:val="7"/>
                <w:color w:val="auto"/>
              </w:rPr>
            </w:pPr>
          </w:p>
        </w:tc>
        <w:tc>
          <w:tcPr>
            <w:tcW w:w="920" w:type="dxa"/>
            <w:vAlign w:val="bottom"/>
            <w:gridSpan w:val="2"/>
          </w:tcPr>
          <w:p>
            <w:pPr>
              <w:jc w:val="right"/>
              <w:ind w:right="60"/>
              <w:spacing w:after="0"/>
              <w:rPr>
                <w:sz w:val="20"/>
                <w:szCs w:val="20"/>
                <w:color w:val="auto"/>
              </w:rPr>
            </w:pPr>
            <w:r>
              <w:rPr>
                <w:rFonts w:ascii="Courier New" w:cs="Courier New" w:eastAsia="Courier New" w:hAnsi="Courier New"/>
                <w:sz w:val="8"/>
                <w:szCs w:val="8"/>
                <w:color w:val="auto"/>
              </w:rPr>
              <w:t>24,265</w:t>
            </w:r>
          </w:p>
        </w:tc>
        <w:tc>
          <w:tcPr>
            <w:tcW w:w="80" w:type="dxa"/>
            <w:vAlign w:val="bottom"/>
          </w:tcPr>
          <w:p>
            <w:pPr>
              <w:spacing w:after="0"/>
              <w:rPr>
                <w:sz w:val="7"/>
                <w:szCs w:val="7"/>
                <w:color w:val="auto"/>
              </w:rPr>
            </w:pPr>
          </w:p>
        </w:tc>
        <w:tc>
          <w:tcPr>
            <w:tcW w:w="620" w:type="dxa"/>
            <w:vAlign w:val="bottom"/>
          </w:tcPr>
          <w:p>
            <w:pPr>
              <w:jc w:val="right"/>
              <w:spacing w:after="0"/>
              <w:rPr>
                <w:sz w:val="20"/>
                <w:szCs w:val="20"/>
                <w:color w:val="auto"/>
              </w:rPr>
            </w:pPr>
            <w:r>
              <w:rPr>
                <w:rFonts w:ascii="Courier New" w:cs="Courier New" w:eastAsia="Courier New" w:hAnsi="Courier New"/>
                <w:sz w:val="8"/>
                <w:szCs w:val="8"/>
                <w:color w:val="auto"/>
              </w:rPr>
              <w:t>0</w:t>
            </w:r>
          </w:p>
        </w:tc>
        <w:tc>
          <w:tcPr>
            <w:tcW w:w="140" w:type="dxa"/>
            <w:vAlign w:val="bottom"/>
          </w:tcPr>
          <w:p>
            <w:pPr>
              <w:spacing w:after="0"/>
              <w:rPr>
                <w:sz w:val="7"/>
                <w:szCs w:val="7"/>
                <w:color w:val="auto"/>
              </w:rPr>
            </w:pPr>
          </w:p>
        </w:tc>
        <w:tc>
          <w:tcPr>
            <w:tcW w:w="540" w:type="dxa"/>
            <w:vAlign w:val="bottom"/>
            <w:gridSpan w:val="2"/>
          </w:tcPr>
          <w:p>
            <w:pPr>
              <w:jc w:val="right"/>
              <w:ind w:right="80"/>
              <w:spacing w:after="0"/>
              <w:rPr>
                <w:sz w:val="20"/>
                <w:szCs w:val="20"/>
                <w:color w:val="auto"/>
              </w:rPr>
            </w:pPr>
            <w:r>
              <w:rPr>
                <w:rFonts w:ascii="Courier New" w:cs="Courier New" w:eastAsia="Courier New" w:hAnsi="Courier New"/>
                <w:sz w:val="8"/>
                <w:szCs w:val="8"/>
                <w:color w:val="auto"/>
              </w:rPr>
              <w:t>7,009</w:t>
            </w:r>
          </w:p>
        </w:tc>
        <w:tc>
          <w:tcPr>
            <w:tcW w:w="100" w:type="dxa"/>
            <w:vAlign w:val="bottom"/>
          </w:tcPr>
          <w:p>
            <w:pPr>
              <w:spacing w:after="0"/>
              <w:rPr>
                <w:sz w:val="7"/>
                <w:szCs w:val="7"/>
                <w:color w:val="auto"/>
              </w:rPr>
            </w:pPr>
          </w:p>
        </w:tc>
        <w:tc>
          <w:tcPr>
            <w:tcW w:w="740" w:type="dxa"/>
            <w:vAlign w:val="bottom"/>
            <w:gridSpan w:val="2"/>
          </w:tcPr>
          <w:p>
            <w:pPr>
              <w:jc w:val="right"/>
              <w:ind w:right="160"/>
              <w:spacing w:after="0"/>
              <w:rPr>
                <w:sz w:val="20"/>
                <w:szCs w:val="20"/>
                <w:color w:val="auto"/>
              </w:rPr>
            </w:pPr>
            <w:r>
              <w:rPr>
                <w:rFonts w:ascii="Courier New" w:cs="Courier New" w:eastAsia="Courier New" w:hAnsi="Courier New"/>
                <w:sz w:val="8"/>
                <w:szCs w:val="8"/>
                <w:color w:val="auto"/>
              </w:rPr>
              <w:t>31,381</w:t>
            </w:r>
          </w:p>
        </w:tc>
        <w:tc>
          <w:tcPr>
            <w:tcW w:w="120" w:type="dxa"/>
            <w:vAlign w:val="bottom"/>
          </w:tcPr>
          <w:p>
            <w:pPr>
              <w:spacing w:after="0"/>
              <w:rPr>
                <w:sz w:val="7"/>
                <w:szCs w:val="7"/>
                <w:color w:val="auto"/>
              </w:rPr>
            </w:pPr>
          </w:p>
        </w:tc>
        <w:tc>
          <w:tcPr>
            <w:tcW w:w="860" w:type="dxa"/>
            <w:vAlign w:val="bottom"/>
          </w:tcPr>
          <w:p>
            <w:pPr>
              <w:jc w:val="right"/>
              <w:spacing w:after="0"/>
              <w:rPr>
                <w:sz w:val="20"/>
                <w:szCs w:val="20"/>
                <w:color w:val="auto"/>
              </w:rPr>
            </w:pPr>
            <w:r>
              <w:rPr>
                <w:rFonts w:ascii="Courier New" w:cs="Courier New" w:eastAsia="Courier New" w:hAnsi="Courier New"/>
                <w:sz w:val="8"/>
                <w:szCs w:val="8"/>
                <w:color w:val="auto"/>
              </w:rPr>
              <w:t>23,383</w:t>
            </w:r>
          </w:p>
        </w:tc>
      </w:tr>
      <w:tr>
        <w:trPr>
          <w:trHeight w:val="90"/>
        </w:trPr>
        <w:tc>
          <w:tcPr>
            <w:tcW w:w="1460" w:type="dxa"/>
            <w:vAlign w:val="bottom"/>
            <w:gridSpan w:val="3"/>
          </w:tcPr>
          <w:p>
            <w:pPr>
              <w:spacing w:after="0"/>
              <w:rPr>
                <w:sz w:val="20"/>
                <w:szCs w:val="20"/>
                <w:color w:val="auto"/>
              </w:rPr>
            </w:pPr>
            <w:r>
              <w:rPr>
                <w:rFonts w:ascii="Courier New" w:cs="Courier New" w:eastAsia="Courier New" w:hAnsi="Courier New"/>
                <w:sz w:val="8"/>
                <w:szCs w:val="8"/>
                <w:color w:val="auto"/>
              </w:rPr>
              <w:t>J. Lawrence McIntyre</w:t>
            </w:r>
          </w:p>
        </w:tc>
        <w:tc>
          <w:tcPr>
            <w:tcW w:w="320" w:type="dxa"/>
            <w:vAlign w:val="bottom"/>
          </w:tcPr>
          <w:p>
            <w:pPr>
              <w:ind w:left="60"/>
              <w:spacing w:after="0"/>
              <w:rPr>
                <w:sz w:val="20"/>
                <w:szCs w:val="20"/>
                <w:color w:val="auto"/>
              </w:rPr>
            </w:pPr>
            <w:r>
              <w:rPr>
                <w:rFonts w:ascii="Courier New" w:cs="Courier New" w:eastAsia="Courier New" w:hAnsi="Courier New"/>
                <w:sz w:val="8"/>
                <w:szCs w:val="8"/>
                <w:color w:val="auto"/>
              </w:rPr>
              <w:t>1999</w:t>
            </w: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gridSpan w:val="2"/>
          </w:tcPr>
          <w:p>
            <w:pPr>
              <w:jc w:val="right"/>
              <w:ind w:right="60"/>
              <w:spacing w:after="0"/>
              <w:rPr>
                <w:sz w:val="20"/>
                <w:szCs w:val="20"/>
                <w:color w:val="auto"/>
              </w:rPr>
            </w:pPr>
            <w:r>
              <w:rPr>
                <w:rFonts w:ascii="Courier New" w:cs="Courier New" w:eastAsia="Courier New" w:hAnsi="Courier New"/>
                <w:sz w:val="8"/>
                <w:szCs w:val="8"/>
                <w:color w:val="auto"/>
              </w:rPr>
              <w:t>211,227</w:t>
            </w:r>
          </w:p>
        </w:tc>
        <w:tc>
          <w:tcPr>
            <w:tcW w:w="160" w:type="dxa"/>
            <w:vAlign w:val="bottom"/>
          </w:tcPr>
          <w:p>
            <w:pPr>
              <w:spacing w:after="0"/>
              <w:rPr>
                <w:sz w:val="7"/>
                <w:szCs w:val="7"/>
                <w:color w:val="auto"/>
              </w:rPr>
            </w:pPr>
          </w:p>
        </w:tc>
        <w:tc>
          <w:tcPr>
            <w:tcW w:w="680" w:type="dxa"/>
            <w:vAlign w:val="bottom"/>
            <w:gridSpan w:val="2"/>
          </w:tcPr>
          <w:p>
            <w:pPr>
              <w:jc w:val="right"/>
              <w:ind w:right="60"/>
              <w:spacing w:after="0"/>
              <w:rPr>
                <w:sz w:val="20"/>
                <w:szCs w:val="20"/>
                <w:color w:val="auto"/>
              </w:rPr>
            </w:pPr>
            <w:r>
              <w:rPr>
                <w:rFonts w:ascii="Courier New" w:cs="Courier New" w:eastAsia="Courier New" w:hAnsi="Courier New"/>
                <w:sz w:val="8"/>
                <w:szCs w:val="8"/>
                <w:color w:val="auto"/>
              </w:rPr>
              <w:t>291,744</w:t>
            </w:r>
          </w:p>
        </w:tc>
        <w:tc>
          <w:tcPr>
            <w:tcW w:w="140" w:type="dxa"/>
            <w:vAlign w:val="bottom"/>
          </w:tcPr>
          <w:p>
            <w:pPr>
              <w:spacing w:after="0"/>
              <w:rPr>
                <w:sz w:val="7"/>
                <w:szCs w:val="7"/>
                <w:color w:val="auto"/>
              </w:rPr>
            </w:pPr>
          </w:p>
        </w:tc>
        <w:tc>
          <w:tcPr>
            <w:tcW w:w="920" w:type="dxa"/>
            <w:vAlign w:val="bottom"/>
            <w:gridSpan w:val="2"/>
          </w:tcPr>
          <w:p>
            <w:pPr>
              <w:jc w:val="right"/>
              <w:ind w:right="60"/>
              <w:spacing w:after="0"/>
              <w:rPr>
                <w:sz w:val="20"/>
                <w:szCs w:val="20"/>
                <w:color w:val="auto"/>
              </w:rPr>
            </w:pPr>
            <w:r>
              <w:rPr>
                <w:rFonts w:ascii="Courier New" w:cs="Courier New" w:eastAsia="Courier New" w:hAnsi="Courier New"/>
                <w:sz w:val="8"/>
                <w:szCs w:val="8"/>
                <w:color w:val="auto"/>
              </w:rPr>
              <w:t>107,165</w:t>
            </w:r>
          </w:p>
        </w:tc>
        <w:tc>
          <w:tcPr>
            <w:tcW w:w="80" w:type="dxa"/>
            <w:vAlign w:val="bottom"/>
          </w:tcPr>
          <w:p>
            <w:pPr>
              <w:spacing w:after="0"/>
              <w:rPr>
                <w:sz w:val="7"/>
                <w:szCs w:val="7"/>
                <w:color w:val="auto"/>
              </w:rPr>
            </w:pPr>
          </w:p>
        </w:tc>
        <w:tc>
          <w:tcPr>
            <w:tcW w:w="760" w:type="dxa"/>
            <w:vAlign w:val="bottom"/>
            <w:gridSpan w:val="2"/>
          </w:tcPr>
          <w:p>
            <w:pPr>
              <w:jc w:val="right"/>
              <w:spacing w:after="0"/>
              <w:rPr>
                <w:sz w:val="20"/>
                <w:szCs w:val="20"/>
                <w:color w:val="auto"/>
              </w:rPr>
            </w:pPr>
            <w:r>
              <w:rPr>
                <w:rFonts w:ascii="Courier New" w:cs="Courier New" w:eastAsia="Courier New" w:hAnsi="Courier New"/>
                <w:sz w:val="8"/>
                <w:szCs w:val="8"/>
                <w:color w:val="auto"/>
              </w:rPr>
              <w:t>44,497(6)</w:t>
            </w:r>
          </w:p>
        </w:tc>
        <w:tc>
          <w:tcPr>
            <w:tcW w:w="540" w:type="dxa"/>
            <w:vAlign w:val="bottom"/>
            <w:gridSpan w:val="2"/>
          </w:tcPr>
          <w:p>
            <w:pPr>
              <w:jc w:val="right"/>
              <w:ind w:right="80"/>
              <w:spacing w:after="0"/>
              <w:rPr>
                <w:sz w:val="20"/>
                <w:szCs w:val="20"/>
                <w:color w:val="auto"/>
              </w:rPr>
            </w:pPr>
            <w:r>
              <w:rPr>
                <w:rFonts w:ascii="Courier New" w:cs="Courier New" w:eastAsia="Courier New" w:hAnsi="Courier New"/>
                <w:sz w:val="8"/>
                <w:szCs w:val="8"/>
                <w:color w:val="auto"/>
              </w:rPr>
              <w:t>10,700</w:t>
            </w:r>
          </w:p>
        </w:tc>
        <w:tc>
          <w:tcPr>
            <w:tcW w:w="100" w:type="dxa"/>
            <w:vAlign w:val="bottom"/>
          </w:tcPr>
          <w:p>
            <w:pPr>
              <w:spacing w:after="0"/>
              <w:rPr>
                <w:sz w:val="7"/>
                <w:szCs w:val="7"/>
                <w:color w:val="auto"/>
              </w:rPr>
            </w:pPr>
          </w:p>
        </w:tc>
        <w:tc>
          <w:tcPr>
            <w:tcW w:w="580" w:type="dxa"/>
            <w:vAlign w:val="bottom"/>
          </w:tcPr>
          <w:p>
            <w:pPr>
              <w:jc w:val="right"/>
              <w:ind w:right="160"/>
              <w:spacing w:after="0"/>
              <w:rPr>
                <w:sz w:val="20"/>
                <w:szCs w:val="20"/>
                <w:color w:val="auto"/>
              </w:rPr>
            </w:pPr>
            <w:r>
              <w:rPr>
                <w:rFonts w:ascii="Courier New" w:cs="Courier New" w:eastAsia="Courier New" w:hAnsi="Courier New"/>
                <w:sz w:val="8"/>
                <w:szCs w:val="8"/>
                <w:color w:val="auto"/>
              </w:rPr>
              <w:t>(7)</w:t>
            </w: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jc w:val="right"/>
              <w:spacing w:after="0"/>
              <w:rPr>
                <w:sz w:val="20"/>
                <w:szCs w:val="20"/>
                <w:color w:val="auto"/>
              </w:rPr>
            </w:pPr>
            <w:r>
              <w:rPr>
                <w:rFonts w:ascii="Courier New" w:cs="Courier New" w:eastAsia="Courier New" w:hAnsi="Courier New"/>
                <w:sz w:val="8"/>
                <w:szCs w:val="8"/>
                <w:color w:val="auto"/>
              </w:rPr>
              <w:t>78,927</w:t>
            </w:r>
          </w:p>
        </w:tc>
      </w:tr>
      <w:tr>
        <w:trPr>
          <w:trHeight w:val="90"/>
        </w:trPr>
        <w:tc>
          <w:tcPr>
            <w:tcW w:w="1460" w:type="dxa"/>
            <w:vAlign w:val="bottom"/>
            <w:gridSpan w:val="3"/>
          </w:tcPr>
          <w:p>
            <w:pPr>
              <w:spacing w:after="0"/>
              <w:rPr>
                <w:sz w:val="20"/>
                <w:szCs w:val="20"/>
                <w:color w:val="auto"/>
              </w:rPr>
            </w:pPr>
            <w:r>
              <w:rPr>
                <w:rFonts w:ascii="Courier New" w:cs="Courier New" w:eastAsia="Courier New" w:hAnsi="Courier New"/>
                <w:sz w:val="8"/>
                <w:szCs w:val="8"/>
                <w:color w:val="auto"/>
              </w:rPr>
              <w:t>Vice President, Secretary</w:t>
            </w:r>
          </w:p>
        </w:tc>
        <w:tc>
          <w:tcPr>
            <w:tcW w:w="320" w:type="dxa"/>
            <w:vAlign w:val="bottom"/>
          </w:tcPr>
          <w:p>
            <w:pPr>
              <w:ind w:left="60"/>
              <w:spacing w:after="0"/>
              <w:rPr>
                <w:sz w:val="20"/>
                <w:szCs w:val="20"/>
                <w:color w:val="auto"/>
              </w:rPr>
            </w:pPr>
            <w:r>
              <w:rPr>
                <w:rFonts w:ascii="Courier New" w:cs="Courier New" w:eastAsia="Courier New" w:hAnsi="Courier New"/>
                <w:sz w:val="8"/>
                <w:szCs w:val="8"/>
                <w:color w:val="auto"/>
              </w:rPr>
              <w:t>1998</w:t>
            </w: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gridSpan w:val="2"/>
          </w:tcPr>
          <w:p>
            <w:pPr>
              <w:jc w:val="right"/>
              <w:ind w:right="60"/>
              <w:spacing w:after="0"/>
              <w:rPr>
                <w:sz w:val="20"/>
                <w:szCs w:val="20"/>
                <w:color w:val="auto"/>
              </w:rPr>
            </w:pPr>
            <w:r>
              <w:rPr>
                <w:rFonts w:ascii="Courier New" w:cs="Courier New" w:eastAsia="Courier New" w:hAnsi="Courier New"/>
                <w:sz w:val="8"/>
                <w:szCs w:val="8"/>
                <w:color w:val="auto"/>
              </w:rPr>
              <w:t>200,100</w:t>
            </w:r>
          </w:p>
        </w:tc>
        <w:tc>
          <w:tcPr>
            <w:tcW w:w="160" w:type="dxa"/>
            <w:vAlign w:val="bottom"/>
          </w:tcPr>
          <w:p>
            <w:pPr>
              <w:spacing w:after="0"/>
              <w:rPr>
                <w:sz w:val="7"/>
                <w:szCs w:val="7"/>
                <w:color w:val="auto"/>
              </w:rPr>
            </w:pPr>
          </w:p>
        </w:tc>
        <w:tc>
          <w:tcPr>
            <w:tcW w:w="680" w:type="dxa"/>
            <w:vAlign w:val="bottom"/>
            <w:gridSpan w:val="2"/>
          </w:tcPr>
          <w:p>
            <w:pPr>
              <w:jc w:val="right"/>
              <w:ind w:right="60"/>
              <w:spacing w:after="0"/>
              <w:rPr>
                <w:sz w:val="20"/>
                <w:szCs w:val="20"/>
                <w:color w:val="auto"/>
              </w:rPr>
            </w:pPr>
            <w:r>
              <w:rPr>
                <w:rFonts w:ascii="Courier New" w:cs="Courier New" w:eastAsia="Courier New" w:hAnsi="Courier New"/>
                <w:sz w:val="8"/>
                <w:szCs w:val="8"/>
                <w:color w:val="auto"/>
              </w:rPr>
              <w:t>0</w:t>
            </w:r>
          </w:p>
        </w:tc>
        <w:tc>
          <w:tcPr>
            <w:tcW w:w="140" w:type="dxa"/>
            <w:vAlign w:val="bottom"/>
          </w:tcPr>
          <w:p>
            <w:pPr>
              <w:spacing w:after="0"/>
              <w:rPr>
                <w:sz w:val="7"/>
                <w:szCs w:val="7"/>
                <w:color w:val="auto"/>
              </w:rPr>
            </w:pPr>
          </w:p>
        </w:tc>
        <w:tc>
          <w:tcPr>
            <w:tcW w:w="920" w:type="dxa"/>
            <w:vAlign w:val="bottom"/>
            <w:gridSpan w:val="2"/>
          </w:tcPr>
          <w:p>
            <w:pPr>
              <w:jc w:val="right"/>
              <w:ind w:right="60"/>
              <w:spacing w:after="0"/>
              <w:rPr>
                <w:sz w:val="20"/>
                <w:szCs w:val="20"/>
                <w:color w:val="auto"/>
              </w:rPr>
            </w:pPr>
            <w:r>
              <w:rPr>
                <w:rFonts w:ascii="Courier New" w:cs="Courier New" w:eastAsia="Courier New" w:hAnsi="Courier New"/>
                <w:sz w:val="8"/>
                <w:szCs w:val="8"/>
                <w:color w:val="auto"/>
              </w:rPr>
              <w:t>16,438</w:t>
            </w:r>
          </w:p>
        </w:tc>
        <w:tc>
          <w:tcPr>
            <w:tcW w:w="80" w:type="dxa"/>
            <w:vAlign w:val="bottom"/>
          </w:tcPr>
          <w:p>
            <w:pPr>
              <w:spacing w:after="0"/>
              <w:rPr>
                <w:sz w:val="7"/>
                <w:szCs w:val="7"/>
                <w:color w:val="auto"/>
              </w:rPr>
            </w:pPr>
          </w:p>
        </w:tc>
        <w:tc>
          <w:tcPr>
            <w:tcW w:w="620" w:type="dxa"/>
            <w:vAlign w:val="bottom"/>
          </w:tcPr>
          <w:p>
            <w:pPr>
              <w:jc w:val="right"/>
              <w:spacing w:after="0"/>
              <w:rPr>
                <w:sz w:val="20"/>
                <w:szCs w:val="20"/>
                <w:color w:val="auto"/>
              </w:rPr>
            </w:pPr>
            <w:r>
              <w:rPr>
                <w:rFonts w:ascii="Courier New" w:cs="Courier New" w:eastAsia="Courier New" w:hAnsi="Courier New"/>
                <w:sz w:val="8"/>
                <w:szCs w:val="8"/>
                <w:color w:val="auto"/>
              </w:rPr>
              <w:t>0</w:t>
            </w:r>
          </w:p>
        </w:tc>
        <w:tc>
          <w:tcPr>
            <w:tcW w:w="140" w:type="dxa"/>
            <w:vAlign w:val="bottom"/>
          </w:tcPr>
          <w:p>
            <w:pPr>
              <w:spacing w:after="0"/>
              <w:rPr>
                <w:sz w:val="7"/>
                <w:szCs w:val="7"/>
                <w:color w:val="auto"/>
              </w:rPr>
            </w:pPr>
          </w:p>
        </w:tc>
        <w:tc>
          <w:tcPr>
            <w:tcW w:w="540" w:type="dxa"/>
            <w:vAlign w:val="bottom"/>
            <w:gridSpan w:val="2"/>
          </w:tcPr>
          <w:p>
            <w:pPr>
              <w:jc w:val="right"/>
              <w:ind w:right="80"/>
              <w:spacing w:after="0"/>
              <w:rPr>
                <w:sz w:val="20"/>
                <w:szCs w:val="20"/>
                <w:color w:val="auto"/>
              </w:rPr>
            </w:pPr>
            <w:r>
              <w:rPr>
                <w:rFonts w:ascii="Courier New" w:cs="Courier New" w:eastAsia="Courier New" w:hAnsi="Courier New"/>
                <w:sz w:val="8"/>
                <w:szCs w:val="8"/>
                <w:color w:val="auto"/>
              </w:rPr>
              <w:t>11,537</w:t>
            </w:r>
          </w:p>
        </w:tc>
        <w:tc>
          <w:tcPr>
            <w:tcW w:w="100" w:type="dxa"/>
            <w:vAlign w:val="bottom"/>
          </w:tcPr>
          <w:p>
            <w:pPr>
              <w:spacing w:after="0"/>
              <w:rPr>
                <w:sz w:val="7"/>
                <w:szCs w:val="7"/>
                <w:color w:val="auto"/>
              </w:rPr>
            </w:pPr>
          </w:p>
        </w:tc>
        <w:tc>
          <w:tcPr>
            <w:tcW w:w="740" w:type="dxa"/>
            <w:vAlign w:val="bottom"/>
            <w:gridSpan w:val="2"/>
          </w:tcPr>
          <w:p>
            <w:pPr>
              <w:jc w:val="right"/>
              <w:ind w:right="160"/>
              <w:spacing w:after="0"/>
              <w:rPr>
                <w:sz w:val="20"/>
                <w:szCs w:val="20"/>
                <w:color w:val="auto"/>
              </w:rPr>
            </w:pPr>
            <w:r>
              <w:rPr>
                <w:rFonts w:ascii="Courier New" w:cs="Courier New" w:eastAsia="Courier New" w:hAnsi="Courier New"/>
                <w:sz w:val="8"/>
                <w:szCs w:val="8"/>
                <w:color w:val="auto"/>
              </w:rPr>
              <w:t>5,589</w:t>
            </w:r>
          </w:p>
        </w:tc>
        <w:tc>
          <w:tcPr>
            <w:tcW w:w="120" w:type="dxa"/>
            <w:vAlign w:val="bottom"/>
          </w:tcPr>
          <w:p>
            <w:pPr>
              <w:spacing w:after="0"/>
              <w:rPr>
                <w:sz w:val="7"/>
                <w:szCs w:val="7"/>
                <w:color w:val="auto"/>
              </w:rPr>
            </w:pPr>
          </w:p>
        </w:tc>
        <w:tc>
          <w:tcPr>
            <w:tcW w:w="860" w:type="dxa"/>
            <w:vAlign w:val="bottom"/>
          </w:tcPr>
          <w:p>
            <w:pPr>
              <w:jc w:val="right"/>
              <w:spacing w:after="0"/>
              <w:rPr>
                <w:sz w:val="20"/>
                <w:szCs w:val="20"/>
                <w:color w:val="auto"/>
              </w:rPr>
            </w:pPr>
            <w:r>
              <w:rPr>
                <w:rFonts w:ascii="Courier New" w:cs="Courier New" w:eastAsia="Courier New" w:hAnsi="Courier New"/>
                <w:sz w:val="8"/>
                <w:szCs w:val="8"/>
                <w:color w:val="auto"/>
              </w:rPr>
              <w:t>35,851</w:t>
            </w:r>
          </w:p>
        </w:tc>
      </w:tr>
      <w:tr>
        <w:trPr>
          <w:trHeight w:val="91"/>
        </w:trPr>
        <w:tc>
          <w:tcPr>
            <w:tcW w:w="1460" w:type="dxa"/>
            <w:vAlign w:val="bottom"/>
            <w:gridSpan w:val="3"/>
          </w:tcPr>
          <w:p>
            <w:pPr>
              <w:spacing w:after="0"/>
              <w:rPr>
                <w:sz w:val="20"/>
                <w:szCs w:val="20"/>
                <w:color w:val="auto"/>
              </w:rPr>
            </w:pPr>
            <w:r>
              <w:rPr>
                <w:rFonts w:ascii="Courier New" w:cs="Courier New" w:eastAsia="Courier New" w:hAnsi="Courier New"/>
                <w:sz w:val="8"/>
                <w:szCs w:val="8"/>
                <w:color w:val="auto"/>
              </w:rPr>
              <w:t>and General Counsel</w:t>
            </w:r>
          </w:p>
        </w:tc>
        <w:tc>
          <w:tcPr>
            <w:tcW w:w="320" w:type="dxa"/>
            <w:vAlign w:val="bottom"/>
          </w:tcPr>
          <w:p>
            <w:pPr>
              <w:ind w:left="60"/>
              <w:spacing w:after="0"/>
              <w:rPr>
                <w:sz w:val="20"/>
                <w:szCs w:val="20"/>
                <w:color w:val="auto"/>
              </w:rPr>
            </w:pPr>
            <w:r>
              <w:rPr>
                <w:rFonts w:ascii="Courier New" w:cs="Courier New" w:eastAsia="Courier New" w:hAnsi="Courier New"/>
                <w:sz w:val="8"/>
                <w:szCs w:val="8"/>
                <w:color w:val="auto"/>
              </w:rPr>
              <w:t>1997</w:t>
            </w: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gridSpan w:val="2"/>
          </w:tcPr>
          <w:p>
            <w:pPr>
              <w:jc w:val="right"/>
              <w:ind w:right="60"/>
              <w:spacing w:after="0"/>
              <w:rPr>
                <w:sz w:val="20"/>
                <w:szCs w:val="20"/>
                <w:color w:val="auto"/>
              </w:rPr>
            </w:pPr>
            <w:r>
              <w:rPr>
                <w:rFonts w:ascii="Courier New" w:cs="Courier New" w:eastAsia="Courier New" w:hAnsi="Courier New"/>
                <w:sz w:val="8"/>
                <w:szCs w:val="8"/>
                <w:color w:val="auto"/>
              </w:rPr>
              <w:t>189,670</w:t>
            </w:r>
          </w:p>
        </w:tc>
        <w:tc>
          <w:tcPr>
            <w:tcW w:w="160" w:type="dxa"/>
            <w:vAlign w:val="bottom"/>
          </w:tcPr>
          <w:p>
            <w:pPr>
              <w:spacing w:after="0"/>
              <w:rPr>
                <w:sz w:val="7"/>
                <w:szCs w:val="7"/>
                <w:color w:val="auto"/>
              </w:rPr>
            </w:pPr>
          </w:p>
        </w:tc>
        <w:tc>
          <w:tcPr>
            <w:tcW w:w="680" w:type="dxa"/>
            <w:vAlign w:val="bottom"/>
            <w:gridSpan w:val="2"/>
          </w:tcPr>
          <w:p>
            <w:pPr>
              <w:jc w:val="right"/>
              <w:ind w:right="60"/>
              <w:spacing w:after="0"/>
              <w:rPr>
                <w:sz w:val="20"/>
                <w:szCs w:val="20"/>
                <w:color w:val="auto"/>
              </w:rPr>
            </w:pPr>
            <w:r>
              <w:rPr>
                <w:rFonts w:ascii="Courier New" w:cs="Courier New" w:eastAsia="Courier New" w:hAnsi="Courier New"/>
                <w:sz w:val="8"/>
                <w:szCs w:val="8"/>
                <w:color w:val="auto"/>
              </w:rPr>
              <w:t>52,159</w:t>
            </w:r>
          </w:p>
        </w:tc>
        <w:tc>
          <w:tcPr>
            <w:tcW w:w="140" w:type="dxa"/>
            <w:vAlign w:val="bottom"/>
          </w:tcPr>
          <w:p>
            <w:pPr>
              <w:spacing w:after="0"/>
              <w:rPr>
                <w:sz w:val="7"/>
                <w:szCs w:val="7"/>
                <w:color w:val="auto"/>
              </w:rPr>
            </w:pPr>
          </w:p>
        </w:tc>
        <w:tc>
          <w:tcPr>
            <w:tcW w:w="920" w:type="dxa"/>
            <w:vAlign w:val="bottom"/>
            <w:gridSpan w:val="2"/>
          </w:tcPr>
          <w:p>
            <w:pPr>
              <w:jc w:val="right"/>
              <w:ind w:right="60"/>
              <w:spacing w:after="0"/>
              <w:rPr>
                <w:sz w:val="20"/>
                <w:szCs w:val="20"/>
                <w:color w:val="auto"/>
              </w:rPr>
            </w:pPr>
            <w:r>
              <w:rPr>
                <w:rFonts w:ascii="Courier New" w:cs="Courier New" w:eastAsia="Courier New" w:hAnsi="Courier New"/>
                <w:sz w:val="8"/>
                <w:szCs w:val="8"/>
                <w:color w:val="auto"/>
              </w:rPr>
              <w:t>191,086</w:t>
            </w:r>
          </w:p>
        </w:tc>
        <w:tc>
          <w:tcPr>
            <w:tcW w:w="80" w:type="dxa"/>
            <w:vAlign w:val="bottom"/>
          </w:tcPr>
          <w:p>
            <w:pPr>
              <w:spacing w:after="0"/>
              <w:rPr>
                <w:sz w:val="7"/>
                <w:szCs w:val="7"/>
                <w:color w:val="auto"/>
              </w:rPr>
            </w:pPr>
          </w:p>
        </w:tc>
        <w:tc>
          <w:tcPr>
            <w:tcW w:w="620" w:type="dxa"/>
            <w:vAlign w:val="bottom"/>
          </w:tcPr>
          <w:p>
            <w:pPr>
              <w:jc w:val="right"/>
              <w:spacing w:after="0"/>
              <w:rPr>
                <w:sz w:val="20"/>
                <w:szCs w:val="20"/>
                <w:color w:val="auto"/>
              </w:rPr>
            </w:pPr>
            <w:r>
              <w:rPr>
                <w:rFonts w:ascii="Courier New" w:cs="Courier New" w:eastAsia="Courier New" w:hAnsi="Courier New"/>
                <w:sz w:val="8"/>
                <w:szCs w:val="8"/>
                <w:color w:val="auto"/>
              </w:rPr>
              <w:t>0</w:t>
            </w:r>
          </w:p>
        </w:tc>
        <w:tc>
          <w:tcPr>
            <w:tcW w:w="140" w:type="dxa"/>
            <w:vAlign w:val="bottom"/>
          </w:tcPr>
          <w:p>
            <w:pPr>
              <w:spacing w:after="0"/>
              <w:rPr>
                <w:sz w:val="7"/>
                <w:szCs w:val="7"/>
                <w:color w:val="auto"/>
              </w:rPr>
            </w:pPr>
          </w:p>
        </w:tc>
        <w:tc>
          <w:tcPr>
            <w:tcW w:w="540" w:type="dxa"/>
            <w:vAlign w:val="bottom"/>
            <w:gridSpan w:val="2"/>
          </w:tcPr>
          <w:p>
            <w:pPr>
              <w:jc w:val="right"/>
              <w:ind w:right="80"/>
              <w:spacing w:after="0"/>
              <w:rPr>
                <w:sz w:val="20"/>
                <w:szCs w:val="20"/>
                <w:color w:val="auto"/>
              </w:rPr>
            </w:pPr>
            <w:r>
              <w:rPr>
                <w:rFonts w:ascii="Courier New" w:cs="Courier New" w:eastAsia="Courier New" w:hAnsi="Courier New"/>
                <w:sz w:val="8"/>
                <w:szCs w:val="8"/>
                <w:color w:val="auto"/>
              </w:rPr>
              <w:t>8,324</w:t>
            </w:r>
          </w:p>
        </w:tc>
        <w:tc>
          <w:tcPr>
            <w:tcW w:w="100" w:type="dxa"/>
            <w:vAlign w:val="bottom"/>
          </w:tcPr>
          <w:p>
            <w:pPr>
              <w:spacing w:after="0"/>
              <w:rPr>
                <w:sz w:val="7"/>
                <w:szCs w:val="7"/>
                <w:color w:val="auto"/>
              </w:rPr>
            </w:pPr>
          </w:p>
        </w:tc>
        <w:tc>
          <w:tcPr>
            <w:tcW w:w="740" w:type="dxa"/>
            <w:vAlign w:val="bottom"/>
            <w:gridSpan w:val="2"/>
          </w:tcPr>
          <w:p>
            <w:pPr>
              <w:jc w:val="right"/>
              <w:ind w:right="160"/>
              <w:spacing w:after="0"/>
              <w:rPr>
                <w:sz w:val="20"/>
                <w:szCs w:val="20"/>
                <w:color w:val="auto"/>
              </w:rPr>
            </w:pPr>
            <w:r>
              <w:rPr>
                <w:rFonts w:ascii="Courier New" w:cs="Courier New" w:eastAsia="Courier New" w:hAnsi="Courier New"/>
                <w:sz w:val="8"/>
                <w:szCs w:val="8"/>
                <w:color w:val="auto"/>
              </w:rPr>
              <w:t>37,082</w:t>
            </w:r>
          </w:p>
        </w:tc>
        <w:tc>
          <w:tcPr>
            <w:tcW w:w="120" w:type="dxa"/>
            <w:vAlign w:val="bottom"/>
          </w:tcPr>
          <w:p>
            <w:pPr>
              <w:spacing w:after="0"/>
              <w:rPr>
                <w:sz w:val="7"/>
                <w:szCs w:val="7"/>
                <w:color w:val="auto"/>
              </w:rPr>
            </w:pPr>
          </w:p>
        </w:tc>
        <w:tc>
          <w:tcPr>
            <w:tcW w:w="860" w:type="dxa"/>
            <w:vAlign w:val="bottom"/>
          </w:tcPr>
          <w:p>
            <w:pPr>
              <w:jc w:val="right"/>
              <w:spacing w:after="0"/>
              <w:rPr>
                <w:sz w:val="20"/>
                <w:szCs w:val="20"/>
                <w:color w:val="auto"/>
              </w:rPr>
            </w:pPr>
            <w:r>
              <w:rPr>
                <w:rFonts w:ascii="Courier New" w:cs="Courier New" w:eastAsia="Courier New" w:hAnsi="Courier New"/>
                <w:sz w:val="8"/>
                <w:szCs w:val="8"/>
                <w:color w:val="auto"/>
              </w:rPr>
              <w:t>35,133</w:t>
            </w:r>
          </w:p>
        </w:tc>
      </w:tr>
      <w:tr>
        <w:trPr>
          <w:trHeight w:val="70"/>
        </w:trPr>
        <w:tc>
          <w:tcPr>
            <w:tcW w:w="1080" w:type="dxa"/>
            <w:vAlign w:val="bottom"/>
            <w:tcBorders>
              <w:bottom w:val="single" w:sz="8" w:color="808080"/>
            </w:tcBorders>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4843145</wp:posOffset>
            </wp:positionH>
            <wp:positionV relativeFrom="paragraph">
              <wp:posOffset>-1468755</wp:posOffset>
            </wp:positionV>
            <wp:extent cx="12700"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2820035</wp:posOffset>
            </wp:positionH>
            <wp:positionV relativeFrom="paragraph">
              <wp:posOffset>-1468755</wp:posOffset>
            </wp:positionV>
            <wp:extent cx="12700"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2768600</wp:posOffset>
            </wp:positionH>
            <wp:positionV relativeFrom="paragraph">
              <wp:posOffset>-1325880</wp:posOffset>
            </wp:positionV>
            <wp:extent cx="12700"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922655</wp:posOffset>
            </wp:positionH>
            <wp:positionV relativeFrom="paragraph">
              <wp:posOffset>-1325880</wp:posOffset>
            </wp:positionV>
            <wp:extent cx="12700"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3637280</wp:posOffset>
            </wp:positionH>
            <wp:positionV relativeFrom="paragraph">
              <wp:posOffset>-1325880</wp:posOffset>
            </wp:positionV>
            <wp:extent cx="12700"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2820035</wp:posOffset>
            </wp:positionH>
            <wp:positionV relativeFrom="paragraph">
              <wp:posOffset>-1325880</wp:posOffset>
            </wp:positionV>
            <wp:extent cx="12700"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4117340</wp:posOffset>
            </wp:positionH>
            <wp:positionV relativeFrom="paragraph">
              <wp:posOffset>-1325880</wp:posOffset>
            </wp:positionV>
            <wp:extent cx="12700"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3688715</wp:posOffset>
            </wp:positionH>
            <wp:positionV relativeFrom="paragraph">
              <wp:posOffset>-1325880</wp:posOffset>
            </wp:positionV>
            <wp:extent cx="12700"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865505</wp:posOffset>
            </wp:positionH>
            <wp:positionV relativeFrom="paragraph">
              <wp:posOffset>-1068705</wp:posOffset>
            </wp:positionV>
            <wp:extent cx="12700"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-1068705</wp:posOffset>
            </wp:positionV>
            <wp:extent cx="12700"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1116965</wp:posOffset>
            </wp:positionH>
            <wp:positionV relativeFrom="paragraph">
              <wp:posOffset>-1068705</wp:posOffset>
            </wp:positionV>
            <wp:extent cx="12700"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922655</wp:posOffset>
            </wp:positionH>
            <wp:positionV relativeFrom="paragraph">
              <wp:posOffset>-1068705</wp:posOffset>
            </wp:positionV>
            <wp:extent cx="12700"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1562735</wp:posOffset>
            </wp:positionH>
            <wp:positionV relativeFrom="paragraph">
              <wp:posOffset>-1068705</wp:posOffset>
            </wp:positionV>
            <wp:extent cx="12700"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1174115</wp:posOffset>
            </wp:positionH>
            <wp:positionV relativeFrom="paragraph">
              <wp:posOffset>-1068705</wp:posOffset>
            </wp:positionV>
            <wp:extent cx="12700"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2094230</wp:posOffset>
            </wp:positionH>
            <wp:positionV relativeFrom="paragraph">
              <wp:posOffset>-1068705</wp:posOffset>
            </wp:positionV>
            <wp:extent cx="12700" cy="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1614170</wp:posOffset>
            </wp:positionH>
            <wp:positionV relativeFrom="paragraph">
              <wp:posOffset>-1068705</wp:posOffset>
            </wp:positionV>
            <wp:extent cx="12700"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2768600</wp:posOffset>
            </wp:positionH>
            <wp:positionV relativeFrom="paragraph">
              <wp:posOffset>-1068705</wp:posOffset>
            </wp:positionV>
            <wp:extent cx="12700" cy="5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2145665</wp:posOffset>
            </wp:positionH>
            <wp:positionV relativeFrom="paragraph">
              <wp:posOffset>-1068705</wp:posOffset>
            </wp:positionV>
            <wp:extent cx="12700" cy="5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3248660</wp:posOffset>
            </wp:positionH>
            <wp:positionV relativeFrom="paragraph">
              <wp:posOffset>-1068705</wp:posOffset>
            </wp:positionV>
            <wp:extent cx="12700" cy="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2820035</wp:posOffset>
            </wp:positionH>
            <wp:positionV relativeFrom="paragraph">
              <wp:posOffset>-1068705</wp:posOffset>
            </wp:positionV>
            <wp:extent cx="12700" cy="5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3637280</wp:posOffset>
            </wp:positionH>
            <wp:positionV relativeFrom="paragraph">
              <wp:posOffset>-1068705</wp:posOffset>
            </wp:positionV>
            <wp:extent cx="12700" cy="5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3351530</wp:posOffset>
            </wp:positionH>
            <wp:positionV relativeFrom="paragraph">
              <wp:posOffset>-1068705</wp:posOffset>
            </wp:positionV>
            <wp:extent cx="12700" cy="5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4117340</wp:posOffset>
            </wp:positionH>
            <wp:positionV relativeFrom="paragraph">
              <wp:posOffset>-1068705</wp:posOffset>
            </wp:positionV>
            <wp:extent cx="12700" cy="57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3688715</wp:posOffset>
            </wp:positionH>
            <wp:positionV relativeFrom="paragraph">
              <wp:posOffset>-1068705</wp:posOffset>
            </wp:positionV>
            <wp:extent cx="12700" cy="57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4843145</wp:posOffset>
            </wp:positionH>
            <wp:positionV relativeFrom="paragraph">
              <wp:posOffset>-1068705</wp:posOffset>
            </wp:positionV>
            <wp:extent cx="12700" cy="57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4220210</wp:posOffset>
            </wp:positionH>
            <wp:positionV relativeFrom="paragraph">
              <wp:posOffset>-1068705</wp:posOffset>
            </wp:positionV>
            <wp:extent cx="12700" cy="57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682625</wp:posOffset>
            </wp:positionH>
            <wp:positionV relativeFrom="paragraph">
              <wp:posOffset>-11430</wp:posOffset>
            </wp:positionV>
            <wp:extent cx="12700" cy="57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-11430</wp:posOffset>
            </wp:positionV>
            <wp:extent cx="12700" cy="57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(1)</w:t>
      </w:r>
    </w:p>
    <w:p>
      <w:pPr>
        <w:ind w:left="360"/>
        <w:spacing w:after="0" w:line="233" w:lineRule="auto"/>
        <w:rPr>
          <w:sz w:val="20"/>
          <w:szCs w:val="20"/>
          <w:color w:val="auto"/>
        </w:rPr>
      </w:pPr>
      <w:r>
        <w:rPr>
          <w:rFonts w:ascii="Courier New" w:cs="Courier New" w:eastAsia="Courier New" w:hAnsi="Courier New"/>
          <w:sz w:val="9"/>
          <w:szCs w:val="9"/>
          <w:color w:val="auto"/>
        </w:rPr>
        <w:t>The</w:t>
      </w:r>
    </w:p>
    <w:p>
      <w:pPr>
        <w:ind w:left="360"/>
        <w:spacing w:after="0" w:line="233" w:lineRule="auto"/>
        <w:rPr>
          <w:sz w:val="20"/>
          <w:szCs w:val="20"/>
          <w:color w:val="auto"/>
        </w:rPr>
      </w:pPr>
      <w:r>
        <w:rPr>
          <w:rFonts w:ascii="Courier New" w:cs="Courier New" w:eastAsia="Courier New" w:hAnsi="Courier New"/>
          <w:sz w:val="9"/>
          <w:szCs w:val="9"/>
          <w:color w:val="auto"/>
        </w:rPr>
        <w:t>1993 Plan is administered by the Compensation Committee which selects employees to whom options are granted. The exercise price of each incentive and nonqualified stock option</w:t>
      </w:r>
    </w:p>
    <w:p>
      <w:pPr>
        <w:ind w:left="360" w:right="200"/>
        <w:spacing w:after="0" w:line="233" w:lineRule="auto"/>
        <w:rPr>
          <w:sz w:val="20"/>
          <w:szCs w:val="20"/>
          <w:color w:val="auto"/>
        </w:rPr>
      </w:pPr>
      <w:r>
        <w:rPr>
          <w:rFonts w:ascii="Courier New" w:cs="Courier New" w:eastAsia="Courier New" w:hAnsi="Courier New"/>
          <w:sz w:val="9"/>
          <w:szCs w:val="9"/>
          <w:color w:val="auto"/>
        </w:rPr>
        <w:t>is equal to not less than 100% of the fair market value of the Common Stock on the date of grant. Options are not transferable except by will or the laws of descent and distribution. Options granted to executive officers under the plan may be exercised immediately after the date of grant, for a period of ten years, using cash, stock or a cashless method through a broker. Most options are subject to cancellation upon termination of the option holder's employment; however, incentive stock options may be exercised for up to three months following termination of employment and some nonqualified stock options may be exercised for up to four years following retirement at or after age 60, but not later than the expiration date of the option. Stockholders are asked to approve a new stock option plan at the Annual Meeting. See Proposal Five.</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(2)</w:t>
      </w:r>
    </w:p>
    <w:p>
      <w:pPr>
        <w:ind w:left="360"/>
        <w:spacing w:after="0" w:line="233" w:lineRule="auto"/>
        <w:rPr>
          <w:sz w:val="20"/>
          <w:szCs w:val="20"/>
          <w:color w:val="auto"/>
        </w:rPr>
      </w:pPr>
      <w:r>
        <w:rPr>
          <w:rFonts w:ascii="Courier New" w:cs="Courier New" w:eastAsia="Courier New" w:hAnsi="Courier New"/>
          <w:sz w:val="9"/>
          <w:szCs w:val="9"/>
          <w:color w:val="auto"/>
        </w:rPr>
        <w:t>The</w:t>
      </w:r>
    </w:p>
    <w:p>
      <w:pPr>
        <w:ind w:left="360" w:right="1920"/>
        <w:spacing w:after="0" w:line="235" w:lineRule="auto"/>
        <w:rPr>
          <w:sz w:val="20"/>
          <w:szCs w:val="20"/>
          <w:color w:val="auto"/>
        </w:rPr>
      </w:pPr>
      <w:r>
        <w:rPr>
          <w:rFonts w:ascii="Courier New" w:cs="Courier New" w:eastAsia="Courier New" w:hAnsi="Courier New"/>
          <w:sz w:val="9"/>
          <w:szCs w:val="9"/>
          <w:color w:val="auto"/>
        </w:rPr>
        <w:t>grant date present values are estimates only, arrived at using the Black-Scholes option pricing model with the following weighted average assumptions as of the December 1998 grant date: risk-free interest rate of 4.67%, expected life of option of 4.4 years, expected dividend yield of 1.5% and expected stock volatility of 30%.</w:t>
      </w:r>
    </w:p>
    <w:p>
      <w:pPr>
        <w:spacing w:after="0" w:line="364" w:lineRule="exact"/>
        <w:rPr>
          <w:sz w:val="20"/>
          <w:szCs w:val="20"/>
          <w:color w:val="auto"/>
        </w:rPr>
      </w:pPr>
    </w:p>
    <w:p>
      <w:pPr>
        <w:jc w:val="center"/>
        <w:ind w:right="-39"/>
        <w:spacing w:after="0"/>
        <w:rPr>
          <w:sz w:val="20"/>
          <w:szCs w:val="20"/>
          <w:color w:val="auto"/>
        </w:rPr>
      </w:pPr>
      <w:r>
        <w:rPr>
          <w:rFonts w:ascii="Courier New" w:cs="Courier New" w:eastAsia="Courier New" w:hAnsi="Courier New"/>
          <w:sz w:val="9"/>
          <w:szCs w:val="9"/>
          <w:b w:val="1"/>
          <w:bCs w:val="1"/>
          <w:color w:val="auto"/>
        </w:rPr>
        <w:t>AGGREGATED OPTION EXERCISES IN FISCAL 1999</w:t>
      </w:r>
    </w:p>
    <w:tbl>
      <w:tblPr>
        <w:tblLayout w:type="fixed"/>
        <w:tblInd w:w="0" w:type="dxa"/>
        <w:tblCellMar>
          <w:top w:w="0" w:type="dxa"/>
          <w:left w:w="0" w:type="dxa"/>
          <w:bottom w:w="0" w:type="dxa"/>
          <w:right w:w="0" w:type="dxa"/>
        </w:tblCellMar>
      </w:tblPr>
      <w:tr>
        <w:trPr>
          <w:trHeight w:val="101"/>
        </w:trPr>
        <w:tc>
          <w:tcPr>
            <w:tcW w:w="20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60" w:type="dxa"/>
            <w:vAlign w:val="bottom"/>
            <w:gridSpan w:val="4"/>
          </w:tcPr>
          <w:p>
            <w:pPr>
              <w:jc w:val="right"/>
              <w:spacing w:after="0"/>
              <w:rPr>
                <w:sz w:val="20"/>
                <w:szCs w:val="20"/>
                <w:color w:val="auto"/>
              </w:rPr>
            </w:pPr>
            <w:r>
              <w:rPr>
                <w:rFonts w:ascii="Courier New" w:cs="Courier New" w:eastAsia="Courier New" w:hAnsi="Courier New"/>
                <w:sz w:val="9"/>
                <w:szCs w:val="9"/>
                <w:b w:val="1"/>
                <w:bCs w:val="1"/>
                <w:color w:val="auto"/>
              </w:rPr>
              <w:t>AND FISCAL YEAR-END OPTION VALUES</w:t>
            </w: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8820" w:type="dxa"/>
            <w:vAlign w:val="bottom"/>
            <w:gridSpan w:val="14"/>
          </w:tcPr>
          <w:p>
            <w:pPr>
              <w:ind w:left="200"/>
              <w:spacing w:after="0"/>
              <w:rPr>
                <w:sz w:val="20"/>
                <w:szCs w:val="20"/>
                <w:color w:val="auto"/>
              </w:rPr>
            </w:pPr>
            <w:r>
              <w:rPr>
                <w:rFonts w:ascii="Courier New" w:cs="Courier New" w:eastAsia="Courier New" w:hAnsi="Courier New"/>
                <w:sz w:val="9"/>
                <w:szCs w:val="9"/>
                <w:color w:val="auto"/>
              </w:rPr>
              <w:t>The following table summarizes stock options exercised by the named executive officers during Fiscal 1999 and the total number of options held by each listed</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1"/>
        </w:trPr>
        <w:tc>
          <w:tcPr>
            <w:tcW w:w="2260" w:type="dxa"/>
            <w:vAlign w:val="bottom"/>
            <w:gridSpan w:val="2"/>
          </w:tcPr>
          <w:p>
            <w:pPr>
              <w:spacing w:after="0"/>
              <w:rPr>
                <w:sz w:val="20"/>
                <w:szCs w:val="20"/>
                <w:color w:val="auto"/>
              </w:rPr>
            </w:pPr>
            <w:r>
              <w:rPr>
                <w:rFonts w:ascii="Courier New" w:cs="Courier New" w:eastAsia="Courier New" w:hAnsi="Courier New"/>
                <w:sz w:val="9"/>
                <w:szCs w:val="9"/>
                <w:color w:val="auto"/>
              </w:rPr>
              <w:t>individual as of the end of Fiscal 1999.</w:t>
            </w:r>
          </w:p>
        </w:tc>
        <w:tc>
          <w:tcPr>
            <w:tcW w:w="10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2"/>
        </w:trPr>
        <w:tc>
          <w:tcPr>
            <w:tcW w:w="2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640" w:type="dxa"/>
            <w:vAlign w:val="bottom"/>
            <w:gridSpan w:val="3"/>
          </w:tcPr>
          <w:p>
            <w:pPr>
              <w:jc w:val="right"/>
              <w:ind w:right="596"/>
              <w:spacing w:after="0"/>
              <w:rPr>
                <w:sz w:val="20"/>
                <w:szCs w:val="20"/>
                <w:color w:val="auto"/>
              </w:rPr>
            </w:pPr>
            <w:r>
              <w:rPr>
                <w:rFonts w:ascii="Courier New" w:cs="Courier New" w:eastAsia="Courier New" w:hAnsi="Courier New"/>
                <w:sz w:val="9"/>
                <w:szCs w:val="9"/>
                <w:b w:val="1"/>
                <w:bCs w:val="1"/>
                <w:color w:val="auto"/>
              </w:rPr>
              <w:t>Individual Grants</w:t>
            </w: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vMerge w:val="restart"/>
          </w:tcPr>
          <w:p>
            <w:pPr>
              <w:jc w:val="center"/>
              <w:ind w:right="95"/>
              <w:spacing w:after="0"/>
              <w:rPr>
                <w:sz w:val="20"/>
                <w:szCs w:val="20"/>
                <w:color w:val="auto"/>
              </w:rPr>
            </w:pPr>
            <w:r>
              <w:rPr>
                <w:rFonts w:ascii="Courier New" w:cs="Courier New" w:eastAsia="Courier New" w:hAnsi="Courier New"/>
                <w:sz w:val="9"/>
                <w:szCs w:val="9"/>
                <w:b w:val="1"/>
                <w:bCs w:val="1"/>
                <w:color w:val="auto"/>
                <w:w w:val="96"/>
              </w:rPr>
              <w:t>Grant</w:t>
            </w:r>
          </w:p>
        </w:tc>
        <w:tc>
          <w:tcPr>
            <w:tcW w:w="0" w:type="dxa"/>
            <w:vAlign w:val="bottom"/>
          </w:tcPr>
          <w:p>
            <w:pPr>
              <w:spacing w:after="0"/>
              <w:rPr>
                <w:sz w:val="1"/>
                <w:szCs w:val="1"/>
                <w:color w:val="auto"/>
              </w:rPr>
            </w:pPr>
          </w:p>
        </w:tc>
      </w:tr>
      <w:tr>
        <w:trPr>
          <w:trHeight w:val="58"/>
        </w:trPr>
        <w:tc>
          <w:tcPr>
            <w:tcW w:w="20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Borders>
              <w:bottom w:val="single" w:sz="8" w:color="808080"/>
            </w:tcBorders>
          </w:tcPr>
          <w:p>
            <w:pPr>
              <w:spacing w:after="0"/>
              <w:rPr>
                <w:sz w:val="5"/>
                <w:szCs w:val="5"/>
                <w:color w:val="auto"/>
              </w:rPr>
            </w:pPr>
          </w:p>
        </w:tc>
        <w:tc>
          <w:tcPr>
            <w:tcW w:w="360" w:type="dxa"/>
            <w:vAlign w:val="bottom"/>
            <w:tcBorders>
              <w:bottom w:val="single" w:sz="8" w:color="808080"/>
            </w:tcBorders>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1020" w:type="dxa"/>
            <w:vAlign w:val="bottom"/>
            <w:tcBorders>
              <w:bottom w:val="single" w:sz="8" w:color="808080"/>
            </w:tcBorders>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1100" w:type="dxa"/>
            <w:vAlign w:val="bottom"/>
            <w:tcBorders>
              <w:bottom w:val="single" w:sz="8" w:color="808080"/>
            </w:tcBorders>
          </w:tcPr>
          <w:p>
            <w:pPr>
              <w:spacing w:after="0"/>
              <w:rPr>
                <w:sz w:val="5"/>
                <w:szCs w:val="5"/>
                <w:color w:val="auto"/>
              </w:rPr>
            </w:pPr>
          </w:p>
        </w:tc>
        <w:tc>
          <w:tcPr>
            <w:tcW w:w="38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1200" w:type="dxa"/>
            <w:vAlign w:val="bottom"/>
            <w:tcBorders>
              <w:bottom w:val="single" w:sz="8" w:color="808080"/>
            </w:tcBorders>
          </w:tcPr>
          <w:p>
            <w:pPr>
              <w:spacing w:after="0"/>
              <w:rPr>
                <w:sz w:val="5"/>
                <w:szCs w:val="5"/>
                <w:color w:val="auto"/>
              </w:rPr>
            </w:pPr>
          </w:p>
        </w:tc>
        <w:tc>
          <w:tcPr>
            <w:tcW w:w="24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vMerge w:val="restart"/>
          </w:tcPr>
          <w:p>
            <w:pPr>
              <w:jc w:val="center"/>
              <w:ind w:left="276"/>
              <w:spacing w:after="0"/>
              <w:rPr>
                <w:sz w:val="20"/>
                <w:szCs w:val="20"/>
                <w:color w:val="auto"/>
              </w:rPr>
            </w:pPr>
            <w:r>
              <w:rPr>
                <w:rFonts w:ascii="Courier New" w:cs="Courier New" w:eastAsia="Courier New" w:hAnsi="Courier New"/>
                <w:sz w:val="9"/>
                <w:szCs w:val="9"/>
                <w:b w:val="1"/>
                <w:bCs w:val="1"/>
                <w:color w:val="auto"/>
                <w:w w:val="99"/>
              </w:rPr>
              <w:t>Percent of</w:t>
            </w: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jc w:val="center"/>
              <w:ind w:right="95"/>
              <w:spacing w:after="0" w:line="100" w:lineRule="exact"/>
              <w:rPr>
                <w:sz w:val="20"/>
                <w:szCs w:val="20"/>
                <w:color w:val="auto"/>
              </w:rPr>
            </w:pPr>
            <w:r>
              <w:rPr>
                <w:rFonts w:ascii="Courier New" w:cs="Courier New" w:eastAsia="Courier New" w:hAnsi="Courier New"/>
                <w:sz w:val="9"/>
                <w:szCs w:val="9"/>
                <w:b w:val="1"/>
                <w:bCs w:val="1"/>
                <w:color w:val="auto"/>
              </w:rPr>
              <w:t>Date</w:t>
            </w:r>
          </w:p>
        </w:tc>
        <w:tc>
          <w:tcPr>
            <w:tcW w:w="0" w:type="dxa"/>
            <w:vAlign w:val="bottom"/>
          </w:tcPr>
          <w:p>
            <w:pPr>
              <w:spacing w:after="0"/>
              <w:rPr>
                <w:sz w:val="1"/>
                <w:szCs w:val="1"/>
                <w:color w:val="auto"/>
              </w:rPr>
            </w:pPr>
          </w:p>
        </w:tc>
      </w:tr>
      <w:tr>
        <w:trPr>
          <w:trHeight w:val="54"/>
        </w:trPr>
        <w:tc>
          <w:tcPr>
            <w:tcW w:w="20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vMerge w:val="restart"/>
          </w:tcPr>
          <w:p>
            <w:pPr>
              <w:jc w:val="center"/>
              <w:ind w:right="95"/>
              <w:spacing w:after="0"/>
              <w:rPr>
                <w:sz w:val="20"/>
                <w:szCs w:val="20"/>
                <w:color w:val="auto"/>
              </w:rPr>
            </w:pPr>
            <w:r>
              <w:rPr>
                <w:rFonts w:ascii="Courier New" w:cs="Courier New" w:eastAsia="Courier New" w:hAnsi="Courier New"/>
                <w:sz w:val="9"/>
                <w:szCs w:val="9"/>
                <w:b w:val="1"/>
                <w:bCs w:val="1"/>
                <w:color w:val="auto"/>
                <w:w w:val="96"/>
              </w:rPr>
              <w:t>Value</w:t>
            </w:r>
          </w:p>
        </w:tc>
        <w:tc>
          <w:tcPr>
            <w:tcW w:w="0" w:type="dxa"/>
            <w:vAlign w:val="bottom"/>
          </w:tcPr>
          <w:p>
            <w:pPr>
              <w:spacing w:after="0"/>
              <w:rPr>
                <w:sz w:val="1"/>
                <w:szCs w:val="1"/>
                <w:color w:val="auto"/>
              </w:rPr>
            </w:pPr>
          </w:p>
        </w:tc>
      </w:tr>
      <w:tr>
        <w:trPr>
          <w:trHeight w:val="47"/>
        </w:trPr>
        <w:tc>
          <w:tcPr>
            <w:tcW w:w="20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vMerge w:val="restart"/>
          </w:tcPr>
          <w:p>
            <w:pPr>
              <w:jc w:val="center"/>
              <w:ind w:left="336"/>
              <w:spacing w:after="0" w:line="97" w:lineRule="exact"/>
              <w:rPr>
                <w:sz w:val="20"/>
                <w:szCs w:val="20"/>
                <w:color w:val="auto"/>
              </w:rPr>
            </w:pPr>
            <w:r>
              <w:rPr>
                <w:rFonts w:ascii="Courier New" w:cs="Courier New" w:eastAsia="Courier New" w:hAnsi="Courier New"/>
                <w:sz w:val="9"/>
                <w:szCs w:val="9"/>
                <w:b w:val="1"/>
                <w:bCs w:val="1"/>
                <w:color w:val="auto"/>
              </w:rPr>
              <w:t>Number of</w:t>
            </w:r>
          </w:p>
        </w:tc>
        <w:tc>
          <w:tcPr>
            <w:tcW w:w="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20" w:type="dxa"/>
            <w:vAlign w:val="bottom"/>
            <w:vMerge w:val="restart"/>
          </w:tcPr>
          <w:p>
            <w:pPr>
              <w:jc w:val="center"/>
              <w:ind w:left="276"/>
              <w:spacing w:after="0" w:line="97" w:lineRule="exact"/>
              <w:rPr>
                <w:sz w:val="20"/>
                <w:szCs w:val="20"/>
                <w:color w:val="auto"/>
              </w:rPr>
            </w:pPr>
            <w:r>
              <w:rPr>
                <w:rFonts w:ascii="Courier New" w:cs="Courier New" w:eastAsia="Courier New" w:hAnsi="Courier New"/>
                <w:sz w:val="9"/>
                <w:szCs w:val="9"/>
                <w:b w:val="1"/>
                <w:bCs w:val="1"/>
                <w:color w:val="auto"/>
                <w:w w:val="96"/>
              </w:rPr>
              <w:t>Total</w:t>
            </w: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20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88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20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jc w:val="center"/>
              <w:ind w:left="336"/>
              <w:spacing w:after="0" w:line="73" w:lineRule="exact"/>
              <w:rPr>
                <w:sz w:val="20"/>
                <w:szCs w:val="20"/>
                <w:color w:val="auto"/>
              </w:rPr>
            </w:pPr>
            <w:r>
              <w:rPr>
                <w:rFonts w:ascii="Courier New" w:cs="Courier New" w:eastAsia="Courier New" w:hAnsi="Courier New"/>
                <w:sz w:val="8"/>
                <w:szCs w:val="8"/>
                <w:b w:val="1"/>
                <w:bCs w:val="1"/>
                <w:color w:val="auto"/>
              </w:rPr>
              <w:t>Shares</w:t>
            </w:r>
          </w:p>
        </w:tc>
        <w:tc>
          <w:tcPr>
            <w:tcW w:w="3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20" w:type="dxa"/>
            <w:vAlign w:val="bottom"/>
          </w:tcPr>
          <w:p>
            <w:pPr>
              <w:jc w:val="center"/>
              <w:ind w:left="276"/>
              <w:spacing w:after="0" w:line="73" w:lineRule="exact"/>
              <w:rPr>
                <w:sz w:val="20"/>
                <w:szCs w:val="20"/>
                <w:color w:val="auto"/>
              </w:rPr>
            </w:pPr>
            <w:r>
              <w:rPr>
                <w:rFonts w:ascii="Courier New" w:cs="Courier New" w:eastAsia="Courier New" w:hAnsi="Courier New"/>
                <w:sz w:val="8"/>
                <w:szCs w:val="8"/>
                <w:b w:val="1"/>
                <w:bCs w:val="1"/>
                <w:color w:val="auto"/>
              </w:rPr>
              <w:t>Options</w:t>
            </w:r>
          </w:p>
        </w:tc>
        <w:tc>
          <w:tcPr>
            <w:tcW w:w="3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00" w:type="dxa"/>
            <w:vAlign w:val="bottom"/>
          </w:tcPr>
          <w:p>
            <w:pPr>
              <w:jc w:val="center"/>
              <w:ind w:left="336"/>
              <w:spacing w:after="0" w:line="73" w:lineRule="exact"/>
              <w:rPr>
                <w:sz w:val="20"/>
                <w:szCs w:val="20"/>
                <w:color w:val="auto"/>
              </w:rPr>
            </w:pPr>
            <w:r>
              <w:rPr>
                <w:rFonts w:ascii="Courier New" w:cs="Courier New" w:eastAsia="Courier New" w:hAnsi="Courier New"/>
                <w:sz w:val="8"/>
                <w:szCs w:val="8"/>
                <w:b w:val="1"/>
                <w:bCs w:val="1"/>
                <w:color w:val="auto"/>
              </w:rPr>
              <w:t>Exercise</w:t>
            </w:r>
          </w:p>
        </w:tc>
        <w:tc>
          <w:tcPr>
            <w:tcW w:w="3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40" w:type="dxa"/>
            <w:vAlign w:val="bottom"/>
            <w:gridSpan w:val="2"/>
          </w:tcPr>
          <w:p>
            <w:pPr>
              <w:jc w:val="center"/>
              <w:ind w:right="480"/>
              <w:spacing w:after="0" w:line="73" w:lineRule="exact"/>
              <w:rPr>
                <w:sz w:val="20"/>
                <w:szCs w:val="20"/>
                <w:color w:val="auto"/>
              </w:rPr>
            </w:pPr>
            <w:r>
              <w:rPr>
                <w:rFonts w:ascii="Courier New" w:cs="Courier New" w:eastAsia="Courier New" w:hAnsi="Courier New"/>
                <w:sz w:val="8"/>
                <w:szCs w:val="8"/>
                <w:b w:val="1"/>
                <w:bCs w:val="1"/>
                <w:color w:val="auto"/>
              </w:rPr>
              <w:t>Market</w:t>
            </w:r>
          </w:p>
        </w:tc>
        <w:tc>
          <w:tcPr>
            <w:tcW w:w="12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20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jc w:val="center"/>
              <w:ind w:left="336"/>
              <w:spacing w:after="0" w:line="99" w:lineRule="exact"/>
              <w:rPr>
                <w:sz w:val="20"/>
                <w:szCs w:val="20"/>
                <w:color w:val="auto"/>
              </w:rPr>
            </w:pPr>
            <w:r>
              <w:rPr>
                <w:rFonts w:ascii="Courier New" w:cs="Courier New" w:eastAsia="Courier New" w:hAnsi="Courier New"/>
                <w:sz w:val="9"/>
                <w:szCs w:val="9"/>
                <w:b w:val="1"/>
                <w:bCs w:val="1"/>
                <w:color w:val="auto"/>
                <w:w w:val="99"/>
              </w:rPr>
              <w:t>Underlying</w:t>
            </w: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Pr>
          <w:p>
            <w:pPr>
              <w:jc w:val="center"/>
              <w:ind w:left="276"/>
              <w:spacing w:after="0" w:line="99" w:lineRule="exact"/>
              <w:rPr>
                <w:sz w:val="20"/>
                <w:szCs w:val="20"/>
                <w:color w:val="auto"/>
              </w:rPr>
            </w:pPr>
            <w:r>
              <w:rPr>
                <w:rFonts w:ascii="Courier New" w:cs="Courier New" w:eastAsia="Courier New" w:hAnsi="Courier New"/>
                <w:sz w:val="9"/>
                <w:szCs w:val="9"/>
                <w:b w:val="1"/>
                <w:bCs w:val="1"/>
                <w:color w:val="auto"/>
                <w:w w:val="99"/>
              </w:rPr>
              <w:t>Granted to</w:t>
            </w: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00" w:type="dxa"/>
            <w:vAlign w:val="bottom"/>
          </w:tcPr>
          <w:p>
            <w:pPr>
              <w:jc w:val="center"/>
              <w:ind w:left="336"/>
              <w:spacing w:after="0" w:line="99" w:lineRule="exact"/>
              <w:rPr>
                <w:sz w:val="20"/>
                <w:szCs w:val="20"/>
                <w:color w:val="auto"/>
              </w:rPr>
            </w:pPr>
            <w:r>
              <w:rPr>
                <w:rFonts w:ascii="Courier New" w:cs="Courier New" w:eastAsia="Courier New" w:hAnsi="Courier New"/>
                <w:sz w:val="9"/>
                <w:szCs w:val="9"/>
                <w:b w:val="1"/>
                <w:bCs w:val="1"/>
                <w:color w:val="auto"/>
              </w:rPr>
              <w:t>or</w:t>
            </w: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40" w:type="dxa"/>
            <w:vAlign w:val="bottom"/>
            <w:gridSpan w:val="2"/>
          </w:tcPr>
          <w:p>
            <w:pPr>
              <w:jc w:val="center"/>
              <w:ind w:right="500"/>
              <w:spacing w:after="0" w:line="99" w:lineRule="exact"/>
              <w:rPr>
                <w:sz w:val="20"/>
                <w:szCs w:val="20"/>
                <w:color w:val="auto"/>
              </w:rPr>
            </w:pPr>
            <w:r>
              <w:rPr>
                <w:rFonts w:ascii="Courier New" w:cs="Courier New" w:eastAsia="Courier New" w:hAnsi="Courier New"/>
                <w:sz w:val="9"/>
                <w:szCs w:val="9"/>
                <w:b w:val="1"/>
                <w:bCs w:val="1"/>
                <w:color w:val="auto"/>
                <w:w w:val="97"/>
              </w:rPr>
              <w:t>Price on</w:t>
            </w:r>
          </w:p>
        </w:tc>
        <w:tc>
          <w:tcPr>
            <w:tcW w:w="1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jc w:val="center"/>
              <w:ind w:right="95"/>
              <w:spacing w:after="0" w:line="99" w:lineRule="exact"/>
              <w:rPr>
                <w:sz w:val="20"/>
                <w:szCs w:val="20"/>
                <w:color w:val="auto"/>
              </w:rPr>
            </w:pPr>
            <w:r>
              <w:rPr>
                <w:rFonts w:ascii="Courier New" w:cs="Courier New" w:eastAsia="Courier New" w:hAnsi="Courier New"/>
                <w:sz w:val="9"/>
                <w:szCs w:val="9"/>
                <w:b w:val="1"/>
                <w:bCs w:val="1"/>
                <w:color w:val="auto"/>
                <w:w w:val="99"/>
              </w:rPr>
              <w:t>Grant Date</w:t>
            </w:r>
          </w:p>
        </w:tc>
        <w:tc>
          <w:tcPr>
            <w:tcW w:w="0" w:type="dxa"/>
            <w:vAlign w:val="bottom"/>
          </w:tcPr>
          <w:p>
            <w:pPr>
              <w:spacing w:after="0"/>
              <w:rPr>
                <w:sz w:val="1"/>
                <w:szCs w:val="1"/>
                <w:color w:val="auto"/>
              </w:rPr>
            </w:pPr>
          </w:p>
        </w:tc>
      </w:tr>
      <w:tr>
        <w:trPr>
          <w:trHeight w:val="99"/>
        </w:trPr>
        <w:tc>
          <w:tcPr>
            <w:tcW w:w="20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jc w:val="center"/>
              <w:ind w:left="336"/>
              <w:spacing w:after="0" w:line="99" w:lineRule="exact"/>
              <w:rPr>
                <w:sz w:val="20"/>
                <w:szCs w:val="20"/>
                <w:color w:val="auto"/>
              </w:rPr>
            </w:pPr>
            <w:r>
              <w:rPr>
                <w:rFonts w:ascii="Courier New" w:cs="Courier New" w:eastAsia="Courier New" w:hAnsi="Courier New"/>
                <w:sz w:val="9"/>
                <w:szCs w:val="9"/>
                <w:b w:val="1"/>
                <w:bCs w:val="1"/>
                <w:color w:val="auto"/>
              </w:rPr>
              <w:t>Options</w:t>
            </w: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Pr>
          <w:p>
            <w:pPr>
              <w:jc w:val="center"/>
              <w:ind w:left="276"/>
              <w:spacing w:after="0" w:line="99" w:lineRule="exact"/>
              <w:rPr>
                <w:sz w:val="20"/>
                <w:szCs w:val="20"/>
                <w:color w:val="auto"/>
              </w:rPr>
            </w:pPr>
            <w:r>
              <w:rPr>
                <w:rFonts w:ascii="Courier New" w:cs="Courier New" w:eastAsia="Courier New" w:hAnsi="Courier New"/>
                <w:sz w:val="9"/>
                <w:szCs w:val="9"/>
                <w:b w:val="1"/>
                <w:bCs w:val="1"/>
                <w:color w:val="auto"/>
              </w:rPr>
              <w:t>Employees</w:t>
            </w: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00" w:type="dxa"/>
            <w:vAlign w:val="bottom"/>
          </w:tcPr>
          <w:p>
            <w:pPr>
              <w:jc w:val="center"/>
              <w:ind w:left="336"/>
              <w:spacing w:after="0" w:line="99" w:lineRule="exact"/>
              <w:rPr>
                <w:sz w:val="20"/>
                <w:szCs w:val="20"/>
                <w:color w:val="auto"/>
              </w:rPr>
            </w:pPr>
            <w:r>
              <w:rPr>
                <w:rFonts w:ascii="Courier New" w:cs="Courier New" w:eastAsia="Courier New" w:hAnsi="Courier New"/>
                <w:sz w:val="9"/>
                <w:szCs w:val="9"/>
                <w:b w:val="1"/>
                <w:bCs w:val="1"/>
                <w:color w:val="auto"/>
                <w:w w:val="92"/>
              </w:rPr>
              <w:t>Base</w:t>
            </w: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40" w:type="dxa"/>
            <w:vAlign w:val="bottom"/>
            <w:gridSpan w:val="2"/>
          </w:tcPr>
          <w:p>
            <w:pPr>
              <w:jc w:val="center"/>
              <w:ind w:right="500"/>
              <w:spacing w:after="0" w:line="99" w:lineRule="exact"/>
              <w:rPr>
                <w:sz w:val="20"/>
                <w:szCs w:val="20"/>
                <w:color w:val="auto"/>
              </w:rPr>
            </w:pPr>
            <w:r>
              <w:rPr>
                <w:rFonts w:ascii="Courier New" w:cs="Courier New" w:eastAsia="Courier New" w:hAnsi="Courier New"/>
                <w:sz w:val="9"/>
                <w:szCs w:val="9"/>
                <w:b w:val="1"/>
                <w:bCs w:val="1"/>
                <w:color w:val="auto"/>
              </w:rPr>
              <w:t>Date of</w:t>
            </w:r>
          </w:p>
        </w:tc>
        <w:tc>
          <w:tcPr>
            <w:tcW w:w="1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jc w:val="center"/>
              <w:ind w:right="95"/>
              <w:spacing w:after="0" w:line="99" w:lineRule="exact"/>
              <w:rPr>
                <w:sz w:val="20"/>
                <w:szCs w:val="20"/>
                <w:color w:val="auto"/>
              </w:rPr>
            </w:pPr>
            <w:r>
              <w:rPr>
                <w:rFonts w:ascii="Courier New" w:cs="Courier New" w:eastAsia="Courier New" w:hAnsi="Courier New"/>
                <w:sz w:val="9"/>
                <w:szCs w:val="9"/>
                <w:b w:val="1"/>
                <w:bCs w:val="1"/>
                <w:color w:val="auto"/>
              </w:rPr>
              <w:t>Present</w:t>
            </w:r>
          </w:p>
        </w:tc>
        <w:tc>
          <w:tcPr>
            <w:tcW w:w="0" w:type="dxa"/>
            <w:vAlign w:val="bottom"/>
          </w:tcPr>
          <w:p>
            <w:pPr>
              <w:spacing w:after="0"/>
              <w:rPr>
                <w:sz w:val="1"/>
                <w:szCs w:val="1"/>
                <w:color w:val="auto"/>
              </w:rPr>
            </w:pPr>
          </w:p>
        </w:tc>
      </w:tr>
      <w:tr>
        <w:trPr>
          <w:trHeight w:val="99"/>
        </w:trPr>
        <w:tc>
          <w:tcPr>
            <w:tcW w:w="20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jc w:val="center"/>
              <w:ind w:left="336"/>
              <w:spacing w:after="0" w:line="99" w:lineRule="exact"/>
              <w:rPr>
                <w:sz w:val="20"/>
                <w:szCs w:val="20"/>
                <w:color w:val="auto"/>
              </w:rPr>
            </w:pPr>
            <w:r>
              <w:rPr>
                <w:rFonts w:ascii="Courier New" w:cs="Courier New" w:eastAsia="Courier New" w:hAnsi="Courier New"/>
                <w:sz w:val="9"/>
                <w:szCs w:val="9"/>
                <w:b w:val="1"/>
                <w:bCs w:val="1"/>
                <w:color w:val="auto"/>
              </w:rPr>
              <w:t>Granted</w:t>
            </w: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Pr>
          <w:p>
            <w:pPr>
              <w:jc w:val="center"/>
              <w:ind w:left="276"/>
              <w:spacing w:after="0" w:line="99" w:lineRule="exact"/>
              <w:rPr>
                <w:sz w:val="20"/>
                <w:szCs w:val="20"/>
                <w:color w:val="auto"/>
              </w:rPr>
            </w:pPr>
            <w:r>
              <w:rPr>
                <w:rFonts w:ascii="Courier New" w:cs="Courier New" w:eastAsia="Courier New" w:hAnsi="Courier New"/>
                <w:sz w:val="9"/>
                <w:szCs w:val="9"/>
                <w:b w:val="1"/>
                <w:bCs w:val="1"/>
                <w:color w:val="auto"/>
                <w:w w:val="92"/>
              </w:rPr>
              <w:t>In</w:t>
            </w: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00" w:type="dxa"/>
            <w:vAlign w:val="bottom"/>
          </w:tcPr>
          <w:p>
            <w:pPr>
              <w:jc w:val="center"/>
              <w:ind w:left="336"/>
              <w:spacing w:after="0" w:line="99" w:lineRule="exact"/>
              <w:rPr>
                <w:sz w:val="20"/>
                <w:szCs w:val="20"/>
                <w:color w:val="auto"/>
              </w:rPr>
            </w:pPr>
            <w:r>
              <w:rPr>
                <w:rFonts w:ascii="Courier New" w:cs="Courier New" w:eastAsia="Courier New" w:hAnsi="Courier New"/>
                <w:sz w:val="9"/>
                <w:szCs w:val="9"/>
                <w:b w:val="1"/>
                <w:bCs w:val="1"/>
                <w:color w:val="auto"/>
              </w:rPr>
              <w:t>Price ($</w:t>
            </w: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40" w:type="dxa"/>
            <w:vAlign w:val="bottom"/>
            <w:gridSpan w:val="2"/>
          </w:tcPr>
          <w:p>
            <w:pPr>
              <w:jc w:val="center"/>
              <w:ind w:right="500"/>
              <w:spacing w:after="0" w:line="99" w:lineRule="exact"/>
              <w:rPr>
                <w:sz w:val="20"/>
                <w:szCs w:val="20"/>
                <w:color w:val="auto"/>
              </w:rPr>
            </w:pPr>
            <w:r>
              <w:rPr>
                <w:rFonts w:ascii="Courier New" w:cs="Courier New" w:eastAsia="Courier New" w:hAnsi="Courier New"/>
                <w:sz w:val="9"/>
                <w:szCs w:val="9"/>
                <w:b w:val="1"/>
                <w:bCs w:val="1"/>
                <w:color w:val="auto"/>
                <w:w w:val="97"/>
              </w:rPr>
              <w:t>Grant ($</w:t>
            </w:r>
          </w:p>
        </w:tc>
        <w:tc>
          <w:tcPr>
            <w:tcW w:w="1460" w:type="dxa"/>
            <w:vAlign w:val="bottom"/>
            <w:gridSpan w:val="2"/>
          </w:tcPr>
          <w:p>
            <w:pPr>
              <w:jc w:val="center"/>
              <w:ind w:right="240"/>
              <w:spacing w:after="0" w:line="99" w:lineRule="exact"/>
              <w:rPr>
                <w:sz w:val="20"/>
                <w:szCs w:val="20"/>
                <w:color w:val="auto"/>
              </w:rPr>
            </w:pPr>
            <w:r>
              <w:rPr>
                <w:rFonts w:ascii="Courier New" w:cs="Courier New" w:eastAsia="Courier New" w:hAnsi="Courier New"/>
                <w:sz w:val="9"/>
                <w:szCs w:val="9"/>
                <w:b w:val="1"/>
                <w:bCs w:val="1"/>
                <w:color w:val="auto"/>
                <w:w w:val="99"/>
              </w:rPr>
              <w:t>Expiration</w:t>
            </w:r>
          </w:p>
        </w:tc>
        <w:tc>
          <w:tcPr>
            <w:tcW w:w="140" w:type="dxa"/>
            <w:vAlign w:val="bottom"/>
          </w:tcPr>
          <w:p>
            <w:pPr>
              <w:spacing w:after="0"/>
              <w:rPr>
                <w:sz w:val="8"/>
                <w:szCs w:val="8"/>
                <w:color w:val="auto"/>
              </w:rPr>
            </w:pPr>
          </w:p>
        </w:tc>
        <w:tc>
          <w:tcPr>
            <w:tcW w:w="880" w:type="dxa"/>
            <w:vAlign w:val="bottom"/>
          </w:tcPr>
          <w:p>
            <w:pPr>
              <w:jc w:val="center"/>
              <w:ind w:right="95"/>
              <w:spacing w:after="0" w:line="99" w:lineRule="exact"/>
              <w:rPr>
                <w:sz w:val="20"/>
                <w:szCs w:val="20"/>
                <w:color w:val="auto"/>
              </w:rPr>
            </w:pPr>
            <w:r>
              <w:rPr>
                <w:rFonts w:ascii="Courier New" w:cs="Courier New" w:eastAsia="Courier New" w:hAnsi="Courier New"/>
                <w:sz w:val="9"/>
                <w:szCs w:val="9"/>
                <w:b w:val="1"/>
                <w:bCs w:val="1"/>
                <w:color w:val="auto"/>
                <w:w w:val="96"/>
              </w:rPr>
              <w:t>Value</w:t>
            </w:r>
          </w:p>
        </w:tc>
        <w:tc>
          <w:tcPr>
            <w:tcW w:w="0" w:type="dxa"/>
            <w:vAlign w:val="bottom"/>
          </w:tcPr>
          <w:p>
            <w:pPr>
              <w:spacing w:after="0"/>
              <w:rPr>
                <w:sz w:val="1"/>
                <w:szCs w:val="1"/>
                <w:color w:val="auto"/>
              </w:rPr>
            </w:pPr>
          </w:p>
        </w:tc>
      </w:tr>
      <w:tr>
        <w:trPr>
          <w:trHeight w:val="101"/>
        </w:trPr>
        <w:tc>
          <w:tcPr>
            <w:tcW w:w="2260" w:type="dxa"/>
            <w:vAlign w:val="bottom"/>
            <w:gridSpan w:val="2"/>
          </w:tcPr>
          <w:p>
            <w:pPr>
              <w:spacing w:after="0"/>
              <w:rPr>
                <w:sz w:val="20"/>
                <w:szCs w:val="20"/>
                <w:color w:val="auto"/>
              </w:rPr>
            </w:pPr>
            <w:r>
              <w:rPr>
                <w:rFonts w:ascii="Courier New" w:cs="Courier New" w:eastAsia="Courier New" w:hAnsi="Courier New"/>
                <w:sz w:val="9"/>
                <w:szCs w:val="9"/>
                <w:b w:val="1"/>
                <w:bCs w:val="1"/>
                <w:color w:val="auto"/>
              </w:rPr>
              <w:t>Name</w:t>
            </w:r>
          </w:p>
        </w:tc>
        <w:tc>
          <w:tcPr>
            <w:tcW w:w="1000" w:type="dxa"/>
            <w:vAlign w:val="bottom"/>
          </w:tcPr>
          <w:p>
            <w:pPr>
              <w:jc w:val="center"/>
              <w:ind w:left="336"/>
              <w:spacing w:after="0"/>
              <w:rPr>
                <w:sz w:val="20"/>
                <w:szCs w:val="20"/>
                <w:color w:val="auto"/>
              </w:rPr>
            </w:pPr>
            <w:r>
              <w:rPr>
                <w:rFonts w:ascii="Courier New" w:cs="Courier New" w:eastAsia="Courier New" w:hAnsi="Courier New"/>
                <w:sz w:val="9"/>
                <w:szCs w:val="9"/>
                <w:b w:val="1"/>
                <w:bCs w:val="1"/>
                <w:color w:val="auto"/>
              </w:rPr>
              <w:t>(#)(1)</w:t>
            </w: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Pr>
          <w:p>
            <w:pPr>
              <w:jc w:val="center"/>
              <w:ind w:left="276"/>
              <w:spacing w:after="0"/>
              <w:rPr>
                <w:sz w:val="20"/>
                <w:szCs w:val="20"/>
                <w:color w:val="auto"/>
              </w:rPr>
            </w:pPr>
            <w:r>
              <w:rPr>
                <w:rFonts w:ascii="Courier New" w:cs="Courier New" w:eastAsia="Courier New" w:hAnsi="Courier New"/>
                <w:sz w:val="9"/>
                <w:szCs w:val="9"/>
                <w:b w:val="1"/>
                <w:bCs w:val="1"/>
                <w:color w:val="auto"/>
                <w:w w:val="97"/>
              </w:rPr>
              <w:t>Fiscal Year</w:t>
            </w: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00" w:type="dxa"/>
            <w:vAlign w:val="bottom"/>
          </w:tcPr>
          <w:p>
            <w:pPr>
              <w:jc w:val="center"/>
              <w:ind w:left="356"/>
              <w:spacing w:after="0"/>
              <w:rPr>
                <w:sz w:val="20"/>
                <w:szCs w:val="20"/>
                <w:color w:val="auto"/>
              </w:rPr>
            </w:pPr>
            <w:r>
              <w:rPr>
                <w:rFonts w:ascii="Courier New" w:cs="Courier New" w:eastAsia="Courier New" w:hAnsi="Courier New"/>
                <w:sz w:val="9"/>
                <w:szCs w:val="9"/>
                <w:b w:val="1"/>
                <w:bCs w:val="1"/>
                <w:color w:val="auto"/>
                <w:w w:val="99"/>
              </w:rPr>
              <w:t>Per Share)</w:t>
            </w: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40" w:type="dxa"/>
            <w:vAlign w:val="bottom"/>
            <w:gridSpan w:val="2"/>
          </w:tcPr>
          <w:p>
            <w:pPr>
              <w:jc w:val="center"/>
              <w:ind w:right="500"/>
              <w:spacing w:after="0"/>
              <w:rPr>
                <w:sz w:val="20"/>
                <w:szCs w:val="20"/>
                <w:color w:val="auto"/>
              </w:rPr>
            </w:pPr>
            <w:r>
              <w:rPr>
                <w:rFonts w:ascii="Courier New" w:cs="Courier New" w:eastAsia="Courier New" w:hAnsi="Courier New"/>
                <w:sz w:val="9"/>
                <w:szCs w:val="9"/>
                <w:b w:val="1"/>
                <w:bCs w:val="1"/>
                <w:color w:val="auto"/>
                <w:w w:val="99"/>
              </w:rPr>
              <w:t>Per Share)</w:t>
            </w:r>
          </w:p>
        </w:tc>
        <w:tc>
          <w:tcPr>
            <w:tcW w:w="1460" w:type="dxa"/>
            <w:vAlign w:val="bottom"/>
            <w:gridSpan w:val="2"/>
          </w:tcPr>
          <w:p>
            <w:pPr>
              <w:jc w:val="center"/>
              <w:ind w:right="240"/>
              <w:spacing w:after="0"/>
              <w:rPr>
                <w:sz w:val="20"/>
                <w:szCs w:val="20"/>
                <w:color w:val="auto"/>
              </w:rPr>
            </w:pPr>
            <w:r>
              <w:rPr>
                <w:rFonts w:ascii="Courier New" w:cs="Courier New" w:eastAsia="Courier New" w:hAnsi="Courier New"/>
                <w:sz w:val="9"/>
                <w:szCs w:val="9"/>
                <w:b w:val="1"/>
                <w:bCs w:val="1"/>
                <w:color w:val="auto"/>
              </w:rPr>
              <w:t>Date</w:t>
            </w:r>
          </w:p>
        </w:tc>
        <w:tc>
          <w:tcPr>
            <w:tcW w:w="140" w:type="dxa"/>
            <w:vAlign w:val="bottom"/>
          </w:tcPr>
          <w:p>
            <w:pPr>
              <w:spacing w:after="0"/>
              <w:rPr>
                <w:sz w:val="8"/>
                <w:szCs w:val="8"/>
                <w:color w:val="auto"/>
              </w:rPr>
            </w:pPr>
          </w:p>
        </w:tc>
        <w:tc>
          <w:tcPr>
            <w:tcW w:w="880" w:type="dxa"/>
            <w:vAlign w:val="bottom"/>
          </w:tcPr>
          <w:p>
            <w:pPr>
              <w:jc w:val="center"/>
              <w:ind w:right="115"/>
              <w:spacing w:after="0"/>
              <w:rPr>
                <w:sz w:val="20"/>
                <w:szCs w:val="20"/>
                <w:color w:val="auto"/>
              </w:rPr>
            </w:pPr>
            <w:r>
              <w:rPr>
                <w:rFonts w:ascii="Courier New" w:cs="Courier New" w:eastAsia="Courier New" w:hAnsi="Courier New"/>
                <w:sz w:val="9"/>
                <w:szCs w:val="9"/>
                <w:b w:val="1"/>
                <w:bCs w:val="1"/>
                <w:color w:val="auto"/>
                <w:w w:val="98"/>
              </w:rPr>
              <w:t>($)(2)</w:t>
            </w:r>
          </w:p>
        </w:tc>
        <w:tc>
          <w:tcPr>
            <w:tcW w:w="0" w:type="dxa"/>
            <w:vAlign w:val="bottom"/>
          </w:tcPr>
          <w:p>
            <w:pPr>
              <w:spacing w:after="0"/>
              <w:rPr>
                <w:sz w:val="1"/>
                <w:szCs w:val="1"/>
                <w:color w:val="auto"/>
              </w:rPr>
            </w:pPr>
          </w:p>
        </w:tc>
      </w:tr>
      <w:tr>
        <w:trPr>
          <w:trHeight w:val="59"/>
        </w:trPr>
        <w:tc>
          <w:tcPr>
            <w:tcW w:w="2040" w:type="dxa"/>
            <w:vAlign w:val="bottom"/>
            <w:tcBorders>
              <w:bottom w:val="single" w:sz="8" w:color="808080"/>
            </w:tcBorders>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Borders>
              <w:bottom w:val="single" w:sz="8" w:color="808080"/>
            </w:tcBorders>
          </w:tcPr>
          <w:p>
            <w:pPr>
              <w:spacing w:after="0"/>
              <w:rPr>
                <w:sz w:val="5"/>
                <w:szCs w:val="5"/>
                <w:color w:val="auto"/>
              </w:rPr>
            </w:pPr>
          </w:p>
        </w:tc>
        <w:tc>
          <w:tcPr>
            <w:tcW w:w="360" w:type="dxa"/>
            <w:vAlign w:val="bottom"/>
            <w:tcBorders>
              <w:bottom w:val="single" w:sz="8" w:color="808080"/>
            </w:tcBorders>
          </w:tcPr>
          <w:p>
            <w:pPr>
              <w:spacing w:after="0"/>
              <w:rPr>
                <w:sz w:val="5"/>
                <w:szCs w:val="5"/>
                <w:color w:val="auto"/>
              </w:rPr>
            </w:pPr>
          </w:p>
        </w:tc>
        <w:tc>
          <w:tcPr>
            <w:tcW w:w="240" w:type="dxa"/>
            <w:vAlign w:val="bottom"/>
          </w:tcPr>
          <w:p>
            <w:pPr>
              <w:spacing w:after="0"/>
              <w:rPr>
                <w:sz w:val="5"/>
                <w:szCs w:val="5"/>
                <w:color w:val="auto"/>
              </w:rPr>
            </w:pPr>
          </w:p>
        </w:tc>
        <w:tc>
          <w:tcPr>
            <w:tcW w:w="1020" w:type="dxa"/>
            <w:vAlign w:val="bottom"/>
            <w:tcBorders>
              <w:bottom w:val="single" w:sz="8" w:color="808080"/>
            </w:tcBorders>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220" w:type="dxa"/>
            <w:vAlign w:val="bottom"/>
          </w:tcPr>
          <w:p>
            <w:pPr>
              <w:spacing w:after="0"/>
              <w:rPr>
                <w:sz w:val="5"/>
                <w:szCs w:val="5"/>
                <w:color w:val="auto"/>
              </w:rPr>
            </w:pPr>
          </w:p>
        </w:tc>
        <w:tc>
          <w:tcPr>
            <w:tcW w:w="1100" w:type="dxa"/>
            <w:vAlign w:val="bottom"/>
            <w:tcBorders>
              <w:bottom w:val="single" w:sz="8" w:color="808080"/>
            </w:tcBorders>
          </w:tcPr>
          <w:p>
            <w:pPr>
              <w:spacing w:after="0"/>
              <w:rPr>
                <w:sz w:val="5"/>
                <w:szCs w:val="5"/>
                <w:color w:val="auto"/>
              </w:rPr>
            </w:pPr>
          </w:p>
        </w:tc>
        <w:tc>
          <w:tcPr>
            <w:tcW w:w="380" w:type="dxa"/>
            <w:vAlign w:val="bottom"/>
            <w:tcBorders>
              <w:bottom w:val="single" w:sz="8" w:color="808080"/>
            </w:tcBorders>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1200" w:type="dxa"/>
            <w:vAlign w:val="bottom"/>
            <w:tcBorders>
              <w:bottom w:val="single" w:sz="8" w:color="808080"/>
            </w:tcBorders>
          </w:tcPr>
          <w:p>
            <w:pPr>
              <w:spacing w:after="0"/>
              <w:rPr>
                <w:sz w:val="5"/>
                <w:szCs w:val="5"/>
                <w:color w:val="auto"/>
              </w:rPr>
            </w:pPr>
          </w:p>
        </w:tc>
        <w:tc>
          <w:tcPr>
            <w:tcW w:w="240" w:type="dxa"/>
            <w:vAlign w:val="bottom"/>
          </w:tcPr>
          <w:p>
            <w:pPr>
              <w:spacing w:after="0"/>
              <w:rPr>
                <w:sz w:val="5"/>
                <w:szCs w:val="5"/>
                <w:color w:val="auto"/>
              </w:rPr>
            </w:pPr>
          </w:p>
        </w:tc>
        <w:tc>
          <w:tcPr>
            <w:tcW w:w="1240" w:type="dxa"/>
            <w:vAlign w:val="bottom"/>
            <w:tcBorders>
              <w:bottom w:val="single" w:sz="8" w:color="808080"/>
            </w:tcBorders>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88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253"/>
        </w:trPr>
        <w:tc>
          <w:tcPr>
            <w:tcW w:w="2260" w:type="dxa"/>
            <w:vAlign w:val="bottom"/>
            <w:gridSpan w:val="2"/>
          </w:tcPr>
          <w:p>
            <w:pPr>
              <w:spacing w:after="0"/>
              <w:rPr>
                <w:sz w:val="20"/>
                <w:szCs w:val="20"/>
                <w:color w:val="auto"/>
              </w:rPr>
            </w:pPr>
            <w:r>
              <w:rPr>
                <w:rFonts w:ascii="Courier New" w:cs="Courier New" w:eastAsia="Courier New" w:hAnsi="Courier New"/>
                <w:sz w:val="9"/>
                <w:szCs w:val="9"/>
                <w:color w:val="auto"/>
              </w:rPr>
              <w:t>Kendrick B. Melrose</w:t>
            </w:r>
          </w:p>
        </w:tc>
        <w:tc>
          <w:tcPr>
            <w:tcW w:w="100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Courier New" w:cs="Courier New" w:eastAsia="Courier New" w:hAnsi="Courier New"/>
                <w:sz w:val="9"/>
                <w:szCs w:val="9"/>
                <w:color w:val="auto"/>
              </w:rPr>
              <w:t>48,500</w:t>
            </w:r>
          </w:p>
        </w:tc>
        <w:tc>
          <w:tcPr>
            <w:tcW w:w="1020" w:type="dxa"/>
            <w:vAlign w:val="bottom"/>
          </w:tcPr>
          <w:p>
            <w:pPr>
              <w:spacing w:after="0"/>
              <w:rPr>
                <w:sz w:val="21"/>
                <w:szCs w:val="21"/>
                <w:color w:val="auto"/>
              </w:rPr>
            </w:pPr>
          </w:p>
        </w:tc>
        <w:tc>
          <w:tcPr>
            <w:tcW w:w="540" w:type="dxa"/>
            <w:vAlign w:val="bottom"/>
            <w:gridSpan w:val="2"/>
          </w:tcPr>
          <w:p>
            <w:pPr>
              <w:jc w:val="right"/>
              <w:ind w:right="160"/>
              <w:spacing w:after="0"/>
              <w:rPr>
                <w:sz w:val="20"/>
                <w:szCs w:val="20"/>
                <w:color w:val="auto"/>
              </w:rPr>
            </w:pPr>
            <w:r>
              <w:rPr>
                <w:rFonts w:ascii="Courier New" w:cs="Courier New" w:eastAsia="Courier New" w:hAnsi="Courier New"/>
                <w:sz w:val="9"/>
                <w:szCs w:val="9"/>
                <w:color w:val="auto"/>
              </w:rPr>
              <w:t>12.76%</w:t>
            </w:r>
          </w:p>
        </w:tc>
        <w:tc>
          <w:tcPr>
            <w:tcW w:w="1100" w:type="dxa"/>
            <w:vAlign w:val="bottom"/>
          </w:tcPr>
          <w:p>
            <w:pPr>
              <w:jc w:val="right"/>
              <w:ind w:right="996"/>
              <w:spacing w:after="0"/>
              <w:rPr>
                <w:sz w:val="20"/>
                <w:szCs w:val="20"/>
                <w:color w:val="auto"/>
              </w:rPr>
            </w:pPr>
            <w:r>
              <w:rPr>
                <w:rFonts w:ascii="Courier New" w:cs="Courier New" w:eastAsia="Courier New" w:hAnsi="Courier New"/>
                <w:sz w:val="9"/>
                <w:szCs w:val="9"/>
                <w:color w:val="auto"/>
                <w:w w:val="73"/>
              </w:rPr>
              <w:t>$</w:t>
            </w:r>
          </w:p>
        </w:tc>
        <w:tc>
          <w:tcPr>
            <w:tcW w:w="600" w:type="dxa"/>
            <w:vAlign w:val="bottom"/>
            <w:gridSpan w:val="2"/>
          </w:tcPr>
          <w:p>
            <w:pPr>
              <w:jc w:val="right"/>
              <w:ind w:right="220"/>
              <w:spacing w:after="0"/>
              <w:rPr>
                <w:sz w:val="20"/>
                <w:szCs w:val="20"/>
                <w:color w:val="auto"/>
              </w:rPr>
            </w:pPr>
            <w:r>
              <w:rPr>
                <w:rFonts w:ascii="Courier New" w:cs="Courier New" w:eastAsia="Courier New" w:hAnsi="Courier New"/>
                <w:sz w:val="9"/>
                <w:szCs w:val="9"/>
                <w:color w:val="auto"/>
                <w:w w:val="95"/>
              </w:rPr>
              <w:t>24.9375</w:t>
            </w:r>
          </w:p>
        </w:tc>
        <w:tc>
          <w:tcPr>
            <w:tcW w:w="260" w:type="dxa"/>
            <w:vAlign w:val="bottom"/>
          </w:tcPr>
          <w:p>
            <w:pPr>
              <w:jc w:val="right"/>
              <w:ind w:right="155"/>
              <w:spacing w:after="0"/>
              <w:rPr>
                <w:sz w:val="20"/>
                <w:szCs w:val="20"/>
                <w:color w:val="auto"/>
              </w:rPr>
            </w:pPr>
            <w:r>
              <w:rPr>
                <w:rFonts w:ascii="Courier New" w:cs="Courier New" w:eastAsia="Courier New" w:hAnsi="Courier New"/>
                <w:sz w:val="9"/>
                <w:szCs w:val="9"/>
                <w:color w:val="auto"/>
                <w:w w:val="73"/>
              </w:rPr>
              <w:t>$</w:t>
            </w:r>
          </w:p>
        </w:tc>
        <w:tc>
          <w:tcPr>
            <w:tcW w:w="1440" w:type="dxa"/>
            <w:vAlign w:val="bottom"/>
            <w:gridSpan w:val="2"/>
          </w:tcPr>
          <w:p>
            <w:pPr>
              <w:jc w:val="right"/>
              <w:ind w:right="240"/>
              <w:spacing w:after="0"/>
              <w:rPr>
                <w:sz w:val="20"/>
                <w:szCs w:val="20"/>
                <w:color w:val="auto"/>
              </w:rPr>
            </w:pPr>
            <w:r>
              <w:rPr>
                <w:rFonts w:ascii="Courier New" w:cs="Courier New" w:eastAsia="Courier New" w:hAnsi="Courier New"/>
                <w:sz w:val="9"/>
                <w:szCs w:val="9"/>
                <w:color w:val="auto"/>
              </w:rPr>
              <w:t>24.9375</w:t>
            </w:r>
          </w:p>
        </w:tc>
        <w:tc>
          <w:tcPr>
            <w:tcW w:w="1460" w:type="dxa"/>
            <w:vAlign w:val="bottom"/>
            <w:gridSpan w:val="2"/>
          </w:tcPr>
          <w:p>
            <w:pPr>
              <w:jc w:val="right"/>
              <w:ind w:right="220"/>
              <w:spacing w:after="0"/>
              <w:rPr>
                <w:sz w:val="20"/>
                <w:szCs w:val="20"/>
                <w:color w:val="auto"/>
              </w:rPr>
            </w:pPr>
            <w:r>
              <w:rPr>
                <w:rFonts w:ascii="Courier New" w:cs="Courier New" w:eastAsia="Courier New" w:hAnsi="Courier New"/>
                <w:sz w:val="9"/>
                <w:szCs w:val="9"/>
                <w:color w:val="auto"/>
              </w:rPr>
              <w:t>11/18/2008</w:t>
            </w:r>
          </w:p>
        </w:tc>
        <w:tc>
          <w:tcPr>
            <w:tcW w:w="140" w:type="dxa"/>
            <w:vAlign w:val="bottom"/>
          </w:tcPr>
          <w:p>
            <w:pPr>
              <w:jc w:val="right"/>
              <w:ind w:right="35"/>
              <w:spacing w:after="0"/>
              <w:rPr>
                <w:sz w:val="20"/>
                <w:szCs w:val="20"/>
                <w:color w:val="auto"/>
              </w:rPr>
            </w:pPr>
            <w:r>
              <w:rPr>
                <w:rFonts w:ascii="Courier New" w:cs="Courier New" w:eastAsia="Courier New" w:hAnsi="Courier New"/>
                <w:sz w:val="9"/>
                <w:szCs w:val="9"/>
                <w:color w:val="auto"/>
                <w:w w:val="73"/>
              </w:rPr>
              <w:t>$</w:t>
            </w:r>
          </w:p>
        </w:tc>
        <w:tc>
          <w:tcPr>
            <w:tcW w:w="880" w:type="dxa"/>
            <w:vAlign w:val="bottom"/>
          </w:tcPr>
          <w:p>
            <w:pPr>
              <w:jc w:val="right"/>
              <w:spacing w:after="0"/>
              <w:rPr>
                <w:sz w:val="20"/>
                <w:szCs w:val="20"/>
                <w:color w:val="auto"/>
              </w:rPr>
            </w:pPr>
            <w:r>
              <w:rPr>
                <w:rFonts w:ascii="Courier New" w:cs="Courier New" w:eastAsia="Courier New" w:hAnsi="Courier New"/>
                <w:sz w:val="9"/>
                <w:szCs w:val="9"/>
                <w:color w:val="auto"/>
              </w:rPr>
              <w:t>414,190</w:t>
            </w:r>
          </w:p>
        </w:tc>
        <w:tc>
          <w:tcPr>
            <w:tcW w:w="0" w:type="dxa"/>
            <w:vAlign w:val="bottom"/>
          </w:tcPr>
          <w:p>
            <w:pPr>
              <w:spacing w:after="0"/>
              <w:rPr>
                <w:sz w:val="1"/>
                <w:szCs w:val="1"/>
                <w:color w:val="auto"/>
              </w:rPr>
            </w:pPr>
          </w:p>
        </w:tc>
      </w:tr>
      <w:tr>
        <w:trPr>
          <w:trHeight w:val="99"/>
        </w:trPr>
        <w:tc>
          <w:tcPr>
            <w:tcW w:w="2260" w:type="dxa"/>
            <w:vAlign w:val="bottom"/>
            <w:gridSpan w:val="2"/>
          </w:tcPr>
          <w:p>
            <w:pPr>
              <w:spacing w:after="0" w:line="99" w:lineRule="exact"/>
              <w:rPr>
                <w:sz w:val="20"/>
                <w:szCs w:val="20"/>
                <w:color w:val="auto"/>
              </w:rPr>
            </w:pPr>
            <w:r>
              <w:rPr>
                <w:rFonts w:ascii="Courier New" w:cs="Courier New" w:eastAsia="Courier New" w:hAnsi="Courier New"/>
                <w:sz w:val="9"/>
                <w:szCs w:val="9"/>
                <w:color w:val="auto"/>
              </w:rPr>
              <w:t>J. David McIntosh</w:t>
            </w:r>
          </w:p>
        </w:tc>
        <w:tc>
          <w:tcPr>
            <w:tcW w:w="1000" w:type="dxa"/>
            <w:vAlign w:val="bottom"/>
          </w:tcPr>
          <w:p>
            <w:pPr>
              <w:spacing w:after="0"/>
              <w:rPr>
                <w:sz w:val="8"/>
                <w:szCs w:val="8"/>
                <w:color w:val="auto"/>
              </w:rPr>
            </w:pPr>
          </w:p>
        </w:tc>
        <w:tc>
          <w:tcPr>
            <w:tcW w:w="600" w:type="dxa"/>
            <w:vAlign w:val="bottom"/>
            <w:gridSpan w:val="2"/>
          </w:tcPr>
          <w:p>
            <w:pPr>
              <w:jc w:val="right"/>
              <w:ind w:right="240"/>
              <w:spacing w:after="0" w:line="99" w:lineRule="exact"/>
              <w:rPr>
                <w:sz w:val="20"/>
                <w:szCs w:val="20"/>
                <w:color w:val="auto"/>
              </w:rPr>
            </w:pPr>
            <w:r>
              <w:rPr>
                <w:rFonts w:ascii="Courier New" w:cs="Courier New" w:eastAsia="Courier New" w:hAnsi="Courier New"/>
                <w:sz w:val="9"/>
                <w:szCs w:val="9"/>
                <w:color w:val="auto"/>
              </w:rPr>
              <w:t>16,000</w:t>
            </w:r>
          </w:p>
        </w:tc>
        <w:tc>
          <w:tcPr>
            <w:tcW w:w="1020" w:type="dxa"/>
            <w:vAlign w:val="bottom"/>
          </w:tcPr>
          <w:p>
            <w:pPr>
              <w:spacing w:after="0"/>
              <w:rPr>
                <w:sz w:val="8"/>
                <w:szCs w:val="8"/>
                <w:color w:val="auto"/>
              </w:rPr>
            </w:pPr>
          </w:p>
        </w:tc>
        <w:tc>
          <w:tcPr>
            <w:tcW w:w="540" w:type="dxa"/>
            <w:vAlign w:val="bottom"/>
            <w:gridSpan w:val="2"/>
          </w:tcPr>
          <w:p>
            <w:pPr>
              <w:jc w:val="right"/>
              <w:ind w:right="160"/>
              <w:spacing w:after="0" w:line="99" w:lineRule="exact"/>
              <w:rPr>
                <w:sz w:val="20"/>
                <w:szCs w:val="20"/>
                <w:color w:val="auto"/>
              </w:rPr>
            </w:pPr>
            <w:r>
              <w:rPr>
                <w:rFonts w:ascii="Courier New" w:cs="Courier New" w:eastAsia="Courier New" w:hAnsi="Courier New"/>
                <w:sz w:val="9"/>
                <w:szCs w:val="9"/>
                <w:color w:val="auto"/>
              </w:rPr>
              <w:t>4.21%</w:t>
            </w:r>
          </w:p>
        </w:tc>
        <w:tc>
          <w:tcPr>
            <w:tcW w:w="1100" w:type="dxa"/>
            <w:vAlign w:val="bottom"/>
          </w:tcPr>
          <w:p>
            <w:pPr>
              <w:spacing w:after="0"/>
              <w:rPr>
                <w:sz w:val="8"/>
                <w:szCs w:val="8"/>
                <w:color w:val="auto"/>
              </w:rPr>
            </w:pPr>
          </w:p>
        </w:tc>
        <w:tc>
          <w:tcPr>
            <w:tcW w:w="600" w:type="dxa"/>
            <w:vAlign w:val="bottom"/>
            <w:gridSpan w:val="2"/>
          </w:tcPr>
          <w:p>
            <w:pPr>
              <w:jc w:val="right"/>
              <w:ind w:right="220"/>
              <w:spacing w:after="0" w:line="99" w:lineRule="exact"/>
              <w:rPr>
                <w:sz w:val="20"/>
                <w:szCs w:val="20"/>
                <w:color w:val="auto"/>
              </w:rPr>
            </w:pPr>
            <w:r>
              <w:rPr>
                <w:rFonts w:ascii="Courier New" w:cs="Courier New" w:eastAsia="Courier New" w:hAnsi="Courier New"/>
                <w:sz w:val="9"/>
                <w:szCs w:val="9"/>
                <w:color w:val="auto"/>
                <w:w w:val="95"/>
              </w:rPr>
              <w:t>24.9375</w:t>
            </w:r>
          </w:p>
        </w:tc>
        <w:tc>
          <w:tcPr>
            <w:tcW w:w="260" w:type="dxa"/>
            <w:vAlign w:val="bottom"/>
          </w:tcPr>
          <w:p>
            <w:pPr>
              <w:spacing w:after="0"/>
              <w:rPr>
                <w:sz w:val="8"/>
                <w:szCs w:val="8"/>
                <w:color w:val="auto"/>
              </w:rPr>
            </w:pPr>
          </w:p>
        </w:tc>
        <w:tc>
          <w:tcPr>
            <w:tcW w:w="1440" w:type="dxa"/>
            <w:vAlign w:val="bottom"/>
            <w:gridSpan w:val="2"/>
          </w:tcPr>
          <w:p>
            <w:pPr>
              <w:jc w:val="right"/>
              <w:ind w:right="240"/>
              <w:spacing w:after="0" w:line="99" w:lineRule="exact"/>
              <w:rPr>
                <w:sz w:val="20"/>
                <w:szCs w:val="20"/>
                <w:color w:val="auto"/>
              </w:rPr>
            </w:pPr>
            <w:r>
              <w:rPr>
                <w:rFonts w:ascii="Courier New" w:cs="Courier New" w:eastAsia="Courier New" w:hAnsi="Courier New"/>
                <w:sz w:val="9"/>
                <w:szCs w:val="9"/>
                <w:color w:val="auto"/>
              </w:rPr>
              <w:t>24.9375</w:t>
            </w:r>
          </w:p>
        </w:tc>
        <w:tc>
          <w:tcPr>
            <w:tcW w:w="1460" w:type="dxa"/>
            <w:vAlign w:val="bottom"/>
            <w:gridSpan w:val="2"/>
          </w:tcPr>
          <w:p>
            <w:pPr>
              <w:jc w:val="right"/>
              <w:ind w:right="220"/>
              <w:spacing w:after="0" w:line="99" w:lineRule="exact"/>
              <w:rPr>
                <w:sz w:val="20"/>
                <w:szCs w:val="20"/>
                <w:color w:val="auto"/>
              </w:rPr>
            </w:pPr>
            <w:r>
              <w:rPr>
                <w:rFonts w:ascii="Courier New" w:cs="Courier New" w:eastAsia="Courier New" w:hAnsi="Courier New"/>
                <w:sz w:val="9"/>
                <w:szCs w:val="9"/>
                <w:color w:val="auto"/>
              </w:rPr>
              <w:t>11/18/2008</w:t>
            </w:r>
          </w:p>
        </w:tc>
        <w:tc>
          <w:tcPr>
            <w:tcW w:w="140" w:type="dxa"/>
            <w:vAlign w:val="bottom"/>
          </w:tcPr>
          <w:p>
            <w:pPr>
              <w:spacing w:after="0"/>
              <w:rPr>
                <w:sz w:val="8"/>
                <w:szCs w:val="8"/>
                <w:color w:val="auto"/>
              </w:rPr>
            </w:pPr>
          </w:p>
        </w:tc>
        <w:tc>
          <w:tcPr>
            <w:tcW w:w="880" w:type="dxa"/>
            <w:vAlign w:val="bottom"/>
          </w:tcPr>
          <w:p>
            <w:pPr>
              <w:jc w:val="right"/>
              <w:spacing w:after="0" w:line="99" w:lineRule="exact"/>
              <w:rPr>
                <w:sz w:val="20"/>
                <w:szCs w:val="20"/>
                <w:color w:val="auto"/>
              </w:rPr>
            </w:pPr>
            <w:r>
              <w:rPr>
                <w:rFonts w:ascii="Courier New" w:cs="Courier New" w:eastAsia="Courier New" w:hAnsi="Courier New"/>
                <w:sz w:val="9"/>
                <w:szCs w:val="9"/>
                <w:color w:val="auto"/>
              </w:rPr>
              <w:t>136,640</w:t>
            </w:r>
          </w:p>
        </w:tc>
        <w:tc>
          <w:tcPr>
            <w:tcW w:w="0" w:type="dxa"/>
            <w:vAlign w:val="bottom"/>
          </w:tcPr>
          <w:p>
            <w:pPr>
              <w:spacing w:after="0"/>
              <w:rPr>
                <w:sz w:val="1"/>
                <w:szCs w:val="1"/>
                <w:color w:val="auto"/>
              </w:rPr>
            </w:pPr>
          </w:p>
        </w:tc>
      </w:tr>
      <w:tr>
        <w:trPr>
          <w:trHeight w:val="101"/>
        </w:trPr>
        <w:tc>
          <w:tcPr>
            <w:tcW w:w="2260" w:type="dxa"/>
            <w:vAlign w:val="bottom"/>
            <w:gridSpan w:val="2"/>
          </w:tcPr>
          <w:p>
            <w:pPr>
              <w:spacing w:after="0"/>
              <w:rPr>
                <w:sz w:val="20"/>
                <w:szCs w:val="20"/>
                <w:color w:val="auto"/>
              </w:rPr>
            </w:pPr>
            <w:r>
              <w:rPr>
                <w:rFonts w:ascii="Courier New" w:cs="Courier New" w:eastAsia="Courier New" w:hAnsi="Courier New"/>
                <w:sz w:val="9"/>
                <w:szCs w:val="9"/>
                <w:color w:val="auto"/>
              </w:rPr>
              <w:t>Stephen P. Wolfe</w:t>
            </w:r>
          </w:p>
        </w:tc>
        <w:tc>
          <w:tcPr>
            <w:tcW w:w="1000" w:type="dxa"/>
            <w:vAlign w:val="bottom"/>
          </w:tcPr>
          <w:p>
            <w:pPr>
              <w:spacing w:after="0"/>
              <w:rPr>
                <w:sz w:val="8"/>
                <w:szCs w:val="8"/>
                <w:color w:val="auto"/>
              </w:rPr>
            </w:pPr>
          </w:p>
        </w:tc>
        <w:tc>
          <w:tcPr>
            <w:tcW w:w="600" w:type="dxa"/>
            <w:vAlign w:val="bottom"/>
            <w:gridSpan w:val="2"/>
          </w:tcPr>
          <w:p>
            <w:pPr>
              <w:jc w:val="right"/>
              <w:ind w:right="240"/>
              <w:spacing w:after="0"/>
              <w:rPr>
                <w:sz w:val="20"/>
                <w:szCs w:val="20"/>
                <w:color w:val="auto"/>
              </w:rPr>
            </w:pPr>
            <w:r>
              <w:rPr>
                <w:rFonts w:ascii="Courier New" w:cs="Courier New" w:eastAsia="Courier New" w:hAnsi="Courier New"/>
                <w:sz w:val="9"/>
                <w:szCs w:val="9"/>
                <w:color w:val="auto"/>
              </w:rPr>
              <w:t>13,200</w:t>
            </w:r>
          </w:p>
        </w:tc>
        <w:tc>
          <w:tcPr>
            <w:tcW w:w="1020" w:type="dxa"/>
            <w:vAlign w:val="bottom"/>
          </w:tcPr>
          <w:p>
            <w:pPr>
              <w:spacing w:after="0"/>
              <w:rPr>
                <w:sz w:val="8"/>
                <w:szCs w:val="8"/>
                <w:color w:val="auto"/>
              </w:rPr>
            </w:pPr>
          </w:p>
        </w:tc>
        <w:tc>
          <w:tcPr>
            <w:tcW w:w="540" w:type="dxa"/>
            <w:vAlign w:val="bottom"/>
            <w:gridSpan w:val="2"/>
          </w:tcPr>
          <w:p>
            <w:pPr>
              <w:jc w:val="right"/>
              <w:ind w:right="160"/>
              <w:spacing w:after="0"/>
              <w:rPr>
                <w:sz w:val="20"/>
                <w:szCs w:val="20"/>
                <w:color w:val="auto"/>
              </w:rPr>
            </w:pPr>
            <w:r>
              <w:rPr>
                <w:rFonts w:ascii="Courier New" w:cs="Courier New" w:eastAsia="Courier New" w:hAnsi="Courier New"/>
                <w:sz w:val="9"/>
                <w:szCs w:val="9"/>
                <w:color w:val="auto"/>
              </w:rPr>
              <w:t>3.47%</w:t>
            </w:r>
          </w:p>
        </w:tc>
        <w:tc>
          <w:tcPr>
            <w:tcW w:w="1100" w:type="dxa"/>
            <w:vAlign w:val="bottom"/>
          </w:tcPr>
          <w:p>
            <w:pPr>
              <w:spacing w:after="0"/>
              <w:rPr>
                <w:sz w:val="8"/>
                <w:szCs w:val="8"/>
                <w:color w:val="auto"/>
              </w:rPr>
            </w:pPr>
          </w:p>
        </w:tc>
        <w:tc>
          <w:tcPr>
            <w:tcW w:w="600" w:type="dxa"/>
            <w:vAlign w:val="bottom"/>
            <w:gridSpan w:val="2"/>
          </w:tcPr>
          <w:p>
            <w:pPr>
              <w:jc w:val="right"/>
              <w:ind w:right="220"/>
              <w:spacing w:after="0"/>
              <w:rPr>
                <w:sz w:val="20"/>
                <w:szCs w:val="20"/>
                <w:color w:val="auto"/>
              </w:rPr>
            </w:pPr>
            <w:r>
              <w:rPr>
                <w:rFonts w:ascii="Courier New" w:cs="Courier New" w:eastAsia="Courier New" w:hAnsi="Courier New"/>
                <w:sz w:val="9"/>
                <w:szCs w:val="9"/>
                <w:color w:val="auto"/>
                <w:w w:val="95"/>
              </w:rPr>
              <w:t>24.9375</w:t>
            </w:r>
          </w:p>
        </w:tc>
        <w:tc>
          <w:tcPr>
            <w:tcW w:w="260" w:type="dxa"/>
            <w:vAlign w:val="bottom"/>
          </w:tcPr>
          <w:p>
            <w:pPr>
              <w:spacing w:after="0"/>
              <w:rPr>
                <w:sz w:val="8"/>
                <w:szCs w:val="8"/>
                <w:color w:val="auto"/>
              </w:rPr>
            </w:pPr>
          </w:p>
        </w:tc>
        <w:tc>
          <w:tcPr>
            <w:tcW w:w="1440" w:type="dxa"/>
            <w:vAlign w:val="bottom"/>
            <w:gridSpan w:val="2"/>
          </w:tcPr>
          <w:p>
            <w:pPr>
              <w:jc w:val="right"/>
              <w:ind w:right="240"/>
              <w:spacing w:after="0"/>
              <w:rPr>
                <w:sz w:val="20"/>
                <w:szCs w:val="20"/>
                <w:color w:val="auto"/>
              </w:rPr>
            </w:pPr>
            <w:r>
              <w:rPr>
                <w:rFonts w:ascii="Courier New" w:cs="Courier New" w:eastAsia="Courier New" w:hAnsi="Courier New"/>
                <w:sz w:val="9"/>
                <w:szCs w:val="9"/>
                <w:color w:val="auto"/>
              </w:rPr>
              <w:t>24.9375</w:t>
            </w:r>
          </w:p>
        </w:tc>
        <w:tc>
          <w:tcPr>
            <w:tcW w:w="1460" w:type="dxa"/>
            <w:vAlign w:val="bottom"/>
            <w:gridSpan w:val="2"/>
          </w:tcPr>
          <w:p>
            <w:pPr>
              <w:jc w:val="right"/>
              <w:ind w:right="220"/>
              <w:spacing w:after="0"/>
              <w:rPr>
                <w:sz w:val="20"/>
                <w:szCs w:val="20"/>
                <w:color w:val="auto"/>
              </w:rPr>
            </w:pPr>
            <w:r>
              <w:rPr>
                <w:rFonts w:ascii="Courier New" w:cs="Courier New" w:eastAsia="Courier New" w:hAnsi="Courier New"/>
                <w:sz w:val="9"/>
                <w:szCs w:val="9"/>
                <w:color w:val="auto"/>
              </w:rPr>
              <w:t>11/18/2008</w:t>
            </w:r>
          </w:p>
        </w:tc>
        <w:tc>
          <w:tcPr>
            <w:tcW w:w="140" w:type="dxa"/>
            <w:vAlign w:val="bottom"/>
          </w:tcPr>
          <w:p>
            <w:pPr>
              <w:spacing w:after="0"/>
              <w:rPr>
                <w:sz w:val="8"/>
                <w:szCs w:val="8"/>
                <w:color w:val="auto"/>
              </w:rPr>
            </w:pPr>
          </w:p>
        </w:tc>
        <w:tc>
          <w:tcPr>
            <w:tcW w:w="880" w:type="dxa"/>
            <w:vAlign w:val="bottom"/>
          </w:tcPr>
          <w:p>
            <w:pPr>
              <w:jc w:val="right"/>
              <w:spacing w:after="0"/>
              <w:rPr>
                <w:sz w:val="20"/>
                <w:szCs w:val="20"/>
                <w:color w:val="auto"/>
              </w:rPr>
            </w:pPr>
            <w:r>
              <w:rPr>
                <w:rFonts w:ascii="Courier New" w:cs="Courier New" w:eastAsia="Courier New" w:hAnsi="Courier New"/>
                <w:sz w:val="9"/>
                <w:szCs w:val="9"/>
                <w:color w:val="auto"/>
              </w:rPr>
              <w:t>112,728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5443220</wp:posOffset>
            </wp:positionH>
            <wp:positionV relativeFrom="paragraph">
              <wp:posOffset>-824230</wp:posOffset>
            </wp:positionV>
            <wp:extent cx="12700" cy="57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1437005</wp:posOffset>
            </wp:positionH>
            <wp:positionV relativeFrom="paragraph">
              <wp:posOffset>-824230</wp:posOffset>
            </wp:positionV>
            <wp:extent cx="12700" cy="57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7163435</wp:posOffset>
            </wp:positionH>
            <wp:positionV relativeFrom="paragraph">
              <wp:posOffset>-647065</wp:posOffset>
            </wp:positionV>
            <wp:extent cx="12700" cy="57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6523355</wp:posOffset>
            </wp:positionH>
            <wp:positionV relativeFrom="paragraph">
              <wp:posOffset>-647065</wp:posOffset>
            </wp:positionV>
            <wp:extent cx="12700" cy="57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2294255</wp:posOffset>
            </wp:positionH>
            <wp:positionV relativeFrom="paragraph">
              <wp:posOffset>-298450</wp:posOffset>
            </wp:positionV>
            <wp:extent cx="12700" cy="57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1437005</wp:posOffset>
            </wp:positionH>
            <wp:positionV relativeFrom="paragraph">
              <wp:posOffset>-298450</wp:posOffset>
            </wp:positionV>
            <wp:extent cx="12700" cy="57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3294380</wp:posOffset>
            </wp:positionH>
            <wp:positionV relativeFrom="paragraph">
              <wp:posOffset>-298450</wp:posOffset>
            </wp:positionV>
            <wp:extent cx="12700" cy="57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2442845</wp:posOffset>
            </wp:positionH>
            <wp:positionV relativeFrom="paragraph">
              <wp:posOffset>-298450</wp:posOffset>
            </wp:positionV>
            <wp:extent cx="12700" cy="57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4368800</wp:posOffset>
            </wp:positionH>
            <wp:positionV relativeFrom="paragraph">
              <wp:posOffset>-298450</wp:posOffset>
            </wp:positionV>
            <wp:extent cx="12700" cy="57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-298450</wp:posOffset>
            </wp:positionV>
            <wp:extent cx="12700" cy="57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5443220</wp:posOffset>
            </wp:positionH>
            <wp:positionV relativeFrom="paragraph">
              <wp:posOffset>-298450</wp:posOffset>
            </wp:positionV>
            <wp:extent cx="12700" cy="57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4517390</wp:posOffset>
            </wp:positionH>
            <wp:positionV relativeFrom="paragraph">
              <wp:posOffset>-298450</wp:posOffset>
            </wp:positionV>
            <wp:extent cx="12700" cy="57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1282700</wp:posOffset>
            </wp:positionH>
            <wp:positionV relativeFrom="paragraph">
              <wp:posOffset>-298450</wp:posOffset>
            </wp:positionV>
            <wp:extent cx="12700" cy="57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-298450</wp:posOffset>
            </wp:positionV>
            <wp:extent cx="12700" cy="57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-298450</wp:posOffset>
            </wp:positionV>
            <wp:extent cx="12700" cy="57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5591810</wp:posOffset>
            </wp:positionH>
            <wp:positionV relativeFrom="paragraph">
              <wp:posOffset>-298450</wp:posOffset>
            </wp:positionV>
            <wp:extent cx="12700" cy="57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7163435</wp:posOffset>
            </wp:positionH>
            <wp:positionV relativeFrom="paragraph">
              <wp:posOffset>-298450</wp:posOffset>
            </wp:positionV>
            <wp:extent cx="12700" cy="57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6523355</wp:posOffset>
            </wp:positionH>
            <wp:positionV relativeFrom="paragraph">
              <wp:posOffset>-298450</wp:posOffset>
            </wp:positionV>
            <wp:extent cx="12700" cy="57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917" w:orient="portrait"/>
          <w:cols w:equalWidth="0" w:num="1">
            <w:col w:w="11300"/>
          </w:cols>
          <w:pgMar w:left="300" w:top="134" w:right="299" w:bottom="0" w:gutter="0" w:footer="0" w:header="0"/>
        </w:sectPr>
      </w:pPr>
    </w:p>
    <w:bookmarkStart w:id="5" w:name="page6"/>
    <w:bookmarkEnd w:id="5"/>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02"/>
        </w:trPr>
        <w:tc>
          <w:tcPr>
            <w:tcW w:w="1080" w:type="dxa"/>
            <w:vAlign w:val="bottom"/>
          </w:tcPr>
          <w:p>
            <w:pPr>
              <w:spacing w:after="0"/>
              <w:rPr>
                <w:sz w:val="20"/>
                <w:szCs w:val="20"/>
                <w:color w:val="auto"/>
              </w:rPr>
            </w:pPr>
            <w:r>
              <w:rPr>
                <w:rFonts w:ascii="Courier New" w:cs="Courier New" w:eastAsia="Courier New" w:hAnsi="Courier New"/>
                <w:sz w:val="9"/>
                <w:szCs w:val="9"/>
                <w:color w:val="auto"/>
              </w:rPr>
              <w:t>Karen M. Meyer</w:t>
            </w:r>
          </w:p>
        </w:tc>
        <w:tc>
          <w:tcPr>
            <w:tcW w:w="3220" w:type="dxa"/>
            <w:vAlign w:val="bottom"/>
          </w:tcPr>
          <w:p>
            <w:pPr>
              <w:jc w:val="right"/>
              <w:ind w:right="635"/>
              <w:spacing w:after="0"/>
              <w:rPr>
                <w:sz w:val="20"/>
                <w:szCs w:val="20"/>
                <w:color w:val="auto"/>
              </w:rPr>
            </w:pPr>
            <w:r>
              <w:rPr>
                <w:rFonts w:ascii="Courier New" w:cs="Courier New" w:eastAsia="Courier New" w:hAnsi="Courier New"/>
                <w:sz w:val="9"/>
                <w:szCs w:val="9"/>
                <w:color w:val="auto"/>
              </w:rPr>
              <w:t>12,700</w:t>
            </w:r>
          </w:p>
        </w:tc>
        <w:tc>
          <w:tcPr>
            <w:tcW w:w="1580" w:type="dxa"/>
            <w:vAlign w:val="bottom"/>
          </w:tcPr>
          <w:p>
            <w:pPr>
              <w:jc w:val="right"/>
              <w:ind w:right="575"/>
              <w:spacing w:after="0"/>
              <w:rPr>
                <w:sz w:val="20"/>
                <w:szCs w:val="20"/>
                <w:color w:val="auto"/>
              </w:rPr>
            </w:pPr>
            <w:r>
              <w:rPr>
                <w:rFonts w:ascii="Courier New" w:cs="Courier New" w:eastAsia="Courier New" w:hAnsi="Courier New"/>
                <w:sz w:val="9"/>
                <w:szCs w:val="9"/>
                <w:color w:val="auto"/>
              </w:rPr>
              <w:t>3.34%</w:t>
            </w:r>
          </w:p>
        </w:tc>
        <w:tc>
          <w:tcPr>
            <w:tcW w:w="1680" w:type="dxa"/>
            <w:vAlign w:val="bottom"/>
          </w:tcPr>
          <w:p>
            <w:pPr>
              <w:jc w:val="right"/>
              <w:ind w:right="615"/>
              <w:spacing w:after="0"/>
              <w:rPr>
                <w:sz w:val="20"/>
                <w:szCs w:val="20"/>
                <w:color w:val="auto"/>
              </w:rPr>
            </w:pPr>
            <w:r>
              <w:rPr>
                <w:rFonts w:ascii="Courier New" w:cs="Courier New" w:eastAsia="Courier New" w:hAnsi="Courier New"/>
                <w:sz w:val="9"/>
                <w:szCs w:val="9"/>
                <w:color w:val="auto"/>
              </w:rPr>
              <w:t>24.9375</w:t>
            </w:r>
          </w:p>
        </w:tc>
        <w:tc>
          <w:tcPr>
            <w:tcW w:w="1500" w:type="dxa"/>
            <w:vAlign w:val="bottom"/>
          </w:tcPr>
          <w:p>
            <w:pPr>
              <w:jc w:val="right"/>
              <w:ind w:right="435"/>
              <w:spacing w:after="0"/>
              <w:rPr>
                <w:sz w:val="20"/>
                <w:szCs w:val="20"/>
                <w:color w:val="auto"/>
              </w:rPr>
            </w:pPr>
            <w:r>
              <w:rPr>
                <w:rFonts w:ascii="Courier New" w:cs="Courier New" w:eastAsia="Courier New" w:hAnsi="Courier New"/>
                <w:sz w:val="9"/>
                <w:szCs w:val="9"/>
                <w:color w:val="auto"/>
              </w:rPr>
              <w:t>24.9375</w:t>
            </w:r>
          </w:p>
        </w:tc>
        <w:tc>
          <w:tcPr>
            <w:tcW w:w="1420" w:type="dxa"/>
            <w:vAlign w:val="bottom"/>
          </w:tcPr>
          <w:p>
            <w:pPr>
              <w:jc w:val="right"/>
              <w:ind w:right="375"/>
              <w:spacing w:after="0"/>
              <w:rPr>
                <w:sz w:val="20"/>
                <w:szCs w:val="20"/>
                <w:color w:val="auto"/>
              </w:rPr>
            </w:pPr>
            <w:r>
              <w:rPr>
                <w:rFonts w:ascii="Courier New" w:cs="Courier New" w:eastAsia="Courier New" w:hAnsi="Courier New"/>
                <w:sz w:val="9"/>
                <w:szCs w:val="9"/>
                <w:color w:val="auto"/>
              </w:rPr>
              <w:t>11/18/2008</w:t>
            </w:r>
          </w:p>
        </w:tc>
        <w:tc>
          <w:tcPr>
            <w:tcW w:w="820" w:type="dxa"/>
            <w:vAlign w:val="bottom"/>
          </w:tcPr>
          <w:p>
            <w:pPr>
              <w:jc w:val="right"/>
              <w:spacing w:after="0"/>
              <w:rPr>
                <w:sz w:val="20"/>
                <w:szCs w:val="20"/>
                <w:color w:val="auto"/>
              </w:rPr>
            </w:pPr>
            <w:r>
              <w:rPr>
                <w:rFonts w:ascii="Courier New" w:cs="Courier New" w:eastAsia="Courier New" w:hAnsi="Courier New"/>
                <w:sz w:val="9"/>
                <w:szCs w:val="9"/>
                <w:color w:val="auto"/>
              </w:rPr>
              <w:t>108,458</w:t>
            </w:r>
          </w:p>
        </w:tc>
      </w:tr>
      <w:tr>
        <w:trPr>
          <w:trHeight w:val="101"/>
        </w:trPr>
        <w:tc>
          <w:tcPr>
            <w:tcW w:w="1080" w:type="dxa"/>
            <w:vAlign w:val="bottom"/>
          </w:tcPr>
          <w:p>
            <w:pPr>
              <w:spacing w:after="0"/>
              <w:rPr>
                <w:sz w:val="20"/>
                <w:szCs w:val="20"/>
                <w:color w:val="auto"/>
              </w:rPr>
            </w:pPr>
            <w:r>
              <w:rPr>
                <w:rFonts w:ascii="Courier New" w:cs="Courier New" w:eastAsia="Courier New" w:hAnsi="Courier New"/>
                <w:sz w:val="9"/>
                <w:szCs w:val="9"/>
                <w:color w:val="auto"/>
                <w:w w:val="98"/>
              </w:rPr>
              <w:t>J. Lawrence McIntyre</w:t>
            </w:r>
          </w:p>
        </w:tc>
        <w:tc>
          <w:tcPr>
            <w:tcW w:w="3220" w:type="dxa"/>
            <w:vAlign w:val="bottom"/>
          </w:tcPr>
          <w:p>
            <w:pPr>
              <w:jc w:val="right"/>
              <w:ind w:right="635"/>
              <w:spacing w:after="0"/>
              <w:rPr>
                <w:sz w:val="20"/>
                <w:szCs w:val="20"/>
                <w:color w:val="auto"/>
              </w:rPr>
            </w:pPr>
            <w:r>
              <w:rPr>
                <w:rFonts w:ascii="Courier New" w:cs="Courier New" w:eastAsia="Courier New" w:hAnsi="Courier New"/>
                <w:sz w:val="9"/>
                <w:szCs w:val="9"/>
                <w:color w:val="auto"/>
              </w:rPr>
              <w:t>10,700</w:t>
            </w:r>
          </w:p>
        </w:tc>
        <w:tc>
          <w:tcPr>
            <w:tcW w:w="1580" w:type="dxa"/>
            <w:vAlign w:val="bottom"/>
          </w:tcPr>
          <w:p>
            <w:pPr>
              <w:jc w:val="right"/>
              <w:ind w:right="575"/>
              <w:spacing w:after="0"/>
              <w:rPr>
                <w:sz w:val="20"/>
                <w:szCs w:val="20"/>
                <w:color w:val="auto"/>
              </w:rPr>
            </w:pPr>
            <w:r>
              <w:rPr>
                <w:rFonts w:ascii="Courier New" w:cs="Courier New" w:eastAsia="Courier New" w:hAnsi="Courier New"/>
                <w:sz w:val="9"/>
                <w:szCs w:val="9"/>
                <w:color w:val="auto"/>
              </w:rPr>
              <w:t>2.82%</w:t>
            </w:r>
          </w:p>
        </w:tc>
        <w:tc>
          <w:tcPr>
            <w:tcW w:w="1680" w:type="dxa"/>
            <w:vAlign w:val="bottom"/>
          </w:tcPr>
          <w:p>
            <w:pPr>
              <w:jc w:val="right"/>
              <w:ind w:right="615"/>
              <w:spacing w:after="0"/>
              <w:rPr>
                <w:sz w:val="20"/>
                <w:szCs w:val="20"/>
                <w:color w:val="auto"/>
              </w:rPr>
            </w:pPr>
            <w:r>
              <w:rPr>
                <w:rFonts w:ascii="Courier New" w:cs="Courier New" w:eastAsia="Courier New" w:hAnsi="Courier New"/>
                <w:sz w:val="9"/>
                <w:szCs w:val="9"/>
                <w:color w:val="auto"/>
              </w:rPr>
              <w:t>24.9375</w:t>
            </w:r>
          </w:p>
        </w:tc>
        <w:tc>
          <w:tcPr>
            <w:tcW w:w="1500" w:type="dxa"/>
            <w:vAlign w:val="bottom"/>
          </w:tcPr>
          <w:p>
            <w:pPr>
              <w:jc w:val="right"/>
              <w:ind w:right="435"/>
              <w:spacing w:after="0"/>
              <w:rPr>
                <w:sz w:val="20"/>
                <w:szCs w:val="20"/>
                <w:color w:val="auto"/>
              </w:rPr>
            </w:pPr>
            <w:r>
              <w:rPr>
                <w:rFonts w:ascii="Courier New" w:cs="Courier New" w:eastAsia="Courier New" w:hAnsi="Courier New"/>
                <w:sz w:val="9"/>
                <w:szCs w:val="9"/>
                <w:color w:val="auto"/>
              </w:rPr>
              <w:t>24.9375</w:t>
            </w:r>
          </w:p>
        </w:tc>
        <w:tc>
          <w:tcPr>
            <w:tcW w:w="1420" w:type="dxa"/>
            <w:vAlign w:val="bottom"/>
          </w:tcPr>
          <w:p>
            <w:pPr>
              <w:jc w:val="right"/>
              <w:ind w:right="375"/>
              <w:spacing w:after="0"/>
              <w:rPr>
                <w:sz w:val="20"/>
                <w:szCs w:val="20"/>
                <w:color w:val="auto"/>
              </w:rPr>
            </w:pPr>
            <w:r>
              <w:rPr>
                <w:rFonts w:ascii="Courier New" w:cs="Courier New" w:eastAsia="Courier New" w:hAnsi="Courier New"/>
                <w:sz w:val="9"/>
                <w:szCs w:val="9"/>
                <w:color w:val="auto"/>
              </w:rPr>
              <w:t>11/18/2008</w:t>
            </w:r>
          </w:p>
        </w:tc>
        <w:tc>
          <w:tcPr>
            <w:tcW w:w="820" w:type="dxa"/>
            <w:vAlign w:val="bottom"/>
          </w:tcPr>
          <w:p>
            <w:pPr>
              <w:jc w:val="right"/>
              <w:spacing w:after="0"/>
              <w:rPr>
                <w:sz w:val="20"/>
                <w:szCs w:val="20"/>
                <w:color w:val="auto"/>
              </w:rPr>
            </w:pPr>
            <w:r>
              <w:rPr>
                <w:rFonts w:ascii="Courier New" w:cs="Courier New" w:eastAsia="Courier New" w:hAnsi="Courier New"/>
                <w:sz w:val="9"/>
                <w:szCs w:val="9"/>
                <w:color w:val="auto"/>
              </w:rPr>
              <w:t>91,378</w:t>
            </w:r>
          </w:p>
        </w:tc>
      </w:tr>
      <w:tr>
        <w:trPr>
          <w:trHeight w:val="58"/>
        </w:trPr>
        <w:tc>
          <w:tcPr>
            <w:tcW w:w="1080" w:type="dxa"/>
            <w:vAlign w:val="bottom"/>
            <w:tcBorders>
              <w:bottom w:val="single" w:sz="8" w:color="808080"/>
            </w:tcBorders>
          </w:tcPr>
          <w:p>
            <w:pPr>
              <w:spacing w:after="0"/>
              <w:rPr>
                <w:sz w:val="5"/>
                <w:szCs w:val="5"/>
                <w:color w:val="auto"/>
              </w:rPr>
            </w:pPr>
          </w:p>
        </w:tc>
        <w:tc>
          <w:tcPr>
            <w:tcW w:w="3220" w:type="dxa"/>
            <w:vAlign w:val="bottom"/>
          </w:tcPr>
          <w:p>
            <w:pPr>
              <w:spacing w:after="0"/>
              <w:rPr>
                <w:sz w:val="5"/>
                <w:szCs w:val="5"/>
                <w:color w:val="auto"/>
              </w:rPr>
            </w:pPr>
          </w:p>
        </w:tc>
        <w:tc>
          <w:tcPr>
            <w:tcW w:w="158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420" w:type="dxa"/>
            <w:vAlign w:val="bottom"/>
          </w:tcPr>
          <w:p>
            <w:pPr>
              <w:spacing w:after="0"/>
              <w:rPr>
                <w:sz w:val="5"/>
                <w:szCs w:val="5"/>
                <w:color w:val="auto"/>
              </w:rPr>
            </w:pPr>
          </w:p>
        </w:tc>
        <w:tc>
          <w:tcPr>
            <w:tcW w:w="82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682625</wp:posOffset>
            </wp:positionH>
            <wp:positionV relativeFrom="paragraph">
              <wp:posOffset>-11430</wp:posOffset>
            </wp:positionV>
            <wp:extent cx="12700" cy="57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-11430</wp:posOffset>
            </wp:positionV>
            <wp:extent cx="12700" cy="57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(1)</w:t>
      </w:r>
    </w:p>
    <w:p>
      <w:pPr>
        <w:ind w:left="360"/>
        <w:spacing w:after="0" w:line="233" w:lineRule="auto"/>
        <w:rPr>
          <w:sz w:val="20"/>
          <w:szCs w:val="20"/>
          <w:color w:val="auto"/>
        </w:rPr>
      </w:pPr>
      <w:r>
        <w:rPr>
          <w:rFonts w:ascii="Courier New" w:cs="Courier New" w:eastAsia="Courier New" w:hAnsi="Courier New"/>
          <w:sz w:val="9"/>
          <w:szCs w:val="9"/>
          <w:color w:val="auto"/>
        </w:rPr>
        <w:t>Difference</w:t>
      </w:r>
    </w:p>
    <w:p>
      <w:pPr>
        <w:ind w:left="360" w:right="2360"/>
        <w:spacing w:after="0" w:line="235" w:lineRule="auto"/>
        <w:rPr>
          <w:sz w:val="20"/>
          <w:szCs w:val="20"/>
          <w:color w:val="auto"/>
        </w:rPr>
      </w:pPr>
      <w:r>
        <w:rPr>
          <w:rFonts w:ascii="Courier New" w:cs="Courier New" w:eastAsia="Courier New" w:hAnsi="Courier New"/>
          <w:sz w:val="9"/>
          <w:szCs w:val="9"/>
          <w:color w:val="auto"/>
        </w:rPr>
        <w:t>between October 29, 1999 closing price of the Common Stock on the New York Stock Exchange ($35.875) and the option exercise price (before payment of applicable 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60"/>
        <w:spacing w:after="0"/>
        <w:rPr>
          <w:sz w:val="20"/>
          <w:szCs w:val="20"/>
          <w:color w:val="auto"/>
        </w:rPr>
      </w:pPr>
      <w:r>
        <w:rPr>
          <w:rFonts w:ascii="Courier New" w:cs="Courier New" w:eastAsia="Courier New" w:hAnsi="Courier New"/>
          <w:sz w:val="9"/>
          <w:szCs w:val="9"/>
          <w:b w:val="1"/>
          <w:bCs w:val="1"/>
          <w:color w:val="auto"/>
        </w:rPr>
        <w:t>LONG TERM INCENTIVE COMPENSATION</w:t>
      </w:r>
    </w:p>
    <w:p>
      <w:pPr>
        <w:spacing w:after="0" w:line="112" w:lineRule="exact"/>
        <w:rPr>
          <w:sz w:val="20"/>
          <w:szCs w:val="20"/>
          <w:color w:val="auto"/>
        </w:rPr>
      </w:pPr>
    </w:p>
    <w:p>
      <w:pPr>
        <w:ind w:left="200"/>
        <w:spacing w:after="0"/>
        <w:rPr>
          <w:sz w:val="20"/>
          <w:szCs w:val="20"/>
          <w:color w:val="auto"/>
        </w:rPr>
      </w:pPr>
      <w:r>
        <w:rPr>
          <w:rFonts w:ascii="Courier New" w:cs="Courier New" w:eastAsia="Courier New" w:hAnsi="Courier New"/>
          <w:sz w:val="9"/>
          <w:szCs w:val="9"/>
          <w:color w:val="auto"/>
        </w:rPr>
        <w:t>The following table shows awards of long term incentive compensation made under the Company's Performance Share Plan to the named executive officers during</w:t>
      </w:r>
    </w:p>
    <w:p>
      <w:pPr>
        <w:ind w:right="620"/>
        <w:spacing w:after="0" w:line="235" w:lineRule="auto"/>
        <w:rPr>
          <w:sz w:val="20"/>
          <w:szCs w:val="20"/>
          <w:color w:val="auto"/>
        </w:rPr>
      </w:pPr>
      <w:r>
        <w:rPr>
          <w:rFonts w:ascii="Courier New" w:cs="Courier New" w:eastAsia="Courier New" w:hAnsi="Courier New"/>
          <w:sz w:val="9"/>
          <w:szCs w:val="9"/>
          <w:color w:val="auto"/>
        </w:rPr>
        <w:t>Fiscal 1999. The new Performance Share Plan was adopted in Fiscal 1999, necessitating one and two year transitional awards in order to phase into the three year award term. In future years, only one award for a full three year term is likely to be awarded to a participant who has previously participated in the plan.</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91"/>
        </w:trPr>
        <w:tc>
          <w:tcPr>
            <w:tcW w:w="20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380" w:type="dxa"/>
            <w:vAlign w:val="bottom"/>
            <w:gridSpan w:val="4"/>
          </w:tcPr>
          <w:p>
            <w:pPr>
              <w:jc w:val="center"/>
              <w:spacing w:after="0"/>
              <w:rPr>
                <w:sz w:val="20"/>
                <w:szCs w:val="20"/>
                <w:color w:val="auto"/>
              </w:rPr>
            </w:pPr>
            <w:r>
              <w:rPr>
                <w:rFonts w:ascii="Courier New" w:cs="Courier New" w:eastAsia="Courier New" w:hAnsi="Courier New"/>
                <w:sz w:val="8"/>
                <w:szCs w:val="8"/>
                <w:b w:val="1"/>
                <w:bCs w:val="1"/>
                <w:color w:val="auto"/>
                <w:w w:val="99"/>
              </w:rPr>
              <w:t>Number of Securities</w:t>
            </w:r>
          </w:p>
        </w:tc>
        <w:tc>
          <w:tcPr>
            <w:tcW w:w="200" w:type="dxa"/>
            <w:vAlign w:val="bottom"/>
          </w:tcPr>
          <w:p>
            <w:pPr>
              <w:spacing w:after="0"/>
              <w:rPr>
                <w:sz w:val="7"/>
                <w:szCs w:val="7"/>
                <w:color w:val="auto"/>
              </w:rPr>
            </w:pPr>
          </w:p>
        </w:tc>
        <w:tc>
          <w:tcPr>
            <w:tcW w:w="1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0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380" w:type="dxa"/>
            <w:vAlign w:val="bottom"/>
            <w:gridSpan w:val="4"/>
          </w:tcPr>
          <w:p>
            <w:pPr>
              <w:jc w:val="center"/>
              <w:spacing w:after="0"/>
              <w:rPr>
                <w:sz w:val="20"/>
                <w:szCs w:val="20"/>
                <w:color w:val="auto"/>
              </w:rPr>
            </w:pPr>
            <w:r>
              <w:rPr>
                <w:rFonts w:ascii="Courier New" w:cs="Courier New" w:eastAsia="Courier New" w:hAnsi="Courier New"/>
                <w:sz w:val="8"/>
                <w:szCs w:val="8"/>
                <w:b w:val="1"/>
                <w:bCs w:val="1"/>
                <w:color w:val="auto"/>
              </w:rPr>
              <w:t>Underlying Unexercised</w:t>
            </w:r>
          </w:p>
        </w:tc>
        <w:tc>
          <w:tcPr>
            <w:tcW w:w="200" w:type="dxa"/>
            <w:vAlign w:val="bottom"/>
          </w:tcPr>
          <w:p>
            <w:pPr>
              <w:spacing w:after="0"/>
              <w:rPr>
                <w:sz w:val="7"/>
                <w:szCs w:val="7"/>
                <w:color w:val="auto"/>
              </w:rPr>
            </w:pPr>
          </w:p>
        </w:tc>
        <w:tc>
          <w:tcPr>
            <w:tcW w:w="2640" w:type="dxa"/>
            <w:vAlign w:val="bottom"/>
            <w:gridSpan w:val="3"/>
          </w:tcPr>
          <w:p>
            <w:pPr>
              <w:jc w:val="center"/>
              <w:spacing w:after="0"/>
              <w:rPr>
                <w:sz w:val="20"/>
                <w:szCs w:val="20"/>
                <w:color w:val="auto"/>
              </w:rPr>
            </w:pPr>
            <w:r>
              <w:rPr>
                <w:rFonts w:ascii="Courier New" w:cs="Courier New" w:eastAsia="Courier New" w:hAnsi="Courier New"/>
                <w:sz w:val="8"/>
                <w:szCs w:val="8"/>
                <w:b w:val="1"/>
                <w:bCs w:val="1"/>
                <w:color w:val="auto"/>
              </w:rPr>
              <w:t>Value of Unexercised</w:t>
            </w:r>
          </w:p>
        </w:tc>
        <w:tc>
          <w:tcPr>
            <w:tcW w:w="0" w:type="dxa"/>
            <w:vAlign w:val="bottom"/>
          </w:tcPr>
          <w:p>
            <w:pPr>
              <w:spacing w:after="0"/>
              <w:rPr>
                <w:sz w:val="1"/>
                <w:szCs w:val="1"/>
                <w:color w:val="auto"/>
              </w:rPr>
            </w:pPr>
          </w:p>
        </w:tc>
      </w:tr>
      <w:tr>
        <w:trPr>
          <w:trHeight w:val="90"/>
        </w:trPr>
        <w:tc>
          <w:tcPr>
            <w:tcW w:w="20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20" w:type="dxa"/>
            <w:vAlign w:val="bottom"/>
            <w:gridSpan w:val="3"/>
          </w:tcPr>
          <w:p>
            <w:pPr>
              <w:jc w:val="center"/>
              <w:ind w:right="700"/>
              <w:spacing w:after="0"/>
              <w:rPr>
                <w:sz w:val="20"/>
                <w:szCs w:val="20"/>
                <w:color w:val="auto"/>
              </w:rPr>
            </w:pPr>
            <w:r>
              <w:rPr>
                <w:rFonts w:ascii="Courier New" w:cs="Courier New" w:eastAsia="Courier New" w:hAnsi="Courier New"/>
                <w:sz w:val="8"/>
                <w:szCs w:val="8"/>
                <w:b w:val="1"/>
                <w:bCs w:val="1"/>
                <w:color w:val="auto"/>
              </w:rPr>
              <w:t>Options at Fiscal</w:t>
            </w:r>
          </w:p>
        </w:tc>
        <w:tc>
          <w:tcPr>
            <w:tcW w:w="200" w:type="dxa"/>
            <w:vAlign w:val="bottom"/>
          </w:tcPr>
          <w:p>
            <w:pPr>
              <w:spacing w:after="0"/>
              <w:rPr>
                <w:sz w:val="7"/>
                <w:szCs w:val="7"/>
                <w:color w:val="auto"/>
              </w:rPr>
            </w:pPr>
          </w:p>
        </w:tc>
        <w:tc>
          <w:tcPr>
            <w:tcW w:w="2640" w:type="dxa"/>
            <w:vAlign w:val="bottom"/>
            <w:gridSpan w:val="3"/>
          </w:tcPr>
          <w:p>
            <w:pPr>
              <w:jc w:val="center"/>
              <w:spacing w:after="0"/>
              <w:rPr>
                <w:sz w:val="20"/>
                <w:szCs w:val="20"/>
                <w:color w:val="auto"/>
              </w:rPr>
            </w:pPr>
            <w:r>
              <w:rPr>
                <w:rFonts w:ascii="Courier New" w:cs="Courier New" w:eastAsia="Courier New" w:hAnsi="Courier New"/>
                <w:sz w:val="8"/>
                <w:szCs w:val="8"/>
                <w:b w:val="1"/>
                <w:bCs w:val="1"/>
                <w:color w:val="auto"/>
              </w:rPr>
              <w:t>In-the-Money Options at</w:t>
            </w:r>
          </w:p>
        </w:tc>
        <w:tc>
          <w:tcPr>
            <w:tcW w:w="0" w:type="dxa"/>
            <w:vAlign w:val="bottom"/>
          </w:tcPr>
          <w:p>
            <w:pPr>
              <w:spacing w:after="0"/>
              <w:rPr>
                <w:sz w:val="1"/>
                <w:szCs w:val="1"/>
                <w:color w:val="auto"/>
              </w:rPr>
            </w:pPr>
          </w:p>
        </w:tc>
      </w:tr>
      <w:tr>
        <w:trPr>
          <w:trHeight w:val="91"/>
        </w:trPr>
        <w:tc>
          <w:tcPr>
            <w:tcW w:w="20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40" w:type="dxa"/>
            <w:vAlign w:val="bottom"/>
            <w:vMerge w:val="restart"/>
          </w:tcPr>
          <w:p>
            <w:pPr>
              <w:jc w:val="center"/>
              <w:spacing w:after="0"/>
              <w:rPr>
                <w:sz w:val="20"/>
                <w:szCs w:val="20"/>
                <w:color w:val="auto"/>
              </w:rPr>
            </w:pPr>
            <w:r>
              <w:rPr>
                <w:rFonts w:ascii="Courier New" w:cs="Courier New" w:eastAsia="Courier New" w:hAnsi="Courier New"/>
                <w:sz w:val="8"/>
                <w:szCs w:val="8"/>
                <w:b w:val="1"/>
                <w:bCs w:val="1"/>
                <w:color w:val="auto"/>
                <w:w w:val="97"/>
              </w:rPr>
              <w:t>Shares</w:t>
            </w:r>
          </w:p>
        </w:tc>
        <w:tc>
          <w:tcPr>
            <w:tcW w:w="2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20" w:type="dxa"/>
            <w:vAlign w:val="bottom"/>
            <w:gridSpan w:val="3"/>
          </w:tcPr>
          <w:p>
            <w:pPr>
              <w:jc w:val="center"/>
              <w:ind w:right="700"/>
              <w:spacing w:after="0"/>
              <w:rPr>
                <w:sz w:val="20"/>
                <w:szCs w:val="20"/>
                <w:color w:val="auto"/>
              </w:rPr>
            </w:pPr>
            <w:r>
              <w:rPr>
                <w:rFonts w:ascii="Courier New" w:cs="Courier New" w:eastAsia="Courier New" w:hAnsi="Courier New"/>
                <w:sz w:val="8"/>
                <w:szCs w:val="8"/>
                <w:b w:val="1"/>
                <w:bCs w:val="1"/>
                <w:color w:val="auto"/>
              </w:rPr>
              <w:t>Period End(#)</w:t>
            </w:r>
          </w:p>
        </w:tc>
        <w:tc>
          <w:tcPr>
            <w:tcW w:w="200" w:type="dxa"/>
            <w:vAlign w:val="bottom"/>
          </w:tcPr>
          <w:p>
            <w:pPr>
              <w:spacing w:after="0"/>
              <w:rPr>
                <w:sz w:val="7"/>
                <w:szCs w:val="7"/>
                <w:color w:val="auto"/>
              </w:rPr>
            </w:pPr>
          </w:p>
        </w:tc>
        <w:tc>
          <w:tcPr>
            <w:tcW w:w="2640" w:type="dxa"/>
            <w:vAlign w:val="bottom"/>
            <w:gridSpan w:val="3"/>
          </w:tcPr>
          <w:p>
            <w:pPr>
              <w:jc w:val="center"/>
              <w:spacing w:after="0"/>
              <w:rPr>
                <w:sz w:val="20"/>
                <w:szCs w:val="20"/>
                <w:color w:val="auto"/>
              </w:rPr>
            </w:pPr>
            <w:r>
              <w:rPr>
                <w:rFonts w:ascii="Courier New" w:cs="Courier New" w:eastAsia="Courier New" w:hAnsi="Courier New"/>
                <w:sz w:val="8"/>
                <w:szCs w:val="8"/>
                <w:b w:val="1"/>
                <w:bCs w:val="1"/>
                <w:color w:val="auto"/>
              </w:rPr>
              <w:t>Fiscal Period End($)(1)</w:t>
            </w:r>
          </w:p>
        </w:tc>
        <w:tc>
          <w:tcPr>
            <w:tcW w:w="0" w:type="dxa"/>
            <w:vAlign w:val="bottom"/>
          </w:tcPr>
          <w:p>
            <w:pPr>
              <w:spacing w:after="0"/>
              <w:rPr>
                <w:sz w:val="1"/>
                <w:szCs w:val="1"/>
                <w:color w:val="auto"/>
              </w:rPr>
            </w:pPr>
          </w:p>
        </w:tc>
      </w:tr>
      <w:tr>
        <w:trPr>
          <w:trHeight w:val="69"/>
        </w:trPr>
        <w:tc>
          <w:tcPr>
            <w:tcW w:w="20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4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tcPr>
          <w:p>
            <w:pPr>
              <w:jc w:val="center"/>
              <w:spacing w:after="0" w:line="44" w:lineRule="exact"/>
              <w:rPr>
                <w:sz w:val="20"/>
                <w:szCs w:val="20"/>
                <w:color w:val="auto"/>
              </w:rPr>
            </w:pPr>
            <w:r>
              <w:rPr>
                <w:rFonts w:ascii="Courier New" w:cs="Courier New" w:eastAsia="Courier New" w:hAnsi="Courier New"/>
                <w:sz w:val="5"/>
                <w:szCs w:val="5"/>
                <w:b w:val="1"/>
                <w:bCs w:val="1"/>
                <w:color w:val="auto"/>
              </w:rPr>
              <w:t>Acquired on</w:t>
            </w:r>
          </w:p>
        </w:tc>
        <w:tc>
          <w:tcPr>
            <w:tcW w:w="2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Borders>
              <w:top w:val="single" w:sz="8" w:color="808080"/>
            </w:tcBorders>
          </w:tcPr>
          <w:p>
            <w:pPr>
              <w:spacing w:after="0"/>
              <w:rPr>
                <w:sz w:val="3"/>
                <w:szCs w:val="3"/>
                <w:color w:val="auto"/>
              </w:rPr>
            </w:pPr>
          </w:p>
        </w:tc>
        <w:tc>
          <w:tcPr>
            <w:tcW w:w="180" w:type="dxa"/>
            <w:vAlign w:val="bottom"/>
            <w:tcBorders>
              <w:top w:val="single" w:sz="8" w:color="808080"/>
            </w:tcBorders>
          </w:tcPr>
          <w:p>
            <w:pPr>
              <w:spacing w:after="0"/>
              <w:rPr>
                <w:sz w:val="3"/>
                <w:szCs w:val="3"/>
                <w:color w:val="auto"/>
              </w:rPr>
            </w:pPr>
          </w:p>
        </w:tc>
        <w:tc>
          <w:tcPr>
            <w:tcW w:w="200" w:type="dxa"/>
            <w:vAlign w:val="bottom"/>
            <w:tcBorders>
              <w:top w:val="single" w:sz="8" w:color="808080"/>
            </w:tcBorders>
          </w:tcPr>
          <w:p>
            <w:pPr>
              <w:spacing w:after="0"/>
              <w:rPr>
                <w:sz w:val="3"/>
                <w:szCs w:val="3"/>
                <w:color w:val="auto"/>
              </w:rPr>
            </w:pPr>
          </w:p>
        </w:tc>
        <w:tc>
          <w:tcPr>
            <w:tcW w:w="1240" w:type="dxa"/>
            <w:vAlign w:val="bottom"/>
            <w:tcBorders>
              <w:top w:val="single" w:sz="8" w:color="808080"/>
            </w:tcBorders>
          </w:tcPr>
          <w:p>
            <w:pPr>
              <w:spacing w:after="0"/>
              <w:rPr>
                <w:sz w:val="3"/>
                <w:szCs w:val="3"/>
                <w:color w:val="auto"/>
              </w:rPr>
            </w:pPr>
          </w:p>
        </w:tc>
        <w:tc>
          <w:tcPr>
            <w:tcW w:w="200" w:type="dxa"/>
            <w:vAlign w:val="bottom"/>
          </w:tcPr>
          <w:p>
            <w:pPr>
              <w:spacing w:after="0"/>
              <w:rPr>
                <w:sz w:val="3"/>
                <w:szCs w:val="3"/>
                <w:color w:val="auto"/>
              </w:rPr>
            </w:pPr>
          </w:p>
        </w:tc>
        <w:tc>
          <w:tcPr>
            <w:tcW w:w="1320" w:type="dxa"/>
            <w:vAlign w:val="bottom"/>
            <w:tcBorders>
              <w:top w:val="single" w:sz="8" w:color="808080"/>
            </w:tcBorders>
          </w:tcPr>
          <w:p>
            <w:pPr>
              <w:spacing w:after="0"/>
              <w:rPr>
                <w:sz w:val="3"/>
                <w:szCs w:val="3"/>
                <w:color w:val="auto"/>
              </w:rPr>
            </w:pPr>
          </w:p>
        </w:tc>
        <w:tc>
          <w:tcPr>
            <w:tcW w:w="200" w:type="dxa"/>
            <w:vAlign w:val="bottom"/>
            <w:tcBorders>
              <w:top w:val="single" w:sz="8" w:color="808080"/>
            </w:tcBorders>
          </w:tcPr>
          <w:p>
            <w:pPr>
              <w:spacing w:after="0"/>
              <w:rPr>
                <w:sz w:val="3"/>
                <w:szCs w:val="3"/>
                <w:color w:val="auto"/>
              </w:rPr>
            </w:pPr>
          </w:p>
        </w:tc>
        <w:tc>
          <w:tcPr>
            <w:tcW w:w="112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91"/>
        </w:trPr>
        <w:tc>
          <w:tcPr>
            <w:tcW w:w="2060" w:type="dxa"/>
            <w:vAlign w:val="bottom"/>
          </w:tcPr>
          <w:p>
            <w:pPr>
              <w:spacing w:after="0"/>
              <w:rPr>
                <w:sz w:val="20"/>
                <w:szCs w:val="20"/>
                <w:color w:val="auto"/>
              </w:rPr>
            </w:pPr>
            <w:r>
              <w:rPr>
                <w:rFonts w:ascii="Courier New" w:cs="Courier New" w:eastAsia="Courier New" w:hAnsi="Courier New"/>
                <w:sz w:val="8"/>
                <w:szCs w:val="8"/>
                <w:b w:val="1"/>
                <w:bCs w:val="1"/>
                <w:color w:val="auto"/>
              </w:rPr>
              <w:t>Name</w:t>
            </w:r>
          </w:p>
        </w:tc>
        <w:tc>
          <w:tcPr>
            <w:tcW w:w="200" w:type="dxa"/>
            <w:vAlign w:val="bottom"/>
          </w:tcPr>
          <w:p>
            <w:pPr>
              <w:spacing w:after="0"/>
              <w:rPr>
                <w:sz w:val="7"/>
                <w:szCs w:val="7"/>
                <w:color w:val="auto"/>
              </w:rPr>
            </w:pPr>
          </w:p>
        </w:tc>
        <w:tc>
          <w:tcPr>
            <w:tcW w:w="1240" w:type="dxa"/>
            <w:vAlign w:val="bottom"/>
          </w:tcPr>
          <w:p>
            <w:pPr>
              <w:jc w:val="center"/>
              <w:spacing w:after="0"/>
              <w:rPr>
                <w:sz w:val="20"/>
                <w:szCs w:val="20"/>
                <w:color w:val="auto"/>
              </w:rPr>
            </w:pPr>
            <w:r>
              <w:rPr>
                <w:rFonts w:ascii="Courier New" w:cs="Courier New" w:eastAsia="Courier New" w:hAnsi="Courier New"/>
                <w:sz w:val="8"/>
                <w:szCs w:val="8"/>
                <w:b w:val="1"/>
                <w:bCs w:val="1"/>
                <w:color w:val="auto"/>
                <w:w w:val="98"/>
              </w:rPr>
              <w:t>Exercise(#)</w:t>
            </w:r>
          </w:p>
        </w:tc>
        <w:tc>
          <w:tcPr>
            <w:tcW w:w="200" w:type="dxa"/>
            <w:vAlign w:val="bottom"/>
          </w:tcPr>
          <w:p>
            <w:pPr>
              <w:spacing w:after="0"/>
              <w:rPr>
                <w:sz w:val="7"/>
                <w:szCs w:val="7"/>
                <w:color w:val="auto"/>
              </w:rPr>
            </w:pPr>
          </w:p>
        </w:tc>
        <w:tc>
          <w:tcPr>
            <w:tcW w:w="1340" w:type="dxa"/>
            <w:vAlign w:val="bottom"/>
            <w:gridSpan w:val="2"/>
          </w:tcPr>
          <w:p>
            <w:pPr>
              <w:ind w:left="160"/>
              <w:spacing w:after="0"/>
              <w:rPr>
                <w:sz w:val="20"/>
                <w:szCs w:val="20"/>
                <w:color w:val="auto"/>
              </w:rPr>
            </w:pPr>
            <w:r>
              <w:rPr>
                <w:rFonts w:ascii="Courier New" w:cs="Courier New" w:eastAsia="Courier New" w:hAnsi="Courier New"/>
                <w:sz w:val="8"/>
                <w:szCs w:val="8"/>
                <w:b w:val="1"/>
                <w:bCs w:val="1"/>
                <w:color w:val="auto"/>
              </w:rPr>
              <w:t>Value Realized($)</w:t>
            </w:r>
          </w:p>
        </w:tc>
        <w:tc>
          <w:tcPr>
            <w:tcW w:w="760" w:type="dxa"/>
            <w:vAlign w:val="bottom"/>
          </w:tcPr>
          <w:p>
            <w:pPr>
              <w:ind w:left="200"/>
              <w:spacing w:after="0"/>
              <w:rPr>
                <w:sz w:val="20"/>
                <w:szCs w:val="20"/>
                <w:color w:val="auto"/>
              </w:rPr>
            </w:pPr>
            <w:r>
              <w:rPr>
                <w:rFonts w:ascii="Courier New" w:cs="Courier New" w:eastAsia="Courier New" w:hAnsi="Courier New"/>
                <w:sz w:val="8"/>
                <w:szCs w:val="8"/>
                <w:b w:val="1"/>
                <w:bCs w:val="1"/>
                <w:color w:val="auto"/>
              </w:rPr>
              <w:t>Exercisable</w:t>
            </w: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40" w:type="dxa"/>
            <w:vAlign w:val="bottom"/>
          </w:tcPr>
          <w:p>
            <w:pPr>
              <w:ind w:left="300"/>
              <w:spacing w:after="0"/>
              <w:rPr>
                <w:sz w:val="20"/>
                <w:szCs w:val="20"/>
                <w:color w:val="auto"/>
              </w:rPr>
            </w:pPr>
            <w:r>
              <w:rPr>
                <w:rFonts w:ascii="Courier New" w:cs="Courier New" w:eastAsia="Courier New" w:hAnsi="Courier New"/>
                <w:sz w:val="8"/>
                <w:szCs w:val="8"/>
                <w:b w:val="1"/>
                <w:bCs w:val="1"/>
                <w:color w:val="auto"/>
              </w:rPr>
              <w:t>Unexercisable</w:t>
            </w:r>
          </w:p>
        </w:tc>
        <w:tc>
          <w:tcPr>
            <w:tcW w:w="200" w:type="dxa"/>
            <w:vAlign w:val="bottom"/>
          </w:tcPr>
          <w:p>
            <w:pPr>
              <w:spacing w:after="0"/>
              <w:rPr>
                <w:sz w:val="7"/>
                <w:szCs w:val="7"/>
                <w:color w:val="auto"/>
              </w:rPr>
            </w:pPr>
          </w:p>
        </w:tc>
        <w:tc>
          <w:tcPr>
            <w:tcW w:w="1320" w:type="dxa"/>
            <w:vAlign w:val="bottom"/>
          </w:tcPr>
          <w:p>
            <w:pPr>
              <w:ind w:left="400"/>
              <w:spacing w:after="0"/>
              <w:rPr>
                <w:sz w:val="20"/>
                <w:szCs w:val="20"/>
                <w:color w:val="auto"/>
              </w:rPr>
            </w:pPr>
            <w:r>
              <w:rPr>
                <w:rFonts w:ascii="Courier New" w:cs="Courier New" w:eastAsia="Courier New" w:hAnsi="Courier New"/>
                <w:sz w:val="8"/>
                <w:szCs w:val="8"/>
                <w:b w:val="1"/>
                <w:bCs w:val="1"/>
                <w:color w:val="auto"/>
              </w:rPr>
              <w:t>Exercisable</w:t>
            </w:r>
          </w:p>
        </w:tc>
        <w:tc>
          <w:tcPr>
            <w:tcW w:w="200" w:type="dxa"/>
            <w:vAlign w:val="bottom"/>
          </w:tcPr>
          <w:p>
            <w:pPr>
              <w:spacing w:after="0"/>
              <w:rPr>
                <w:sz w:val="7"/>
                <w:szCs w:val="7"/>
                <w:color w:val="auto"/>
              </w:rPr>
            </w:pPr>
          </w:p>
        </w:tc>
        <w:tc>
          <w:tcPr>
            <w:tcW w:w="1120" w:type="dxa"/>
            <w:vAlign w:val="bottom"/>
          </w:tcPr>
          <w:p>
            <w:pPr>
              <w:ind w:left="260"/>
              <w:spacing w:after="0"/>
              <w:rPr>
                <w:sz w:val="20"/>
                <w:szCs w:val="20"/>
                <w:color w:val="auto"/>
              </w:rPr>
            </w:pPr>
            <w:r>
              <w:rPr>
                <w:rFonts w:ascii="Courier New" w:cs="Courier New" w:eastAsia="Courier New" w:hAnsi="Courier New"/>
                <w:sz w:val="8"/>
                <w:szCs w:val="8"/>
                <w:b w:val="1"/>
                <w:bCs w:val="1"/>
                <w:color w:val="auto"/>
              </w:rPr>
              <w:t>Unexercisable</w:t>
            </w:r>
          </w:p>
        </w:tc>
        <w:tc>
          <w:tcPr>
            <w:tcW w:w="0" w:type="dxa"/>
            <w:vAlign w:val="bottom"/>
          </w:tcPr>
          <w:p>
            <w:pPr>
              <w:spacing w:after="0"/>
              <w:rPr>
                <w:sz w:val="1"/>
                <w:szCs w:val="1"/>
                <w:color w:val="auto"/>
              </w:rPr>
            </w:pPr>
          </w:p>
        </w:tc>
      </w:tr>
      <w:tr>
        <w:trPr>
          <w:trHeight w:val="69"/>
        </w:trPr>
        <w:tc>
          <w:tcPr>
            <w:tcW w:w="2060" w:type="dxa"/>
            <w:vAlign w:val="bottom"/>
            <w:tcBorders>
              <w:bottom w:val="single" w:sz="8" w:color="808080"/>
            </w:tcBorders>
          </w:tcPr>
          <w:p>
            <w:pPr>
              <w:spacing w:after="0"/>
              <w:rPr>
                <w:sz w:val="6"/>
                <w:szCs w:val="6"/>
                <w:color w:val="auto"/>
              </w:rPr>
            </w:pPr>
          </w:p>
        </w:tc>
        <w:tc>
          <w:tcPr>
            <w:tcW w:w="200" w:type="dxa"/>
            <w:vAlign w:val="bottom"/>
          </w:tcPr>
          <w:p>
            <w:pPr>
              <w:spacing w:after="0"/>
              <w:rPr>
                <w:sz w:val="6"/>
                <w:szCs w:val="6"/>
                <w:color w:val="auto"/>
              </w:rPr>
            </w:pPr>
          </w:p>
        </w:tc>
        <w:tc>
          <w:tcPr>
            <w:tcW w:w="1240" w:type="dxa"/>
            <w:vAlign w:val="bottom"/>
            <w:tcBorders>
              <w:bottom w:val="single" w:sz="8" w:color="808080"/>
            </w:tcBorders>
          </w:tcPr>
          <w:p>
            <w:pPr>
              <w:spacing w:after="0"/>
              <w:rPr>
                <w:sz w:val="6"/>
                <w:szCs w:val="6"/>
                <w:color w:val="auto"/>
              </w:rPr>
            </w:pPr>
          </w:p>
        </w:tc>
        <w:tc>
          <w:tcPr>
            <w:tcW w:w="200" w:type="dxa"/>
            <w:vAlign w:val="bottom"/>
          </w:tcPr>
          <w:p>
            <w:pPr>
              <w:spacing w:after="0"/>
              <w:rPr>
                <w:sz w:val="6"/>
                <w:szCs w:val="6"/>
                <w:color w:val="auto"/>
              </w:rPr>
            </w:pPr>
          </w:p>
        </w:tc>
        <w:tc>
          <w:tcPr>
            <w:tcW w:w="1140" w:type="dxa"/>
            <w:vAlign w:val="bottom"/>
            <w:tcBorders>
              <w:bottom w:val="single" w:sz="8" w:color="808080"/>
            </w:tcBorders>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tcBorders>
              <w:bottom w:val="single" w:sz="8" w:color="808080"/>
            </w:tcBorders>
          </w:tcPr>
          <w:p>
            <w:pPr>
              <w:spacing w:after="0"/>
              <w:rPr>
                <w:sz w:val="6"/>
                <w:szCs w:val="6"/>
                <w:color w:val="auto"/>
              </w:rPr>
            </w:pPr>
          </w:p>
        </w:tc>
        <w:tc>
          <w:tcPr>
            <w:tcW w:w="180" w:type="dxa"/>
            <w:vAlign w:val="bottom"/>
            <w:tcBorders>
              <w:bottom w:val="single" w:sz="8" w:color="808080"/>
            </w:tcBorders>
          </w:tcPr>
          <w:p>
            <w:pPr>
              <w:spacing w:after="0"/>
              <w:rPr>
                <w:sz w:val="6"/>
                <w:szCs w:val="6"/>
                <w:color w:val="auto"/>
              </w:rPr>
            </w:pPr>
          </w:p>
        </w:tc>
        <w:tc>
          <w:tcPr>
            <w:tcW w:w="200" w:type="dxa"/>
            <w:vAlign w:val="bottom"/>
          </w:tcPr>
          <w:p>
            <w:pPr>
              <w:spacing w:after="0"/>
              <w:rPr>
                <w:sz w:val="6"/>
                <w:szCs w:val="6"/>
                <w:color w:val="auto"/>
              </w:rPr>
            </w:pPr>
          </w:p>
        </w:tc>
        <w:tc>
          <w:tcPr>
            <w:tcW w:w="1240" w:type="dxa"/>
            <w:vAlign w:val="bottom"/>
            <w:tcBorders>
              <w:bottom w:val="single" w:sz="8" w:color="808080"/>
            </w:tcBorders>
          </w:tcPr>
          <w:p>
            <w:pPr>
              <w:spacing w:after="0"/>
              <w:rPr>
                <w:sz w:val="6"/>
                <w:szCs w:val="6"/>
                <w:color w:val="auto"/>
              </w:rPr>
            </w:pPr>
          </w:p>
        </w:tc>
        <w:tc>
          <w:tcPr>
            <w:tcW w:w="200" w:type="dxa"/>
            <w:vAlign w:val="bottom"/>
          </w:tcPr>
          <w:p>
            <w:pPr>
              <w:spacing w:after="0"/>
              <w:rPr>
                <w:sz w:val="6"/>
                <w:szCs w:val="6"/>
                <w:color w:val="auto"/>
              </w:rPr>
            </w:pPr>
          </w:p>
        </w:tc>
        <w:tc>
          <w:tcPr>
            <w:tcW w:w="1320" w:type="dxa"/>
            <w:vAlign w:val="bottom"/>
            <w:tcBorders>
              <w:bottom w:val="single" w:sz="8" w:color="808080"/>
            </w:tcBorders>
          </w:tcPr>
          <w:p>
            <w:pPr>
              <w:spacing w:after="0"/>
              <w:rPr>
                <w:sz w:val="6"/>
                <w:szCs w:val="6"/>
                <w:color w:val="auto"/>
              </w:rPr>
            </w:pPr>
          </w:p>
        </w:tc>
        <w:tc>
          <w:tcPr>
            <w:tcW w:w="200" w:type="dxa"/>
            <w:vAlign w:val="bottom"/>
          </w:tcPr>
          <w:p>
            <w:pPr>
              <w:spacing w:after="0"/>
              <w:rPr>
                <w:sz w:val="6"/>
                <w:szCs w:val="6"/>
                <w:color w:val="auto"/>
              </w:rPr>
            </w:pPr>
          </w:p>
        </w:tc>
        <w:tc>
          <w:tcPr>
            <w:tcW w:w="11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4705985</wp:posOffset>
            </wp:positionH>
            <wp:positionV relativeFrom="paragraph">
              <wp:posOffset>-154305</wp:posOffset>
            </wp:positionV>
            <wp:extent cx="12700" cy="57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3202940</wp:posOffset>
            </wp:positionH>
            <wp:positionV relativeFrom="paragraph">
              <wp:posOffset>-154305</wp:posOffset>
            </wp:positionV>
            <wp:extent cx="12700" cy="57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-154305</wp:posOffset>
            </wp:positionV>
            <wp:extent cx="12700" cy="57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4837430</wp:posOffset>
            </wp:positionH>
            <wp:positionV relativeFrom="paragraph">
              <wp:posOffset>-154305</wp:posOffset>
            </wp:positionV>
            <wp:extent cx="12700" cy="57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1294130</wp:posOffset>
            </wp:positionH>
            <wp:positionV relativeFrom="paragraph">
              <wp:posOffset>-11430</wp:posOffset>
            </wp:positionV>
            <wp:extent cx="12700" cy="57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-11430</wp:posOffset>
            </wp:positionV>
            <wp:extent cx="12700" cy="57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2214245</wp:posOffset>
            </wp:positionH>
            <wp:positionV relativeFrom="paragraph">
              <wp:posOffset>-11430</wp:posOffset>
            </wp:positionV>
            <wp:extent cx="12700" cy="57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1431290</wp:posOffset>
            </wp:positionH>
            <wp:positionV relativeFrom="paragraph">
              <wp:posOffset>-11430</wp:posOffset>
            </wp:positionV>
            <wp:extent cx="12700" cy="57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3065780</wp:posOffset>
            </wp:positionH>
            <wp:positionV relativeFrom="paragraph">
              <wp:posOffset>-11430</wp:posOffset>
            </wp:positionV>
            <wp:extent cx="12700" cy="57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2351405</wp:posOffset>
            </wp:positionH>
            <wp:positionV relativeFrom="paragraph">
              <wp:posOffset>-11430</wp:posOffset>
            </wp:positionV>
            <wp:extent cx="12700" cy="57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3785870</wp:posOffset>
            </wp:positionH>
            <wp:positionV relativeFrom="paragraph">
              <wp:posOffset>-11430</wp:posOffset>
            </wp:positionV>
            <wp:extent cx="12700" cy="57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3202940</wp:posOffset>
            </wp:positionH>
            <wp:positionV relativeFrom="paragraph">
              <wp:posOffset>-11430</wp:posOffset>
            </wp:positionV>
            <wp:extent cx="12700" cy="57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4705985</wp:posOffset>
            </wp:positionH>
            <wp:positionV relativeFrom="paragraph">
              <wp:posOffset>-11430</wp:posOffset>
            </wp:positionV>
            <wp:extent cx="12700" cy="57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3923030</wp:posOffset>
            </wp:positionH>
            <wp:positionV relativeFrom="paragraph">
              <wp:posOffset>-11430</wp:posOffset>
            </wp:positionV>
            <wp:extent cx="12700" cy="57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-11430</wp:posOffset>
            </wp:positionV>
            <wp:extent cx="12700" cy="57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4837430</wp:posOffset>
            </wp:positionH>
            <wp:positionV relativeFrom="paragraph">
              <wp:posOffset>-11430</wp:posOffset>
            </wp:positionV>
            <wp:extent cx="12700" cy="57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-11430</wp:posOffset>
            </wp:positionV>
            <wp:extent cx="12700" cy="57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5803265</wp:posOffset>
            </wp:positionH>
            <wp:positionV relativeFrom="paragraph">
              <wp:posOffset>-11430</wp:posOffset>
            </wp:positionV>
            <wp:extent cx="12700" cy="57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02"/>
        </w:trPr>
        <w:tc>
          <w:tcPr>
            <w:tcW w:w="1080" w:type="dxa"/>
            <w:vAlign w:val="bottom"/>
          </w:tcPr>
          <w:p>
            <w:pPr>
              <w:spacing w:after="0"/>
              <w:rPr>
                <w:sz w:val="20"/>
                <w:szCs w:val="20"/>
                <w:color w:val="auto"/>
              </w:rPr>
            </w:pPr>
            <w:r>
              <w:rPr>
                <w:rFonts w:ascii="Courier New" w:cs="Courier New" w:eastAsia="Courier New" w:hAnsi="Courier New"/>
                <w:sz w:val="9"/>
                <w:szCs w:val="9"/>
                <w:color w:val="auto"/>
              </w:rPr>
              <w:t>Kendrick B. Melrose</w:t>
            </w:r>
          </w:p>
        </w:tc>
        <w:tc>
          <w:tcPr>
            <w:tcW w:w="2520" w:type="dxa"/>
            <w:vAlign w:val="bottom"/>
          </w:tcPr>
          <w:p>
            <w:pPr>
              <w:jc w:val="right"/>
              <w:ind w:right="55"/>
              <w:spacing w:after="0"/>
              <w:rPr>
                <w:sz w:val="20"/>
                <w:szCs w:val="20"/>
                <w:color w:val="auto"/>
              </w:rPr>
            </w:pPr>
            <w:r>
              <w:rPr>
                <w:rFonts w:ascii="Courier New" w:cs="Courier New" w:eastAsia="Courier New" w:hAnsi="Courier New"/>
                <w:sz w:val="9"/>
                <w:szCs w:val="9"/>
                <w:color w:val="auto"/>
              </w:rPr>
              <w:t>29,965</w:t>
            </w:r>
          </w:p>
        </w:tc>
        <w:tc>
          <w:tcPr>
            <w:tcW w:w="520" w:type="dxa"/>
            <w:vAlign w:val="bottom"/>
          </w:tcPr>
          <w:p>
            <w:pPr>
              <w:jc w:val="right"/>
              <w:ind w:right="315"/>
              <w:spacing w:after="0"/>
              <w:rPr>
                <w:sz w:val="20"/>
                <w:szCs w:val="20"/>
                <w:color w:val="auto"/>
              </w:rPr>
            </w:pPr>
            <w:r>
              <w:rPr>
                <w:rFonts w:ascii="Courier New" w:cs="Courier New" w:eastAsia="Courier New" w:hAnsi="Courier New"/>
                <w:sz w:val="9"/>
                <w:szCs w:val="9"/>
                <w:color w:val="auto"/>
              </w:rPr>
              <w:t>$</w:t>
            </w:r>
          </w:p>
        </w:tc>
        <w:tc>
          <w:tcPr>
            <w:tcW w:w="1100" w:type="dxa"/>
            <w:vAlign w:val="bottom"/>
          </w:tcPr>
          <w:p>
            <w:pPr>
              <w:jc w:val="right"/>
              <w:ind w:right="335"/>
              <w:spacing w:after="0"/>
              <w:rPr>
                <w:sz w:val="20"/>
                <w:szCs w:val="20"/>
                <w:color w:val="auto"/>
              </w:rPr>
            </w:pPr>
            <w:r>
              <w:rPr>
                <w:rFonts w:ascii="Courier New" w:cs="Courier New" w:eastAsia="Courier New" w:hAnsi="Courier New"/>
                <w:sz w:val="9"/>
                <w:szCs w:val="9"/>
                <w:color w:val="auto"/>
              </w:rPr>
              <w:t>413,572</w:t>
            </w:r>
          </w:p>
        </w:tc>
        <w:tc>
          <w:tcPr>
            <w:tcW w:w="1460" w:type="dxa"/>
            <w:vAlign w:val="bottom"/>
          </w:tcPr>
          <w:p>
            <w:pPr>
              <w:jc w:val="right"/>
              <w:ind w:right="655"/>
              <w:spacing w:after="0"/>
              <w:rPr>
                <w:sz w:val="20"/>
                <w:szCs w:val="20"/>
                <w:color w:val="auto"/>
              </w:rPr>
            </w:pPr>
            <w:r>
              <w:rPr>
                <w:rFonts w:ascii="Courier New" w:cs="Courier New" w:eastAsia="Courier New" w:hAnsi="Courier New"/>
                <w:sz w:val="9"/>
                <w:szCs w:val="9"/>
                <w:color w:val="auto"/>
              </w:rPr>
              <w:t>433,432</w:t>
            </w:r>
          </w:p>
        </w:tc>
        <w:tc>
          <w:tcPr>
            <w:tcW w:w="840" w:type="dxa"/>
            <w:vAlign w:val="bottom"/>
          </w:tcPr>
          <w:p>
            <w:pPr>
              <w:jc w:val="right"/>
              <w:ind w:right="55"/>
              <w:spacing w:after="0"/>
              <w:rPr>
                <w:sz w:val="20"/>
                <w:szCs w:val="20"/>
                <w:color w:val="auto"/>
              </w:rPr>
            </w:pPr>
            <w:r>
              <w:rPr>
                <w:rFonts w:ascii="Courier New" w:cs="Courier New" w:eastAsia="Courier New" w:hAnsi="Courier New"/>
                <w:sz w:val="9"/>
                <w:szCs w:val="9"/>
                <w:color w:val="auto"/>
              </w:rPr>
              <w:t>0</w:t>
            </w:r>
          </w:p>
        </w:tc>
        <w:tc>
          <w:tcPr>
            <w:tcW w:w="540" w:type="dxa"/>
            <w:vAlign w:val="bottom"/>
          </w:tcPr>
          <w:p>
            <w:pPr>
              <w:jc w:val="right"/>
              <w:ind w:right="335"/>
              <w:spacing w:after="0"/>
              <w:rPr>
                <w:sz w:val="20"/>
                <w:szCs w:val="20"/>
                <w:color w:val="auto"/>
              </w:rPr>
            </w:pPr>
            <w:r>
              <w:rPr>
                <w:rFonts w:ascii="Courier New" w:cs="Courier New" w:eastAsia="Courier New" w:hAnsi="Courier New"/>
                <w:sz w:val="9"/>
                <w:szCs w:val="9"/>
                <w:color w:val="auto"/>
              </w:rPr>
              <w:t>$</w:t>
            </w:r>
          </w:p>
        </w:tc>
        <w:tc>
          <w:tcPr>
            <w:tcW w:w="980" w:type="dxa"/>
            <w:vAlign w:val="bottom"/>
          </w:tcPr>
          <w:p>
            <w:pPr>
              <w:jc w:val="right"/>
              <w:ind w:right="55"/>
              <w:spacing w:after="0"/>
              <w:rPr>
                <w:sz w:val="20"/>
                <w:szCs w:val="20"/>
                <w:color w:val="auto"/>
              </w:rPr>
            </w:pPr>
            <w:r>
              <w:rPr>
                <w:rFonts w:ascii="Courier New" w:cs="Courier New" w:eastAsia="Courier New" w:hAnsi="Courier New"/>
                <w:sz w:val="9"/>
                <w:szCs w:val="9"/>
                <w:color w:val="auto"/>
              </w:rPr>
              <w:t>7,103,726</w:t>
            </w:r>
          </w:p>
        </w:tc>
        <w:tc>
          <w:tcPr>
            <w:tcW w:w="660" w:type="dxa"/>
            <w:vAlign w:val="bottom"/>
          </w:tcPr>
          <w:p>
            <w:pPr>
              <w:jc w:val="right"/>
              <w:ind w:right="455"/>
              <w:spacing w:after="0"/>
              <w:rPr>
                <w:sz w:val="20"/>
                <w:szCs w:val="20"/>
                <w:color w:val="auto"/>
              </w:rPr>
            </w:pPr>
            <w:r>
              <w:rPr>
                <w:rFonts w:ascii="Courier New" w:cs="Courier New" w:eastAsia="Courier New" w:hAnsi="Courier New"/>
                <w:sz w:val="9"/>
                <w:szCs w:val="9"/>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9"/>
                <w:szCs w:val="9"/>
                <w:color w:val="auto"/>
              </w:rPr>
              <w:t>0</w:t>
            </w:r>
          </w:p>
        </w:tc>
      </w:tr>
      <w:tr>
        <w:trPr>
          <w:trHeight w:val="99"/>
        </w:trPr>
        <w:tc>
          <w:tcPr>
            <w:tcW w:w="1080" w:type="dxa"/>
            <w:vAlign w:val="bottom"/>
          </w:tcPr>
          <w:p>
            <w:pPr>
              <w:spacing w:after="0" w:line="99" w:lineRule="exact"/>
              <w:rPr>
                <w:sz w:val="20"/>
                <w:szCs w:val="20"/>
                <w:color w:val="auto"/>
              </w:rPr>
            </w:pPr>
            <w:r>
              <w:rPr>
                <w:rFonts w:ascii="Courier New" w:cs="Courier New" w:eastAsia="Courier New" w:hAnsi="Courier New"/>
                <w:sz w:val="9"/>
                <w:szCs w:val="9"/>
                <w:color w:val="auto"/>
              </w:rPr>
              <w:t>J. David McIntosh</w:t>
            </w:r>
          </w:p>
        </w:tc>
        <w:tc>
          <w:tcPr>
            <w:tcW w:w="2520" w:type="dxa"/>
            <w:vAlign w:val="bottom"/>
          </w:tcPr>
          <w:p>
            <w:pPr>
              <w:jc w:val="right"/>
              <w:ind w:right="55"/>
              <w:spacing w:after="0" w:line="99" w:lineRule="exact"/>
              <w:rPr>
                <w:sz w:val="20"/>
                <w:szCs w:val="20"/>
                <w:color w:val="auto"/>
              </w:rPr>
            </w:pPr>
            <w:r>
              <w:rPr>
                <w:rFonts w:ascii="Courier New" w:cs="Courier New" w:eastAsia="Courier New" w:hAnsi="Courier New"/>
                <w:sz w:val="9"/>
                <w:szCs w:val="9"/>
                <w:color w:val="auto"/>
              </w:rPr>
              <w:t>0</w:t>
            </w:r>
          </w:p>
        </w:tc>
        <w:tc>
          <w:tcPr>
            <w:tcW w:w="520" w:type="dxa"/>
            <w:vAlign w:val="bottom"/>
          </w:tcPr>
          <w:p>
            <w:pPr>
              <w:spacing w:after="0"/>
              <w:rPr>
                <w:sz w:val="8"/>
                <w:szCs w:val="8"/>
                <w:color w:val="auto"/>
              </w:rPr>
            </w:pPr>
          </w:p>
        </w:tc>
        <w:tc>
          <w:tcPr>
            <w:tcW w:w="1100" w:type="dxa"/>
            <w:vAlign w:val="bottom"/>
          </w:tcPr>
          <w:p>
            <w:pPr>
              <w:jc w:val="right"/>
              <w:ind w:right="335"/>
              <w:spacing w:after="0" w:line="99" w:lineRule="exact"/>
              <w:rPr>
                <w:sz w:val="20"/>
                <w:szCs w:val="20"/>
                <w:color w:val="auto"/>
              </w:rPr>
            </w:pPr>
            <w:r>
              <w:rPr>
                <w:rFonts w:ascii="Courier New" w:cs="Courier New" w:eastAsia="Courier New" w:hAnsi="Courier New"/>
                <w:sz w:val="9"/>
                <w:szCs w:val="9"/>
                <w:color w:val="auto"/>
              </w:rPr>
              <w:t>0</w:t>
            </w:r>
          </w:p>
        </w:tc>
        <w:tc>
          <w:tcPr>
            <w:tcW w:w="1460" w:type="dxa"/>
            <w:vAlign w:val="bottom"/>
          </w:tcPr>
          <w:p>
            <w:pPr>
              <w:jc w:val="right"/>
              <w:ind w:right="655"/>
              <w:spacing w:after="0" w:line="99" w:lineRule="exact"/>
              <w:rPr>
                <w:sz w:val="20"/>
                <w:szCs w:val="20"/>
                <w:color w:val="auto"/>
              </w:rPr>
            </w:pPr>
            <w:r>
              <w:rPr>
                <w:rFonts w:ascii="Courier New" w:cs="Courier New" w:eastAsia="Courier New" w:hAnsi="Courier New"/>
                <w:sz w:val="9"/>
                <w:szCs w:val="9"/>
                <w:color w:val="auto"/>
              </w:rPr>
              <w:t>44,860</w:t>
            </w:r>
          </w:p>
        </w:tc>
        <w:tc>
          <w:tcPr>
            <w:tcW w:w="840" w:type="dxa"/>
            <w:vAlign w:val="bottom"/>
          </w:tcPr>
          <w:p>
            <w:pPr>
              <w:jc w:val="right"/>
              <w:ind w:right="55"/>
              <w:spacing w:after="0" w:line="99" w:lineRule="exact"/>
              <w:rPr>
                <w:sz w:val="20"/>
                <w:szCs w:val="20"/>
                <w:color w:val="auto"/>
              </w:rPr>
            </w:pPr>
            <w:r>
              <w:rPr>
                <w:rFonts w:ascii="Courier New" w:cs="Courier New" w:eastAsia="Courier New" w:hAnsi="Courier New"/>
                <w:sz w:val="9"/>
                <w:szCs w:val="9"/>
                <w:color w:val="auto"/>
              </w:rPr>
              <w:t>0</w:t>
            </w:r>
          </w:p>
        </w:tc>
        <w:tc>
          <w:tcPr>
            <w:tcW w:w="540" w:type="dxa"/>
            <w:vAlign w:val="bottom"/>
          </w:tcPr>
          <w:p>
            <w:pPr>
              <w:spacing w:after="0"/>
              <w:rPr>
                <w:sz w:val="8"/>
                <w:szCs w:val="8"/>
                <w:color w:val="auto"/>
              </w:rPr>
            </w:pPr>
          </w:p>
        </w:tc>
        <w:tc>
          <w:tcPr>
            <w:tcW w:w="980" w:type="dxa"/>
            <w:vAlign w:val="bottom"/>
          </w:tcPr>
          <w:p>
            <w:pPr>
              <w:jc w:val="right"/>
              <w:ind w:right="55"/>
              <w:spacing w:after="0" w:line="99" w:lineRule="exact"/>
              <w:rPr>
                <w:sz w:val="20"/>
                <w:szCs w:val="20"/>
                <w:color w:val="auto"/>
              </w:rPr>
            </w:pPr>
            <w:r>
              <w:rPr>
                <w:rFonts w:ascii="Courier New" w:cs="Courier New" w:eastAsia="Courier New" w:hAnsi="Courier New"/>
                <w:sz w:val="9"/>
                <w:szCs w:val="9"/>
                <w:color w:val="auto"/>
              </w:rPr>
              <w:t>246,091</w:t>
            </w:r>
          </w:p>
        </w:tc>
        <w:tc>
          <w:tcPr>
            <w:tcW w:w="660" w:type="dxa"/>
            <w:vAlign w:val="bottom"/>
          </w:tcPr>
          <w:p>
            <w:pPr>
              <w:spacing w:after="0"/>
              <w:rPr>
                <w:sz w:val="8"/>
                <w:szCs w:val="8"/>
                <w:color w:val="auto"/>
              </w:rPr>
            </w:pPr>
          </w:p>
        </w:tc>
        <w:tc>
          <w:tcPr>
            <w:tcW w:w="580" w:type="dxa"/>
            <w:vAlign w:val="bottom"/>
          </w:tcPr>
          <w:p>
            <w:pPr>
              <w:jc w:val="right"/>
              <w:spacing w:after="0" w:line="99" w:lineRule="exact"/>
              <w:rPr>
                <w:sz w:val="20"/>
                <w:szCs w:val="20"/>
                <w:color w:val="auto"/>
              </w:rPr>
            </w:pPr>
            <w:r>
              <w:rPr>
                <w:rFonts w:ascii="Courier New" w:cs="Courier New" w:eastAsia="Courier New" w:hAnsi="Courier New"/>
                <w:sz w:val="9"/>
                <w:szCs w:val="9"/>
                <w:color w:val="auto"/>
              </w:rPr>
              <w:t>0</w:t>
            </w:r>
          </w:p>
        </w:tc>
      </w:tr>
      <w:tr>
        <w:trPr>
          <w:trHeight w:val="99"/>
        </w:trPr>
        <w:tc>
          <w:tcPr>
            <w:tcW w:w="1080" w:type="dxa"/>
            <w:vAlign w:val="bottom"/>
          </w:tcPr>
          <w:p>
            <w:pPr>
              <w:spacing w:after="0" w:line="99" w:lineRule="exact"/>
              <w:rPr>
                <w:sz w:val="20"/>
                <w:szCs w:val="20"/>
                <w:color w:val="auto"/>
              </w:rPr>
            </w:pPr>
            <w:r>
              <w:rPr>
                <w:rFonts w:ascii="Courier New" w:cs="Courier New" w:eastAsia="Courier New" w:hAnsi="Courier New"/>
                <w:sz w:val="9"/>
                <w:szCs w:val="9"/>
                <w:color w:val="auto"/>
              </w:rPr>
              <w:t>Stephen P. Wolfe</w:t>
            </w:r>
          </w:p>
        </w:tc>
        <w:tc>
          <w:tcPr>
            <w:tcW w:w="2520" w:type="dxa"/>
            <w:vAlign w:val="bottom"/>
          </w:tcPr>
          <w:p>
            <w:pPr>
              <w:jc w:val="right"/>
              <w:ind w:right="55"/>
              <w:spacing w:after="0" w:line="99" w:lineRule="exact"/>
              <w:rPr>
                <w:sz w:val="20"/>
                <w:szCs w:val="20"/>
                <w:color w:val="auto"/>
              </w:rPr>
            </w:pPr>
            <w:r>
              <w:rPr>
                <w:rFonts w:ascii="Courier New" w:cs="Courier New" w:eastAsia="Courier New" w:hAnsi="Courier New"/>
                <w:sz w:val="9"/>
                <w:szCs w:val="9"/>
                <w:color w:val="auto"/>
              </w:rPr>
              <w:t>3,880</w:t>
            </w:r>
          </w:p>
        </w:tc>
        <w:tc>
          <w:tcPr>
            <w:tcW w:w="520" w:type="dxa"/>
            <w:vAlign w:val="bottom"/>
          </w:tcPr>
          <w:p>
            <w:pPr>
              <w:spacing w:after="0"/>
              <w:rPr>
                <w:sz w:val="8"/>
                <w:szCs w:val="8"/>
                <w:color w:val="auto"/>
              </w:rPr>
            </w:pPr>
          </w:p>
        </w:tc>
        <w:tc>
          <w:tcPr>
            <w:tcW w:w="1100" w:type="dxa"/>
            <w:vAlign w:val="bottom"/>
          </w:tcPr>
          <w:p>
            <w:pPr>
              <w:jc w:val="right"/>
              <w:ind w:right="335"/>
              <w:spacing w:after="0" w:line="99" w:lineRule="exact"/>
              <w:rPr>
                <w:sz w:val="20"/>
                <w:szCs w:val="20"/>
                <w:color w:val="auto"/>
              </w:rPr>
            </w:pPr>
            <w:r>
              <w:rPr>
                <w:rFonts w:ascii="Courier New" w:cs="Courier New" w:eastAsia="Courier New" w:hAnsi="Courier New"/>
                <w:sz w:val="9"/>
                <w:szCs w:val="9"/>
                <w:color w:val="auto"/>
              </w:rPr>
              <w:t>54,077</w:t>
            </w:r>
          </w:p>
        </w:tc>
        <w:tc>
          <w:tcPr>
            <w:tcW w:w="1460" w:type="dxa"/>
            <w:vAlign w:val="bottom"/>
          </w:tcPr>
          <w:p>
            <w:pPr>
              <w:jc w:val="right"/>
              <w:ind w:right="655"/>
              <w:spacing w:after="0" w:line="99" w:lineRule="exact"/>
              <w:rPr>
                <w:sz w:val="20"/>
                <w:szCs w:val="20"/>
                <w:color w:val="auto"/>
              </w:rPr>
            </w:pPr>
            <w:r>
              <w:rPr>
                <w:rFonts w:ascii="Courier New" w:cs="Courier New" w:eastAsia="Courier New" w:hAnsi="Courier New"/>
                <w:sz w:val="9"/>
                <w:szCs w:val="9"/>
                <w:color w:val="auto"/>
              </w:rPr>
              <w:t>30,450</w:t>
            </w:r>
          </w:p>
        </w:tc>
        <w:tc>
          <w:tcPr>
            <w:tcW w:w="840" w:type="dxa"/>
            <w:vAlign w:val="bottom"/>
          </w:tcPr>
          <w:p>
            <w:pPr>
              <w:jc w:val="right"/>
              <w:ind w:right="55"/>
              <w:spacing w:after="0" w:line="99" w:lineRule="exact"/>
              <w:rPr>
                <w:sz w:val="20"/>
                <w:szCs w:val="20"/>
                <w:color w:val="auto"/>
              </w:rPr>
            </w:pPr>
            <w:r>
              <w:rPr>
                <w:rFonts w:ascii="Courier New" w:cs="Courier New" w:eastAsia="Courier New" w:hAnsi="Courier New"/>
                <w:sz w:val="9"/>
                <w:szCs w:val="9"/>
                <w:color w:val="auto"/>
              </w:rPr>
              <w:t>0</w:t>
            </w:r>
          </w:p>
        </w:tc>
        <w:tc>
          <w:tcPr>
            <w:tcW w:w="540" w:type="dxa"/>
            <w:vAlign w:val="bottom"/>
          </w:tcPr>
          <w:p>
            <w:pPr>
              <w:spacing w:after="0"/>
              <w:rPr>
                <w:sz w:val="8"/>
                <w:szCs w:val="8"/>
                <w:color w:val="auto"/>
              </w:rPr>
            </w:pPr>
          </w:p>
        </w:tc>
        <w:tc>
          <w:tcPr>
            <w:tcW w:w="980" w:type="dxa"/>
            <w:vAlign w:val="bottom"/>
          </w:tcPr>
          <w:p>
            <w:pPr>
              <w:jc w:val="right"/>
              <w:ind w:right="55"/>
              <w:spacing w:after="0" w:line="99" w:lineRule="exact"/>
              <w:rPr>
                <w:sz w:val="20"/>
                <w:szCs w:val="20"/>
                <w:color w:val="auto"/>
              </w:rPr>
            </w:pPr>
            <w:r>
              <w:rPr>
                <w:rFonts w:ascii="Courier New" w:cs="Courier New" w:eastAsia="Courier New" w:hAnsi="Courier New"/>
                <w:sz w:val="9"/>
                <w:szCs w:val="9"/>
                <w:color w:val="auto"/>
              </w:rPr>
              <w:t>187,349</w:t>
            </w:r>
          </w:p>
        </w:tc>
        <w:tc>
          <w:tcPr>
            <w:tcW w:w="660" w:type="dxa"/>
            <w:vAlign w:val="bottom"/>
          </w:tcPr>
          <w:p>
            <w:pPr>
              <w:spacing w:after="0"/>
              <w:rPr>
                <w:sz w:val="8"/>
                <w:szCs w:val="8"/>
                <w:color w:val="auto"/>
              </w:rPr>
            </w:pPr>
          </w:p>
        </w:tc>
        <w:tc>
          <w:tcPr>
            <w:tcW w:w="580" w:type="dxa"/>
            <w:vAlign w:val="bottom"/>
          </w:tcPr>
          <w:p>
            <w:pPr>
              <w:jc w:val="right"/>
              <w:spacing w:after="0" w:line="99" w:lineRule="exact"/>
              <w:rPr>
                <w:sz w:val="20"/>
                <w:szCs w:val="20"/>
                <w:color w:val="auto"/>
              </w:rPr>
            </w:pPr>
            <w:r>
              <w:rPr>
                <w:rFonts w:ascii="Courier New" w:cs="Courier New" w:eastAsia="Courier New" w:hAnsi="Courier New"/>
                <w:sz w:val="9"/>
                <w:szCs w:val="9"/>
                <w:color w:val="auto"/>
              </w:rPr>
              <w:t>0</w:t>
            </w:r>
          </w:p>
        </w:tc>
      </w:tr>
      <w:tr>
        <w:trPr>
          <w:trHeight w:val="99"/>
        </w:trPr>
        <w:tc>
          <w:tcPr>
            <w:tcW w:w="1080" w:type="dxa"/>
            <w:vAlign w:val="bottom"/>
          </w:tcPr>
          <w:p>
            <w:pPr>
              <w:spacing w:after="0" w:line="99" w:lineRule="exact"/>
              <w:rPr>
                <w:sz w:val="20"/>
                <w:szCs w:val="20"/>
                <w:color w:val="auto"/>
              </w:rPr>
            </w:pPr>
            <w:r>
              <w:rPr>
                <w:rFonts w:ascii="Courier New" w:cs="Courier New" w:eastAsia="Courier New" w:hAnsi="Courier New"/>
                <w:sz w:val="9"/>
                <w:szCs w:val="9"/>
                <w:color w:val="auto"/>
              </w:rPr>
              <w:t>Karen M. Meyer</w:t>
            </w:r>
          </w:p>
        </w:tc>
        <w:tc>
          <w:tcPr>
            <w:tcW w:w="2520" w:type="dxa"/>
            <w:vAlign w:val="bottom"/>
          </w:tcPr>
          <w:p>
            <w:pPr>
              <w:jc w:val="right"/>
              <w:ind w:right="55"/>
              <w:spacing w:after="0" w:line="99" w:lineRule="exact"/>
              <w:rPr>
                <w:sz w:val="20"/>
                <w:szCs w:val="20"/>
                <w:color w:val="auto"/>
              </w:rPr>
            </w:pPr>
            <w:r>
              <w:rPr>
                <w:rFonts w:ascii="Courier New" w:cs="Courier New" w:eastAsia="Courier New" w:hAnsi="Courier New"/>
                <w:sz w:val="9"/>
                <w:szCs w:val="9"/>
                <w:color w:val="auto"/>
              </w:rPr>
              <w:t>0</w:t>
            </w:r>
          </w:p>
        </w:tc>
        <w:tc>
          <w:tcPr>
            <w:tcW w:w="520" w:type="dxa"/>
            <w:vAlign w:val="bottom"/>
          </w:tcPr>
          <w:p>
            <w:pPr>
              <w:spacing w:after="0"/>
              <w:rPr>
                <w:sz w:val="8"/>
                <w:szCs w:val="8"/>
                <w:color w:val="auto"/>
              </w:rPr>
            </w:pPr>
          </w:p>
        </w:tc>
        <w:tc>
          <w:tcPr>
            <w:tcW w:w="1100" w:type="dxa"/>
            <w:vAlign w:val="bottom"/>
          </w:tcPr>
          <w:p>
            <w:pPr>
              <w:jc w:val="right"/>
              <w:ind w:right="335"/>
              <w:spacing w:after="0" w:line="99" w:lineRule="exact"/>
              <w:rPr>
                <w:sz w:val="20"/>
                <w:szCs w:val="20"/>
                <w:color w:val="auto"/>
              </w:rPr>
            </w:pPr>
            <w:r>
              <w:rPr>
                <w:rFonts w:ascii="Courier New" w:cs="Courier New" w:eastAsia="Courier New" w:hAnsi="Courier New"/>
                <w:sz w:val="9"/>
                <w:szCs w:val="9"/>
                <w:color w:val="auto"/>
              </w:rPr>
              <w:t>0</w:t>
            </w:r>
          </w:p>
        </w:tc>
        <w:tc>
          <w:tcPr>
            <w:tcW w:w="1460" w:type="dxa"/>
            <w:vAlign w:val="bottom"/>
          </w:tcPr>
          <w:p>
            <w:pPr>
              <w:jc w:val="right"/>
              <w:ind w:right="655"/>
              <w:spacing w:after="0" w:line="99" w:lineRule="exact"/>
              <w:rPr>
                <w:sz w:val="20"/>
                <w:szCs w:val="20"/>
                <w:color w:val="auto"/>
              </w:rPr>
            </w:pPr>
            <w:r>
              <w:rPr>
                <w:rFonts w:ascii="Courier New" w:cs="Courier New" w:eastAsia="Courier New" w:hAnsi="Courier New"/>
                <w:sz w:val="9"/>
                <w:szCs w:val="9"/>
                <w:color w:val="auto"/>
              </w:rPr>
              <w:t>32,928</w:t>
            </w:r>
          </w:p>
        </w:tc>
        <w:tc>
          <w:tcPr>
            <w:tcW w:w="840" w:type="dxa"/>
            <w:vAlign w:val="bottom"/>
          </w:tcPr>
          <w:p>
            <w:pPr>
              <w:jc w:val="right"/>
              <w:ind w:right="55"/>
              <w:spacing w:after="0" w:line="99" w:lineRule="exact"/>
              <w:rPr>
                <w:sz w:val="20"/>
                <w:szCs w:val="20"/>
                <w:color w:val="auto"/>
              </w:rPr>
            </w:pPr>
            <w:r>
              <w:rPr>
                <w:rFonts w:ascii="Courier New" w:cs="Courier New" w:eastAsia="Courier New" w:hAnsi="Courier New"/>
                <w:sz w:val="9"/>
                <w:szCs w:val="9"/>
                <w:color w:val="auto"/>
              </w:rPr>
              <w:t>0</w:t>
            </w:r>
          </w:p>
        </w:tc>
        <w:tc>
          <w:tcPr>
            <w:tcW w:w="540" w:type="dxa"/>
            <w:vAlign w:val="bottom"/>
          </w:tcPr>
          <w:p>
            <w:pPr>
              <w:spacing w:after="0"/>
              <w:rPr>
                <w:sz w:val="8"/>
                <w:szCs w:val="8"/>
                <w:color w:val="auto"/>
              </w:rPr>
            </w:pPr>
          </w:p>
        </w:tc>
        <w:tc>
          <w:tcPr>
            <w:tcW w:w="980" w:type="dxa"/>
            <w:vAlign w:val="bottom"/>
          </w:tcPr>
          <w:p>
            <w:pPr>
              <w:jc w:val="right"/>
              <w:ind w:right="55"/>
              <w:spacing w:after="0" w:line="99" w:lineRule="exact"/>
              <w:rPr>
                <w:sz w:val="20"/>
                <w:szCs w:val="20"/>
                <w:color w:val="auto"/>
              </w:rPr>
            </w:pPr>
            <w:r>
              <w:rPr>
                <w:rFonts w:ascii="Courier New" w:cs="Courier New" w:eastAsia="Courier New" w:hAnsi="Courier New"/>
                <w:sz w:val="9"/>
                <w:szCs w:val="9"/>
                <w:color w:val="auto"/>
              </w:rPr>
              <w:t>196,065</w:t>
            </w:r>
          </w:p>
        </w:tc>
        <w:tc>
          <w:tcPr>
            <w:tcW w:w="660" w:type="dxa"/>
            <w:vAlign w:val="bottom"/>
          </w:tcPr>
          <w:p>
            <w:pPr>
              <w:spacing w:after="0"/>
              <w:rPr>
                <w:sz w:val="8"/>
                <w:szCs w:val="8"/>
                <w:color w:val="auto"/>
              </w:rPr>
            </w:pPr>
          </w:p>
        </w:tc>
        <w:tc>
          <w:tcPr>
            <w:tcW w:w="580" w:type="dxa"/>
            <w:vAlign w:val="bottom"/>
          </w:tcPr>
          <w:p>
            <w:pPr>
              <w:jc w:val="right"/>
              <w:spacing w:after="0" w:line="99" w:lineRule="exact"/>
              <w:rPr>
                <w:sz w:val="20"/>
                <w:szCs w:val="20"/>
                <w:color w:val="auto"/>
              </w:rPr>
            </w:pPr>
            <w:r>
              <w:rPr>
                <w:rFonts w:ascii="Courier New" w:cs="Courier New" w:eastAsia="Courier New" w:hAnsi="Courier New"/>
                <w:sz w:val="9"/>
                <w:szCs w:val="9"/>
                <w:color w:val="auto"/>
              </w:rPr>
              <w:t>0</w:t>
            </w:r>
          </w:p>
        </w:tc>
      </w:tr>
      <w:tr>
        <w:trPr>
          <w:trHeight w:val="101"/>
        </w:trPr>
        <w:tc>
          <w:tcPr>
            <w:tcW w:w="1080" w:type="dxa"/>
            <w:vAlign w:val="bottom"/>
          </w:tcPr>
          <w:p>
            <w:pPr>
              <w:spacing w:after="0"/>
              <w:rPr>
                <w:sz w:val="20"/>
                <w:szCs w:val="20"/>
                <w:color w:val="auto"/>
              </w:rPr>
            </w:pPr>
            <w:r>
              <w:rPr>
                <w:rFonts w:ascii="Courier New" w:cs="Courier New" w:eastAsia="Courier New" w:hAnsi="Courier New"/>
                <w:sz w:val="9"/>
                <w:szCs w:val="9"/>
                <w:color w:val="auto"/>
                <w:w w:val="98"/>
              </w:rPr>
              <w:t>J. Lawrence McIntyre</w:t>
            </w:r>
          </w:p>
        </w:tc>
        <w:tc>
          <w:tcPr>
            <w:tcW w:w="2520" w:type="dxa"/>
            <w:vAlign w:val="bottom"/>
          </w:tcPr>
          <w:p>
            <w:pPr>
              <w:jc w:val="right"/>
              <w:ind w:right="55"/>
              <w:spacing w:after="0"/>
              <w:rPr>
                <w:sz w:val="20"/>
                <w:szCs w:val="20"/>
                <w:color w:val="auto"/>
              </w:rPr>
            </w:pPr>
            <w:r>
              <w:rPr>
                <w:rFonts w:ascii="Courier New" w:cs="Courier New" w:eastAsia="Courier New" w:hAnsi="Courier New"/>
                <w:sz w:val="9"/>
                <w:szCs w:val="9"/>
                <w:color w:val="auto"/>
              </w:rPr>
              <w:t>12,364</w:t>
            </w:r>
          </w:p>
        </w:tc>
        <w:tc>
          <w:tcPr>
            <w:tcW w:w="520" w:type="dxa"/>
            <w:vAlign w:val="bottom"/>
          </w:tcPr>
          <w:p>
            <w:pPr>
              <w:spacing w:after="0"/>
              <w:rPr>
                <w:sz w:val="8"/>
                <w:szCs w:val="8"/>
                <w:color w:val="auto"/>
              </w:rPr>
            </w:pPr>
          </w:p>
        </w:tc>
        <w:tc>
          <w:tcPr>
            <w:tcW w:w="1100" w:type="dxa"/>
            <w:vAlign w:val="bottom"/>
          </w:tcPr>
          <w:p>
            <w:pPr>
              <w:jc w:val="right"/>
              <w:ind w:right="335"/>
              <w:spacing w:after="0"/>
              <w:rPr>
                <w:sz w:val="20"/>
                <w:szCs w:val="20"/>
                <w:color w:val="auto"/>
              </w:rPr>
            </w:pPr>
            <w:r>
              <w:rPr>
                <w:rFonts w:ascii="Courier New" w:cs="Courier New" w:eastAsia="Courier New" w:hAnsi="Courier New"/>
                <w:sz w:val="9"/>
                <w:szCs w:val="9"/>
                <w:color w:val="auto"/>
              </w:rPr>
              <w:t>107,165</w:t>
            </w:r>
          </w:p>
        </w:tc>
        <w:tc>
          <w:tcPr>
            <w:tcW w:w="1460" w:type="dxa"/>
            <w:vAlign w:val="bottom"/>
          </w:tcPr>
          <w:p>
            <w:pPr>
              <w:jc w:val="right"/>
              <w:ind w:right="655"/>
              <w:spacing w:after="0"/>
              <w:rPr>
                <w:sz w:val="20"/>
                <w:szCs w:val="20"/>
                <w:color w:val="auto"/>
              </w:rPr>
            </w:pPr>
            <w:r>
              <w:rPr>
                <w:rFonts w:ascii="Courier New" w:cs="Courier New" w:eastAsia="Courier New" w:hAnsi="Courier New"/>
                <w:sz w:val="9"/>
                <w:szCs w:val="9"/>
                <w:color w:val="auto"/>
              </w:rPr>
              <w:t>22,352</w:t>
            </w:r>
          </w:p>
        </w:tc>
        <w:tc>
          <w:tcPr>
            <w:tcW w:w="840" w:type="dxa"/>
            <w:vAlign w:val="bottom"/>
          </w:tcPr>
          <w:p>
            <w:pPr>
              <w:jc w:val="right"/>
              <w:ind w:right="55"/>
              <w:spacing w:after="0"/>
              <w:rPr>
                <w:sz w:val="20"/>
                <w:szCs w:val="20"/>
                <w:color w:val="auto"/>
              </w:rPr>
            </w:pPr>
            <w:r>
              <w:rPr>
                <w:rFonts w:ascii="Courier New" w:cs="Courier New" w:eastAsia="Courier New" w:hAnsi="Courier New"/>
                <w:sz w:val="9"/>
                <w:szCs w:val="9"/>
                <w:color w:val="auto"/>
              </w:rPr>
              <w:t>0</w:t>
            </w:r>
          </w:p>
        </w:tc>
        <w:tc>
          <w:tcPr>
            <w:tcW w:w="540" w:type="dxa"/>
            <w:vAlign w:val="bottom"/>
          </w:tcPr>
          <w:p>
            <w:pPr>
              <w:spacing w:after="0"/>
              <w:rPr>
                <w:sz w:val="8"/>
                <w:szCs w:val="8"/>
                <w:color w:val="auto"/>
              </w:rPr>
            </w:pPr>
          </w:p>
        </w:tc>
        <w:tc>
          <w:tcPr>
            <w:tcW w:w="980" w:type="dxa"/>
            <w:vAlign w:val="bottom"/>
          </w:tcPr>
          <w:p>
            <w:pPr>
              <w:jc w:val="right"/>
              <w:ind w:right="55"/>
              <w:spacing w:after="0"/>
              <w:rPr>
                <w:sz w:val="20"/>
                <w:szCs w:val="20"/>
                <w:color w:val="auto"/>
              </w:rPr>
            </w:pPr>
            <w:r>
              <w:rPr>
                <w:rFonts w:ascii="Courier New" w:cs="Courier New" w:eastAsia="Courier New" w:hAnsi="Courier New"/>
                <w:sz w:val="9"/>
                <w:szCs w:val="9"/>
                <w:color w:val="auto"/>
              </w:rPr>
              <w:t>85,199</w:t>
            </w:r>
          </w:p>
        </w:tc>
        <w:tc>
          <w:tcPr>
            <w:tcW w:w="660" w:type="dxa"/>
            <w:vAlign w:val="bottom"/>
          </w:tcPr>
          <w:p>
            <w:pPr>
              <w:spacing w:after="0"/>
              <w:rPr>
                <w:sz w:val="8"/>
                <w:szCs w:val="8"/>
                <w:color w:val="auto"/>
              </w:rPr>
            </w:pPr>
          </w:p>
        </w:tc>
        <w:tc>
          <w:tcPr>
            <w:tcW w:w="580" w:type="dxa"/>
            <w:vAlign w:val="bottom"/>
          </w:tcPr>
          <w:p>
            <w:pPr>
              <w:jc w:val="right"/>
              <w:spacing w:after="0"/>
              <w:rPr>
                <w:sz w:val="20"/>
                <w:szCs w:val="20"/>
                <w:color w:val="auto"/>
              </w:rPr>
            </w:pPr>
            <w:r>
              <w:rPr>
                <w:rFonts w:ascii="Courier New" w:cs="Courier New" w:eastAsia="Courier New" w:hAnsi="Courier New"/>
                <w:sz w:val="9"/>
                <w:szCs w:val="9"/>
                <w:color w:val="auto"/>
              </w:rPr>
              <w:t>0</w:t>
            </w:r>
          </w:p>
        </w:tc>
      </w:tr>
      <w:tr>
        <w:trPr>
          <w:trHeight w:val="68"/>
        </w:trPr>
        <w:tc>
          <w:tcPr>
            <w:tcW w:w="1080" w:type="dxa"/>
            <w:vAlign w:val="bottom"/>
            <w:tcBorders>
              <w:bottom w:val="single" w:sz="8" w:color="808080"/>
            </w:tcBorders>
          </w:tcPr>
          <w:p>
            <w:pPr>
              <w:spacing w:after="0"/>
              <w:rPr>
                <w:sz w:val="5"/>
                <w:szCs w:val="5"/>
                <w:color w:val="auto"/>
              </w:rPr>
            </w:pPr>
          </w:p>
        </w:tc>
        <w:tc>
          <w:tcPr>
            <w:tcW w:w="25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460" w:type="dxa"/>
            <w:vAlign w:val="bottom"/>
          </w:tcPr>
          <w:p>
            <w:pPr>
              <w:spacing w:after="0"/>
              <w:rPr>
                <w:sz w:val="5"/>
                <w:szCs w:val="5"/>
                <w:color w:val="auto"/>
              </w:rPr>
            </w:pPr>
          </w:p>
        </w:tc>
        <w:tc>
          <w:tcPr>
            <w:tcW w:w="840" w:type="dxa"/>
            <w:vAlign w:val="bottom"/>
          </w:tcPr>
          <w:p>
            <w:pPr>
              <w:spacing w:after="0"/>
              <w:rPr>
                <w:sz w:val="5"/>
                <w:szCs w:val="5"/>
                <w:color w:val="auto"/>
              </w:rPr>
            </w:pPr>
          </w:p>
        </w:tc>
        <w:tc>
          <w:tcPr>
            <w:tcW w:w="540" w:type="dxa"/>
            <w:vAlign w:val="bottom"/>
          </w:tcPr>
          <w:p>
            <w:pPr>
              <w:spacing w:after="0"/>
              <w:rPr>
                <w:sz w:val="5"/>
                <w:szCs w:val="5"/>
                <w:color w:val="auto"/>
              </w:rPr>
            </w:pPr>
          </w:p>
        </w:tc>
        <w:tc>
          <w:tcPr>
            <w:tcW w:w="980" w:type="dxa"/>
            <w:vAlign w:val="bottom"/>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682625</wp:posOffset>
            </wp:positionH>
            <wp:positionV relativeFrom="paragraph">
              <wp:posOffset>-11430</wp:posOffset>
            </wp:positionV>
            <wp:extent cx="12700" cy="57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-11430</wp:posOffset>
            </wp:positionV>
            <wp:extent cx="12700" cy="57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(1)</w:t>
      </w:r>
    </w:p>
    <w:p>
      <w:pPr>
        <w:ind w:left="360"/>
        <w:spacing w:after="0" w:line="233" w:lineRule="auto"/>
        <w:rPr>
          <w:sz w:val="20"/>
          <w:szCs w:val="20"/>
          <w:color w:val="auto"/>
        </w:rPr>
      </w:pPr>
      <w:r>
        <w:rPr>
          <w:rFonts w:ascii="Courier New" w:cs="Courier New" w:eastAsia="Courier New" w:hAnsi="Courier New"/>
          <w:sz w:val="9"/>
          <w:szCs w:val="9"/>
          <w:color w:val="auto"/>
        </w:rPr>
        <w:t>An</w:t>
      </w:r>
    </w:p>
    <w:p>
      <w:pPr>
        <w:ind w:left="360"/>
        <w:spacing w:after="0" w:line="233" w:lineRule="auto"/>
        <w:rPr>
          <w:sz w:val="20"/>
          <w:szCs w:val="20"/>
          <w:color w:val="auto"/>
        </w:rPr>
      </w:pPr>
      <w:r>
        <w:rPr>
          <w:rFonts w:ascii="Courier New" w:cs="Courier New" w:eastAsia="Courier New" w:hAnsi="Courier New"/>
          <w:sz w:val="9"/>
          <w:szCs w:val="9"/>
          <w:color w:val="auto"/>
        </w:rPr>
        <w:t>award is the right to receive a designated number of shares at the end of an award term if the Company achieves pre-established financial performance goals. If the</w:t>
      </w:r>
    </w:p>
    <w:p>
      <w:pPr>
        <w:ind w:left="360" w:right="140"/>
        <w:spacing w:after="0" w:line="235" w:lineRule="auto"/>
        <w:rPr>
          <w:sz w:val="20"/>
          <w:szCs w:val="20"/>
          <w:color w:val="auto"/>
        </w:rPr>
      </w:pPr>
      <w:r>
        <w:rPr>
          <w:rFonts w:ascii="Courier New" w:cs="Courier New" w:eastAsia="Courier New" w:hAnsi="Courier New"/>
          <w:sz w:val="9"/>
          <w:szCs w:val="9"/>
          <w:color w:val="auto"/>
        </w:rPr>
        <w:t>performance goals are achieved at levels above or below the target level, the number of shares of Common Stock issued in payment of the award will be increased or reduced, including to zero. This plan is submitted to stockholders for approval of amendments. See the Compensation Committee Report and Proposal Three for additional information on the Performance Share Plan.</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(2)</w:t>
      </w:r>
    </w:p>
    <w:p>
      <w:pPr>
        <w:ind w:left="360"/>
        <w:spacing w:after="0" w:line="233" w:lineRule="auto"/>
        <w:rPr>
          <w:sz w:val="20"/>
          <w:szCs w:val="20"/>
          <w:color w:val="auto"/>
        </w:rPr>
      </w:pPr>
      <w:r>
        <w:rPr>
          <w:rFonts w:ascii="Courier New" w:cs="Courier New" w:eastAsia="Courier New" w:hAnsi="Courier New"/>
          <w:sz w:val="9"/>
          <w:szCs w:val="9"/>
          <w:color w:val="auto"/>
        </w:rPr>
        <w:t>The</w:t>
      </w:r>
    </w:p>
    <w:p>
      <w:pPr>
        <w:ind w:left="360"/>
        <w:spacing w:after="0" w:line="233" w:lineRule="auto"/>
        <w:rPr>
          <w:sz w:val="20"/>
          <w:szCs w:val="20"/>
          <w:color w:val="auto"/>
        </w:rPr>
      </w:pPr>
      <w:r>
        <w:rPr>
          <w:rFonts w:ascii="Courier New" w:cs="Courier New" w:eastAsia="Courier New" w:hAnsi="Courier New"/>
          <w:sz w:val="9"/>
          <w:szCs w:val="9"/>
          <w:color w:val="auto"/>
        </w:rPr>
        <w:t>amounts shown are the number of shares of Common Stock that may be issued if performance goals based on a combination of net income plus after tax interest and total average net</w:t>
      </w:r>
    </w:p>
    <w:p>
      <w:pPr>
        <w:ind w:left="360" w:right="140"/>
        <w:spacing w:after="0" w:line="235" w:lineRule="auto"/>
        <w:rPr>
          <w:sz w:val="20"/>
          <w:szCs w:val="20"/>
          <w:color w:val="auto"/>
        </w:rPr>
      </w:pPr>
      <w:r>
        <w:rPr>
          <w:rFonts w:ascii="Courier New" w:cs="Courier New" w:eastAsia="Courier New" w:hAnsi="Courier New"/>
          <w:sz w:val="9"/>
          <w:szCs w:val="9"/>
          <w:color w:val="auto"/>
        </w:rPr>
        <w:t>assets as set in a matrix are achieved. If actual Company performance is below threshold levels, no payouts are made. The potential dollar value of a payout will fluctuate with the market value of the Common Stock. At the date of the grant of these awards, the closing price of the Common Stock on the New York Stock Exchange was $24.9375. On October 31, 1999, the market value of the Common</w:t>
      </w:r>
    </w:p>
    <w:p>
      <w:pPr>
        <w:spacing w:after="0" w:line="24"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Stock was $35.875.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Courier New" w:cs="Courier New" w:eastAsia="Courier New" w:hAnsi="Courier New"/>
          <w:sz w:val="9"/>
          <w:szCs w:val="9"/>
          <w:b w:val="1"/>
          <w:bCs w:val="1"/>
          <w:color w:val="auto"/>
        </w:rPr>
        <w:t>PERFORMANCE GRAPH</w:t>
      </w:r>
    </w:p>
    <w:p>
      <w:pPr>
        <w:spacing w:after="0" w:line="115" w:lineRule="exact"/>
        <w:rPr>
          <w:sz w:val="20"/>
          <w:szCs w:val="20"/>
          <w:color w:val="auto"/>
        </w:rPr>
      </w:pPr>
    </w:p>
    <w:p>
      <w:pPr>
        <w:ind w:right="2660" w:firstLine="216"/>
        <w:spacing w:after="0" w:line="235" w:lineRule="auto"/>
        <w:rPr>
          <w:sz w:val="20"/>
          <w:szCs w:val="20"/>
          <w:color w:val="auto"/>
        </w:rPr>
      </w:pPr>
      <w:r>
        <w:rPr>
          <w:rFonts w:ascii="Courier New" w:cs="Courier New" w:eastAsia="Courier New" w:hAnsi="Courier New"/>
          <w:sz w:val="9"/>
          <w:szCs w:val="9"/>
          <w:color w:val="auto"/>
        </w:rPr>
        <w:t>The following graph depicts total cumulative stockholder return (assuming reinvestment of dividends) of the Company's Common Stock, the S&amp;P 500 Index and an industry peer index for the preceding five fiscal years commencing with Fiscal 1994.</w:t>
      </w:r>
    </w:p>
    <w:p>
      <w:pPr>
        <w:spacing w:after="0" w:line="114" w:lineRule="exact"/>
        <w:rPr>
          <w:sz w:val="20"/>
          <w:szCs w:val="20"/>
          <w:color w:val="auto"/>
        </w:rPr>
      </w:pPr>
    </w:p>
    <w:p>
      <w:pPr>
        <w:spacing w:after="0"/>
        <w:rPr>
          <w:sz w:val="20"/>
          <w:szCs w:val="20"/>
          <w:color w:val="auto"/>
        </w:rPr>
      </w:pPr>
      <w:r>
        <w:rPr>
          <w:rFonts w:ascii="Courier New" w:cs="Courier New" w:eastAsia="Courier New" w:hAnsi="Courier New"/>
          <w:sz w:val="9"/>
          <w:szCs w:val="9"/>
          <w:b w:val="1"/>
          <w:bCs w:val="1"/>
          <w:color w:val="auto"/>
        </w:rPr>
        <w:t>EDGAR REPRESENTATION OF DATA POINTS USED IN PRINTED GRAPHIC</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02"/>
        </w:trPr>
        <w:tc>
          <w:tcPr>
            <w:tcW w:w="200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40" w:type="dxa"/>
            <w:vAlign w:val="bottom"/>
            <w:gridSpan w:val="5"/>
          </w:tcPr>
          <w:p>
            <w:pPr>
              <w:jc w:val="center"/>
              <w:ind w:left="735"/>
              <w:spacing w:after="0"/>
              <w:rPr>
                <w:sz w:val="20"/>
                <w:szCs w:val="20"/>
                <w:color w:val="auto"/>
              </w:rPr>
            </w:pPr>
            <w:r>
              <w:rPr>
                <w:rFonts w:ascii="Courier New" w:cs="Courier New" w:eastAsia="Courier New" w:hAnsi="Courier New"/>
                <w:sz w:val="9"/>
                <w:szCs w:val="9"/>
                <w:b w:val="1"/>
                <w:bCs w:val="1"/>
                <w:color w:val="auto"/>
                <w:w w:val="99"/>
              </w:rPr>
              <w:t>Estimated Future Payouts under</w:t>
            </w:r>
          </w:p>
        </w:tc>
        <w:tc>
          <w:tcPr>
            <w:tcW w:w="780" w:type="dxa"/>
            <w:vAlign w:val="bottom"/>
          </w:tcPr>
          <w:p>
            <w:pPr>
              <w:spacing w:after="0"/>
              <w:rPr>
                <w:sz w:val="8"/>
                <w:szCs w:val="8"/>
                <w:color w:val="auto"/>
              </w:rPr>
            </w:pPr>
          </w:p>
        </w:tc>
      </w:tr>
      <w:tr>
        <w:trPr>
          <w:trHeight w:val="101"/>
        </w:trPr>
        <w:tc>
          <w:tcPr>
            <w:tcW w:w="200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20" w:type="dxa"/>
            <w:vAlign w:val="bottom"/>
            <w:gridSpan w:val="6"/>
          </w:tcPr>
          <w:p>
            <w:pPr>
              <w:jc w:val="center"/>
              <w:spacing w:after="0"/>
              <w:rPr>
                <w:sz w:val="20"/>
                <w:szCs w:val="20"/>
                <w:color w:val="auto"/>
              </w:rPr>
            </w:pPr>
            <w:r>
              <w:rPr>
                <w:rFonts w:ascii="Courier New" w:cs="Courier New" w:eastAsia="Courier New" w:hAnsi="Courier New"/>
                <w:sz w:val="9"/>
                <w:szCs w:val="9"/>
                <w:b w:val="1"/>
                <w:bCs w:val="1"/>
                <w:color w:val="auto"/>
              </w:rPr>
              <w:t>Non-Stock Price-Based Plan(s)(2)</w:t>
            </w:r>
          </w:p>
        </w:tc>
      </w:tr>
      <w:tr>
        <w:trPr>
          <w:trHeight w:val="59"/>
        </w:trPr>
        <w:tc>
          <w:tcPr>
            <w:tcW w:w="2000" w:type="dxa"/>
            <w:vAlign w:val="bottom"/>
          </w:tcPr>
          <w:p>
            <w:pPr>
              <w:spacing w:after="0"/>
              <w:rPr>
                <w:sz w:val="5"/>
                <w:szCs w:val="5"/>
                <w:color w:val="auto"/>
              </w:rPr>
            </w:pPr>
          </w:p>
        </w:tc>
        <w:tc>
          <w:tcPr>
            <w:tcW w:w="80" w:type="dxa"/>
            <w:vAlign w:val="bottom"/>
          </w:tcPr>
          <w:p>
            <w:pPr>
              <w:spacing w:after="0"/>
              <w:rPr>
                <w:sz w:val="5"/>
                <w:szCs w:val="5"/>
                <w:color w:val="auto"/>
              </w:rPr>
            </w:pPr>
          </w:p>
        </w:tc>
        <w:tc>
          <w:tcPr>
            <w:tcW w:w="2120" w:type="dxa"/>
            <w:vAlign w:val="bottom"/>
            <w:gridSpan w:val="2"/>
          </w:tcPr>
          <w:p>
            <w:pPr>
              <w:spacing w:after="0"/>
              <w:rPr>
                <w:sz w:val="5"/>
                <w:szCs w:val="5"/>
                <w:color w:val="auto"/>
              </w:rPr>
            </w:pPr>
          </w:p>
        </w:tc>
        <w:tc>
          <w:tcPr>
            <w:tcW w:w="100" w:type="dxa"/>
            <w:vAlign w:val="bottom"/>
          </w:tcPr>
          <w:p>
            <w:pPr>
              <w:spacing w:after="0"/>
              <w:rPr>
                <w:sz w:val="5"/>
                <w:szCs w:val="5"/>
                <w:color w:val="auto"/>
              </w:rPr>
            </w:pPr>
          </w:p>
        </w:tc>
        <w:tc>
          <w:tcPr>
            <w:tcW w:w="2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tcBorders>
              <w:bottom w:val="single" w:sz="8" w:color="808080"/>
            </w:tcBorders>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800" w:type="dxa"/>
            <w:vAlign w:val="bottom"/>
            <w:tcBorders>
              <w:bottom w:val="single" w:sz="8" w:color="808080"/>
            </w:tcBorders>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780" w:type="dxa"/>
            <w:vAlign w:val="bottom"/>
            <w:tcBorders>
              <w:bottom w:val="single" w:sz="8" w:color="808080"/>
            </w:tcBorders>
          </w:tcPr>
          <w:p>
            <w:pPr>
              <w:spacing w:after="0"/>
              <w:rPr>
                <w:sz w:val="5"/>
                <w:szCs w:val="5"/>
                <w:color w:val="auto"/>
              </w:rPr>
            </w:pPr>
          </w:p>
        </w:tc>
      </w:tr>
      <w:tr>
        <w:trPr>
          <w:trHeight w:val="154"/>
        </w:trPr>
        <w:tc>
          <w:tcPr>
            <w:tcW w:w="2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20" w:type="dxa"/>
            <w:vAlign w:val="bottom"/>
            <w:gridSpan w:val="2"/>
          </w:tcPr>
          <w:p>
            <w:pPr>
              <w:jc w:val="center"/>
              <w:spacing w:after="0"/>
              <w:rPr>
                <w:sz w:val="20"/>
                <w:szCs w:val="20"/>
                <w:color w:val="auto"/>
              </w:rPr>
            </w:pPr>
            <w:r>
              <w:rPr>
                <w:rFonts w:ascii="Courier New" w:cs="Courier New" w:eastAsia="Courier New" w:hAnsi="Courier New"/>
                <w:sz w:val="9"/>
                <w:szCs w:val="9"/>
                <w:b w:val="1"/>
                <w:bCs w:val="1"/>
                <w:color w:val="auto"/>
                <w:w w:val="99"/>
              </w:rPr>
              <w:t>Number of Shares, Units or</w:t>
            </w:r>
          </w:p>
        </w:tc>
        <w:tc>
          <w:tcPr>
            <w:tcW w:w="100" w:type="dxa"/>
            <w:vAlign w:val="bottom"/>
          </w:tcPr>
          <w:p>
            <w:pPr>
              <w:spacing w:after="0"/>
              <w:rPr>
                <w:sz w:val="13"/>
                <w:szCs w:val="13"/>
                <w:color w:val="auto"/>
              </w:rPr>
            </w:pPr>
          </w:p>
        </w:tc>
        <w:tc>
          <w:tcPr>
            <w:tcW w:w="2300" w:type="dxa"/>
            <w:vAlign w:val="bottom"/>
            <w:gridSpan w:val="2"/>
          </w:tcPr>
          <w:p>
            <w:pPr>
              <w:jc w:val="center"/>
              <w:ind w:right="100"/>
              <w:spacing w:after="0"/>
              <w:rPr>
                <w:sz w:val="20"/>
                <w:szCs w:val="20"/>
                <w:color w:val="auto"/>
              </w:rPr>
            </w:pPr>
            <w:r>
              <w:rPr>
                <w:rFonts w:ascii="Courier New" w:cs="Courier New" w:eastAsia="Courier New" w:hAnsi="Courier New"/>
                <w:sz w:val="9"/>
                <w:szCs w:val="9"/>
                <w:b w:val="1"/>
                <w:bCs w:val="1"/>
                <w:color w:val="auto"/>
                <w:w w:val="98"/>
              </w:rPr>
              <w:t>Performance or Other Period</w:t>
            </w:r>
          </w:p>
        </w:tc>
        <w:tc>
          <w:tcPr>
            <w:tcW w:w="1200" w:type="dxa"/>
            <w:vAlign w:val="bottom"/>
            <w:gridSpan w:val="2"/>
          </w:tcPr>
          <w:p>
            <w:pPr>
              <w:jc w:val="center"/>
              <w:ind w:right="100"/>
              <w:spacing w:after="0"/>
              <w:rPr>
                <w:sz w:val="20"/>
                <w:szCs w:val="20"/>
                <w:color w:val="auto"/>
              </w:rPr>
            </w:pPr>
            <w:r>
              <w:rPr>
                <w:rFonts w:ascii="Courier New" w:cs="Courier New" w:eastAsia="Courier New" w:hAnsi="Courier New"/>
                <w:sz w:val="9"/>
                <w:szCs w:val="9"/>
                <w:b w:val="1"/>
                <w:bCs w:val="1"/>
                <w:color w:val="auto"/>
              </w:rPr>
              <w:t>Threshold</w:t>
            </w:r>
          </w:p>
        </w:tc>
        <w:tc>
          <w:tcPr>
            <w:tcW w:w="1240" w:type="dxa"/>
            <w:vAlign w:val="bottom"/>
            <w:gridSpan w:val="3"/>
          </w:tcPr>
          <w:p>
            <w:pPr>
              <w:jc w:val="center"/>
              <w:ind w:right="440"/>
              <w:spacing w:after="0"/>
              <w:rPr>
                <w:sz w:val="20"/>
                <w:szCs w:val="20"/>
                <w:color w:val="auto"/>
              </w:rPr>
            </w:pPr>
            <w:r>
              <w:rPr>
                <w:rFonts w:ascii="Courier New" w:cs="Courier New" w:eastAsia="Courier New" w:hAnsi="Courier New"/>
                <w:sz w:val="9"/>
                <w:szCs w:val="9"/>
                <w:b w:val="1"/>
                <w:bCs w:val="1"/>
                <w:color w:val="auto"/>
                <w:w w:val="98"/>
              </w:rPr>
              <w:t>Target</w:t>
            </w:r>
          </w:p>
        </w:tc>
        <w:tc>
          <w:tcPr>
            <w:tcW w:w="780" w:type="dxa"/>
            <w:vAlign w:val="bottom"/>
          </w:tcPr>
          <w:p>
            <w:pPr>
              <w:jc w:val="right"/>
              <w:ind w:right="335"/>
              <w:spacing w:after="0"/>
              <w:rPr>
                <w:sz w:val="20"/>
                <w:szCs w:val="20"/>
                <w:color w:val="auto"/>
              </w:rPr>
            </w:pPr>
            <w:r>
              <w:rPr>
                <w:rFonts w:ascii="Courier New" w:cs="Courier New" w:eastAsia="Courier New" w:hAnsi="Courier New"/>
                <w:sz w:val="9"/>
                <w:szCs w:val="9"/>
                <w:b w:val="1"/>
                <w:bCs w:val="1"/>
                <w:color w:val="auto"/>
              </w:rPr>
              <w:t>Maximum</w:t>
            </w:r>
          </w:p>
        </w:tc>
      </w:tr>
      <w:tr>
        <w:trPr>
          <w:trHeight w:val="101"/>
        </w:trPr>
        <w:tc>
          <w:tcPr>
            <w:tcW w:w="2000" w:type="dxa"/>
            <w:vAlign w:val="bottom"/>
          </w:tcPr>
          <w:p>
            <w:pPr>
              <w:spacing w:after="0"/>
              <w:rPr>
                <w:sz w:val="20"/>
                <w:szCs w:val="20"/>
                <w:color w:val="auto"/>
              </w:rPr>
            </w:pPr>
            <w:r>
              <w:rPr>
                <w:rFonts w:ascii="Courier New" w:cs="Courier New" w:eastAsia="Courier New" w:hAnsi="Courier New"/>
                <w:sz w:val="9"/>
                <w:szCs w:val="9"/>
                <w:b w:val="1"/>
                <w:bCs w:val="1"/>
                <w:color w:val="auto"/>
              </w:rPr>
              <w:t>Name</w:t>
            </w:r>
          </w:p>
        </w:tc>
        <w:tc>
          <w:tcPr>
            <w:tcW w:w="80" w:type="dxa"/>
            <w:vAlign w:val="bottom"/>
          </w:tcPr>
          <w:p>
            <w:pPr>
              <w:spacing w:after="0"/>
              <w:rPr>
                <w:sz w:val="8"/>
                <w:szCs w:val="8"/>
                <w:color w:val="auto"/>
              </w:rPr>
            </w:pPr>
          </w:p>
        </w:tc>
        <w:tc>
          <w:tcPr>
            <w:tcW w:w="2120" w:type="dxa"/>
            <w:vAlign w:val="bottom"/>
            <w:gridSpan w:val="2"/>
          </w:tcPr>
          <w:p>
            <w:pPr>
              <w:jc w:val="center"/>
              <w:spacing w:after="0"/>
              <w:rPr>
                <w:sz w:val="20"/>
                <w:szCs w:val="20"/>
                <w:color w:val="auto"/>
              </w:rPr>
            </w:pPr>
            <w:r>
              <w:rPr>
                <w:rFonts w:ascii="Courier New" w:cs="Courier New" w:eastAsia="Courier New" w:hAnsi="Courier New"/>
                <w:sz w:val="9"/>
                <w:szCs w:val="9"/>
                <w:b w:val="1"/>
                <w:bCs w:val="1"/>
                <w:color w:val="auto"/>
                <w:w w:val="99"/>
              </w:rPr>
              <w:t>Other Rights (#)</w:t>
            </w:r>
          </w:p>
        </w:tc>
        <w:tc>
          <w:tcPr>
            <w:tcW w:w="100" w:type="dxa"/>
            <w:vAlign w:val="bottom"/>
          </w:tcPr>
          <w:p>
            <w:pPr>
              <w:spacing w:after="0"/>
              <w:rPr>
                <w:sz w:val="8"/>
                <w:szCs w:val="8"/>
                <w:color w:val="auto"/>
              </w:rPr>
            </w:pPr>
          </w:p>
        </w:tc>
        <w:tc>
          <w:tcPr>
            <w:tcW w:w="2300" w:type="dxa"/>
            <w:vAlign w:val="bottom"/>
            <w:gridSpan w:val="2"/>
          </w:tcPr>
          <w:p>
            <w:pPr>
              <w:jc w:val="center"/>
              <w:ind w:right="100"/>
              <w:spacing w:after="0"/>
              <w:rPr>
                <w:sz w:val="20"/>
                <w:szCs w:val="20"/>
                <w:color w:val="auto"/>
              </w:rPr>
            </w:pPr>
            <w:r>
              <w:rPr>
                <w:rFonts w:ascii="Courier New" w:cs="Courier New" w:eastAsia="Courier New" w:hAnsi="Courier New"/>
                <w:sz w:val="9"/>
                <w:szCs w:val="9"/>
                <w:b w:val="1"/>
                <w:bCs w:val="1"/>
                <w:color w:val="auto"/>
                <w:w w:val="99"/>
              </w:rPr>
              <w:t>Until Maturation or Payout</w:t>
            </w:r>
          </w:p>
        </w:tc>
        <w:tc>
          <w:tcPr>
            <w:tcW w:w="1100" w:type="dxa"/>
            <w:vAlign w:val="bottom"/>
          </w:tcPr>
          <w:p>
            <w:pPr>
              <w:jc w:val="right"/>
              <w:ind w:right="415"/>
              <w:spacing w:after="0"/>
              <w:rPr>
                <w:sz w:val="20"/>
                <w:szCs w:val="20"/>
                <w:color w:val="auto"/>
              </w:rPr>
            </w:pPr>
            <w:r>
              <w:rPr>
                <w:rFonts w:ascii="Courier New" w:cs="Courier New" w:eastAsia="Courier New" w:hAnsi="Courier New"/>
                <w:sz w:val="9"/>
                <w:szCs w:val="9"/>
                <w:b w:val="1"/>
                <w:bCs w:val="1"/>
                <w:color w:val="auto"/>
              </w:rPr>
              <w:t>(#)</w:t>
            </w:r>
          </w:p>
        </w:tc>
        <w:tc>
          <w:tcPr>
            <w:tcW w:w="100" w:type="dxa"/>
            <w:vAlign w:val="bottom"/>
          </w:tcPr>
          <w:p>
            <w:pPr>
              <w:spacing w:after="0"/>
              <w:rPr>
                <w:sz w:val="8"/>
                <w:szCs w:val="8"/>
                <w:color w:val="auto"/>
              </w:rPr>
            </w:pPr>
          </w:p>
        </w:tc>
        <w:tc>
          <w:tcPr>
            <w:tcW w:w="800" w:type="dxa"/>
            <w:vAlign w:val="bottom"/>
          </w:tcPr>
          <w:p>
            <w:pPr>
              <w:jc w:val="center"/>
              <w:spacing w:after="0"/>
              <w:rPr>
                <w:sz w:val="20"/>
                <w:szCs w:val="20"/>
                <w:color w:val="auto"/>
              </w:rPr>
            </w:pPr>
            <w:r>
              <w:rPr>
                <w:rFonts w:ascii="Courier New" w:cs="Courier New" w:eastAsia="Courier New" w:hAnsi="Courier New"/>
                <w:sz w:val="9"/>
                <w:szCs w:val="9"/>
                <w:b w:val="1"/>
                <w:bCs w:val="1"/>
                <w:color w:val="auto"/>
                <w:w w:val="98"/>
              </w:rPr>
              <w:t>(#)</w:t>
            </w: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tcPr>
          <w:p>
            <w:pPr>
              <w:jc w:val="right"/>
              <w:ind w:right="435"/>
              <w:spacing w:after="0"/>
              <w:rPr>
                <w:sz w:val="20"/>
                <w:szCs w:val="20"/>
                <w:color w:val="auto"/>
              </w:rPr>
            </w:pPr>
            <w:r>
              <w:rPr>
                <w:rFonts w:ascii="Courier New" w:cs="Courier New" w:eastAsia="Courier New" w:hAnsi="Courier New"/>
                <w:sz w:val="9"/>
                <w:szCs w:val="9"/>
                <w:b w:val="1"/>
                <w:bCs w:val="1"/>
                <w:color w:val="auto"/>
              </w:rPr>
              <w:t>(#)</w:t>
            </w:r>
          </w:p>
        </w:tc>
      </w:tr>
      <w:tr>
        <w:trPr>
          <w:trHeight w:val="59"/>
        </w:trPr>
        <w:tc>
          <w:tcPr>
            <w:tcW w:w="2000" w:type="dxa"/>
            <w:vAlign w:val="bottom"/>
            <w:tcBorders>
              <w:bottom w:val="single" w:sz="8" w:color="808080"/>
            </w:tcBorders>
          </w:tcPr>
          <w:p>
            <w:pPr>
              <w:spacing w:after="0"/>
              <w:rPr>
                <w:sz w:val="5"/>
                <w:szCs w:val="5"/>
                <w:color w:val="auto"/>
              </w:rPr>
            </w:pPr>
          </w:p>
        </w:tc>
        <w:tc>
          <w:tcPr>
            <w:tcW w:w="80" w:type="dxa"/>
            <w:vAlign w:val="bottom"/>
          </w:tcPr>
          <w:p>
            <w:pPr>
              <w:spacing w:after="0"/>
              <w:rPr>
                <w:sz w:val="5"/>
                <w:szCs w:val="5"/>
                <w:color w:val="auto"/>
              </w:rPr>
            </w:pPr>
          </w:p>
        </w:tc>
        <w:tc>
          <w:tcPr>
            <w:tcW w:w="860" w:type="dxa"/>
            <w:vAlign w:val="bottom"/>
            <w:tcBorders>
              <w:bottom w:val="single" w:sz="8" w:color="808080"/>
            </w:tcBorders>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100" w:type="dxa"/>
            <w:vAlign w:val="bottom"/>
          </w:tcPr>
          <w:p>
            <w:pPr>
              <w:spacing w:after="0"/>
              <w:rPr>
                <w:sz w:val="5"/>
                <w:szCs w:val="5"/>
                <w:color w:val="auto"/>
              </w:rPr>
            </w:pPr>
          </w:p>
        </w:tc>
        <w:tc>
          <w:tcPr>
            <w:tcW w:w="2200" w:type="dxa"/>
            <w:vAlign w:val="bottom"/>
            <w:tcBorders>
              <w:bottom w:val="single" w:sz="8" w:color="808080"/>
            </w:tcBorders>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tcBorders>
              <w:bottom w:val="single" w:sz="8" w:color="808080"/>
            </w:tcBorders>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Borders>
              <w:bottom w:val="single" w:sz="8" w:color="808080"/>
            </w:tcBorders>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780" w:type="dxa"/>
            <w:vAlign w:val="bottom"/>
            <w:tcBorders>
              <w:bottom w:val="single" w:sz="8" w:color="808080"/>
            </w:tcBorders>
          </w:tcPr>
          <w:p>
            <w:pPr>
              <w:spacing w:after="0"/>
              <w:rPr>
                <w:sz w:val="5"/>
                <w:szCs w:val="5"/>
                <w:color w:val="auto"/>
              </w:rPr>
            </w:pPr>
          </w:p>
        </w:tc>
      </w:tr>
      <w:tr>
        <w:trPr>
          <w:trHeight w:val="154"/>
        </w:trPr>
        <w:tc>
          <w:tcPr>
            <w:tcW w:w="2000" w:type="dxa"/>
            <w:vAlign w:val="bottom"/>
          </w:tcPr>
          <w:p>
            <w:pPr>
              <w:spacing w:after="0"/>
              <w:rPr>
                <w:sz w:val="20"/>
                <w:szCs w:val="20"/>
                <w:color w:val="auto"/>
              </w:rPr>
            </w:pPr>
            <w:r>
              <w:rPr>
                <w:rFonts w:ascii="Courier New" w:cs="Courier New" w:eastAsia="Courier New" w:hAnsi="Courier New"/>
                <w:sz w:val="9"/>
                <w:szCs w:val="9"/>
                <w:color w:val="auto"/>
              </w:rPr>
              <w:t>Kendrick B. Melrose</w:t>
            </w:r>
          </w:p>
        </w:tc>
        <w:tc>
          <w:tcPr>
            <w:tcW w:w="940" w:type="dxa"/>
            <w:vAlign w:val="bottom"/>
            <w:gridSpan w:val="2"/>
          </w:tcPr>
          <w:p>
            <w:pPr>
              <w:jc w:val="right"/>
              <w:spacing w:after="0"/>
              <w:rPr>
                <w:sz w:val="20"/>
                <w:szCs w:val="20"/>
                <w:color w:val="auto"/>
              </w:rPr>
            </w:pPr>
            <w:r>
              <w:rPr>
                <w:rFonts w:ascii="Courier New" w:cs="Courier New" w:eastAsia="Courier New" w:hAnsi="Courier New"/>
                <w:sz w:val="9"/>
                <w:szCs w:val="9"/>
                <w:color w:val="auto"/>
              </w:rPr>
              <w:t>3</w:t>
            </w:r>
          </w:p>
        </w:tc>
        <w:tc>
          <w:tcPr>
            <w:tcW w:w="1260" w:type="dxa"/>
            <w:vAlign w:val="bottom"/>
          </w:tcPr>
          <w:p>
            <w:pPr>
              <w:ind w:left="20"/>
              <w:spacing w:after="0"/>
              <w:rPr>
                <w:sz w:val="20"/>
                <w:szCs w:val="20"/>
                <w:color w:val="auto"/>
              </w:rPr>
            </w:pPr>
            <w:r>
              <w:rPr>
                <w:rFonts w:ascii="Courier New" w:cs="Courier New" w:eastAsia="Courier New" w:hAnsi="Courier New"/>
                <w:sz w:val="9"/>
                <w:szCs w:val="9"/>
                <w:color w:val="auto"/>
              </w:rPr>
              <w:t>Awards(1)</w:t>
            </w:r>
          </w:p>
        </w:tc>
        <w:tc>
          <w:tcPr>
            <w:tcW w:w="100" w:type="dxa"/>
            <w:vAlign w:val="bottom"/>
          </w:tcPr>
          <w:p>
            <w:pPr>
              <w:spacing w:after="0"/>
              <w:rPr>
                <w:sz w:val="13"/>
                <w:szCs w:val="13"/>
                <w:color w:val="auto"/>
              </w:rPr>
            </w:pPr>
          </w:p>
        </w:tc>
        <w:tc>
          <w:tcPr>
            <w:tcW w:w="2300" w:type="dxa"/>
            <w:vAlign w:val="bottom"/>
            <w:gridSpan w:val="2"/>
          </w:tcPr>
          <w:p>
            <w:pPr>
              <w:jc w:val="center"/>
              <w:ind w:right="100"/>
              <w:spacing w:after="0"/>
              <w:rPr>
                <w:sz w:val="20"/>
                <w:szCs w:val="20"/>
                <w:color w:val="auto"/>
              </w:rPr>
            </w:pPr>
            <w:r>
              <w:rPr>
                <w:rFonts w:ascii="Courier New" w:cs="Courier New" w:eastAsia="Courier New" w:hAnsi="Courier New"/>
                <w:sz w:val="9"/>
                <w:szCs w:val="9"/>
                <w:color w:val="auto"/>
              </w:rPr>
              <w:t>Fiscal 1999</w:t>
            </w:r>
          </w:p>
        </w:tc>
        <w:tc>
          <w:tcPr>
            <w:tcW w:w="1200" w:type="dxa"/>
            <w:vAlign w:val="bottom"/>
            <w:gridSpan w:val="2"/>
          </w:tcPr>
          <w:p>
            <w:pPr>
              <w:jc w:val="right"/>
              <w:ind w:right="100"/>
              <w:spacing w:after="0"/>
              <w:rPr>
                <w:sz w:val="20"/>
                <w:szCs w:val="20"/>
                <w:color w:val="auto"/>
              </w:rPr>
            </w:pPr>
            <w:r>
              <w:rPr>
                <w:rFonts w:ascii="Courier New" w:cs="Courier New" w:eastAsia="Courier New" w:hAnsi="Courier New"/>
                <w:sz w:val="9"/>
                <w:szCs w:val="9"/>
                <w:color w:val="auto"/>
              </w:rPr>
              <w:t>1</w:t>
            </w:r>
          </w:p>
        </w:tc>
        <w:tc>
          <w:tcPr>
            <w:tcW w:w="900" w:type="dxa"/>
            <w:vAlign w:val="bottom"/>
            <w:gridSpan w:val="2"/>
          </w:tcPr>
          <w:p>
            <w:pPr>
              <w:jc w:val="right"/>
              <w:ind w:right="100"/>
              <w:spacing w:after="0"/>
              <w:rPr>
                <w:sz w:val="20"/>
                <w:szCs w:val="20"/>
                <w:color w:val="auto"/>
              </w:rPr>
            </w:pPr>
            <w:r>
              <w:rPr>
                <w:rFonts w:ascii="Courier New" w:cs="Courier New" w:eastAsia="Courier New" w:hAnsi="Courier New"/>
                <w:sz w:val="9"/>
                <w:szCs w:val="9"/>
                <w:color w:val="auto"/>
              </w:rPr>
              <w:t>10,500</w:t>
            </w:r>
          </w:p>
        </w:tc>
        <w:tc>
          <w:tcPr>
            <w:tcW w:w="3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Courier New" w:cs="Courier New" w:eastAsia="Courier New" w:hAnsi="Courier New"/>
                <w:sz w:val="9"/>
                <w:szCs w:val="9"/>
                <w:color w:val="auto"/>
              </w:rPr>
              <w:t>21,000</w:t>
            </w:r>
          </w:p>
        </w:tc>
      </w:tr>
      <w:tr>
        <w:trPr>
          <w:trHeight w:val="99"/>
        </w:trPr>
        <w:tc>
          <w:tcPr>
            <w:tcW w:w="200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2"/>
          </w:tcPr>
          <w:p>
            <w:pPr>
              <w:jc w:val="center"/>
              <w:ind w:right="100"/>
              <w:spacing w:after="0" w:line="99" w:lineRule="exact"/>
              <w:rPr>
                <w:sz w:val="20"/>
                <w:szCs w:val="20"/>
                <w:color w:val="auto"/>
              </w:rPr>
            </w:pPr>
            <w:r>
              <w:rPr>
                <w:rFonts w:ascii="Courier New" w:cs="Courier New" w:eastAsia="Courier New" w:hAnsi="Courier New"/>
                <w:sz w:val="9"/>
                <w:szCs w:val="9"/>
                <w:color w:val="auto"/>
              </w:rPr>
              <w:t>Fiscal 1999 to 2000</w:t>
            </w:r>
          </w:p>
        </w:tc>
        <w:tc>
          <w:tcPr>
            <w:tcW w:w="1200" w:type="dxa"/>
            <w:vAlign w:val="bottom"/>
            <w:gridSpan w:val="2"/>
          </w:tcPr>
          <w:p>
            <w:pPr>
              <w:jc w:val="right"/>
              <w:ind w:right="100"/>
              <w:spacing w:after="0" w:line="99" w:lineRule="exact"/>
              <w:rPr>
                <w:sz w:val="20"/>
                <w:szCs w:val="20"/>
                <w:color w:val="auto"/>
              </w:rPr>
            </w:pPr>
            <w:r>
              <w:rPr>
                <w:rFonts w:ascii="Courier New" w:cs="Courier New" w:eastAsia="Courier New" w:hAnsi="Courier New"/>
                <w:sz w:val="9"/>
                <w:szCs w:val="9"/>
                <w:color w:val="auto"/>
              </w:rPr>
              <w:t>1</w:t>
            </w:r>
          </w:p>
        </w:tc>
        <w:tc>
          <w:tcPr>
            <w:tcW w:w="900" w:type="dxa"/>
            <w:vAlign w:val="bottom"/>
            <w:gridSpan w:val="2"/>
          </w:tcPr>
          <w:p>
            <w:pPr>
              <w:jc w:val="right"/>
              <w:ind w:right="100"/>
              <w:spacing w:after="0" w:line="99" w:lineRule="exact"/>
              <w:rPr>
                <w:sz w:val="20"/>
                <w:szCs w:val="20"/>
                <w:color w:val="auto"/>
              </w:rPr>
            </w:pPr>
            <w:r>
              <w:rPr>
                <w:rFonts w:ascii="Courier New" w:cs="Courier New" w:eastAsia="Courier New" w:hAnsi="Courier New"/>
                <w:sz w:val="9"/>
                <w:szCs w:val="9"/>
                <w:color w:val="auto"/>
              </w:rPr>
              <w:t>15,750</w:t>
            </w:r>
          </w:p>
        </w:tc>
        <w:tc>
          <w:tcPr>
            <w:tcW w:w="340" w:type="dxa"/>
            <w:vAlign w:val="bottom"/>
          </w:tcPr>
          <w:p>
            <w:pPr>
              <w:spacing w:after="0"/>
              <w:rPr>
                <w:sz w:val="8"/>
                <w:szCs w:val="8"/>
                <w:color w:val="auto"/>
              </w:rPr>
            </w:pPr>
          </w:p>
        </w:tc>
        <w:tc>
          <w:tcPr>
            <w:tcW w:w="780" w:type="dxa"/>
            <w:vAlign w:val="bottom"/>
          </w:tcPr>
          <w:p>
            <w:pPr>
              <w:jc w:val="right"/>
              <w:spacing w:after="0" w:line="99" w:lineRule="exact"/>
              <w:rPr>
                <w:sz w:val="20"/>
                <w:szCs w:val="20"/>
                <w:color w:val="auto"/>
              </w:rPr>
            </w:pPr>
            <w:r>
              <w:rPr>
                <w:rFonts w:ascii="Courier New" w:cs="Courier New" w:eastAsia="Courier New" w:hAnsi="Courier New"/>
                <w:sz w:val="9"/>
                <w:szCs w:val="9"/>
                <w:color w:val="auto"/>
              </w:rPr>
              <w:t>28,000</w:t>
            </w:r>
          </w:p>
        </w:tc>
      </w:tr>
      <w:tr>
        <w:trPr>
          <w:trHeight w:val="99"/>
        </w:trPr>
        <w:tc>
          <w:tcPr>
            <w:tcW w:w="200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2"/>
          </w:tcPr>
          <w:p>
            <w:pPr>
              <w:jc w:val="center"/>
              <w:ind w:right="100"/>
              <w:spacing w:after="0" w:line="99" w:lineRule="exact"/>
              <w:rPr>
                <w:sz w:val="20"/>
                <w:szCs w:val="20"/>
                <w:color w:val="auto"/>
              </w:rPr>
            </w:pPr>
            <w:r>
              <w:rPr>
                <w:rFonts w:ascii="Courier New" w:cs="Courier New" w:eastAsia="Courier New" w:hAnsi="Courier New"/>
                <w:sz w:val="9"/>
                <w:szCs w:val="9"/>
                <w:color w:val="auto"/>
              </w:rPr>
              <w:t>Fiscal 1999 to 2001</w:t>
            </w:r>
          </w:p>
        </w:tc>
        <w:tc>
          <w:tcPr>
            <w:tcW w:w="1200" w:type="dxa"/>
            <w:vAlign w:val="bottom"/>
            <w:gridSpan w:val="2"/>
          </w:tcPr>
          <w:p>
            <w:pPr>
              <w:jc w:val="right"/>
              <w:ind w:right="100"/>
              <w:spacing w:after="0" w:line="99" w:lineRule="exact"/>
              <w:rPr>
                <w:sz w:val="20"/>
                <w:szCs w:val="20"/>
                <w:color w:val="auto"/>
              </w:rPr>
            </w:pPr>
            <w:r>
              <w:rPr>
                <w:rFonts w:ascii="Courier New" w:cs="Courier New" w:eastAsia="Courier New" w:hAnsi="Courier New"/>
                <w:sz w:val="9"/>
                <w:szCs w:val="9"/>
                <w:color w:val="auto"/>
              </w:rPr>
              <w:t>1</w:t>
            </w:r>
          </w:p>
        </w:tc>
        <w:tc>
          <w:tcPr>
            <w:tcW w:w="900" w:type="dxa"/>
            <w:vAlign w:val="bottom"/>
            <w:gridSpan w:val="2"/>
          </w:tcPr>
          <w:p>
            <w:pPr>
              <w:jc w:val="right"/>
              <w:ind w:right="100"/>
              <w:spacing w:after="0" w:line="99" w:lineRule="exact"/>
              <w:rPr>
                <w:sz w:val="20"/>
                <w:szCs w:val="20"/>
                <w:color w:val="auto"/>
              </w:rPr>
            </w:pPr>
            <w:r>
              <w:rPr>
                <w:rFonts w:ascii="Courier New" w:cs="Courier New" w:eastAsia="Courier New" w:hAnsi="Courier New"/>
                <w:sz w:val="9"/>
                <w:szCs w:val="9"/>
                <w:color w:val="auto"/>
              </w:rPr>
              <w:t>21,000</w:t>
            </w:r>
          </w:p>
        </w:tc>
        <w:tc>
          <w:tcPr>
            <w:tcW w:w="340" w:type="dxa"/>
            <w:vAlign w:val="bottom"/>
          </w:tcPr>
          <w:p>
            <w:pPr>
              <w:spacing w:after="0"/>
              <w:rPr>
                <w:sz w:val="8"/>
                <w:szCs w:val="8"/>
                <w:color w:val="auto"/>
              </w:rPr>
            </w:pPr>
          </w:p>
        </w:tc>
        <w:tc>
          <w:tcPr>
            <w:tcW w:w="780" w:type="dxa"/>
            <w:vAlign w:val="bottom"/>
          </w:tcPr>
          <w:p>
            <w:pPr>
              <w:jc w:val="right"/>
              <w:spacing w:after="0" w:line="99" w:lineRule="exact"/>
              <w:rPr>
                <w:sz w:val="20"/>
                <w:szCs w:val="20"/>
                <w:color w:val="auto"/>
              </w:rPr>
            </w:pPr>
            <w:r>
              <w:rPr>
                <w:rFonts w:ascii="Courier New" w:cs="Courier New" w:eastAsia="Courier New" w:hAnsi="Courier New"/>
                <w:sz w:val="9"/>
                <w:szCs w:val="9"/>
                <w:color w:val="auto"/>
              </w:rPr>
              <w:t>42,000</w:t>
            </w:r>
          </w:p>
        </w:tc>
      </w:tr>
      <w:tr>
        <w:trPr>
          <w:trHeight w:val="99"/>
        </w:trPr>
        <w:tc>
          <w:tcPr>
            <w:tcW w:w="2000" w:type="dxa"/>
            <w:vAlign w:val="bottom"/>
          </w:tcPr>
          <w:p>
            <w:pPr>
              <w:spacing w:after="0" w:line="99" w:lineRule="exact"/>
              <w:rPr>
                <w:sz w:val="20"/>
                <w:szCs w:val="20"/>
                <w:color w:val="auto"/>
              </w:rPr>
            </w:pPr>
            <w:r>
              <w:rPr>
                <w:rFonts w:ascii="Courier New" w:cs="Courier New" w:eastAsia="Courier New" w:hAnsi="Courier New"/>
                <w:sz w:val="9"/>
                <w:szCs w:val="9"/>
                <w:color w:val="auto"/>
              </w:rPr>
              <w:t>J. David McIntosh</w:t>
            </w:r>
          </w:p>
        </w:tc>
        <w:tc>
          <w:tcPr>
            <w:tcW w:w="940" w:type="dxa"/>
            <w:vAlign w:val="bottom"/>
            <w:gridSpan w:val="2"/>
          </w:tcPr>
          <w:p>
            <w:pPr>
              <w:jc w:val="right"/>
              <w:spacing w:after="0" w:line="99" w:lineRule="exact"/>
              <w:rPr>
                <w:sz w:val="20"/>
                <w:szCs w:val="20"/>
                <w:color w:val="auto"/>
              </w:rPr>
            </w:pPr>
            <w:r>
              <w:rPr>
                <w:rFonts w:ascii="Courier New" w:cs="Courier New" w:eastAsia="Courier New" w:hAnsi="Courier New"/>
                <w:sz w:val="9"/>
                <w:szCs w:val="9"/>
                <w:color w:val="auto"/>
              </w:rPr>
              <w:t>3</w:t>
            </w:r>
          </w:p>
        </w:tc>
        <w:tc>
          <w:tcPr>
            <w:tcW w:w="1260" w:type="dxa"/>
            <w:vAlign w:val="bottom"/>
          </w:tcPr>
          <w:p>
            <w:pPr>
              <w:ind w:left="20"/>
              <w:spacing w:after="0" w:line="99" w:lineRule="exact"/>
              <w:rPr>
                <w:sz w:val="20"/>
                <w:szCs w:val="20"/>
                <w:color w:val="auto"/>
              </w:rPr>
            </w:pPr>
            <w:r>
              <w:rPr>
                <w:rFonts w:ascii="Courier New" w:cs="Courier New" w:eastAsia="Courier New" w:hAnsi="Courier New"/>
                <w:sz w:val="9"/>
                <w:szCs w:val="9"/>
                <w:color w:val="auto"/>
              </w:rPr>
              <w:t>Awards(1)</w:t>
            </w:r>
          </w:p>
        </w:tc>
        <w:tc>
          <w:tcPr>
            <w:tcW w:w="100" w:type="dxa"/>
            <w:vAlign w:val="bottom"/>
          </w:tcPr>
          <w:p>
            <w:pPr>
              <w:spacing w:after="0"/>
              <w:rPr>
                <w:sz w:val="8"/>
                <w:szCs w:val="8"/>
                <w:color w:val="auto"/>
              </w:rPr>
            </w:pPr>
          </w:p>
        </w:tc>
        <w:tc>
          <w:tcPr>
            <w:tcW w:w="2300" w:type="dxa"/>
            <w:vAlign w:val="bottom"/>
            <w:gridSpan w:val="2"/>
          </w:tcPr>
          <w:p>
            <w:pPr>
              <w:jc w:val="center"/>
              <w:ind w:right="100"/>
              <w:spacing w:after="0" w:line="99" w:lineRule="exact"/>
              <w:rPr>
                <w:sz w:val="20"/>
                <w:szCs w:val="20"/>
                <w:color w:val="auto"/>
              </w:rPr>
            </w:pPr>
            <w:r>
              <w:rPr>
                <w:rFonts w:ascii="Courier New" w:cs="Courier New" w:eastAsia="Courier New" w:hAnsi="Courier New"/>
                <w:sz w:val="9"/>
                <w:szCs w:val="9"/>
                <w:color w:val="auto"/>
              </w:rPr>
              <w:t>Fiscal 1999</w:t>
            </w:r>
          </w:p>
        </w:tc>
        <w:tc>
          <w:tcPr>
            <w:tcW w:w="1200" w:type="dxa"/>
            <w:vAlign w:val="bottom"/>
            <w:gridSpan w:val="2"/>
          </w:tcPr>
          <w:p>
            <w:pPr>
              <w:jc w:val="right"/>
              <w:ind w:right="100"/>
              <w:spacing w:after="0" w:line="99" w:lineRule="exact"/>
              <w:rPr>
                <w:sz w:val="20"/>
                <w:szCs w:val="20"/>
                <w:color w:val="auto"/>
              </w:rPr>
            </w:pPr>
            <w:r>
              <w:rPr>
                <w:rFonts w:ascii="Courier New" w:cs="Courier New" w:eastAsia="Courier New" w:hAnsi="Courier New"/>
                <w:sz w:val="9"/>
                <w:szCs w:val="9"/>
                <w:color w:val="auto"/>
              </w:rPr>
              <w:t>1</w:t>
            </w:r>
          </w:p>
        </w:tc>
        <w:tc>
          <w:tcPr>
            <w:tcW w:w="900" w:type="dxa"/>
            <w:vAlign w:val="bottom"/>
            <w:gridSpan w:val="2"/>
          </w:tcPr>
          <w:p>
            <w:pPr>
              <w:jc w:val="right"/>
              <w:ind w:right="100"/>
              <w:spacing w:after="0" w:line="99" w:lineRule="exact"/>
              <w:rPr>
                <w:sz w:val="20"/>
                <w:szCs w:val="20"/>
                <w:color w:val="auto"/>
              </w:rPr>
            </w:pPr>
            <w:r>
              <w:rPr>
                <w:rFonts w:ascii="Courier New" w:cs="Courier New" w:eastAsia="Courier New" w:hAnsi="Courier New"/>
                <w:sz w:val="9"/>
                <w:szCs w:val="9"/>
                <w:color w:val="auto"/>
              </w:rPr>
              <w:t>3,500</w:t>
            </w:r>
          </w:p>
        </w:tc>
        <w:tc>
          <w:tcPr>
            <w:tcW w:w="340" w:type="dxa"/>
            <w:vAlign w:val="bottom"/>
          </w:tcPr>
          <w:p>
            <w:pPr>
              <w:spacing w:after="0"/>
              <w:rPr>
                <w:sz w:val="8"/>
                <w:szCs w:val="8"/>
                <w:color w:val="auto"/>
              </w:rPr>
            </w:pPr>
          </w:p>
        </w:tc>
        <w:tc>
          <w:tcPr>
            <w:tcW w:w="780" w:type="dxa"/>
            <w:vAlign w:val="bottom"/>
          </w:tcPr>
          <w:p>
            <w:pPr>
              <w:jc w:val="right"/>
              <w:spacing w:after="0" w:line="99" w:lineRule="exact"/>
              <w:rPr>
                <w:sz w:val="20"/>
                <w:szCs w:val="20"/>
                <w:color w:val="auto"/>
              </w:rPr>
            </w:pPr>
            <w:r>
              <w:rPr>
                <w:rFonts w:ascii="Courier New" w:cs="Courier New" w:eastAsia="Courier New" w:hAnsi="Courier New"/>
                <w:sz w:val="9"/>
                <w:szCs w:val="9"/>
                <w:color w:val="auto"/>
              </w:rPr>
              <w:t>7,000</w:t>
            </w:r>
          </w:p>
        </w:tc>
      </w:tr>
      <w:tr>
        <w:trPr>
          <w:trHeight w:val="99"/>
        </w:trPr>
        <w:tc>
          <w:tcPr>
            <w:tcW w:w="200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2"/>
          </w:tcPr>
          <w:p>
            <w:pPr>
              <w:jc w:val="center"/>
              <w:ind w:right="100"/>
              <w:spacing w:after="0" w:line="99" w:lineRule="exact"/>
              <w:rPr>
                <w:sz w:val="20"/>
                <w:szCs w:val="20"/>
                <w:color w:val="auto"/>
              </w:rPr>
            </w:pPr>
            <w:r>
              <w:rPr>
                <w:rFonts w:ascii="Courier New" w:cs="Courier New" w:eastAsia="Courier New" w:hAnsi="Courier New"/>
                <w:sz w:val="9"/>
                <w:szCs w:val="9"/>
                <w:color w:val="auto"/>
              </w:rPr>
              <w:t>Fiscal 1999 to 2000</w:t>
            </w:r>
          </w:p>
        </w:tc>
        <w:tc>
          <w:tcPr>
            <w:tcW w:w="1200" w:type="dxa"/>
            <w:vAlign w:val="bottom"/>
            <w:gridSpan w:val="2"/>
          </w:tcPr>
          <w:p>
            <w:pPr>
              <w:jc w:val="right"/>
              <w:ind w:right="100"/>
              <w:spacing w:after="0" w:line="99" w:lineRule="exact"/>
              <w:rPr>
                <w:sz w:val="20"/>
                <w:szCs w:val="20"/>
                <w:color w:val="auto"/>
              </w:rPr>
            </w:pPr>
            <w:r>
              <w:rPr>
                <w:rFonts w:ascii="Courier New" w:cs="Courier New" w:eastAsia="Courier New" w:hAnsi="Courier New"/>
                <w:sz w:val="9"/>
                <w:szCs w:val="9"/>
                <w:color w:val="auto"/>
              </w:rPr>
              <w:t>1</w:t>
            </w:r>
          </w:p>
        </w:tc>
        <w:tc>
          <w:tcPr>
            <w:tcW w:w="900" w:type="dxa"/>
            <w:vAlign w:val="bottom"/>
            <w:gridSpan w:val="2"/>
          </w:tcPr>
          <w:p>
            <w:pPr>
              <w:jc w:val="right"/>
              <w:ind w:right="100"/>
              <w:spacing w:after="0" w:line="99" w:lineRule="exact"/>
              <w:rPr>
                <w:sz w:val="20"/>
                <w:szCs w:val="20"/>
                <w:color w:val="auto"/>
              </w:rPr>
            </w:pPr>
            <w:r>
              <w:rPr>
                <w:rFonts w:ascii="Courier New" w:cs="Courier New" w:eastAsia="Courier New" w:hAnsi="Courier New"/>
                <w:sz w:val="9"/>
                <w:szCs w:val="9"/>
                <w:color w:val="auto"/>
              </w:rPr>
              <w:t>5,250</w:t>
            </w:r>
          </w:p>
        </w:tc>
        <w:tc>
          <w:tcPr>
            <w:tcW w:w="340" w:type="dxa"/>
            <w:vAlign w:val="bottom"/>
          </w:tcPr>
          <w:p>
            <w:pPr>
              <w:spacing w:after="0"/>
              <w:rPr>
                <w:sz w:val="8"/>
                <w:szCs w:val="8"/>
                <w:color w:val="auto"/>
              </w:rPr>
            </w:pPr>
          </w:p>
        </w:tc>
        <w:tc>
          <w:tcPr>
            <w:tcW w:w="780" w:type="dxa"/>
            <w:vAlign w:val="bottom"/>
          </w:tcPr>
          <w:p>
            <w:pPr>
              <w:jc w:val="right"/>
              <w:spacing w:after="0" w:line="99" w:lineRule="exact"/>
              <w:rPr>
                <w:sz w:val="20"/>
                <w:szCs w:val="20"/>
                <w:color w:val="auto"/>
              </w:rPr>
            </w:pPr>
            <w:r>
              <w:rPr>
                <w:rFonts w:ascii="Courier New" w:cs="Courier New" w:eastAsia="Courier New" w:hAnsi="Courier New"/>
                <w:sz w:val="9"/>
                <w:szCs w:val="9"/>
                <w:color w:val="auto"/>
              </w:rPr>
              <w:t>10,500</w:t>
            </w:r>
          </w:p>
        </w:tc>
      </w:tr>
      <w:tr>
        <w:trPr>
          <w:trHeight w:val="99"/>
        </w:trPr>
        <w:tc>
          <w:tcPr>
            <w:tcW w:w="200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2"/>
          </w:tcPr>
          <w:p>
            <w:pPr>
              <w:jc w:val="center"/>
              <w:ind w:right="100"/>
              <w:spacing w:after="0" w:line="99" w:lineRule="exact"/>
              <w:rPr>
                <w:sz w:val="20"/>
                <w:szCs w:val="20"/>
                <w:color w:val="auto"/>
              </w:rPr>
            </w:pPr>
            <w:r>
              <w:rPr>
                <w:rFonts w:ascii="Courier New" w:cs="Courier New" w:eastAsia="Courier New" w:hAnsi="Courier New"/>
                <w:sz w:val="9"/>
                <w:szCs w:val="9"/>
                <w:color w:val="auto"/>
              </w:rPr>
              <w:t>Fiscal 1999 to 2001</w:t>
            </w:r>
          </w:p>
        </w:tc>
        <w:tc>
          <w:tcPr>
            <w:tcW w:w="1200" w:type="dxa"/>
            <w:vAlign w:val="bottom"/>
            <w:gridSpan w:val="2"/>
          </w:tcPr>
          <w:p>
            <w:pPr>
              <w:jc w:val="right"/>
              <w:ind w:right="100"/>
              <w:spacing w:after="0" w:line="99" w:lineRule="exact"/>
              <w:rPr>
                <w:sz w:val="20"/>
                <w:szCs w:val="20"/>
                <w:color w:val="auto"/>
              </w:rPr>
            </w:pPr>
            <w:r>
              <w:rPr>
                <w:rFonts w:ascii="Courier New" w:cs="Courier New" w:eastAsia="Courier New" w:hAnsi="Courier New"/>
                <w:sz w:val="9"/>
                <w:szCs w:val="9"/>
                <w:color w:val="auto"/>
              </w:rPr>
              <w:t>1</w:t>
            </w:r>
          </w:p>
        </w:tc>
        <w:tc>
          <w:tcPr>
            <w:tcW w:w="900" w:type="dxa"/>
            <w:vAlign w:val="bottom"/>
            <w:gridSpan w:val="2"/>
          </w:tcPr>
          <w:p>
            <w:pPr>
              <w:jc w:val="right"/>
              <w:ind w:right="100"/>
              <w:spacing w:after="0" w:line="99" w:lineRule="exact"/>
              <w:rPr>
                <w:sz w:val="20"/>
                <w:szCs w:val="20"/>
                <w:color w:val="auto"/>
              </w:rPr>
            </w:pPr>
            <w:r>
              <w:rPr>
                <w:rFonts w:ascii="Courier New" w:cs="Courier New" w:eastAsia="Courier New" w:hAnsi="Courier New"/>
                <w:sz w:val="9"/>
                <w:szCs w:val="9"/>
                <w:color w:val="auto"/>
              </w:rPr>
              <w:t>7,000</w:t>
            </w:r>
          </w:p>
        </w:tc>
        <w:tc>
          <w:tcPr>
            <w:tcW w:w="340" w:type="dxa"/>
            <w:vAlign w:val="bottom"/>
          </w:tcPr>
          <w:p>
            <w:pPr>
              <w:spacing w:after="0"/>
              <w:rPr>
                <w:sz w:val="8"/>
                <w:szCs w:val="8"/>
                <w:color w:val="auto"/>
              </w:rPr>
            </w:pPr>
          </w:p>
        </w:tc>
        <w:tc>
          <w:tcPr>
            <w:tcW w:w="780" w:type="dxa"/>
            <w:vAlign w:val="bottom"/>
          </w:tcPr>
          <w:p>
            <w:pPr>
              <w:jc w:val="right"/>
              <w:spacing w:after="0" w:line="99" w:lineRule="exact"/>
              <w:rPr>
                <w:sz w:val="20"/>
                <w:szCs w:val="20"/>
                <w:color w:val="auto"/>
              </w:rPr>
            </w:pPr>
            <w:r>
              <w:rPr>
                <w:rFonts w:ascii="Courier New" w:cs="Courier New" w:eastAsia="Courier New" w:hAnsi="Courier New"/>
                <w:sz w:val="9"/>
                <w:szCs w:val="9"/>
                <w:color w:val="auto"/>
              </w:rPr>
              <w:t>14,000</w:t>
            </w:r>
          </w:p>
        </w:tc>
      </w:tr>
      <w:tr>
        <w:trPr>
          <w:trHeight w:val="99"/>
        </w:trPr>
        <w:tc>
          <w:tcPr>
            <w:tcW w:w="2000" w:type="dxa"/>
            <w:vAlign w:val="bottom"/>
          </w:tcPr>
          <w:p>
            <w:pPr>
              <w:spacing w:after="0" w:line="99" w:lineRule="exact"/>
              <w:rPr>
                <w:sz w:val="20"/>
                <w:szCs w:val="20"/>
                <w:color w:val="auto"/>
              </w:rPr>
            </w:pPr>
            <w:r>
              <w:rPr>
                <w:rFonts w:ascii="Courier New" w:cs="Courier New" w:eastAsia="Courier New" w:hAnsi="Courier New"/>
                <w:sz w:val="9"/>
                <w:szCs w:val="9"/>
                <w:color w:val="auto"/>
              </w:rPr>
              <w:t>Stephen P. Wolfe</w:t>
            </w:r>
          </w:p>
        </w:tc>
        <w:tc>
          <w:tcPr>
            <w:tcW w:w="940" w:type="dxa"/>
            <w:vAlign w:val="bottom"/>
            <w:gridSpan w:val="2"/>
          </w:tcPr>
          <w:p>
            <w:pPr>
              <w:jc w:val="right"/>
              <w:spacing w:after="0" w:line="99" w:lineRule="exact"/>
              <w:rPr>
                <w:sz w:val="20"/>
                <w:szCs w:val="20"/>
                <w:color w:val="auto"/>
              </w:rPr>
            </w:pPr>
            <w:r>
              <w:rPr>
                <w:rFonts w:ascii="Courier New" w:cs="Courier New" w:eastAsia="Courier New" w:hAnsi="Courier New"/>
                <w:sz w:val="9"/>
                <w:szCs w:val="9"/>
                <w:color w:val="auto"/>
              </w:rPr>
              <w:t>3</w:t>
            </w:r>
          </w:p>
        </w:tc>
        <w:tc>
          <w:tcPr>
            <w:tcW w:w="1260" w:type="dxa"/>
            <w:vAlign w:val="bottom"/>
          </w:tcPr>
          <w:p>
            <w:pPr>
              <w:ind w:left="20"/>
              <w:spacing w:after="0" w:line="99" w:lineRule="exact"/>
              <w:rPr>
                <w:sz w:val="20"/>
                <w:szCs w:val="20"/>
                <w:color w:val="auto"/>
              </w:rPr>
            </w:pPr>
            <w:r>
              <w:rPr>
                <w:rFonts w:ascii="Courier New" w:cs="Courier New" w:eastAsia="Courier New" w:hAnsi="Courier New"/>
                <w:sz w:val="9"/>
                <w:szCs w:val="9"/>
                <w:color w:val="auto"/>
              </w:rPr>
              <w:t>Awards(1)</w:t>
            </w:r>
          </w:p>
        </w:tc>
        <w:tc>
          <w:tcPr>
            <w:tcW w:w="100" w:type="dxa"/>
            <w:vAlign w:val="bottom"/>
          </w:tcPr>
          <w:p>
            <w:pPr>
              <w:spacing w:after="0"/>
              <w:rPr>
                <w:sz w:val="8"/>
                <w:szCs w:val="8"/>
                <w:color w:val="auto"/>
              </w:rPr>
            </w:pPr>
          </w:p>
        </w:tc>
        <w:tc>
          <w:tcPr>
            <w:tcW w:w="2300" w:type="dxa"/>
            <w:vAlign w:val="bottom"/>
            <w:gridSpan w:val="2"/>
          </w:tcPr>
          <w:p>
            <w:pPr>
              <w:jc w:val="center"/>
              <w:ind w:right="100"/>
              <w:spacing w:after="0" w:line="99" w:lineRule="exact"/>
              <w:rPr>
                <w:sz w:val="20"/>
                <w:szCs w:val="20"/>
                <w:color w:val="auto"/>
              </w:rPr>
            </w:pPr>
            <w:r>
              <w:rPr>
                <w:rFonts w:ascii="Courier New" w:cs="Courier New" w:eastAsia="Courier New" w:hAnsi="Courier New"/>
                <w:sz w:val="9"/>
                <w:szCs w:val="9"/>
                <w:color w:val="auto"/>
              </w:rPr>
              <w:t>Fiscal 1999</w:t>
            </w:r>
          </w:p>
        </w:tc>
        <w:tc>
          <w:tcPr>
            <w:tcW w:w="1200" w:type="dxa"/>
            <w:vAlign w:val="bottom"/>
            <w:gridSpan w:val="2"/>
          </w:tcPr>
          <w:p>
            <w:pPr>
              <w:jc w:val="right"/>
              <w:ind w:right="100"/>
              <w:spacing w:after="0" w:line="99" w:lineRule="exact"/>
              <w:rPr>
                <w:sz w:val="20"/>
                <w:szCs w:val="20"/>
                <w:color w:val="auto"/>
              </w:rPr>
            </w:pPr>
            <w:r>
              <w:rPr>
                <w:rFonts w:ascii="Courier New" w:cs="Courier New" w:eastAsia="Courier New" w:hAnsi="Courier New"/>
                <w:sz w:val="9"/>
                <w:szCs w:val="9"/>
                <w:color w:val="auto"/>
              </w:rPr>
              <w:t>1</w:t>
            </w:r>
          </w:p>
        </w:tc>
        <w:tc>
          <w:tcPr>
            <w:tcW w:w="900" w:type="dxa"/>
            <w:vAlign w:val="bottom"/>
            <w:gridSpan w:val="2"/>
          </w:tcPr>
          <w:p>
            <w:pPr>
              <w:jc w:val="right"/>
              <w:ind w:right="100"/>
              <w:spacing w:after="0" w:line="99" w:lineRule="exact"/>
              <w:rPr>
                <w:sz w:val="20"/>
                <w:szCs w:val="20"/>
                <w:color w:val="auto"/>
              </w:rPr>
            </w:pPr>
            <w:r>
              <w:rPr>
                <w:rFonts w:ascii="Courier New" w:cs="Courier New" w:eastAsia="Courier New" w:hAnsi="Courier New"/>
                <w:sz w:val="9"/>
                <w:szCs w:val="9"/>
                <w:color w:val="auto"/>
              </w:rPr>
              <w:t>2,850</w:t>
            </w:r>
          </w:p>
        </w:tc>
        <w:tc>
          <w:tcPr>
            <w:tcW w:w="340" w:type="dxa"/>
            <w:vAlign w:val="bottom"/>
          </w:tcPr>
          <w:p>
            <w:pPr>
              <w:spacing w:after="0"/>
              <w:rPr>
                <w:sz w:val="8"/>
                <w:szCs w:val="8"/>
                <w:color w:val="auto"/>
              </w:rPr>
            </w:pPr>
          </w:p>
        </w:tc>
        <w:tc>
          <w:tcPr>
            <w:tcW w:w="780" w:type="dxa"/>
            <w:vAlign w:val="bottom"/>
          </w:tcPr>
          <w:p>
            <w:pPr>
              <w:jc w:val="right"/>
              <w:spacing w:after="0" w:line="99" w:lineRule="exact"/>
              <w:rPr>
                <w:sz w:val="20"/>
                <w:szCs w:val="20"/>
                <w:color w:val="auto"/>
              </w:rPr>
            </w:pPr>
            <w:r>
              <w:rPr>
                <w:rFonts w:ascii="Courier New" w:cs="Courier New" w:eastAsia="Courier New" w:hAnsi="Courier New"/>
                <w:sz w:val="9"/>
                <w:szCs w:val="9"/>
                <w:color w:val="auto"/>
              </w:rPr>
              <w:t>5,700</w:t>
            </w:r>
          </w:p>
        </w:tc>
      </w:tr>
      <w:tr>
        <w:trPr>
          <w:trHeight w:val="99"/>
        </w:trPr>
        <w:tc>
          <w:tcPr>
            <w:tcW w:w="200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2"/>
          </w:tcPr>
          <w:p>
            <w:pPr>
              <w:jc w:val="center"/>
              <w:ind w:right="100"/>
              <w:spacing w:after="0" w:line="99" w:lineRule="exact"/>
              <w:rPr>
                <w:sz w:val="20"/>
                <w:szCs w:val="20"/>
                <w:color w:val="auto"/>
              </w:rPr>
            </w:pPr>
            <w:r>
              <w:rPr>
                <w:rFonts w:ascii="Courier New" w:cs="Courier New" w:eastAsia="Courier New" w:hAnsi="Courier New"/>
                <w:sz w:val="9"/>
                <w:szCs w:val="9"/>
                <w:color w:val="auto"/>
              </w:rPr>
              <w:t>Fiscal 1999 to 2000</w:t>
            </w:r>
          </w:p>
        </w:tc>
        <w:tc>
          <w:tcPr>
            <w:tcW w:w="1200" w:type="dxa"/>
            <w:vAlign w:val="bottom"/>
            <w:gridSpan w:val="2"/>
          </w:tcPr>
          <w:p>
            <w:pPr>
              <w:jc w:val="right"/>
              <w:ind w:right="100"/>
              <w:spacing w:after="0" w:line="99" w:lineRule="exact"/>
              <w:rPr>
                <w:sz w:val="20"/>
                <w:szCs w:val="20"/>
                <w:color w:val="auto"/>
              </w:rPr>
            </w:pPr>
            <w:r>
              <w:rPr>
                <w:rFonts w:ascii="Courier New" w:cs="Courier New" w:eastAsia="Courier New" w:hAnsi="Courier New"/>
                <w:sz w:val="9"/>
                <w:szCs w:val="9"/>
                <w:color w:val="auto"/>
              </w:rPr>
              <w:t>1</w:t>
            </w:r>
          </w:p>
        </w:tc>
        <w:tc>
          <w:tcPr>
            <w:tcW w:w="900" w:type="dxa"/>
            <w:vAlign w:val="bottom"/>
            <w:gridSpan w:val="2"/>
          </w:tcPr>
          <w:p>
            <w:pPr>
              <w:jc w:val="right"/>
              <w:ind w:right="100"/>
              <w:spacing w:after="0" w:line="99" w:lineRule="exact"/>
              <w:rPr>
                <w:sz w:val="20"/>
                <w:szCs w:val="20"/>
                <w:color w:val="auto"/>
              </w:rPr>
            </w:pPr>
            <w:r>
              <w:rPr>
                <w:rFonts w:ascii="Courier New" w:cs="Courier New" w:eastAsia="Courier New" w:hAnsi="Courier New"/>
                <w:sz w:val="9"/>
                <w:szCs w:val="9"/>
                <w:color w:val="auto"/>
              </w:rPr>
              <w:t>4,275</w:t>
            </w:r>
          </w:p>
        </w:tc>
        <w:tc>
          <w:tcPr>
            <w:tcW w:w="340" w:type="dxa"/>
            <w:vAlign w:val="bottom"/>
          </w:tcPr>
          <w:p>
            <w:pPr>
              <w:spacing w:after="0"/>
              <w:rPr>
                <w:sz w:val="8"/>
                <w:szCs w:val="8"/>
                <w:color w:val="auto"/>
              </w:rPr>
            </w:pPr>
          </w:p>
        </w:tc>
        <w:tc>
          <w:tcPr>
            <w:tcW w:w="780" w:type="dxa"/>
            <w:vAlign w:val="bottom"/>
          </w:tcPr>
          <w:p>
            <w:pPr>
              <w:jc w:val="right"/>
              <w:spacing w:after="0" w:line="99" w:lineRule="exact"/>
              <w:rPr>
                <w:sz w:val="20"/>
                <w:szCs w:val="20"/>
                <w:color w:val="auto"/>
              </w:rPr>
            </w:pPr>
            <w:r>
              <w:rPr>
                <w:rFonts w:ascii="Courier New" w:cs="Courier New" w:eastAsia="Courier New" w:hAnsi="Courier New"/>
                <w:sz w:val="9"/>
                <w:szCs w:val="9"/>
                <w:color w:val="auto"/>
              </w:rPr>
              <w:t>8,550</w:t>
            </w:r>
          </w:p>
        </w:tc>
      </w:tr>
      <w:tr>
        <w:trPr>
          <w:trHeight w:val="99"/>
        </w:trPr>
        <w:tc>
          <w:tcPr>
            <w:tcW w:w="200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2"/>
          </w:tcPr>
          <w:p>
            <w:pPr>
              <w:jc w:val="center"/>
              <w:ind w:right="100"/>
              <w:spacing w:after="0" w:line="99" w:lineRule="exact"/>
              <w:rPr>
                <w:sz w:val="20"/>
                <w:szCs w:val="20"/>
                <w:color w:val="auto"/>
              </w:rPr>
            </w:pPr>
            <w:r>
              <w:rPr>
                <w:rFonts w:ascii="Courier New" w:cs="Courier New" w:eastAsia="Courier New" w:hAnsi="Courier New"/>
                <w:sz w:val="9"/>
                <w:szCs w:val="9"/>
                <w:color w:val="auto"/>
              </w:rPr>
              <w:t>Fiscal 1999 to 2001</w:t>
            </w:r>
          </w:p>
        </w:tc>
        <w:tc>
          <w:tcPr>
            <w:tcW w:w="1200" w:type="dxa"/>
            <w:vAlign w:val="bottom"/>
            <w:gridSpan w:val="2"/>
          </w:tcPr>
          <w:p>
            <w:pPr>
              <w:jc w:val="right"/>
              <w:ind w:right="100"/>
              <w:spacing w:after="0" w:line="99" w:lineRule="exact"/>
              <w:rPr>
                <w:sz w:val="20"/>
                <w:szCs w:val="20"/>
                <w:color w:val="auto"/>
              </w:rPr>
            </w:pPr>
            <w:r>
              <w:rPr>
                <w:rFonts w:ascii="Courier New" w:cs="Courier New" w:eastAsia="Courier New" w:hAnsi="Courier New"/>
                <w:sz w:val="9"/>
                <w:szCs w:val="9"/>
                <w:color w:val="auto"/>
              </w:rPr>
              <w:t>1</w:t>
            </w:r>
          </w:p>
        </w:tc>
        <w:tc>
          <w:tcPr>
            <w:tcW w:w="900" w:type="dxa"/>
            <w:vAlign w:val="bottom"/>
            <w:gridSpan w:val="2"/>
          </w:tcPr>
          <w:p>
            <w:pPr>
              <w:jc w:val="right"/>
              <w:ind w:right="100"/>
              <w:spacing w:after="0" w:line="99" w:lineRule="exact"/>
              <w:rPr>
                <w:sz w:val="20"/>
                <w:szCs w:val="20"/>
                <w:color w:val="auto"/>
              </w:rPr>
            </w:pPr>
            <w:r>
              <w:rPr>
                <w:rFonts w:ascii="Courier New" w:cs="Courier New" w:eastAsia="Courier New" w:hAnsi="Courier New"/>
                <w:sz w:val="9"/>
                <w:szCs w:val="9"/>
                <w:color w:val="auto"/>
              </w:rPr>
              <w:t>5,700</w:t>
            </w:r>
          </w:p>
        </w:tc>
        <w:tc>
          <w:tcPr>
            <w:tcW w:w="340" w:type="dxa"/>
            <w:vAlign w:val="bottom"/>
          </w:tcPr>
          <w:p>
            <w:pPr>
              <w:spacing w:after="0"/>
              <w:rPr>
                <w:sz w:val="8"/>
                <w:szCs w:val="8"/>
                <w:color w:val="auto"/>
              </w:rPr>
            </w:pPr>
          </w:p>
        </w:tc>
        <w:tc>
          <w:tcPr>
            <w:tcW w:w="780" w:type="dxa"/>
            <w:vAlign w:val="bottom"/>
          </w:tcPr>
          <w:p>
            <w:pPr>
              <w:jc w:val="right"/>
              <w:spacing w:after="0" w:line="99" w:lineRule="exact"/>
              <w:rPr>
                <w:sz w:val="20"/>
                <w:szCs w:val="20"/>
                <w:color w:val="auto"/>
              </w:rPr>
            </w:pPr>
            <w:r>
              <w:rPr>
                <w:rFonts w:ascii="Courier New" w:cs="Courier New" w:eastAsia="Courier New" w:hAnsi="Courier New"/>
                <w:sz w:val="9"/>
                <w:szCs w:val="9"/>
                <w:color w:val="auto"/>
              </w:rPr>
              <w:t>11,400</w:t>
            </w:r>
          </w:p>
        </w:tc>
      </w:tr>
      <w:tr>
        <w:trPr>
          <w:trHeight w:val="99"/>
        </w:trPr>
        <w:tc>
          <w:tcPr>
            <w:tcW w:w="2000" w:type="dxa"/>
            <w:vAlign w:val="bottom"/>
          </w:tcPr>
          <w:p>
            <w:pPr>
              <w:spacing w:after="0" w:line="99" w:lineRule="exact"/>
              <w:rPr>
                <w:sz w:val="20"/>
                <w:szCs w:val="20"/>
                <w:color w:val="auto"/>
              </w:rPr>
            </w:pPr>
            <w:r>
              <w:rPr>
                <w:rFonts w:ascii="Courier New" w:cs="Courier New" w:eastAsia="Courier New" w:hAnsi="Courier New"/>
                <w:sz w:val="9"/>
                <w:szCs w:val="9"/>
                <w:color w:val="auto"/>
              </w:rPr>
              <w:t>Karen M. Meyer</w:t>
            </w:r>
          </w:p>
        </w:tc>
        <w:tc>
          <w:tcPr>
            <w:tcW w:w="940" w:type="dxa"/>
            <w:vAlign w:val="bottom"/>
            <w:gridSpan w:val="2"/>
          </w:tcPr>
          <w:p>
            <w:pPr>
              <w:jc w:val="right"/>
              <w:spacing w:after="0" w:line="99" w:lineRule="exact"/>
              <w:rPr>
                <w:sz w:val="20"/>
                <w:szCs w:val="20"/>
                <w:color w:val="auto"/>
              </w:rPr>
            </w:pPr>
            <w:r>
              <w:rPr>
                <w:rFonts w:ascii="Courier New" w:cs="Courier New" w:eastAsia="Courier New" w:hAnsi="Courier New"/>
                <w:sz w:val="9"/>
                <w:szCs w:val="9"/>
                <w:color w:val="auto"/>
              </w:rPr>
              <w:t>3</w:t>
            </w:r>
          </w:p>
        </w:tc>
        <w:tc>
          <w:tcPr>
            <w:tcW w:w="1260" w:type="dxa"/>
            <w:vAlign w:val="bottom"/>
          </w:tcPr>
          <w:p>
            <w:pPr>
              <w:ind w:left="20"/>
              <w:spacing w:after="0" w:line="99" w:lineRule="exact"/>
              <w:rPr>
                <w:sz w:val="20"/>
                <w:szCs w:val="20"/>
                <w:color w:val="auto"/>
              </w:rPr>
            </w:pPr>
            <w:r>
              <w:rPr>
                <w:rFonts w:ascii="Courier New" w:cs="Courier New" w:eastAsia="Courier New" w:hAnsi="Courier New"/>
                <w:sz w:val="9"/>
                <w:szCs w:val="9"/>
                <w:color w:val="auto"/>
              </w:rPr>
              <w:t>Awards(1)</w:t>
            </w:r>
          </w:p>
        </w:tc>
        <w:tc>
          <w:tcPr>
            <w:tcW w:w="100" w:type="dxa"/>
            <w:vAlign w:val="bottom"/>
          </w:tcPr>
          <w:p>
            <w:pPr>
              <w:spacing w:after="0"/>
              <w:rPr>
                <w:sz w:val="8"/>
                <w:szCs w:val="8"/>
                <w:color w:val="auto"/>
              </w:rPr>
            </w:pPr>
          </w:p>
        </w:tc>
        <w:tc>
          <w:tcPr>
            <w:tcW w:w="2300" w:type="dxa"/>
            <w:vAlign w:val="bottom"/>
            <w:gridSpan w:val="2"/>
          </w:tcPr>
          <w:p>
            <w:pPr>
              <w:jc w:val="center"/>
              <w:ind w:right="100"/>
              <w:spacing w:after="0" w:line="99" w:lineRule="exact"/>
              <w:rPr>
                <w:sz w:val="20"/>
                <w:szCs w:val="20"/>
                <w:color w:val="auto"/>
              </w:rPr>
            </w:pPr>
            <w:r>
              <w:rPr>
                <w:rFonts w:ascii="Courier New" w:cs="Courier New" w:eastAsia="Courier New" w:hAnsi="Courier New"/>
                <w:sz w:val="9"/>
                <w:szCs w:val="9"/>
                <w:color w:val="auto"/>
              </w:rPr>
              <w:t>Fiscal 1999</w:t>
            </w:r>
          </w:p>
        </w:tc>
        <w:tc>
          <w:tcPr>
            <w:tcW w:w="1200" w:type="dxa"/>
            <w:vAlign w:val="bottom"/>
            <w:gridSpan w:val="2"/>
          </w:tcPr>
          <w:p>
            <w:pPr>
              <w:jc w:val="right"/>
              <w:ind w:right="100"/>
              <w:spacing w:after="0" w:line="99" w:lineRule="exact"/>
              <w:rPr>
                <w:sz w:val="20"/>
                <w:szCs w:val="20"/>
                <w:color w:val="auto"/>
              </w:rPr>
            </w:pPr>
            <w:r>
              <w:rPr>
                <w:rFonts w:ascii="Courier New" w:cs="Courier New" w:eastAsia="Courier New" w:hAnsi="Courier New"/>
                <w:sz w:val="9"/>
                <w:szCs w:val="9"/>
                <w:color w:val="auto"/>
              </w:rPr>
              <w:t>1</w:t>
            </w:r>
          </w:p>
        </w:tc>
        <w:tc>
          <w:tcPr>
            <w:tcW w:w="900" w:type="dxa"/>
            <w:vAlign w:val="bottom"/>
            <w:gridSpan w:val="2"/>
          </w:tcPr>
          <w:p>
            <w:pPr>
              <w:jc w:val="right"/>
              <w:ind w:right="100"/>
              <w:spacing w:after="0" w:line="99" w:lineRule="exact"/>
              <w:rPr>
                <w:sz w:val="20"/>
                <w:szCs w:val="20"/>
                <w:color w:val="auto"/>
              </w:rPr>
            </w:pPr>
            <w:r>
              <w:rPr>
                <w:rFonts w:ascii="Courier New" w:cs="Courier New" w:eastAsia="Courier New" w:hAnsi="Courier New"/>
                <w:sz w:val="9"/>
                <w:szCs w:val="9"/>
                <w:color w:val="auto"/>
              </w:rPr>
              <w:t>2,750</w:t>
            </w:r>
          </w:p>
        </w:tc>
        <w:tc>
          <w:tcPr>
            <w:tcW w:w="340" w:type="dxa"/>
            <w:vAlign w:val="bottom"/>
          </w:tcPr>
          <w:p>
            <w:pPr>
              <w:spacing w:after="0"/>
              <w:rPr>
                <w:sz w:val="8"/>
                <w:szCs w:val="8"/>
                <w:color w:val="auto"/>
              </w:rPr>
            </w:pPr>
          </w:p>
        </w:tc>
        <w:tc>
          <w:tcPr>
            <w:tcW w:w="780" w:type="dxa"/>
            <w:vAlign w:val="bottom"/>
          </w:tcPr>
          <w:p>
            <w:pPr>
              <w:jc w:val="right"/>
              <w:spacing w:after="0" w:line="99" w:lineRule="exact"/>
              <w:rPr>
                <w:sz w:val="20"/>
                <w:szCs w:val="20"/>
                <w:color w:val="auto"/>
              </w:rPr>
            </w:pPr>
            <w:r>
              <w:rPr>
                <w:rFonts w:ascii="Courier New" w:cs="Courier New" w:eastAsia="Courier New" w:hAnsi="Courier New"/>
                <w:sz w:val="9"/>
                <w:szCs w:val="9"/>
                <w:color w:val="auto"/>
              </w:rPr>
              <w:t>5,500</w:t>
            </w:r>
          </w:p>
        </w:tc>
      </w:tr>
      <w:tr>
        <w:trPr>
          <w:trHeight w:val="99"/>
        </w:trPr>
        <w:tc>
          <w:tcPr>
            <w:tcW w:w="200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2"/>
          </w:tcPr>
          <w:p>
            <w:pPr>
              <w:jc w:val="center"/>
              <w:ind w:right="100"/>
              <w:spacing w:after="0" w:line="99" w:lineRule="exact"/>
              <w:rPr>
                <w:sz w:val="20"/>
                <w:szCs w:val="20"/>
                <w:color w:val="auto"/>
              </w:rPr>
            </w:pPr>
            <w:r>
              <w:rPr>
                <w:rFonts w:ascii="Courier New" w:cs="Courier New" w:eastAsia="Courier New" w:hAnsi="Courier New"/>
                <w:sz w:val="9"/>
                <w:szCs w:val="9"/>
                <w:color w:val="auto"/>
              </w:rPr>
              <w:t>Fiscal 1999 to 2000</w:t>
            </w:r>
          </w:p>
        </w:tc>
        <w:tc>
          <w:tcPr>
            <w:tcW w:w="1200" w:type="dxa"/>
            <w:vAlign w:val="bottom"/>
            <w:gridSpan w:val="2"/>
          </w:tcPr>
          <w:p>
            <w:pPr>
              <w:jc w:val="right"/>
              <w:ind w:right="100"/>
              <w:spacing w:after="0" w:line="99" w:lineRule="exact"/>
              <w:rPr>
                <w:sz w:val="20"/>
                <w:szCs w:val="20"/>
                <w:color w:val="auto"/>
              </w:rPr>
            </w:pPr>
            <w:r>
              <w:rPr>
                <w:rFonts w:ascii="Courier New" w:cs="Courier New" w:eastAsia="Courier New" w:hAnsi="Courier New"/>
                <w:sz w:val="9"/>
                <w:szCs w:val="9"/>
                <w:color w:val="auto"/>
              </w:rPr>
              <w:t>1</w:t>
            </w:r>
          </w:p>
        </w:tc>
        <w:tc>
          <w:tcPr>
            <w:tcW w:w="900" w:type="dxa"/>
            <w:vAlign w:val="bottom"/>
            <w:gridSpan w:val="2"/>
          </w:tcPr>
          <w:p>
            <w:pPr>
              <w:jc w:val="right"/>
              <w:ind w:right="100"/>
              <w:spacing w:after="0" w:line="99" w:lineRule="exact"/>
              <w:rPr>
                <w:sz w:val="20"/>
                <w:szCs w:val="20"/>
                <w:color w:val="auto"/>
              </w:rPr>
            </w:pPr>
            <w:r>
              <w:rPr>
                <w:rFonts w:ascii="Courier New" w:cs="Courier New" w:eastAsia="Courier New" w:hAnsi="Courier New"/>
                <w:sz w:val="9"/>
                <w:szCs w:val="9"/>
                <w:color w:val="auto"/>
              </w:rPr>
              <w:t>4,125</w:t>
            </w:r>
          </w:p>
        </w:tc>
        <w:tc>
          <w:tcPr>
            <w:tcW w:w="340" w:type="dxa"/>
            <w:vAlign w:val="bottom"/>
          </w:tcPr>
          <w:p>
            <w:pPr>
              <w:spacing w:after="0"/>
              <w:rPr>
                <w:sz w:val="8"/>
                <w:szCs w:val="8"/>
                <w:color w:val="auto"/>
              </w:rPr>
            </w:pPr>
          </w:p>
        </w:tc>
        <w:tc>
          <w:tcPr>
            <w:tcW w:w="780" w:type="dxa"/>
            <w:vAlign w:val="bottom"/>
          </w:tcPr>
          <w:p>
            <w:pPr>
              <w:jc w:val="right"/>
              <w:spacing w:after="0" w:line="99" w:lineRule="exact"/>
              <w:rPr>
                <w:sz w:val="20"/>
                <w:szCs w:val="20"/>
                <w:color w:val="auto"/>
              </w:rPr>
            </w:pPr>
            <w:r>
              <w:rPr>
                <w:rFonts w:ascii="Courier New" w:cs="Courier New" w:eastAsia="Courier New" w:hAnsi="Courier New"/>
                <w:sz w:val="9"/>
                <w:szCs w:val="9"/>
                <w:color w:val="auto"/>
              </w:rPr>
              <w:t>8,250</w:t>
            </w:r>
          </w:p>
        </w:tc>
      </w:tr>
      <w:tr>
        <w:trPr>
          <w:trHeight w:val="99"/>
        </w:trPr>
        <w:tc>
          <w:tcPr>
            <w:tcW w:w="200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2"/>
          </w:tcPr>
          <w:p>
            <w:pPr>
              <w:jc w:val="center"/>
              <w:ind w:right="100"/>
              <w:spacing w:after="0" w:line="99" w:lineRule="exact"/>
              <w:rPr>
                <w:sz w:val="20"/>
                <w:szCs w:val="20"/>
                <w:color w:val="auto"/>
              </w:rPr>
            </w:pPr>
            <w:r>
              <w:rPr>
                <w:rFonts w:ascii="Courier New" w:cs="Courier New" w:eastAsia="Courier New" w:hAnsi="Courier New"/>
                <w:sz w:val="9"/>
                <w:szCs w:val="9"/>
                <w:color w:val="auto"/>
              </w:rPr>
              <w:t>Fiscal 1999 to 2001</w:t>
            </w:r>
          </w:p>
        </w:tc>
        <w:tc>
          <w:tcPr>
            <w:tcW w:w="1200" w:type="dxa"/>
            <w:vAlign w:val="bottom"/>
            <w:gridSpan w:val="2"/>
          </w:tcPr>
          <w:p>
            <w:pPr>
              <w:jc w:val="right"/>
              <w:ind w:right="100"/>
              <w:spacing w:after="0" w:line="99" w:lineRule="exact"/>
              <w:rPr>
                <w:sz w:val="20"/>
                <w:szCs w:val="20"/>
                <w:color w:val="auto"/>
              </w:rPr>
            </w:pPr>
            <w:r>
              <w:rPr>
                <w:rFonts w:ascii="Courier New" w:cs="Courier New" w:eastAsia="Courier New" w:hAnsi="Courier New"/>
                <w:sz w:val="9"/>
                <w:szCs w:val="9"/>
                <w:color w:val="auto"/>
              </w:rPr>
              <w:t>1</w:t>
            </w:r>
          </w:p>
        </w:tc>
        <w:tc>
          <w:tcPr>
            <w:tcW w:w="900" w:type="dxa"/>
            <w:vAlign w:val="bottom"/>
            <w:gridSpan w:val="2"/>
          </w:tcPr>
          <w:p>
            <w:pPr>
              <w:jc w:val="right"/>
              <w:ind w:right="100"/>
              <w:spacing w:after="0" w:line="99" w:lineRule="exact"/>
              <w:rPr>
                <w:sz w:val="20"/>
                <w:szCs w:val="20"/>
                <w:color w:val="auto"/>
              </w:rPr>
            </w:pPr>
            <w:r>
              <w:rPr>
                <w:rFonts w:ascii="Courier New" w:cs="Courier New" w:eastAsia="Courier New" w:hAnsi="Courier New"/>
                <w:sz w:val="9"/>
                <w:szCs w:val="9"/>
                <w:color w:val="auto"/>
              </w:rPr>
              <w:t>5,500</w:t>
            </w:r>
          </w:p>
        </w:tc>
        <w:tc>
          <w:tcPr>
            <w:tcW w:w="340" w:type="dxa"/>
            <w:vAlign w:val="bottom"/>
          </w:tcPr>
          <w:p>
            <w:pPr>
              <w:spacing w:after="0"/>
              <w:rPr>
                <w:sz w:val="8"/>
                <w:szCs w:val="8"/>
                <w:color w:val="auto"/>
              </w:rPr>
            </w:pPr>
          </w:p>
        </w:tc>
        <w:tc>
          <w:tcPr>
            <w:tcW w:w="780" w:type="dxa"/>
            <w:vAlign w:val="bottom"/>
          </w:tcPr>
          <w:p>
            <w:pPr>
              <w:jc w:val="right"/>
              <w:spacing w:after="0" w:line="99" w:lineRule="exact"/>
              <w:rPr>
                <w:sz w:val="20"/>
                <w:szCs w:val="20"/>
                <w:color w:val="auto"/>
              </w:rPr>
            </w:pPr>
            <w:r>
              <w:rPr>
                <w:rFonts w:ascii="Courier New" w:cs="Courier New" w:eastAsia="Courier New" w:hAnsi="Courier New"/>
                <w:sz w:val="9"/>
                <w:szCs w:val="9"/>
                <w:color w:val="auto"/>
              </w:rPr>
              <w:t>11,000</w:t>
            </w:r>
          </w:p>
        </w:tc>
      </w:tr>
      <w:tr>
        <w:trPr>
          <w:trHeight w:val="99"/>
        </w:trPr>
        <w:tc>
          <w:tcPr>
            <w:tcW w:w="2000" w:type="dxa"/>
            <w:vAlign w:val="bottom"/>
          </w:tcPr>
          <w:p>
            <w:pPr>
              <w:spacing w:after="0" w:line="99" w:lineRule="exact"/>
              <w:rPr>
                <w:sz w:val="20"/>
                <w:szCs w:val="20"/>
                <w:color w:val="auto"/>
              </w:rPr>
            </w:pPr>
            <w:r>
              <w:rPr>
                <w:rFonts w:ascii="Courier New" w:cs="Courier New" w:eastAsia="Courier New" w:hAnsi="Courier New"/>
                <w:sz w:val="9"/>
                <w:szCs w:val="9"/>
                <w:color w:val="auto"/>
              </w:rPr>
              <w:t>J. Lawrence McIntyre</w:t>
            </w:r>
          </w:p>
        </w:tc>
        <w:tc>
          <w:tcPr>
            <w:tcW w:w="940" w:type="dxa"/>
            <w:vAlign w:val="bottom"/>
            <w:gridSpan w:val="2"/>
          </w:tcPr>
          <w:p>
            <w:pPr>
              <w:jc w:val="right"/>
              <w:spacing w:after="0" w:line="99" w:lineRule="exact"/>
              <w:rPr>
                <w:sz w:val="20"/>
                <w:szCs w:val="20"/>
                <w:color w:val="auto"/>
              </w:rPr>
            </w:pPr>
            <w:r>
              <w:rPr>
                <w:rFonts w:ascii="Courier New" w:cs="Courier New" w:eastAsia="Courier New" w:hAnsi="Courier New"/>
                <w:sz w:val="9"/>
                <w:szCs w:val="9"/>
                <w:color w:val="auto"/>
              </w:rPr>
              <w:t>3</w:t>
            </w:r>
          </w:p>
        </w:tc>
        <w:tc>
          <w:tcPr>
            <w:tcW w:w="1260" w:type="dxa"/>
            <w:vAlign w:val="bottom"/>
          </w:tcPr>
          <w:p>
            <w:pPr>
              <w:ind w:left="20"/>
              <w:spacing w:after="0" w:line="99" w:lineRule="exact"/>
              <w:rPr>
                <w:sz w:val="20"/>
                <w:szCs w:val="20"/>
                <w:color w:val="auto"/>
              </w:rPr>
            </w:pPr>
            <w:r>
              <w:rPr>
                <w:rFonts w:ascii="Courier New" w:cs="Courier New" w:eastAsia="Courier New" w:hAnsi="Courier New"/>
                <w:sz w:val="9"/>
                <w:szCs w:val="9"/>
                <w:color w:val="auto"/>
              </w:rPr>
              <w:t>Awards(1)</w:t>
            </w:r>
          </w:p>
        </w:tc>
        <w:tc>
          <w:tcPr>
            <w:tcW w:w="100" w:type="dxa"/>
            <w:vAlign w:val="bottom"/>
          </w:tcPr>
          <w:p>
            <w:pPr>
              <w:spacing w:after="0"/>
              <w:rPr>
                <w:sz w:val="8"/>
                <w:szCs w:val="8"/>
                <w:color w:val="auto"/>
              </w:rPr>
            </w:pPr>
          </w:p>
        </w:tc>
        <w:tc>
          <w:tcPr>
            <w:tcW w:w="2300" w:type="dxa"/>
            <w:vAlign w:val="bottom"/>
            <w:gridSpan w:val="2"/>
          </w:tcPr>
          <w:p>
            <w:pPr>
              <w:jc w:val="center"/>
              <w:ind w:right="100"/>
              <w:spacing w:after="0" w:line="99" w:lineRule="exact"/>
              <w:rPr>
                <w:sz w:val="20"/>
                <w:szCs w:val="20"/>
                <w:color w:val="auto"/>
              </w:rPr>
            </w:pPr>
            <w:r>
              <w:rPr>
                <w:rFonts w:ascii="Courier New" w:cs="Courier New" w:eastAsia="Courier New" w:hAnsi="Courier New"/>
                <w:sz w:val="9"/>
                <w:szCs w:val="9"/>
                <w:color w:val="auto"/>
              </w:rPr>
              <w:t>Fiscal 1999</w:t>
            </w:r>
          </w:p>
        </w:tc>
        <w:tc>
          <w:tcPr>
            <w:tcW w:w="1200" w:type="dxa"/>
            <w:vAlign w:val="bottom"/>
            <w:gridSpan w:val="2"/>
          </w:tcPr>
          <w:p>
            <w:pPr>
              <w:jc w:val="right"/>
              <w:ind w:right="100"/>
              <w:spacing w:after="0" w:line="99" w:lineRule="exact"/>
              <w:rPr>
                <w:sz w:val="20"/>
                <w:szCs w:val="20"/>
                <w:color w:val="auto"/>
              </w:rPr>
            </w:pPr>
            <w:r>
              <w:rPr>
                <w:rFonts w:ascii="Courier New" w:cs="Courier New" w:eastAsia="Courier New" w:hAnsi="Courier New"/>
                <w:sz w:val="9"/>
                <w:szCs w:val="9"/>
                <w:color w:val="auto"/>
              </w:rPr>
              <w:t>1</w:t>
            </w:r>
          </w:p>
        </w:tc>
        <w:tc>
          <w:tcPr>
            <w:tcW w:w="900" w:type="dxa"/>
            <w:vAlign w:val="bottom"/>
            <w:gridSpan w:val="2"/>
          </w:tcPr>
          <w:p>
            <w:pPr>
              <w:jc w:val="right"/>
              <w:ind w:right="100"/>
              <w:spacing w:after="0" w:line="99" w:lineRule="exact"/>
              <w:rPr>
                <w:sz w:val="20"/>
                <w:szCs w:val="20"/>
                <w:color w:val="auto"/>
              </w:rPr>
            </w:pPr>
            <w:r>
              <w:rPr>
                <w:rFonts w:ascii="Courier New" w:cs="Courier New" w:eastAsia="Courier New" w:hAnsi="Courier New"/>
                <w:sz w:val="9"/>
                <w:szCs w:val="9"/>
                <w:color w:val="auto"/>
              </w:rPr>
              <w:t>2,300</w:t>
            </w:r>
          </w:p>
        </w:tc>
        <w:tc>
          <w:tcPr>
            <w:tcW w:w="340" w:type="dxa"/>
            <w:vAlign w:val="bottom"/>
          </w:tcPr>
          <w:p>
            <w:pPr>
              <w:spacing w:after="0"/>
              <w:rPr>
                <w:sz w:val="8"/>
                <w:szCs w:val="8"/>
                <w:color w:val="auto"/>
              </w:rPr>
            </w:pPr>
          </w:p>
        </w:tc>
        <w:tc>
          <w:tcPr>
            <w:tcW w:w="780" w:type="dxa"/>
            <w:vAlign w:val="bottom"/>
          </w:tcPr>
          <w:p>
            <w:pPr>
              <w:jc w:val="right"/>
              <w:spacing w:after="0" w:line="99" w:lineRule="exact"/>
              <w:rPr>
                <w:sz w:val="20"/>
                <w:szCs w:val="20"/>
                <w:color w:val="auto"/>
              </w:rPr>
            </w:pPr>
            <w:r>
              <w:rPr>
                <w:rFonts w:ascii="Courier New" w:cs="Courier New" w:eastAsia="Courier New" w:hAnsi="Courier New"/>
                <w:sz w:val="9"/>
                <w:szCs w:val="9"/>
                <w:color w:val="auto"/>
              </w:rPr>
              <w:t>4,600</w:t>
            </w:r>
          </w:p>
        </w:tc>
      </w:tr>
      <w:tr>
        <w:trPr>
          <w:trHeight w:val="99"/>
        </w:trPr>
        <w:tc>
          <w:tcPr>
            <w:tcW w:w="200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2"/>
          </w:tcPr>
          <w:p>
            <w:pPr>
              <w:jc w:val="center"/>
              <w:ind w:right="100"/>
              <w:spacing w:after="0" w:line="99" w:lineRule="exact"/>
              <w:rPr>
                <w:sz w:val="20"/>
                <w:szCs w:val="20"/>
                <w:color w:val="auto"/>
              </w:rPr>
            </w:pPr>
            <w:r>
              <w:rPr>
                <w:rFonts w:ascii="Courier New" w:cs="Courier New" w:eastAsia="Courier New" w:hAnsi="Courier New"/>
                <w:sz w:val="9"/>
                <w:szCs w:val="9"/>
                <w:color w:val="auto"/>
              </w:rPr>
              <w:t>Fiscal 1999 to 2000</w:t>
            </w:r>
          </w:p>
        </w:tc>
        <w:tc>
          <w:tcPr>
            <w:tcW w:w="1200" w:type="dxa"/>
            <w:vAlign w:val="bottom"/>
            <w:gridSpan w:val="2"/>
          </w:tcPr>
          <w:p>
            <w:pPr>
              <w:jc w:val="right"/>
              <w:ind w:right="100"/>
              <w:spacing w:after="0" w:line="99" w:lineRule="exact"/>
              <w:rPr>
                <w:sz w:val="20"/>
                <w:szCs w:val="20"/>
                <w:color w:val="auto"/>
              </w:rPr>
            </w:pPr>
            <w:r>
              <w:rPr>
                <w:rFonts w:ascii="Courier New" w:cs="Courier New" w:eastAsia="Courier New" w:hAnsi="Courier New"/>
                <w:sz w:val="9"/>
                <w:szCs w:val="9"/>
                <w:color w:val="auto"/>
              </w:rPr>
              <w:t>1</w:t>
            </w:r>
          </w:p>
        </w:tc>
        <w:tc>
          <w:tcPr>
            <w:tcW w:w="900" w:type="dxa"/>
            <w:vAlign w:val="bottom"/>
            <w:gridSpan w:val="2"/>
          </w:tcPr>
          <w:p>
            <w:pPr>
              <w:jc w:val="right"/>
              <w:ind w:right="100"/>
              <w:spacing w:after="0" w:line="99" w:lineRule="exact"/>
              <w:rPr>
                <w:sz w:val="20"/>
                <w:szCs w:val="20"/>
                <w:color w:val="auto"/>
              </w:rPr>
            </w:pPr>
            <w:r>
              <w:rPr>
                <w:rFonts w:ascii="Courier New" w:cs="Courier New" w:eastAsia="Courier New" w:hAnsi="Courier New"/>
                <w:sz w:val="9"/>
                <w:szCs w:val="9"/>
                <w:color w:val="auto"/>
              </w:rPr>
              <w:t>3,450</w:t>
            </w:r>
          </w:p>
        </w:tc>
        <w:tc>
          <w:tcPr>
            <w:tcW w:w="340" w:type="dxa"/>
            <w:vAlign w:val="bottom"/>
          </w:tcPr>
          <w:p>
            <w:pPr>
              <w:spacing w:after="0"/>
              <w:rPr>
                <w:sz w:val="8"/>
                <w:szCs w:val="8"/>
                <w:color w:val="auto"/>
              </w:rPr>
            </w:pPr>
          </w:p>
        </w:tc>
        <w:tc>
          <w:tcPr>
            <w:tcW w:w="780" w:type="dxa"/>
            <w:vAlign w:val="bottom"/>
          </w:tcPr>
          <w:p>
            <w:pPr>
              <w:jc w:val="right"/>
              <w:spacing w:after="0" w:line="99" w:lineRule="exact"/>
              <w:rPr>
                <w:sz w:val="20"/>
                <w:szCs w:val="20"/>
                <w:color w:val="auto"/>
              </w:rPr>
            </w:pPr>
            <w:r>
              <w:rPr>
                <w:rFonts w:ascii="Courier New" w:cs="Courier New" w:eastAsia="Courier New" w:hAnsi="Courier New"/>
                <w:sz w:val="9"/>
                <w:szCs w:val="9"/>
                <w:color w:val="auto"/>
              </w:rPr>
              <w:t>6,900</w:t>
            </w:r>
          </w:p>
        </w:tc>
      </w:tr>
      <w:tr>
        <w:trPr>
          <w:trHeight w:val="101"/>
        </w:trPr>
        <w:tc>
          <w:tcPr>
            <w:tcW w:w="200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2"/>
          </w:tcPr>
          <w:p>
            <w:pPr>
              <w:jc w:val="center"/>
              <w:ind w:right="100"/>
              <w:spacing w:after="0"/>
              <w:rPr>
                <w:sz w:val="20"/>
                <w:szCs w:val="20"/>
                <w:color w:val="auto"/>
              </w:rPr>
            </w:pPr>
            <w:r>
              <w:rPr>
                <w:rFonts w:ascii="Courier New" w:cs="Courier New" w:eastAsia="Courier New" w:hAnsi="Courier New"/>
                <w:sz w:val="9"/>
                <w:szCs w:val="9"/>
                <w:color w:val="auto"/>
              </w:rPr>
              <w:t>Fiscal 1999 to 2001</w:t>
            </w:r>
          </w:p>
        </w:tc>
        <w:tc>
          <w:tcPr>
            <w:tcW w:w="1200" w:type="dxa"/>
            <w:vAlign w:val="bottom"/>
            <w:gridSpan w:val="2"/>
          </w:tcPr>
          <w:p>
            <w:pPr>
              <w:jc w:val="right"/>
              <w:ind w:right="100"/>
              <w:spacing w:after="0"/>
              <w:rPr>
                <w:sz w:val="20"/>
                <w:szCs w:val="20"/>
                <w:color w:val="auto"/>
              </w:rPr>
            </w:pPr>
            <w:r>
              <w:rPr>
                <w:rFonts w:ascii="Courier New" w:cs="Courier New" w:eastAsia="Courier New" w:hAnsi="Courier New"/>
                <w:sz w:val="9"/>
                <w:szCs w:val="9"/>
                <w:color w:val="auto"/>
              </w:rPr>
              <w:t>1</w:t>
            </w:r>
          </w:p>
        </w:tc>
        <w:tc>
          <w:tcPr>
            <w:tcW w:w="900" w:type="dxa"/>
            <w:vAlign w:val="bottom"/>
            <w:gridSpan w:val="2"/>
          </w:tcPr>
          <w:p>
            <w:pPr>
              <w:jc w:val="right"/>
              <w:ind w:right="100"/>
              <w:spacing w:after="0"/>
              <w:rPr>
                <w:sz w:val="20"/>
                <w:szCs w:val="20"/>
                <w:color w:val="auto"/>
              </w:rPr>
            </w:pPr>
            <w:r>
              <w:rPr>
                <w:rFonts w:ascii="Courier New" w:cs="Courier New" w:eastAsia="Courier New" w:hAnsi="Courier New"/>
                <w:sz w:val="9"/>
                <w:szCs w:val="9"/>
                <w:color w:val="auto"/>
              </w:rPr>
              <w:t>4,600</w:t>
            </w:r>
          </w:p>
        </w:tc>
        <w:tc>
          <w:tcPr>
            <w:tcW w:w="340" w:type="dxa"/>
            <w:vAlign w:val="bottom"/>
          </w:tcPr>
          <w:p>
            <w:pPr>
              <w:spacing w:after="0"/>
              <w:rPr>
                <w:sz w:val="8"/>
                <w:szCs w:val="8"/>
                <w:color w:val="auto"/>
              </w:rPr>
            </w:pPr>
          </w:p>
        </w:tc>
        <w:tc>
          <w:tcPr>
            <w:tcW w:w="780" w:type="dxa"/>
            <w:vAlign w:val="bottom"/>
          </w:tcPr>
          <w:p>
            <w:pPr>
              <w:jc w:val="right"/>
              <w:spacing w:after="0"/>
              <w:rPr>
                <w:sz w:val="20"/>
                <w:szCs w:val="20"/>
                <w:color w:val="auto"/>
              </w:rPr>
            </w:pPr>
            <w:r>
              <w:rPr>
                <w:rFonts w:ascii="Courier New" w:cs="Courier New" w:eastAsia="Courier New" w:hAnsi="Courier New"/>
                <w:sz w:val="9"/>
                <w:szCs w:val="9"/>
                <w:color w:val="auto"/>
              </w:rPr>
              <w:t>9,200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6226175</wp:posOffset>
            </wp:positionH>
            <wp:positionV relativeFrom="paragraph">
              <wp:posOffset>-1201420</wp:posOffset>
            </wp:positionV>
            <wp:extent cx="12700" cy="57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4185920</wp:posOffset>
            </wp:positionH>
            <wp:positionV relativeFrom="paragraph">
              <wp:posOffset>-1201420</wp:posOffset>
            </wp:positionV>
            <wp:extent cx="12700" cy="57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1259840</wp:posOffset>
            </wp:positionH>
            <wp:positionV relativeFrom="paragraph">
              <wp:posOffset>-989965</wp:posOffset>
            </wp:positionV>
            <wp:extent cx="12700" cy="57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-989965</wp:posOffset>
            </wp:positionV>
            <wp:extent cx="12700" cy="57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2660015</wp:posOffset>
            </wp:positionH>
            <wp:positionV relativeFrom="paragraph">
              <wp:posOffset>-989965</wp:posOffset>
            </wp:positionV>
            <wp:extent cx="12700" cy="57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1322705</wp:posOffset>
            </wp:positionH>
            <wp:positionV relativeFrom="paragraph">
              <wp:posOffset>-989965</wp:posOffset>
            </wp:positionV>
            <wp:extent cx="12700" cy="57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-989965</wp:posOffset>
            </wp:positionV>
            <wp:extent cx="12700" cy="57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2722880</wp:posOffset>
            </wp:positionH>
            <wp:positionV relativeFrom="paragraph">
              <wp:posOffset>-989965</wp:posOffset>
            </wp:positionV>
            <wp:extent cx="12700" cy="57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4883150</wp:posOffset>
            </wp:positionH>
            <wp:positionV relativeFrom="paragraph">
              <wp:posOffset>-989965</wp:posOffset>
            </wp:positionV>
            <wp:extent cx="12700" cy="57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4185920</wp:posOffset>
            </wp:positionH>
            <wp:positionV relativeFrom="paragraph">
              <wp:posOffset>-989965</wp:posOffset>
            </wp:positionV>
            <wp:extent cx="12700" cy="57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5454650</wp:posOffset>
            </wp:positionH>
            <wp:positionV relativeFrom="paragraph">
              <wp:posOffset>-989965</wp:posOffset>
            </wp:positionV>
            <wp:extent cx="12700" cy="57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4946015</wp:posOffset>
            </wp:positionH>
            <wp:positionV relativeFrom="paragraph">
              <wp:posOffset>-989965</wp:posOffset>
            </wp:positionV>
            <wp:extent cx="12700" cy="57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6226175</wp:posOffset>
            </wp:positionH>
            <wp:positionV relativeFrom="paragraph">
              <wp:posOffset>-989965</wp:posOffset>
            </wp:positionV>
            <wp:extent cx="12700" cy="57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-989965</wp:posOffset>
            </wp:positionV>
            <wp:extent cx="12700" cy="57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pacing w:after="0" w:line="92" w:lineRule="exact"/>
        <w:rPr>
          <w:sz w:val="20"/>
          <w:szCs w:val="20"/>
          <w:color w:val="auto"/>
        </w:rPr>
      </w:pPr>
    </w:p>
    <w:p>
      <w:pPr>
        <w:ind w:left="200"/>
        <w:spacing w:after="0"/>
        <w:rPr>
          <w:sz w:val="20"/>
          <w:szCs w:val="20"/>
          <w:color w:val="auto"/>
        </w:rPr>
      </w:pPr>
      <w:r>
        <w:rPr>
          <w:rFonts w:ascii="Courier New" w:cs="Courier New" w:eastAsia="Courier New" w:hAnsi="Courier New"/>
          <w:sz w:val="9"/>
          <w:szCs w:val="9"/>
          <w:color w:val="auto"/>
        </w:rPr>
        <w:t>This</w:t>
      </w:r>
    </w:p>
    <w:p>
      <w:pPr>
        <w:spacing w:after="0"/>
        <w:rPr>
          <w:sz w:val="20"/>
          <w:szCs w:val="20"/>
          <w:color w:val="auto"/>
        </w:rPr>
      </w:pPr>
      <w:r>
        <w:rPr>
          <w:rFonts w:ascii="Courier New" w:cs="Courier New" w:eastAsia="Courier New" w:hAnsi="Courier New"/>
          <w:sz w:val="9"/>
          <w:szCs w:val="9"/>
          <w:color w:val="auto"/>
        </w:rPr>
        <w:t>graph assumes $100 invested on October 31, 1994 in the Company's Common Stock, the S&amp;P 500 Index and the peer group index including reinvestment of dividends.</w:t>
      </w:r>
    </w:p>
    <w:p>
      <w:pPr>
        <w:spacing w:after="0" w:line="111" w:lineRule="exact"/>
        <w:rPr>
          <w:sz w:val="20"/>
          <w:szCs w:val="20"/>
          <w:color w:val="auto"/>
        </w:rPr>
      </w:pPr>
    </w:p>
    <w:p>
      <w:pPr>
        <w:ind w:left="200"/>
        <w:spacing w:after="0"/>
        <w:rPr>
          <w:sz w:val="20"/>
          <w:szCs w:val="20"/>
          <w:color w:val="auto"/>
        </w:rPr>
      </w:pPr>
      <w:r>
        <w:rPr>
          <w:rFonts w:ascii="Courier New" w:cs="Courier New" w:eastAsia="Courier New" w:hAnsi="Courier New"/>
          <w:sz w:val="9"/>
          <w:szCs w:val="9"/>
          <w:color w:val="auto"/>
        </w:rPr>
        <w:t>The</w:t>
      </w:r>
    </w:p>
    <w:p>
      <w:pPr>
        <w:ind w:right="1960"/>
        <w:spacing w:after="0" w:line="233" w:lineRule="auto"/>
        <w:rPr>
          <w:sz w:val="20"/>
          <w:szCs w:val="20"/>
          <w:color w:val="auto"/>
        </w:rPr>
      </w:pPr>
      <w:r>
        <w:rPr>
          <w:rFonts w:ascii="Courier New" w:cs="Courier New" w:eastAsia="Courier New" w:hAnsi="Courier New"/>
          <w:sz w:val="9"/>
          <w:szCs w:val="9"/>
          <w:color w:val="auto"/>
        </w:rPr>
        <w:t>industry peer index is based on the Fortune 500 Industrial and Farm Equipment Index for 1998, the most recent year available, which includes: York International Corporation, Briggs &amp; Stratton Corporation, Stewart &amp; Stevenson Services, Inc., Dover Corporation, Cummins Engine Company, Inc., Harnischfeger Industries Inc., Crane Co.,</w:t>
      </w:r>
    </w:p>
    <w:p>
      <w:pPr>
        <w:ind w:right="2280"/>
        <w:spacing w:after="0" w:line="233" w:lineRule="auto"/>
        <w:rPr>
          <w:sz w:val="20"/>
          <w:szCs w:val="20"/>
          <w:color w:val="auto"/>
        </w:rPr>
      </w:pPr>
      <w:r>
        <w:rPr>
          <w:rFonts w:ascii="Courier New" w:cs="Courier New" w:eastAsia="Courier New" w:hAnsi="Courier New"/>
          <w:sz w:val="9"/>
          <w:szCs w:val="9"/>
          <w:color w:val="auto"/>
        </w:rPr>
        <w:t>Tecumseh Products Company, Ingersoll-Rand Company, NACCO Industries, Inc., Parker-Hannifin Corporation, Deere &amp; Company, Timken Company, Baker-Hughes Incorporated, Caterpillar Inc., The Black &amp; Decker Corporation, American Standard Companies, Inc., AGCO Corporation, Kennametal Inc., The Lincoln Electric Company, Teleflex, Detroit Diesel Corporation, Case Corporation, Cooper Cameron Corporation, Smith International, Inc., Terex Corporation and Nortek, Inc. New companies added were Premark International, Inc., Milacron Inc., ITT Industries, Inc., Unova, Inc., Weatherford International, Inc., Applied Power Inc. and Hussman International, Inc. Companies removed were Aeroquip-Vickers, Inc. and Lam Research Corporation.</w:t>
      </w:r>
    </w:p>
    <w:p>
      <w:pPr>
        <w:spacing w:after="0" w:line="117" w:lineRule="exact"/>
        <w:rPr>
          <w:sz w:val="20"/>
          <w:szCs w:val="20"/>
          <w:color w:val="auto"/>
        </w:rPr>
      </w:pPr>
    </w:p>
    <w:p>
      <w:pPr>
        <w:ind w:right="2560" w:firstLine="216"/>
        <w:spacing w:after="0" w:line="289" w:lineRule="auto"/>
        <w:rPr>
          <w:sz w:val="20"/>
          <w:szCs w:val="20"/>
          <w:color w:val="auto"/>
        </w:rPr>
      </w:pPr>
      <w:r>
        <w:rPr>
          <w:rFonts w:ascii="Courier New" w:cs="Courier New" w:eastAsia="Courier New" w:hAnsi="Courier New"/>
          <w:sz w:val="8"/>
          <w:szCs w:val="8"/>
          <w:i w:val="1"/>
          <w:iCs w:val="1"/>
          <w:color w:val="auto"/>
        </w:rPr>
        <w:t>Neither this Performance Graph nor the Compensation Committee Report which follows shall be deemed to be "soliciting material" or to be filed with the Securities and Exchange Commission or subject to Regulation 14A or 14C under the Securities Exchange Act of 1934, or to the liabilities of Section 18 of that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60"/>
        <w:spacing w:after="0"/>
        <w:rPr>
          <w:sz w:val="20"/>
          <w:szCs w:val="20"/>
          <w:color w:val="auto"/>
        </w:rPr>
      </w:pPr>
      <w:r>
        <w:rPr>
          <w:rFonts w:ascii="Courier New" w:cs="Courier New" w:eastAsia="Courier New" w:hAnsi="Courier New"/>
          <w:sz w:val="9"/>
          <w:szCs w:val="9"/>
          <w:b w:val="1"/>
          <w:bCs w:val="1"/>
          <w:color w:val="auto"/>
        </w:rPr>
        <w:t>COMPENSATION COMMITTEE REPORT ON EXECUTIVE COMPENSATION</w:t>
      </w:r>
    </w:p>
    <w:p>
      <w:pPr>
        <w:spacing w:after="0" w:line="115" w:lineRule="exact"/>
        <w:rPr>
          <w:sz w:val="20"/>
          <w:szCs w:val="20"/>
          <w:color w:val="auto"/>
        </w:rPr>
      </w:pPr>
    </w:p>
    <w:p>
      <w:pPr>
        <w:ind w:right="2880" w:firstLine="216"/>
        <w:spacing w:after="0" w:line="235" w:lineRule="auto"/>
        <w:rPr>
          <w:sz w:val="20"/>
          <w:szCs w:val="20"/>
          <w:color w:val="auto"/>
        </w:rPr>
      </w:pPr>
      <w:r>
        <w:rPr>
          <w:rFonts w:ascii="Courier New" w:cs="Courier New" w:eastAsia="Courier New" w:hAnsi="Courier New"/>
          <w:sz w:val="9"/>
          <w:szCs w:val="9"/>
          <w:color w:val="auto"/>
        </w:rPr>
        <w:t>This report is furnished by Toro's Compensation Committee of the Board of Directors, which reviews, establishes and approves changes to the compensation policies and administers compensation plans for executive officers of the Company.</w:t>
      </w:r>
    </w:p>
    <w:p>
      <w:pPr>
        <w:spacing w:after="0" w:line="114" w:lineRule="exact"/>
        <w:rPr>
          <w:sz w:val="20"/>
          <w:szCs w:val="20"/>
          <w:color w:val="auto"/>
        </w:rPr>
      </w:pPr>
    </w:p>
    <w:p>
      <w:pPr>
        <w:spacing w:after="0"/>
        <w:rPr>
          <w:sz w:val="20"/>
          <w:szCs w:val="20"/>
          <w:color w:val="auto"/>
        </w:rPr>
      </w:pPr>
      <w:r>
        <w:rPr>
          <w:rFonts w:ascii="Courier New" w:cs="Courier New" w:eastAsia="Courier New" w:hAnsi="Courier New"/>
          <w:sz w:val="9"/>
          <w:szCs w:val="9"/>
          <w:b w:val="1"/>
          <w:bCs w:val="1"/>
          <w:color w:val="auto"/>
        </w:rPr>
        <w:t>General Policies</w:t>
      </w:r>
    </w:p>
    <w:p>
      <w:pPr>
        <w:spacing w:after="0" w:line="112" w:lineRule="exact"/>
        <w:rPr>
          <w:sz w:val="20"/>
          <w:szCs w:val="20"/>
          <w:color w:val="auto"/>
        </w:rPr>
      </w:pPr>
    </w:p>
    <w:p>
      <w:pPr>
        <w:ind w:left="200"/>
        <w:spacing w:after="0"/>
        <w:rPr>
          <w:sz w:val="20"/>
          <w:szCs w:val="20"/>
          <w:color w:val="auto"/>
        </w:rPr>
      </w:pPr>
      <w:r>
        <w:rPr>
          <w:rFonts w:ascii="Courier New" w:cs="Courier New" w:eastAsia="Courier New" w:hAnsi="Courier New"/>
          <w:sz w:val="9"/>
          <w:szCs w:val="9"/>
          <w:color w:val="auto"/>
        </w:rPr>
        <w:t>The compensation policies of the Company are designed to attract, retain and motivate highly qualified executives, to assure that the Company competes</w:t>
      </w:r>
    </w:p>
    <w:p>
      <w:pPr>
        <w:ind w:right="500"/>
        <w:spacing w:after="0" w:line="233" w:lineRule="auto"/>
        <w:rPr>
          <w:sz w:val="20"/>
          <w:szCs w:val="20"/>
          <w:color w:val="auto"/>
        </w:rPr>
      </w:pPr>
      <w:r>
        <w:rPr>
          <w:rFonts w:ascii="Courier New" w:cs="Courier New" w:eastAsia="Courier New" w:hAnsi="Courier New"/>
          <w:sz w:val="9"/>
          <w:szCs w:val="9"/>
          <w:color w:val="auto"/>
        </w:rPr>
        <w:t>successfully for executive talent to accomplish the Company's goals and to compensate executive officers for personal performance. However, a substantial portion of total compensation of individual executive officers is aligned with the financial and operational performance of the Company because it is contingent upon achievement of financial goals of the Company and its divisions, and linked to the Company's stock price. The Committee believes it has been successful in achieving these goals. For instance, the Company's Fiscal 1998 financial results were disappointing. As a result, total cash compensation for named executive officers who were also named executive officers for Fiscal 1997 was substantially lower for Fiscal 1998. For Fiscal 1999, however, the Company's financial and operational performance exceeded targets and total compensation increased from Fiscal 1998.</w:t>
      </w:r>
    </w:p>
    <w:p>
      <w:pPr>
        <w:spacing w:after="0" w:line="114" w:lineRule="exact"/>
        <w:rPr>
          <w:sz w:val="20"/>
          <w:szCs w:val="20"/>
          <w:color w:val="auto"/>
        </w:rPr>
      </w:pPr>
    </w:p>
    <w:p>
      <w:pPr>
        <w:ind w:left="200"/>
        <w:spacing w:after="0"/>
        <w:rPr>
          <w:sz w:val="20"/>
          <w:szCs w:val="20"/>
          <w:color w:val="auto"/>
        </w:rPr>
      </w:pPr>
      <w:r>
        <w:rPr>
          <w:rFonts w:ascii="Courier New" w:cs="Courier New" w:eastAsia="Courier New" w:hAnsi="Courier New"/>
          <w:sz w:val="9"/>
          <w:szCs w:val="9"/>
          <w:color w:val="auto"/>
        </w:rPr>
        <w:t>The</w:t>
      </w:r>
    </w:p>
    <w:p>
      <w:pPr>
        <w:spacing w:after="0"/>
        <w:rPr>
          <w:sz w:val="20"/>
          <w:szCs w:val="20"/>
          <w:color w:val="auto"/>
        </w:rPr>
      </w:pPr>
      <w:r>
        <w:rPr>
          <w:rFonts w:ascii="Courier New" w:cs="Courier New" w:eastAsia="Courier New" w:hAnsi="Courier New"/>
          <w:sz w:val="9"/>
          <w:szCs w:val="9"/>
          <w:color w:val="auto"/>
        </w:rPr>
        <w:t>Committee bases its executive compensation decisions on an independent evaluation of the market competitiveness of Toro's officer compensation program by professional compensation</w:t>
      </w:r>
    </w:p>
    <w:p>
      <w:pPr>
        <w:spacing w:after="0" w:line="1" w:lineRule="exact"/>
        <w:rPr>
          <w:sz w:val="20"/>
          <w:szCs w:val="20"/>
          <w:color w:val="auto"/>
        </w:rPr>
      </w:pPr>
    </w:p>
    <w:p>
      <w:pPr>
        <w:ind w:right="1500"/>
        <w:spacing w:after="0" w:line="205" w:lineRule="auto"/>
        <w:rPr>
          <w:sz w:val="20"/>
          <w:szCs w:val="20"/>
          <w:color w:val="auto"/>
        </w:rPr>
      </w:pPr>
      <w:r>
        <w:rPr>
          <w:rFonts w:ascii="Courier New" w:cs="Courier New" w:eastAsia="Courier New" w:hAnsi="Courier New"/>
          <w:sz w:val="9"/>
          <w:szCs w:val="9"/>
          <w:color w:val="auto"/>
        </w:rPr>
        <w:t>consulting firms retained by the Company. The Committee establishes a target total compensation package for each executive position at a median (approximately 50</w:t>
      </w:r>
      <w:r>
        <w:rPr>
          <w:rFonts w:ascii="Courier New" w:cs="Courier New" w:eastAsia="Courier New" w:hAnsi="Courier New"/>
          <w:sz w:val="14"/>
          <w:szCs w:val="14"/>
          <w:color w:val="auto"/>
          <w:vertAlign w:val="superscript"/>
        </w:rPr>
        <w:t>th</w:t>
      </w:r>
      <w:r>
        <w:rPr>
          <w:rFonts w:ascii="Courier New" w:cs="Courier New" w:eastAsia="Courier New" w:hAnsi="Courier New"/>
          <w:sz w:val="9"/>
          <w:szCs w:val="9"/>
          <w:color w:val="auto"/>
        </w:rPr>
        <w:t xml:space="preserve"> percentile) market level for similar positions in businesses with revenues comparable to those of the Company.</w:t>
      </w:r>
    </w:p>
    <w:p>
      <w:pPr>
        <w:spacing w:after="0" w:line="115" w:lineRule="exact"/>
        <w:rPr>
          <w:sz w:val="20"/>
          <w:szCs w:val="20"/>
          <w:color w:val="auto"/>
        </w:rPr>
      </w:pPr>
    </w:p>
    <w:p>
      <w:pPr>
        <w:spacing w:after="0"/>
        <w:rPr>
          <w:sz w:val="20"/>
          <w:szCs w:val="20"/>
          <w:color w:val="auto"/>
        </w:rPr>
      </w:pPr>
      <w:r>
        <w:rPr>
          <w:rFonts w:ascii="Courier New" w:cs="Courier New" w:eastAsia="Courier New" w:hAnsi="Courier New"/>
          <w:sz w:val="9"/>
          <w:szCs w:val="9"/>
          <w:b w:val="1"/>
          <w:bCs w:val="1"/>
          <w:color w:val="auto"/>
        </w:rPr>
        <w:t>Base Salary</w:t>
      </w:r>
    </w:p>
    <w:p>
      <w:pPr>
        <w:spacing w:after="0" w:line="112" w:lineRule="exact"/>
        <w:rPr>
          <w:sz w:val="20"/>
          <w:szCs w:val="20"/>
          <w:color w:val="auto"/>
        </w:rPr>
      </w:pPr>
    </w:p>
    <w:p>
      <w:pPr>
        <w:ind w:left="200"/>
        <w:spacing w:after="0"/>
        <w:rPr>
          <w:sz w:val="20"/>
          <w:szCs w:val="20"/>
          <w:color w:val="auto"/>
        </w:rPr>
      </w:pPr>
      <w:r>
        <w:rPr>
          <w:rFonts w:ascii="Courier New" w:cs="Courier New" w:eastAsia="Courier New" w:hAnsi="Courier New"/>
          <w:sz w:val="9"/>
          <w:szCs w:val="9"/>
          <w:color w:val="auto"/>
        </w:rPr>
        <w:t>The Committee establishes a base salary range for each executive position, reflecting median base salaries for the comparative group. Although surveys may be</w:t>
      </w:r>
    </w:p>
    <w:p>
      <w:pPr>
        <w:jc w:val="both"/>
        <w:ind w:right="780"/>
        <w:spacing w:after="0" w:line="234" w:lineRule="auto"/>
        <w:rPr>
          <w:sz w:val="20"/>
          <w:szCs w:val="20"/>
          <w:color w:val="auto"/>
        </w:rPr>
      </w:pPr>
      <w:r>
        <w:rPr>
          <w:rFonts w:ascii="Courier New" w:cs="Courier New" w:eastAsia="Courier New" w:hAnsi="Courier New"/>
          <w:sz w:val="9"/>
          <w:szCs w:val="9"/>
          <w:color w:val="auto"/>
        </w:rPr>
        <w:t>conducted annually, salaries are adjusted only if market surveys indicate adjustment is necessary, so that greater weight remains on the variable incentive portion of the compensation package. In Fiscal 1998, these surveys indicated to the Committee that it must be watchful to maintain compensation at market competitive levels in order to retain its most talented executives. The Committee therefore increased base salary levels for selected officers for Fiscal 1999.</w:t>
      </w:r>
    </w:p>
    <w:p>
      <w:pPr>
        <w:spacing w:after="0" w:line="113" w:lineRule="exact"/>
        <w:rPr>
          <w:sz w:val="20"/>
          <w:szCs w:val="20"/>
          <w:color w:val="auto"/>
        </w:rPr>
      </w:pPr>
    </w:p>
    <w:p>
      <w:pPr>
        <w:ind w:left="200"/>
        <w:spacing w:after="0"/>
        <w:rPr>
          <w:sz w:val="20"/>
          <w:szCs w:val="20"/>
          <w:color w:val="auto"/>
        </w:rPr>
      </w:pPr>
      <w:r>
        <w:rPr>
          <w:rFonts w:ascii="Courier New" w:cs="Courier New" w:eastAsia="Courier New" w:hAnsi="Courier New"/>
          <w:sz w:val="9"/>
          <w:szCs w:val="9"/>
          <w:color w:val="auto"/>
        </w:rPr>
        <w:t>A</w:t>
      </w:r>
    </w:p>
    <w:p>
      <w:pPr>
        <w:spacing w:after="0"/>
        <w:rPr>
          <w:sz w:val="20"/>
          <w:szCs w:val="20"/>
          <w:color w:val="auto"/>
        </w:rPr>
      </w:pPr>
      <w:r>
        <w:rPr>
          <w:rFonts w:ascii="Courier New" w:cs="Courier New" w:eastAsia="Courier New" w:hAnsi="Courier New"/>
          <w:sz w:val="9"/>
          <w:szCs w:val="9"/>
          <w:color w:val="auto"/>
        </w:rPr>
        <w:t>base salary within the market range is set for each executive by considering the experience and individual performance of the executive. For Fiscal 1999, base salaries for executive</w:t>
      </w:r>
    </w:p>
    <w:p>
      <w:pPr>
        <w:spacing w:after="0" w:line="186" w:lineRule="auto"/>
        <w:rPr>
          <w:sz w:val="20"/>
          <w:szCs w:val="20"/>
          <w:color w:val="auto"/>
        </w:rPr>
      </w:pPr>
      <w:r>
        <w:rPr>
          <w:rFonts w:ascii="Courier New" w:cs="Courier New" w:eastAsia="Courier New" w:hAnsi="Courier New"/>
          <w:sz w:val="9"/>
          <w:szCs w:val="9"/>
          <w:color w:val="auto"/>
        </w:rPr>
        <w:t>officers were within 5% of the median (50</w:t>
      </w:r>
      <w:r>
        <w:rPr>
          <w:rFonts w:ascii="Courier New" w:cs="Courier New" w:eastAsia="Courier New" w:hAnsi="Courier New"/>
          <w:sz w:val="14"/>
          <w:szCs w:val="14"/>
          <w:color w:val="auto"/>
          <w:vertAlign w:val="superscript"/>
        </w:rPr>
        <w:t>th</w:t>
      </w:r>
      <w:r>
        <w:rPr>
          <w:rFonts w:ascii="Courier New" w:cs="Courier New" w:eastAsia="Courier New" w:hAnsi="Courier New"/>
          <w:sz w:val="9"/>
          <w:szCs w:val="9"/>
          <w:color w:val="auto"/>
        </w:rPr>
        <w:t xml:space="preserve"> percentile) of the market level. Mr. Melrose's salary with respect to Fiscal 1999 was set at $597,503, based on the same method used in</w:t>
      </w:r>
    </w:p>
    <w:p>
      <w:pPr>
        <w:ind w:right="880"/>
        <w:spacing w:after="0" w:line="235" w:lineRule="auto"/>
        <w:rPr>
          <w:sz w:val="20"/>
          <w:szCs w:val="20"/>
          <w:color w:val="auto"/>
        </w:rPr>
      </w:pPr>
      <w:r>
        <w:rPr>
          <w:rFonts w:ascii="Courier New" w:cs="Courier New" w:eastAsia="Courier New" w:hAnsi="Courier New"/>
          <w:sz w:val="9"/>
          <w:szCs w:val="9"/>
          <w:color w:val="auto"/>
        </w:rPr>
        <w:t>establishing other executive officers' base salaries. For compensation purposes, the Committee evaluates Mr. Melrose's performance on an annual basis. The other named executive officers receive evaluations by Mr. Melrose, which are used by the Committee in establishing base salaries.</w:t>
      </w:r>
    </w:p>
    <w:p>
      <w:pPr>
        <w:spacing w:after="0" w:line="114" w:lineRule="exact"/>
        <w:rPr>
          <w:sz w:val="20"/>
          <w:szCs w:val="20"/>
          <w:color w:val="auto"/>
        </w:rPr>
      </w:pPr>
    </w:p>
    <w:p>
      <w:pPr>
        <w:spacing w:after="0"/>
        <w:rPr>
          <w:sz w:val="20"/>
          <w:szCs w:val="20"/>
          <w:color w:val="auto"/>
        </w:rPr>
      </w:pPr>
      <w:r>
        <w:rPr>
          <w:rFonts w:ascii="Courier New" w:cs="Courier New" w:eastAsia="Courier New" w:hAnsi="Courier New"/>
          <w:sz w:val="9"/>
          <w:szCs w:val="9"/>
          <w:b w:val="1"/>
          <w:bCs w:val="1"/>
          <w:color w:val="auto"/>
        </w:rPr>
        <w:t>Incentive Compensation</w:t>
      </w:r>
    </w:p>
    <w:p>
      <w:pPr>
        <w:spacing w:after="0" w:line="112" w:lineRule="exact"/>
        <w:rPr>
          <w:sz w:val="20"/>
          <w:szCs w:val="20"/>
          <w:color w:val="auto"/>
        </w:rPr>
      </w:pPr>
    </w:p>
    <w:p>
      <w:pPr>
        <w:ind w:left="200"/>
        <w:spacing w:after="0"/>
        <w:rPr>
          <w:sz w:val="20"/>
          <w:szCs w:val="20"/>
          <w:color w:val="auto"/>
        </w:rPr>
      </w:pPr>
      <w:r>
        <w:rPr>
          <w:rFonts w:ascii="Courier New" w:cs="Courier New" w:eastAsia="Courier New" w:hAnsi="Courier New"/>
          <w:sz w:val="9"/>
          <w:szCs w:val="9"/>
          <w:color w:val="auto"/>
        </w:rPr>
        <w:t>An executive of the Company will earn total compensation that is market competitive only if incentive compensation tied to achievement of performance goals is</w:t>
      </w:r>
    </w:p>
    <w:p>
      <w:pPr>
        <w:spacing w:after="0"/>
        <w:rPr>
          <w:sz w:val="20"/>
          <w:szCs w:val="20"/>
          <w:color w:val="auto"/>
        </w:rPr>
      </w:pPr>
      <w:r>
        <w:rPr>
          <w:rFonts w:ascii="Courier New" w:cs="Courier New" w:eastAsia="Courier New" w:hAnsi="Courier New"/>
          <w:sz w:val="9"/>
          <w:szCs w:val="9"/>
          <w:color w:val="auto"/>
        </w:rPr>
        <w:t>earned. If those goals are exceeded, incentive compensation can cause total compensation to exceed median market levels. The incentive components of compensation are intended to encourage achievement</w:t>
      </w:r>
    </w:p>
    <w:p>
      <w:pPr>
        <w:sectPr>
          <w:pgSz w:w="11900" w:h="16891" w:orient="portrait"/>
          <w:cols w:equalWidth="0" w:num="1">
            <w:col w:w="11300"/>
          </w:cols>
          <w:pgMar w:left="300" w:top="170" w:right="299" w:bottom="0" w:gutter="0" w:footer="0" w:header="0"/>
        </w:sectPr>
      </w:pPr>
    </w:p>
    <w:bookmarkStart w:id="6" w:name="page7"/>
    <w:bookmarkEnd w:id="6"/>
    <w:p>
      <w:pPr>
        <w:spacing w:after="0"/>
        <w:rPr>
          <w:sz w:val="20"/>
          <w:szCs w:val="20"/>
          <w:color w:val="auto"/>
        </w:rPr>
      </w:pPr>
      <w:r>
        <w:rPr>
          <w:rFonts w:ascii="Courier New" w:cs="Courier New" w:eastAsia="Courier New" w:hAnsi="Courier New"/>
          <w:sz w:val="9"/>
          <w:szCs w:val="9"/>
          <w:color w:val="auto"/>
        </w:rPr>
        <w:t>of both short term and long term financial and operational objectives.</w:t>
      </w:r>
    </w:p>
    <w:p>
      <w:pPr>
        <w:spacing w:after="0" w:line="112" w:lineRule="exact"/>
        <w:rPr>
          <w:sz w:val="20"/>
          <w:szCs w:val="20"/>
          <w:color w:val="auto"/>
        </w:rPr>
      </w:pPr>
    </w:p>
    <w:p>
      <w:pPr>
        <w:ind w:left="200"/>
        <w:spacing w:after="0"/>
        <w:rPr>
          <w:sz w:val="20"/>
          <w:szCs w:val="20"/>
          <w:color w:val="auto"/>
        </w:rPr>
      </w:pPr>
      <w:r>
        <w:rPr>
          <w:rFonts w:ascii="Courier New" w:cs="Courier New" w:eastAsia="Courier New" w:hAnsi="Courier New"/>
          <w:sz w:val="9"/>
          <w:szCs w:val="9"/>
          <w:color w:val="auto"/>
        </w:rPr>
        <w:t>Beginning</w:t>
      </w:r>
    </w:p>
    <w:p>
      <w:pPr>
        <w:ind w:right="1520"/>
        <w:spacing w:after="0" w:line="235" w:lineRule="auto"/>
        <w:rPr>
          <w:sz w:val="20"/>
          <w:szCs w:val="20"/>
          <w:color w:val="auto"/>
        </w:rPr>
      </w:pPr>
      <w:r>
        <w:rPr>
          <w:rFonts w:ascii="Courier New" w:cs="Courier New" w:eastAsia="Courier New" w:hAnsi="Courier New"/>
          <w:sz w:val="9"/>
          <w:szCs w:val="9"/>
          <w:color w:val="auto"/>
        </w:rPr>
        <w:t>with Fiscal 1999, the Committee placed greater emphasis on compensation tied to the market price of the Company's Common Stock. Compensation under the new Performance Share Plan is exclusively in the form of shares of Common Stock, rather than in cash and stock options as under the</w:t>
      </w:r>
    </w:p>
    <w:p>
      <w:pPr>
        <w:spacing w:after="0" w:line="97" w:lineRule="exact"/>
        <w:rPr>
          <w:sz w:val="20"/>
          <w:szCs w:val="20"/>
          <w:color w:val="auto"/>
        </w:rPr>
      </w:pPr>
    </w:p>
    <w:p>
      <w:pPr>
        <w:ind w:right="540"/>
        <w:spacing w:after="0" w:line="235" w:lineRule="auto"/>
        <w:rPr>
          <w:sz w:val="20"/>
          <w:szCs w:val="20"/>
          <w:color w:val="auto"/>
        </w:rPr>
      </w:pPr>
      <w:r>
        <w:rPr>
          <w:rFonts w:ascii="Courier New" w:cs="Courier New" w:eastAsia="Courier New" w:hAnsi="Courier New"/>
          <w:sz w:val="9"/>
          <w:szCs w:val="9"/>
          <w:color w:val="auto"/>
        </w:rPr>
        <w:t>earlier Continuous Performance Award Plan. Stock Retention Awards under the amended Annual Management Incentive Plan II provide for the award of matching shares or units of Common Stock if a participating officer converts a portion of the annual cash bonus to shares of Common Stock or stock units.</w:t>
      </w:r>
    </w:p>
    <w:p>
      <w:pPr>
        <w:spacing w:after="0" w:line="112" w:lineRule="exact"/>
        <w:rPr>
          <w:sz w:val="20"/>
          <w:szCs w:val="20"/>
          <w:color w:val="auto"/>
        </w:rPr>
      </w:pPr>
    </w:p>
    <w:p>
      <w:pPr>
        <w:ind w:left="200"/>
        <w:spacing w:after="0"/>
        <w:rPr>
          <w:sz w:val="20"/>
          <w:szCs w:val="20"/>
          <w:color w:val="auto"/>
        </w:rPr>
      </w:pPr>
      <w:r>
        <w:rPr>
          <w:rFonts w:ascii="Courier New" w:cs="Courier New" w:eastAsia="Courier New" w:hAnsi="Courier New"/>
          <w:sz w:val="9"/>
          <w:szCs w:val="9"/>
          <w:color w:val="auto"/>
        </w:rPr>
        <w:t>For</w:t>
      </w:r>
    </w:p>
    <w:p>
      <w:pPr>
        <w:spacing w:after="0"/>
        <w:rPr>
          <w:sz w:val="20"/>
          <w:szCs w:val="20"/>
          <w:color w:val="auto"/>
        </w:rPr>
      </w:pPr>
      <w:r>
        <w:rPr>
          <w:rFonts w:ascii="Courier New" w:cs="Courier New" w:eastAsia="Courier New" w:hAnsi="Courier New"/>
          <w:sz w:val="9"/>
          <w:szCs w:val="9"/>
          <w:color w:val="auto"/>
        </w:rPr>
        <w:t>Fiscal 1999 the Company exceeded both its annual and long term performance goals, so that 69% of Mr. Melrose's total compensation (excluding stock option exercise gains)</w:t>
      </w:r>
    </w:p>
    <w:p>
      <w:pPr>
        <w:spacing w:after="0" w:line="1" w:lineRule="exact"/>
        <w:rPr>
          <w:sz w:val="20"/>
          <w:szCs w:val="20"/>
          <w:color w:val="auto"/>
        </w:rPr>
      </w:pPr>
    </w:p>
    <w:p>
      <w:pPr>
        <w:ind w:right="840"/>
        <w:spacing w:after="0" w:line="223" w:lineRule="auto"/>
        <w:rPr>
          <w:sz w:val="20"/>
          <w:szCs w:val="20"/>
          <w:color w:val="auto"/>
        </w:rPr>
      </w:pPr>
      <w:r>
        <w:rPr>
          <w:rFonts w:ascii="Courier New" w:cs="Courier New" w:eastAsia="Courier New" w:hAnsi="Courier New"/>
          <w:sz w:val="8"/>
          <w:szCs w:val="8"/>
          <w:color w:val="auto"/>
        </w:rPr>
        <w:t>consisted of incentive payments, and his total compensation package, including cash and stock or stock units but excluding stock option exercise gains, was above the median (at the 55</w:t>
      </w:r>
      <w:r>
        <w:rPr>
          <w:rFonts w:ascii="Courier New" w:cs="Courier New" w:eastAsia="Courier New" w:hAnsi="Courier New"/>
          <w:sz w:val="13"/>
          <w:szCs w:val="13"/>
          <w:color w:val="auto"/>
          <w:vertAlign w:val="superscript"/>
        </w:rPr>
        <w:t>th</w:t>
      </w:r>
      <w:r>
        <w:rPr>
          <w:rFonts w:ascii="Courier New" w:cs="Courier New" w:eastAsia="Courier New" w:hAnsi="Courier New"/>
          <w:sz w:val="8"/>
          <w:szCs w:val="8"/>
          <w:color w:val="auto"/>
        </w:rPr>
        <w:t xml:space="preserve"> percentile) for chief executive officers in comparable businesses. Due to the Company's disappointing financial results for Fiscal 1998, however, only 7% of Mr. Melrose's total cash</w:t>
      </w:r>
    </w:p>
    <w:p>
      <w:pPr>
        <w:ind w:right="60"/>
        <w:spacing w:after="0" w:line="270" w:lineRule="auto"/>
        <w:rPr>
          <w:sz w:val="20"/>
          <w:szCs w:val="20"/>
          <w:color w:val="auto"/>
        </w:rPr>
      </w:pPr>
      <w:r>
        <w:rPr>
          <w:rFonts w:ascii="Courier New" w:cs="Courier New" w:eastAsia="Courier New" w:hAnsi="Courier New"/>
          <w:sz w:val="9"/>
          <w:szCs w:val="9"/>
          <w:color w:val="auto"/>
        </w:rPr>
        <w:t>compensation was comprised of incentive payments under the Company's short term and long term incentive plans, and his total cash compensation for Fiscal 1998 was therefore below the median level (at the 35</w:t>
      </w:r>
      <w:r>
        <w:rPr>
          <w:rFonts w:ascii="Courier New" w:cs="Courier New" w:eastAsia="Courier New" w:hAnsi="Courier New"/>
          <w:sz w:val="14"/>
          <w:szCs w:val="14"/>
          <w:color w:val="auto"/>
          <w:vertAlign w:val="superscript"/>
        </w:rPr>
        <w:t>th</w:t>
      </w:r>
      <w:r>
        <w:rPr>
          <w:rFonts w:ascii="Courier New" w:cs="Courier New" w:eastAsia="Courier New" w:hAnsi="Courier New"/>
          <w:sz w:val="9"/>
          <w:szCs w:val="9"/>
          <w:color w:val="auto"/>
        </w:rPr>
        <w:t xml:space="preserve"> percentile) of total cash compensation paid to chief executive officers in businesses with revenues comparable to the Company's.</w:t>
      </w:r>
    </w:p>
    <w:p>
      <w:pPr>
        <w:spacing w:after="0" w:line="46" w:lineRule="exact"/>
        <w:rPr>
          <w:sz w:val="20"/>
          <w:szCs w:val="20"/>
          <w:color w:val="auto"/>
        </w:rPr>
      </w:pPr>
    </w:p>
    <w:p>
      <w:pPr>
        <w:ind w:left="200"/>
        <w:spacing w:after="0"/>
        <w:tabs>
          <w:tab w:leader="none" w:pos="1920" w:val="left"/>
        </w:tabs>
        <w:rPr>
          <w:sz w:val="20"/>
          <w:szCs w:val="20"/>
          <w:color w:val="auto"/>
        </w:rPr>
      </w:pPr>
      <w:r>
        <w:rPr>
          <w:rFonts w:ascii="Courier New" w:cs="Courier New" w:eastAsia="Courier New" w:hAnsi="Courier New"/>
          <w:sz w:val="9"/>
          <w:szCs w:val="9"/>
          <w:b w:val="1"/>
          <w:bCs w:val="1"/>
          <w:i w:val="1"/>
          <w:iCs w:val="1"/>
          <w:color w:val="auto"/>
        </w:rPr>
        <w:t>Annual Incentive Compensation.</w:t>
      </w:r>
      <w:r>
        <w:rPr>
          <w:sz w:val="20"/>
          <w:szCs w:val="20"/>
          <w:color w:val="auto"/>
        </w:rPr>
        <w:tab/>
      </w:r>
      <w:r>
        <w:rPr>
          <w:rFonts w:ascii="Courier New" w:cs="Courier New" w:eastAsia="Courier New" w:hAnsi="Courier New"/>
          <w:sz w:val="8"/>
          <w:szCs w:val="8"/>
          <w:color w:val="auto"/>
        </w:rPr>
        <w:t>Under the Company's stockholder-approved Annual Plan, executive</w:t>
      </w:r>
    </w:p>
    <w:p>
      <w:pPr>
        <w:ind w:right="220"/>
        <w:spacing w:after="0" w:line="233" w:lineRule="auto"/>
        <w:rPr>
          <w:sz w:val="20"/>
          <w:szCs w:val="20"/>
          <w:color w:val="auto"/>
        </w:rPr>
      </w:pPr>
      <w:r>
        <w:rPr>
          <w:rFonts w:ascii="Courier New" w:cs="Courier New" w:eastAsia="Courier New" w:hAnsi="Courier New"/>
          <w:sz w:val="9"/>
          <w:szCs w:val="9"/>
          <w:color w:val="auto"/>
        </w:rPr>
        <w:t>officers and other key employees are eligible to receive an annual cash bonus based on a percentage of base salary (determined by the executive officer's position) and the Company's achievement of performance goals and, for certain participants, division and individual performance. If performance goals are exceeded, award amounts increase up to a pre-established maximum, but not</w:t>
      </w:r>
    </w:p>
    <w:p>
      <w:pPr>
        <w:ind w:right="340"/>
        <w:spacing w:after="0" w:line="234" w:lineRule="auto"/>
        <w:rPr>
          <w:sz w:val="20"/>
          <w:szCs w:val="20"/>
          <w:color w:val="auto"/>
        </w:rPr>
      </w:pPr>
      <w:r>
        <w:rPr>
          <w:rFonts w:ascii="Courier New" w:cs="Courier New" w:eastAsia="Courier New" w:hAnsi="Courier New"/>
          <w:sz w:val="9"/>
          <w:szCs w:val="9"/>
          <w:color w:val="auto"/>
        </w:rPr>
        <w:t>more than 200% of the target award amount. If goals are not met, awards are reduced or not paid at all. Proposed participants in the Annual Plan are recommended by management and selected by the Committee. The target award amount for Mr. Melrose is 60% of his base salary and for the other named executive officers is 45%. The percentage is based on the executive's salary grade and job position and not on individual factors.</w:t>
      </w:r>
    </w:p>
    <w:p>
      <w:pPr>
        <w:spacing w:after="0" w:line="113" w:lineRule="exact"/>
        <w:rPr>
          <w:sz w:val="20"/>
          <w:szCs w:val="20"/>
          <w:color w:val="auto"/>
        </w:rPr>
      </w:pPr>
    </w:p>
    <w:p>
      <w:pPr>
        <w:ind w:left="200"/>
        <w:spacing w:after="0"/>
        <w:rPr>
          <w:sz w:val="20"/>
          <w:szCs w:val="20"/>
          <w:color w:val="auto"/>
        </w:rPr>
      </w:pPr>
      <w:r>
        <w:rPr>
          <w:rFonts w:ascii="Courier New" w:cs="Courier New" w:eastAsia="Courier New" w:hAnsi="Courier New"/>
          <w:sz w:val="9"/>
          <w:szCs w:val="9"/>
          <w:color w:val="auto"/>
        </w:rPr>
        <w:t>The</w:t>
      </w:r>
    </w:p>
    <w:p>
      <w:pPr>
        <w:spacing w:after="0" w:line="233" w:lineRule="auto"/>
        <w:rPr>
          <w:sz w:val="20"/>
          <w:szCs w:val="20"/>
          <w:color w:val="auto"/>
        </w:rPr>
      </w:pPr>
      <w:r>
        <w:rPr>
          <w:rFonts w:ascii="Courier New" w:cs="Courier New" w:eastAsia="Courier New" w:hAnsi="Courier New"/>
          <w:sz w:val="9"/>
          <w:szCs w:val="9"/>
          <w:color w:val="auto"/>
        </w:rPr>
        <w:t>Committee may also select officers to receive Stock Retention Awards, which entitle an officer to convert up to 50% of a cash award payout to shares of Common Stock or deferred</w:t>
      </w:r>
    </w:p>
    <w:p>
      <w:pPr>
        <w:ind w:right="500"/>
        <w:spacing w:after="0" w:line="235" w:lineRule="auto"/>
        <w:rPr>
          <w:sz w:val="20"/>
          <w:szCs w:val="20"/>
          <w:color w:val="auto"/>
        </w:rPr>
      </w:pPr>
      <w:r>
        <w:rPr>
          <w:rFonts w:ascii="Courier New" w:cs="Courier New" w:eastAsia="Courier New" w:hAnsi="Courier New"/>
          <w:sz w:val="9"/>
          <w:szCs w:val="9"/>
          <w:color w:val="auto"/>
        </w:rPr>
        <w:t>Common Stock units, and to receive one additional share of stock for each two shares acquired in the conversion. Mr. Melrose and each of the named executive officers received these awards for Fiscal 1999.</w:t>
      </w:r>
    </w:p>
    <w:p>
      <w:pPr>
        <w:spacing w:after="0" w:line="112" w:lineRule="exact"/>
        <w:rPr>
          <w:sz w:val="20"/>
          <w:szCs w:val="20"/>
          <w:color w:val="auto"/>
        </w:rPr>
      </w:pPr>
    </w:p>
    <w:p>
      <w:pPr>
        <w:ind w:left="200"/>
        <w:spacing w:after="0"/>
        <w:rPr>
          <w:sz w:val="20"/>
          <w:szCs w:val="20"/>
          <w:color w:val="auto"/>
        </w:rPr>
      </w:pPr>
      <w:r>
        <w:rPr>
          <w:rFonts w:ascii="Courier New" w:cs="Courier New" w:eastAsia="Courier New" w:hAnsi="Courier New"/>
          <w:sz w:val="9"/>
          <w:szCs w:val="9"/>
          <w:color w:val="auto"/>
        </w:rPr>
        <w:t>Under</w:t>
      </w:r>
    </w:p>
    <w:p>
      <w:pPr>
        <w:spacing w:after="0" w:line="233" w:lineRule="auto"/>
        <w:rPr>
          <w:sz w:val="20"/>
          <w:szCs w:val="20"/>
          <w:color w:val="auto"/>
        </w:rPr>
      </w:pPr>
      <w:r>
        <w:rPr>
          <w:rFonts w:ascii="Courier New" w:cs="Courier New" w:eastAsia="Courier New" w:hAnsi="Courier New"/>
          <w:sz w:val="9"/>
          <w:szCs w:val="9"/>
          <w:color w:val="auto"/>
        </w:rPr>
        <w:t>the Annual Plan as in effect for Fiscal 1999, the Compensation Committee established earnings per share (EPS) and corporate average net asset dollar level performance goals as</w:t>
      </w:r>
    </w:p>
    <w:p>
      <w:pPr>
        <w:ind w:right="60"/>
        <w:spacing w:after="0" w:line="233" w:lineRule="auto"/>
        <w:rPr>
          <w:sz w:val="20"/>
          <w:szCs w:val="20"/>
          <w:color w:val="auto"/>
        </w:rPr>
      </w:pPr>
      <w:r>
        <w:rPr>
          <w:rFonts w:ascii="Courier New" w:cs="Courier New" w:eastAsia="Courier New" w:hAnsi="Courier New"/>
          <w:sz w:val="9"/>
          <w:szCs w:val="9"/>
          <w:color w:val="auto"/>
        </w:rPr>
        <w:t>the basis for payment of a target award amount for each corporate participant. Target award amounts for division participants were based 50% on performance goals for corporate participants and 50% on division controllable profit contribution (net income before taxes and interest expense and before corporate allocations) and division total average asset goals. Strategic Performance Measure goals, under which a recipient's pre-established cash payout may be adjusted up to 120% of the award payment otherwise</w:t>
      </w:r>
    </w:p>
    <w:p>
      <w:pPr>
        <w:ind w:right="500"/>
        <w:spacing w:after="0" w:line="235" w:lineRule="auto"/>
        <w:rPr>
          <w:sz w:val="20"/>
          <w:szCs w:val="20"/>
          <w:color w:val="auto"/>
        </w:rPr>
      </w:pPr>
      <w:r>
        <w:rPr>
          <w:rFonts w:ascii="Courier New" w:cs="Courier New" w:eastAsia="Courier New" w:hAnsi="Courier New"/>
          <w:sz w:val="9"/>
          <w:szCs w:val="9"/>
          <w:color w:val="auto"/>
        </w:rPr>
        <w:t>determined under the plan (but to not more than 200% of the target award) were also established for Mr. Melrose and each of the named executive officers for Fiscal 1999, but the Committee did not adjust their total payouts for SPM goal performance.</w:t>
      </w:r>
    </w:p>
    <w:p>
      <w:pPr>
        <w:spacing w:after="0" w:line="112" w:lineRule="exact"/>
        <w:rPr>
          <w:sz w:val="20"/>
          <w:szCs w:val="20"/>
          <w:color w:val="auto"/>
        </w:rPr>
      </w:pPr>
    </w:p>
    <w:p>
      <w:pPr>
        <w:ind w:left="200"/>
        <w:spacing w:after="0"/>
        <w:rPr>
          <w:sz w:val="20"/>
          <w:szCs w:val="20"/>
          <w:color w:val="auto"/>
        </w:rPr>
      </w:pPr>
      <w:r>
        <w:rPr>
          <w:rFonts w:ascii="Courier New" w:cs="Courier New" w:eastAsia="Courier New" w:hAnsi="Courier New"/>
          <w:sz w:val="9"/>
          <w:szCs w:val="9"/>
          <w:color w:val="auto"/>
        </w:rPr>
        <w:t>The</w:t>
      </w:r>
    </w:p>
    <w:p>
      <w:pPr>
        <w:spacing w:after="0" w:line="233" w:lineRule="auto"/>
        <w:rPr>
          <w:sz w:val="20"/>
          <w:szCs w:val="20"/>
          <w:color w:val="auto"/>
        </w:rPr>
      </w:pPr>
      <w:r>
        <w:rPr>
          <w:rFonts w:ascii="Courier New" w:cs="Courier New" w:eastAsia="Courier New" w:hAnsi="Courier New"/>
          <w:sz w:val="9"/>
          <w:szCs w:val="9"/>
          <w:color w:val="auto"/>
        </w:rPr>
        <w:t>Company exceeded its corporate and division goals for Fiscal 1999. Bonus payments were therefore made under the Annual Plan at 187% of target awards for corporate participants,</w:t>
      </w:r>
    </w:p>
    <w:p>
      <w:pPr>
        <w:spacing w:after="0" w:line="233" w:lineRule="auto"/>
        <w:rPr>
          <w:sz w:val="20"/>
          <w:szCs w:val="20"/>
          <w:color w:val="auto"/>
        </w:rPr>
      </w:pPr>
      <w:r>
        <w:rPr>
          <w:rFonts w:ascii="Courier New" w:cs="Courier New" w:eastAsia="Courier New" w:hAnsi="Courier New"/>
          <w:sz w:val="9"/>
          <w:szCs w:val="9"/>
          <w:color w:val="auto"/>
        </w:rPr>
        <w:t>including Mr. Melrose and the named executive officers. Award payments of between 130% and 182% of targets were made to division participants based 50% on the respective division's achievement</w:t>
      </w:r>
    </w:p>
    <w:p>
      <w:pPr>
        <w:ind w:right="60"/>
        <w:spacing w:after="0" w:line="234" w:lineRule="auto"/>
        <w:rPr>
          <w:sz w:val="20"/>
          <w:szCs w:val="20"/>
          <w:color w:val="auto"/>
        </w:rPr>
      </w:pPr>
      <w:r>
        <w:rPr>
          <w:rFonts w:ascii="Courier New" w:cs="Courier New" w:eastAsia="Courier New" w:hAnsi="Courier New"/>
          <w:sz w:val="9"/>
          <w:szCs w:val="9"/>
          <w:color w:val="auto"/>
        </w:rPr>
        <w:t>of its performance goals and 50% on the Company's achievement of corporate goals. In addition, matching deferred Common Stock units having a value of 25% of the total cash award payment were credited to Mr. Melrose and three of the named executive officers who elected to convert cash awards under their Stock Retention Awards. These shares or units are subject to vesting over a five year period.</w:t>
      </w:r>
    </w:p>
    <w:p>
      <w:pPr>
        <w:spacing w:after="0" w:line="113" w:lineRule="exact"/>
        <w:rPr>
          <w:sz w:val="20"/>
          <w:szCs w:val="20"/>
          <w:color w:val="auto"/>
        </w:rPr>
      </w:pPr>
    </w:p>
    <w:p>
      <w:pPr>
        <w:ind w:left="200"/>
        <w:spacing w:after="0"/>
        <w:rPr>
          <w:sz w:val="20"/>
          <w:szCs w:val="20"/>
          <w:color w:val="auto"/>
        </w:rPr>
      </w:pPr>
      <w:r>
        <w:rPr>
          <w:rFonts w:ascii="Courier New" w:cs="Courier New" w:eastAsia="Courier New" w:hAnsi="Courier New"/>
          <w:sz w:val="9"/>
          <w:szCs w:val="9"/>
          <w:color w:val="auto"/>
        </w:rPr>
        <w:t>The</w:t>
      </w:r>
    </w:p>
    <w:p>
      <w:pPr>
        <w:ind w:right="1200"/>
        <w:spacing w:after="0" w:line="235" w:lineRule="auto"/>
        <w:rPr>
          <w:sz w:val="20"/>
          <w:szCs w:val="20"/>
          <w:color w:val="auto"/>
        </w:rPr>
      </w:pPr>
      <w:r>
        <w:rPr>
          <w:rFonts w:ascii="Courier New" w:cs="Courier New" w:eastAsia="Courier New" w:hAnsi="Courier New"/>
          <w:sz w:val="9"/>
          <w:szCs w:val="9"/>
          <w:color w:val="auto"/>
        </w:rPr>
        <w:t>Committee has approved and recommended to stockholders the amendment of the Annual Plan to add additional corporate and division performance goals. See Proposal Two in this Proxy Statement.</w:t>
      </w:r>
    </w:p>
    <w:p>
      <w:pPr>
        <w:spacing w:after="0" w:line="112" w:lineRule="exact"/>
        <w:rPr>
          <w:sz w:val="20"/>
          <w:szCs w:val="20"/>
          <w:color w:val="auto"/>
        </w:rPr>
      </w:pPr>
    </w:p>
    <w:p>
      <w:pPr>
        <w:ind w:left="200"/>
        <w:spacing w:after="0"/>
        <w:rPr>
          <w:sz w:val="20"/>
          <w:szCs w:val="20"/>
          <w:color w:val="auto"/>
        </w:rPr>
      </w:pPr>
      <w:r>
        <w:rPr>
          <w:rFonts w:ascii="Courier New" w:cs="Courier New" w:eastAsia="Courier New" w:hAnsi="Courier New"/>
          <w:sz w:val="9"/>
          <w:szCs w:val="9"/>
          <w:color w:val="auto"/>
        </w:rPr>
        <w:t>For</w:t>
      </w:r>
    </w:p>
    <w:p>
      <w:pPr>
        <w:spacing w:after="0"/>
        <w:rPr>
          <w:sz w:val="20"/>
          <w:szCs w:val="20"/>
          <w:color w:val="auto"/>
        </w:rPr>
      </w:pPr>
      <w:r>
        <w:rPr>
          <w:rFonts w:ascii="Courier New" w:cs="Courier New" w:eastAsia="Courier New" w:hAnsi="Courier New"/>
          <w:sz w:val="9"/>
          <w:szCs w:val="9"/>
          <w:color w:val="auto"/>
        </w:rPr>
        <w:t>Fiscal 1999, 42.9% of Mr. Melrose's cash and stock-based compensation (excluding income from stock option exercises) was comprised of payments pursuant to the Annual Plan.</w:t>
      </w:r>
    </w:p>
    <w:p>
      <w:pPr>
        <w:spacing w:after="0" w:line="309" w:lineRule="exact"/>
        <w:rPr>
          <w:sz w:val="20"/>
          <w:szCs w:val="20"/>
          <w:color w:val="auto"/>
        </w:rPr>
      </w:pPr>
    </w:p>
    <w:p>
      <w:pPr>
        <w:ind w:left="200"/>
        <w:spacing w:after="0"/>
        <w:tabs>
          <w:tab w:leader="none" w:pos="2080" w:val="left"/>
        </w:tabs>
        <w:rPr>
          <w:sz w:val="20"/>
          <w:szCs w:val="20"/>
          <w:color w:val="auto"/>
        </w:rPr>
      </w:pPr>
      <w:r>
        <w:rPr>
          <w:rFonts w:ascii="Courier New" w:cs="Courier New" w:eastAsia="Courier New" w:hAnsi="Courier New"/>
          <w:sz w:val="9"/>
          <w:szCs w:val="9"/>
          <w:b w:val="1"/>
          <w:bCs w:val="1"/>
          <w:i w:val="1"/>
          <w:iCs w:val="1"/>
          <w:color w:val="auto"/>
        </w:rPr>
        <w:t>Long Term Incentive Compensation.</w:t>
      </w:r>
      <w:r>
        <w:rPr>
          <w:sz w:val="20"/>
          <w:szCs w:val="20"/>
          <w:color w:val="auto"/>
        </w:rPr>
        <w:tab/>
      </w:r>
      <w:r>
        <w:rPr>
          <w:rFonts w:ascii="Courier New" w:cs="Courier New" w:eastAsia="Courier New" w:hAnsi="Courier New"/>
          <w:sz w:val="9"/>
          <w:szCs w:val="9"/>
          <w:color w:val="auto"/>
        </w:rPr>
        <w:t>Key employees may receive long term incentive compensation in</w:t>
      </w:r>
    </w:p>
    <w:p>
      <w:pPr>
        <w:spacing w:after="0" w:line="233" w:lineRule="auto"/>
        <w:rPr>
          <w:sz w:val="20"/>
          <w:szCs w:val="20"/>
          <w:color w:val="auto"/>
        </w:rPr>
      </w:pPr>
      <w:r>
        <w:rPr>
          <w:rFonts w:ascii="Courier New" w:cs="Courier New" w:eastAsia="Courier New" w:hAnsi="Courier New"/>
          <w:sz w:val="9"/>
          <w:szCs w:val="9"/>
          <w:color w:val="auto"/>
        </w:rPr>
        <w:t>the form of Performance Shares under the new Performance Share Plan, approved by stockholders in March 1999, and under the Company's stockholder-approved stock option plans. A compensation</w:t>
      </w:r>
    </w:p>
    <w:p>
      <w:pPr>
        <w:spacing w:after="0"/>
        <w:rPr>
          <w:sz w:val="20"/>
          <w:szCs w:val="20"/>
          <w:color w:val="auto"/>
        </w:rPr>
      </w:pPr>
      <w:r>
        <w:rPr>
          <w:rFonts w:ascii="Courier New" w:cs="Courier New" w:eastAsia="Courier New" w:hAnsi="Courier New"/>
          <w:sz w:val="9"/>
          <w:szCs w:val="9"/>
          <w:color w:val="auto"/>
        </w:rPr>
        <w:t>survey conducted in 1998 by outside consultants indicated that the long term incentive component of Toro's total compensation for executives lagged the market. Outside consultants reported that while</w:t>
      </w:r>
    </w:p>
    <w:p>
      <w:pPr>
        <w:spacing w:after="0" w:line="1" w:lineRule="exact"/>
        <w:rPr>
          <w:sz w:val="20"/>
          <w:szCs w:val="20"/>
          <w:color w:val="auto"/>
        </w:rPr>
      </w:pPr>
    </w:p>
    <w:p>
      <w:pPr>
        <w:ind w:right="840"/>
        <w:spacing w:after="0" w:line="205" w:lineRule="auto"/>
        <w:rPr>
          <w:sz w:val="20"/>
          <w:szCs w:val="20"/>
          <w:color w:val="auto"/>
        </w:rPr>
      </w:pPr>
      <w:r>
        <w:rPr>
          <w:rFonts w:ascii="Courier New" w:cs="Courier New" w:eastAsia="Courier New" w:hAnsi="Courier New"/>
          <w:sz w:val="9"/>
          <w:szCs w:val="9"/>
          <w:color w:val="auto"/>
        </w:rPr>
        <w:t>option grants improved long term incentive competitiveness, additional opportunities were necessary to be competitive at the 50</w:t>
      </w:r>
      <w:r>
        <w:rPr>
          <w:rFonts w:ascii="Courier New" w:cs="Courier New" w:eastAsia="Courier New" w:hAnsi="Courier New"/>
          <w:sz w:val="14"/>
          <w:szCs w:val="14"/>
          <w:color w:val="auto"/>
          <w:vertAlign w:val="superscript"/>
        </w:rPr>
        <w:t>th</w:t>
      </w:r>
      <w:r>
        <w:rPr>
          <w:rFonts w:ascii="Courier New" w:cs="Courier New" w:eastAsia="Courier New" w:hAnsi="Courier New"/>
          <w:sz w:val="9"/>
          <w:szCs w:val="9"/>
          <w:color w:val="auto"/>
        </w:rPr>
        <w:t xml:space="preserve"> percentile market level. For that reason, the Committee adopted the Performance Share Plan.</w:t>
      </w:r>
    </w:p>
    <w:p>
      <w:pPr>
        <w:spacing w:after="0" w:line="113" w:lineRule="exact"/>
        <w:rPr>
          <w:sz w:val="20"/>
          <w:szCs w:val="20"/>
          <w:color w:val="auto"/>
        </w:rPr>
      </w:pPr>
    </w:p>
    <w:p>
      <w:pPr>
        <w:ind w:left="200"/>
        <w:spacing w:after="0"/>
        <w:rPr>
          <w:sz w:val="20"/>
          <w:szCs w:val="20"/>
          <w:color w:val="auto"/>
        </w:rPr>
      </w:pPr>
      <w:r>
        <w:rPr>
          <w:rFonts w:ascii="Courier New" w:cs="Courier New" w:eastAsia="Courier New" w:hAnsi="Courier New"/>
          <w:sz w:val="9"/>
          <w:szCs w:val="9"/>
          <w:color w:val="auto"/>
        </w:rPr>
        <w:t>A</w:t>
      </w:r>
    </w:p>
    <w:p>
      <w:pPr>
        <w:spacing w:after="0" w:line="233" w:lineRule="auto"/>
        <w:rPr>
          <w:sz w:val="20"/>
          <w:szCs w:val="20"/>
          <w:color w:val="auto"/>
        </w:rPr>
      </w:pPr>
      <w:r>
        <w:rPr>
          <w:rFonts w:ascii="Courier New" w:cs="Courier New" w:eastAsia="Courier New" w:hAnsi="Courier New"/>
          <w:sz w:val="9"/>
          <w:szCs w:val="9"/>
          <w:color w:val="auto"/>
        </w:rPr>
        <w:t>recipient of a Performance Share Award may receive shares of Common Stock if the Company achieves pre-established performance goals. The number of shares covered by an</w:t>
      </w:r>
    </w:p>
    <w:p>
      <w:pPr>
        <w:ind w:right="280"/>
        <w:spacing w:after="0" w:line="233" w:lineRule="auto"/>
        <w:rPr>
          <w:sz w:val="20"/>
          <w:szCs w:val="20"/>
          <w:color w:val="auto"/>
        </w:rPr>
      </w:pPr>
      <w:r>
        <w:rPr>
          <w:rFonts w:ascii="Courier New" w:cs="Courier New" w:eastAsia="Courier New" w:hAnsi="Courier New"/>
          <w:sz w:val="9"/>
          <w:szCs w:val="9"/>
          <w:color w:val="auto"/>
        </w:rPr>
        <w:t>award is based on a target dollar value that is a component of total compensation divided by the market value of the Common Stock prior to the time of the award, discounted for projected annual forfeitures. In Fiscal 1999, the Committee granted transitional awards, in order to phase into three year awards under this new plan. For the Fiscal 1999 one year transition period, the Committee established performance goals based on net income and after tax interest expense and corporate average net assets. The Company exceeded the goals and the Committee certified payments to plan participants, including Mr. Melrose and the named executive officers, at 146% of target award amounts. For Fiscal 1999, 26.5% of Mr. Melrose's cash and stock-based compensation (excluding stock option gains) was comprised of payments pursuant to the Performance Share Plan.</w:t>
      </w:r>
    </w:p>
    <w:p>
      <w:pPr>
        <w:spacing w:after="0" w:line="114" w:lineRule="exact"/>
        <w:rPr>
          <w:sz w:val="20"/>
          <w:szCs w:val="20"/>
          <w:color w:val="auto"/>
        </w:rPr>
      </w:pPr>
    </w:p>
    <w:p>
      <w:pPr>
        <w:ind w:left="200"/>
        <w:spacing w:after="0"/>
        <w:rPr>
          <w:sz w:val="20"/>
          <w:szCs w:val="20"/>
          <w:color w:val="auto"/>
        </w:rPr>
      </w:pPr>
      <w:r>
        <w:rPr>
          <w:rFonts w:ascii="Courier New" w:cs="Courier New" w:eastAsia="Courier New" w:hAnsi="Courier New"/>
          <w:sz w:val="9"/>
          <w:szCs w:val="9"/>
          <w:color w:val="auto"/>
        </w:rPr>
        <w:t>The</w:t>
      </w:r>
    </w:p>
    <w:p>
      <w:pPr>
        <w:spacing w:after="0" w:line="233" w:lineRule="auto"/>
        <w:rPr>
          <w:sz w:val="20"/>
          <w:szCs w:val="20"/>
          <w:color w:val="auto"/>
        </w:rPr>
      </w:pPr>
      <w:r>
        <w:rPr>
          <w:rFonts w:ascii="Courier New" w:cs="Courier New" w:eastAsia="Courier New" w:hAnsi="Courier New"/>
          <w:sz w:val="9"/>
          <w:szCs w:val="9"/>
          <w:color w:val="auto"/>
        </w:rPr>
        <w:t>Committee makes stock option grants pursuant to the Company's stock option plans. Options are granted to all key management employees, including Mr. Melrose and the named</w:t>
      </w:r>
    </w:p>
    <w:p>
      <w:pPr>
        <w:ind w:right="160"/>
        <w:spacing w:after="0" w:line="233" w:lineRule="auto"/>
        <w:rPr>
          <w:sz w:val="20"/>
          <w:szCs w:val="20"/>
          <w:color w:val="auto"/>
        </w:rPr>
      </w:pPr>
      <w:r>
        <w:rPr>
          <w:rFonts w:ascii="Courier New" w:cs="Courier New" w:eastAsia="Courier New" w:hAnsi="Courier New"/>
          <w:sz w:val="9"/>
          <w:szCs w:val="9"/>
          <w:color w:val="auto"/>
        </w:rPr>
        <w:t>executive officers, using a target dollar value that is a percentage of target total compensation and a Black-Scholes valuation of the Common Stock. All options granted under the stock option plans have exercise prices that are equal to fair market value at the date of grant. The options granted to Mr. Melrose and the named executive officers in Fiscal 1999 were exercisable immediately</w:t>
      </w:r>
    </w:p>
    <w:p>
      <w:pPr>
        <w:ind w:right="120"/>
        <w:spacing w:after="0" w:line="235" w:lineRule="auto"/>
        <w:rPr>
          <w:sz w:val="20"/>
          <w:szCs w:val="20"/>
          <w:color w:val="auto"/>
        </w:rPr>
      </w:pPr>
      <w:r>
        <w:rPr>
          <w:rFonts w:ascii="Courier New" w:cs="Courier New" w:eastAsia="Courier New" w:hAnsi="Courier New"/>
          <w:sz w:val="9"/>
          <w:szCs w:val="9"/>
          <w:color w:val="auto"/>
        </w:rPr>
        <w:t>after grant and remain exercisable for a period of ten years. Beginning in Fiscal 1999, the Committee changed the exercise period for options granted to executive officers from five to ten years. In Fiscal 1999, the Committee granted Mr. Melrose options to purchase a total of 48,500 shares.</w:t>
      </w:r>
    </w:p>
    <w:p>
      <w:pPr>
        <w:spacing w:after="0" w:line="112" w:lineRule="exact"/>
        <w:rPr>
          <w:sz w:val="20"/>
          <w:szCs w:val="20"/>
          <w:color w:val="auto"/>
        </w:rPr>
      </w:pPr>
    </w:p>
    <w:p>
      <w:pPr>
        <w:ind w:left="200"/>
        <w:spacing w:after="0"/>
        <w:rPr>
          <w:sz w:val="20"/>
          <w:szCs w:val="20"/>
          <w:color w:val="auto"/>
        </w:rPr>
      </w:pPr>
      <w:r>
        <w:rPr>
          <w:rFonts w:ascii="Courier New" w:cs="Courier New" w:eastAsia="Courier New" w:hAnsi="Courier New"/>
          <w:sz w:val="9"/>
          <w:szCs w:val="9"/>
          <w:color w:val="auto"/>
        </w:rPr>
        <w:t>In</w:t>
      </w:r>
    </w:p>
    <w:p>
      <w:pPr>
        <w:spacing w:after="0" w:line="233" w:lineRule="auto"/>
        <w:rPr>
          <w:sz w:val="20"/>
          <w:szCs w:val="20"/>
          <w:color w:val="auto"/>
        </w:rPr>
      </w:pPr>
      <w:r>
        <w:rPr>
          <w:rFonts w:ascii="Courier New" w:cs="Courier New" w:eastAsia="Courier New" w:hAnsi="Courier New"/>
          <w:sz w:val="9"/>
          <w:szCs w:val="9"/>
          <w:color w:val="auto"/>
        </w:rPr>
        <w:t>Fiscal 1995, a special committee of the Committee recommended, and the Board and stockholders approved, a special incentive compensation plan for Mr. Melrose, to encourage</w:t>
      </w:r>
    </w:p>
    <w:p>
      <w:pPr>
        <w:spacing w:after="0" w:line="233" w:lineRule="auto"/>
        <w:rPr>
          <w:sz w:val="20"/>
          <w:szCs w:val="20"/>
          <w:color w:val="auto"/>
        </w:rPr>
      </w:pPr>
      <w:r>
        <w:rPr>
          <w:rFonts w:ascii="Courier New" w:cs="Courier New" w:eastAsia="Courier New" w:hAnsi="Courier New"/>
          <w:sz w:val="9"/>
          <w:szCs w:val="9"/>
          <w:color w:val="auto"/>
        </w:rPr>
        <w:t>him to remain with the Company until his 60th birthday, while assuring the timely development and election of his successor as Chief Executive Officer of the Company. Under the Chief Executive Officer Succession Incentive Award Agreement, the Company awarded Mr. Melrose 17,467 shares of Common Stock and Common Stock performance units having a fair market value of $500,000 on July 31,</w:t>
      </w:r>
    </w:p>
    <w:p>
      <w:pPr>
        <w:spacing w:after="0" w:line="235" w:lineRule="auto"/>
        <w:rPr>
          <w:sz w:val="20"/>
          <w:szCs w:val="20"/>
          <w:color w:val="auto"/>
        </w:rPr>
      </w:pPr>
      <w:r>
        <w:rPr>
          <w:rFonts w:ascii="Courier New" w:cs="Courier New" w:eastAsia="Courier New" w:hAnsi="Courier New"/>
          <w:sz w:val="9"/>
          <w:szCs w:val="9"/>
          <w:color w:val="auto"/>
        </w:rPr>
        <w:t>1995, subject to forfeiture or reduction in the event performance goals related to the development and implementation of a senior management and chief executive officer succession plan were not met by target dates beginning October 31, 1999 and continuing through October 31, 2003.</w:t>
      </w:r>
    </w:p>
    <w:p>
      <w:pPr>
        <w:spacing w:after="0" w:line="112" w:lineRule="exact"/>
        <w:rPr>
          <w:sz w:val="20"/>
          <w:szCs w:val="20"/>
          <w:color w:val="auto"/>
        </w:rPr>
      </w:pPr>
    </w:p>
    <w:p>
      <w:pPr>
        <w:ind w:left="200"/>
        <w:spacing w:after="0"/>
        <w:rPr>
          <w:sz w:val="20"/>
          <w:szCs w:val="20"/>
          <w:color w:val="auto"/>
        </w:rPr>
      </w:pPr>
      <w:r>
        <w:rPr>
          <w:rFonts w:ascii="Courier New" w:cs="Courier New" w:eastAsia="Courier New" w:hAnsi="Courier New"/>
          <w:sz w:val="9"/>
          <w:szCs w:val="9"/>
          <w:color w:val="auto"/>
        </w:rPr>
        <w:t>On</w:t>
      </w:r>
    </w:p>
    <w:p>
      <w:pPr>
        <w:spacing w:after="0" w:line="233" w:lineRule="auto"/>
        <w:rPr>
          <w:sz w:val="20"/>
          <w:szCs w:val="20"/>
          <w:color w:val="auto"/>
        </w:rPr>
      </w:pPr>
      <w:r>
        <w:rPr>
          <w:rFonts w:ascii="Courier New" w:cs="Courier New" w:eastAsia="Courier New" w:hAnsi="Courier New"/>
          <w:sz w:val="9"/>
          <w:szCs w:val="9"/>
          <w:color w:val="auto"/>
        </w:rPr>
        <w:t>December 2, 1999, the Board of Directors certified that Mr. Melrose had achieved Goal 1—timely development of a CEO and senior management succession plan</w:t>
      </w:r>
    </w:p>
    <w:p>
      <w:pPr>
        <w:ind w:right="340"/>
        <w:spacing w:after="0" w:line="234" w:lineRule="auto"/>
        <w:rPr>
          <w:sz w:val="20"/>
          <w:szCs w:val="20"/>
          <w:color w:val="auto"/>
        </w:rPr>
      </w:pPr>
      <w:r>
        <w:rPr>
          <w:rFonts w:ascii="Courier New" w:cs="Courier New" w:eastAsia="Courier New" w:hAnsi="Courier New"/>
          <w:sz w:val="9"/>
          <w:szCs w:val="9"/>
          <w:color w:val="auto"/>
        </w:rPr>
        <w:t>and progress towards fulfillment of the plan. The Committee certified goal achievement and payment to Mr. Melrose of 15% of the shares of restricted stock, having a total value of $88,589. The value of the vested performance units has been accrued and will be used, together with the value of additional performance units that may vest in the future, to purchase a retirement annuity for Mr. Melrose at the time of his retirement conditioned upon his entering into a noncompetition agreement with Toro.</w:t>
      </w:r>
    </w:p>
    <w:p>
      <w:pPr>
        <w:spacing w:after="0" w:line="113" w:lineRule="exact"/>
        <w:rPr>
          <w:sz w:val="20"/>
          <w:szCs w:val="20"/>
          <w:color w:val="auto"/>
        </w:rPr>
      </w:pPr>
    </w:p>
    <w:p>
      <w:pPr>
        <w:ind w:left="200"/>
        <w:spacing w:after="0"/>
        <w:tabs>
          <w:tab w:leader="none" w:pos="1100" w:val="left"/>
        </w:tabs>
        <w:rPr>
          <w:sz w:val="20"/>
          <w:szCs w:val="20"/>
          <w:color w:val="auto"/>
        </w:rPr>
      </w:pPr>
      <w:r>
        <w:rPr>
          <w:rFonts w:ascii="Courier New" w:cs="Courier New" w:eastAsia="Courier New" w:hAnsi="Courier New"/>
          <w:sz w:val="9"/>
          <w:szCs w:val="9"/>
          <w:b w:val="1"/>
          <w:bCs w:val="1"/>
          <w:i w:val="1"/>
          <w:iCs w:val="1"/>
          <w:color w:val="auto"/>
        </w:rPr>
        <w:t>Section 162(m).</w:t>
      </w:r>
      <w:r>
        <w:rPr>
          <w:sz w:val="20"/>
          <w:szCs w:val="20"/>
          <w:color w:val="auto"/>
        </w:rPr>
        <w:tab/>
      </w:r>
      <w:r>
        <w:rPr>
          <w:rFonts w:ascii="Courier New" w:cs="Courier New" w:eastAsia="Courier New" w:hAnsi="Courier New"/>
          <w:sz w:val="9"/>
          <w:szCs w:val="9"/>
          <w:color w:val="auto"/>
        </w:rPr>
        <w:t>In making its decisions about compensation for Mr. Melrose and</w:t>
      </w:r>
    </w:p>
    <w:p>
      <w:pPr>
        <w:ind w:right="1080"/>
        <w:spacing w:after="0" w:line="235" w:lineRule="auto"/>
        <w:rPr>
          <w:sz w:val="20"/>
          <w:szCs w:val="20"/>
          <w:color w:val="auto"/>
        </w:rPr>
      </w:pPr>
      <w:r>
        <w:rPr>
          <w:rFonts w:ascii="Courier New" w:cs="Courier New" w:eastAsia="Courier New" w:hAnsi="Courier New"/>
          <w:sz w:val="9"/>
          <w:szCs w:val="9"/>
          <w:color w:val="auto"/>
        </w:rPr>
        <w:t>other officers likely to be named executive officers, the Committee considers Section 162(m) of the Code, which limits to $1 million per year the compensation expense deduction the Company may take for compensation paid to</w:t>
      </w:r>
    </w:p>
    <w:p>
      <w:pPr>
        <w:spacing w:after="0" w:line="196" w:lineRule="exact"/>
        <w:rPr>
          <w:sz w:val="20"/>
          <w:szCs w:val="20"/>
          <w:color w:val="auto"/>
        </w:rPr>
      </w:pPr>
    </w:p>
    <w:p>
      <w:pPr>
        <w:ind w:right="380"/>
        <w:spacing w:after="0" w:line="234" w:lineRule="auto"/>
        <w:rPr>
          <w:sz w:val="20"/>
          <w:szCs w:val="20"/>
          <w:color w:val="auto"/>
        </w:rPr>
      </w:pPr>
      <w:r>
        <w:rPr>
          <w:rFonts w:ascii="Courier New" w:cs="Courier New" w:eastAsia="Courier New" w:hAnsi="Courier New"/>
          <w:sz w:val="9"/>
          <w:szCs w:val="9"/>
          <w:color w:val="auto"/>
        </w:rPr>
        <w:t>a person who is "highly-compensated" for purposes of the Code, unless the compensation is "performance-based". Although the Company's compensation levels have not historically resulted in total compensation in excess of $1 million for named executive officers other than Mr. Melrose, it is generally the policy of the Company that the components of executive compensation that are inherently performance-based should qualify for exclusion from the deduction limitation under Section 162(m). The Committee believes that annual incentive award payments under the Annual Plan, long term incentive award payments under the Performance Share Plan and stock options currently qualify as performance based.</w:t>
      </w:r>
    </w:p>
    <w:p>
      <w:pPr>
        <w:spacing w:after="0" w:line="112" w:lineRule="exact"/>
        <w:rPr>
          <w:sz w:val="20"/>
          <w:szCs w:val="20"/>
          <w:color w:val="auto"/>
        </w:rPr>
      </w:pPr>
    </w:p>
    <w:p>
      <w:pPr>
        <w:ind w:left="200"/>
        <w:spacing w:after="0"/>
        <w:rPr>
          <w:sz w:val="20"/>
          <w:szCs w:val="20"/>
          <w:color w:val="auto"/>
        </w:rPr>
      </w:pPr>
      <w:r>
        <w:rPr>
          <w:rFonts w:ascii="Courier New" w:cs="Courier New" w:eastAsia="Courier New" w:hAnsi="Courier New"/>
          <w:sz w:val="9"/>
          <w:szCs w:val="9"/>
          <w:color w:val="auto"/>
        </w:rPr>
        <w:t>The</w:t>
      </w:r>
    </w:p>
    <w:p>
      <w:pPr>
        <w:spacing w:after="0" w:line="233" w:lineRule="auto"/>
        <w:rPr>
          <w:sz w:val="20"/>
          <w:szCs w:val="20"/>
          <w:color w:val="auto"/>
        </w:rPr>
      </w:pPr>
      <w:r>
        <w:rPr>
          <w:rFonts w:ascii="Courier New" w:cs="Courier New" w:eastAsia="Courier New" w:hAnsi="Courier New"/>
          <w:sz w:val="9"/>
          <w:szCs w:val="9"/>
          <w:color w:val="auto"/>
        </w:rPr>
        <w:t>Committee believes, however, that while tax deductibility is an important factor, it is not the sole factor to be considered in setting executive compensation policy, and</w:t>
      </w:r>
    </w:p>
    <w:p>
      <w:pPr>
        <w:ind w:right="60"/>
        <w:spacing w:after="0" w:line="235" w:lineRule="auto"/>
        <w:rPr>
          <w:sz w:val="20"/>
          <w:szCs w:val="20"/>
          <w:color w:val="auto"/>
        </w:rPr>
      </w:pPr>
      <w:r>
        <w:rPr>
          <w:rFonts w:ascii="Courier New" w:cs="Courier New" w:eastAsia="Courier New" w:hAnsi="Courier New"/>
          <w:sz w:val="9"/>
          <w:szCs w:val="9"/>
          <w:color w:val="auto"/>
        </w:rPr>
        <w:t>accordingly reserves the right, in appropriate circumstances, to pay amounts in addition to base salary that might not be deductible. The Committee's purpose in doing so is to assure that the Company retains its best executives and remains competitive in the market for executive talent.</w:t>
      </w:r>
    </w:p>
    <w:p>
      <w:pPr>
        <w:spacing w:after="0" w:line="112" w:lineRule="exact"/>
        <w:rPr>
          <w:sz w:val="20"/>
          <w:szCs w:val="20"/>
          <w:color w:val="auto"/>
        </w:rPr>
      </w:pPr>
    </w:p>
    <w:p>
      <w:pPr>
        <w:ind w:left="200"/>
        <w:spacing w:after="0"/>
        <w:rPr>
          <w:sz w:val="20"/>
          <w:szCs w:val="20"/>
          <w:color w:val="auto"/>
        </w:rPr>
      </w:pPr>
      <w:r>
        <w:rPr>
          <w:rFonts w:ascii="Courier New" w:cs="Courier New" w:eastAsia="Courier New" w:hAnsi="Courier New"/>
          <w:sz w:val="9"/>
          <w:szCs w:val="9"/>
          <w:color w:val="auto"/>
        </w:rPr>
        <w:t>If</w:t>
      </w:r>
    </w:p>
    <w:p>
      <w:pPr>
        <w:spacing w:after="0" w:line="233" w:lineRule="auto"/>
        <w:rPr>
          <w:sz w:val="20"/>
          <w:szCs w:val="20"/>
          <w:color w:val="auto"/>
        </w:rPr>
      </w:pPr>
      <w:r>
        <w:rPr>
          <w:rFonts w:ascii="Courier New" w:cs="Courier New" w:eastAsia="Courier New" w:hAnsi="Courier New"/>
          <w:sz w:val="9"/>
          <w:szCs w:val="9"/>
          <w:color w:val="auto"/>
        </w:rPr>
        <w:t>non-performance-based compensation in excess of $1 million should become payable to a person who is "highly-compensated" for purposes of the Code and</w:t>
      </w:r>
    </w:p>
    <w:p>
      <w:pPr>
        <w:ind w:right="120"/>
        <w:spacing w:after="0" w:line="235" w:lineRule="auto"/>
        <w:rPr>
          <w:sz w:val="20"/>
          <w:szCs w:val="20"/>
          <w:color w:val="auto"/>
        </w:rPr>
      </w:pPr>
      <w:r>
        <w:rPr>
          <w:rFonts w:ascii="Courier New" w:cs="Courier New" w:eastAsia="Courier New" w:hAnsi="Courier New"/>
          <w:sz w:val="9"/>
          <w:szCs w:val="9"/>
          <w:color w:val="auto"/>
        </w:rPr>
        <w:t>regulations, the Committee may consider requiring deferral of receipt of any amounts earned in excess of the cap to a tax year following the year in which the individual leaves the employment of the Company.</w:t>
      </w:r>
    </w:p>
    <w:p>
      <w:pPr>
        <w:spacing w:after="0" w:line="114" w:lineRule="exact"/>
        <w:rPr>
          <w:sz w:val="20"/>
          <w:szCs w:val="20"/>
          <w:color w:val="auto"/>
        </w:rPr>
      </w:pPr>
    </w:p>
    <w:p>
      <w:pPr>
        <w:spacing w:after="0"/>
        <w:rPr>
          <w:sz w:val="20"/>
          <w:szCs w:val="20"/>
          <w:color w:val="auto"/>
        </w:rPr>
      </w:pPr>
      <w:r>
        <w:rPr>
          <w:rFonts w:ascii="Courier New" w:cs="Courier New" w:eastAsia="Courier New" w:hAnsi="Courier New"/>
          <w:sz w:val="9"/>
          <w:szCs w:val="9"/>
          <w:b w:val="1"/>
          <w:bCs w:val="1"/>
          <w:color w:val="auto"/>
        </w:rPr>
        <w:t>Stock Ownership Guidelines</w:t>
      </w:r>
    </w:p>
    <w:p>
      <w:pPr>
        <w:spacing w:after="0" w:line="112" w:lineRule="exact"/>
        <w:rPr>
          <w:sz w:val="20"/>
          <w:szCs w:val="20"/>
          <w:color w:val="auto"/>
        </w:rPr>
      </w:pPr>
    </w:p>
    <w:p>
      <w:pPr>
        <w:ind w:left="200"/>
        <w:spacing w:after="0"/>
        <w:rPr>
          <w:sz w:val="20"/>
          <w:szCs w:val="20"/>
          <w:color w:val="auto"/>
        </w:rPr>
      </w:pPr>
      <w:r>
        <w:rPr>
          <w:rFonts w:ascii="Courier New" w:cs="Courier New" w:eastAsia="Courier New" w:hAnsi="Courier New"/>
          <w:sz w:val="9"/>
          <w:szCs w:val="9"/>
          <w:color w:val="auto"/>
        </w:rPr>
        <w:t>In November 1997, the Committee adopted guidelines to encourage accumulation and retention of Toro Common Stock by officers of the Company, ranging from</w:t>
      </w:r>
    </w:p>
    <w:p>
      <w:pPr>
        <w:spacing w:after="0" w:line="235" w:lineRule="auto"/>
        <w:rPr>
          <w:sz w:val="20"/>
          <w:szCs w:val="20"/>
          <w:color w:val="auto"/>
        </w:rPr>
      </w:pPr>
      <w:r>
        <w:rPr>
          <w:rFonts w:ascii="Courier New" w:cs="Courier New" w:eastAsia="Courier New" w:hAnsi="Courier New"/>
          <w:sz w:val="9"/>
          <w:szCs w:val="9"/>
          <w:color w:val="auto"/>
        </w:rPr>
        <w:t>a goal of five times base salary for the Chief Executive Officer to two or three times for other corporate officers. The recommended time period for reaching the guideline is five years. Most officers have achieved established guidelines. The Committee will continue to review compliance with the policy on an annual basis.</w:t>
      </w:r>
    </w:p>
    <w:p>
      <w:pPr>
        <w:spacing w:after="0" w:line="114" w:lineRule="exact"/>
        <w:rPr>
          <w:sz w:val="20"/>
          <w:szCs w:val="20"/>
          <w:color w:val="auto"/>
        </w:rPr>
      </w:pPr>
    </w:p>
    <w:p>
      <w:pPr>
        <w:spacing w:after="0"/>
        <w:rPr>
          <w:sz w:val="20"/>
          <w:szCs w:val="20"/>
          <w:color w:val="auto"/>
        </w:rPr>
      </w:pPr>
      <w:r>
        <w:rPr>
          <w:rFonts w:ascii="Courier New" w:cs="Courier New" w:eastAsia="Courier New" w:hAnsi="Courier New"/>
          <w:sz w:val="9"/>
          <w:szCs w:val="9"/>
          <w:b w:val="1"/>
          <w:bCs w:val="1"/>
          <w:color w:val="auto"/>
        </w:rPr>
        <w:t>Approval of Incentive Plans</w:t>
      </w:r>
    </w:p>
    <w:p>
      <w:pPr>
        <w:spacing w:after="0" w:line="112" w:lineRule="exact"/>
        <w:rPr>
          <w:sz w:val="20"/>
          <w:szCs w:val="20"/>
          <w:color w:val="auto"/>
        </w:rPr>
      </w:pPr>
    </w:p>
    <w:p>
      <w:pPr>
        <w:ind w:left="200"/>
        <w:spacing w:after="0"/>
        <w:rPr>
          <w:sz w:val="20"/>
          <w:szCs w:val="20"/>
          <w:color w:val="auto"/>
        </w:rPr>
      </w:pPr>
      <w:r>
        <w:rPr>
          <w:rFonts w:ascii="Courier New" w:cs="Courier New" w:eastAsia="Courier New" w:hAnsi="Courier New"/>
          <w:sz w:val="9"/>
          <w:szCs w:val="9"/>
          <w:color w:val="auto"/>
        </w:rPr>
        <w:t>All of the recommendations of the Committee with respect to compensation attributable to Fiscal 1999 were approved and adopted by the Board of Directors. In</w:t>
      </w:r>
    </w:p>
    <w:p>
      <w:pPr>
        <w:ind w:right="880"/>
        <w:spacing w:after="0" w:line="235" w:lineRule="auto"/>
        <w:rPr>
          <w:sz w:val="20"/>
          <w:szCs w:val="20"/>
          <w:color w:val="auto"/>
        </w:rPr>
      </w:pPr>
      <w:r>
        <w:rPr>
          <w:rFonts w:ascii="Courier New" w:cs="Courier New" w:eastAsia="Courier New" w:hAnsi="Courier New"/>
          <w:sz w:val="9"/>
          <w:szCs w:val="9"/>
          <w:color w:val="auto"/>
        </w:rPr>
        <w:t>accordance with the Company's past practice under Section 16 of the Securities Exchange Act of 1934 and Section 162(m), decisions regarding the grant of stock options and certain other awards continue to be made by the Committee and reported to and ratified by the Board.</w:t>
      </w:r>
    </w:p>
    <w:p>
      <w:pPr>
        <w:spacing w:after="0" w:line="114" w:lineRule="exact"/>
        <w:rPr>
          <w:sz w:val="20"/>
          <w:szCs w:val="20"/>
          <w:color w:val="auto"/>
        </w:rPr>
      </w:pPr>
    </w:p>
    <w:p>
      <w:pPr>
        <w:spacing w:after="0"/>
        <w:rPr>
          <w:sz w:val="20"/>
          <w:szCs w:val="20"/>
          <w:color w:val="auto"/>
        </w:rPr>
      </w:pPr>
      <w:r>
        <w:rPr>
          <w:rFonts w:ascii="Courier New" w:cs="Courier New" w:eastAsia="Courier New" w:hAnsi="Courier New"/>
          <w:sz w:val="9"/>
          <w:szCs w:val="9"/>
          <w:b w:val="1"/>
          <w:bCs w:val="1"/>
          <w:color w:val="auto"/>
        </w:rPr>
        <w:t>Comparison of Five Year Total Return Among</w:t>
      </w:r>
    </w:p>
    <w:p>
      <w:pPr>
        <w:spacing w:after="0" w:line="130"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The Toro Company, S&amp;P 500, and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-60325</wp:posOffset>
            </wp:positionV>
            <wp:extent cx="5234940" cy="628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234940" cy="6286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01"/>
        </w:trPr>
        <w:tc>
          <w:tcPr>
            <w:tcW w:w="3300" w:type="dxa"/>
            <w:vAlign w:val="bottom"/>
          </w:tcPr>
          <w:p>
            <w:pPr>
              <w:spacing w:after="0"/>
              <w:rPr>
                <w:sz w:val="8"/>
                <w:szCs w:val="8"/>
                <w:color w:val="auto"/>
              </w:rPr>
            </w:pPr>
          </w:p>
        </w:tc>
        <w:tc>
          <w:tcPr>
            <w:tcW w:w="2700" w:type="dxa"/>
            <w:vAlign w:val="bottom"/>
          </w:tcPr>
          <w:p>
            <w:pPr>
              <w:jc w:val="right"/>
              <w:ind w:right="395"/>
              <w:spacing w:after="0"/>
              <w:rPr>
                <w:sz w:val="20"/>
                <w:szCs w:val="20"/>
                <w:color w:val="auto"/>
              </w:rPr>
            </w:pPr>
            <w:r>
              <w:rPr>
                <w:rFonts w:ascii="Courier New" w:cs="Courier New" w:eastAsia="Courier New" w:hAnsi="Courier New"/>
                <w:sz w:val="9"/>
                <w:szCs w:val="9"/>
                <w:color w:val="auto"/>
              </w:rPr>
              <w:t>The Toro Co</w:t>
            </w:r>
          </w:p>
        </w:tc>
        <w:tc>
          <w:tcPr>
            <w:tcW w:w="1420" w:type="dxa"/>
            <w:vAlign w:val="bottom"/>
          </w:tcPr>
          <w:p>
            <w:pPr>
              <w:jc w:val="right"/>
              <w:ind w:right="395"/>
              <w:spacing w:after="0"/>
              <w:rPr>
                <w:sz w:val="20"/>
                <w:szCs w:val="20"/>
                <w:color w:val="auto"/>
              </w:rPr>
            </w:pPr>
            <w:r>
              <w:rPr>
                <w:rFonts w:ascii="Courier New" w:cs="Courier New" w:eastAsia="Courier New" w:hAnsi="Courier New"/>
                <w:sz w:val="9"/>
                <w:szCs w:val="9"/>
                <w:color w:val="auto"/>
              </w:rPr>
              <w:t>Peer Group</w:t>
            </w:r>
          </w:p>
        </w:tc>
        <w:tc>
          <w:tcPr>
            <w:tcW w:w="820" w:type="dxa"/>
            <w:vAlign w:val="bottom"/>
          </w:tcPr>
          <w:p>
            <w:pPr>
              <w:jc w:val="right"/>
              <w:spacing w:after="0"/>
              <w:rPr>
                <w:sz w:val="20"/>
                <w:szCs w:val="20"/>
                <w:color w:val="auto"/>
              </w:rPr>
            </w:pPr>
            <w:r>
              <w:rPr>
                <w:rFonts w:ascii="Courier New" w:cs="Courier New" w:eastAsia="Courier New" w:hAnsi="Courier New"/>
                <w:sz w:val="9"/>
                <w:szCs w:val="9"/>
                <w:color w:val="auto"/>
              </w:rPr>
              <w:t>S&amp;P 500</w:t>
            </w:r>
          </w:p>
        </w:tc>
      </w:tr>
      <w:tr>
        <w:trPr>
          <w:trHeight w:val="99"/>
        </w:trPr>
        <w:tc>
          <w:tcPr>
            <w:tcW w:w="3300" w:type="dxa"/>
            <w:vAlign w:val="bottom"/>
            <w:shd w:val="clear" w:color="auto" w:fill="CCEEFF"/>
          </w:tcPr>
          <w:p>
            <w:pPr>
              <w:spacing w:after="0" w:line="100" w:lineRule="exact"/>
              <w:rPr>
                <w:sz w:val="20"/>
                <w:szCs w:val="20"/>
                <w:color w:val="auto"/>
              </w:rPr>
            </w:pPr>
            <w:r>
              <w:rPr>
                <w:rFonts w:ascii="Courier New" w:cs="Courier New" w:eastAsia="Courier New" w:hAnsi="Courier New"/>
                <w:sz w:val="9"/>
                <w:szCs w:val="9"/>
                <w:color w:val="auto"/>
              </w:rPr>
              <w:t>1994</w:t>
            </w:r>
          </w:p>
        </w:tc>
        <w:tc>
          <w:tcPr>
            <w:tcW w:w="2700" w:type="dxa"/>
            <w:vAlign w:val="bottom"/>
            <w:shd w:val="clear" w:color="auto" w:fill="CCEEFF"/>
          </w:tcPr>
          <w:p>
            <w:pPr>
              <w:jc w:val="right"/>
              <w:ind w:right="395"/>
              <w:spacing w:after="0" w:line="100" w:lineRule="exact"/>
              <w:rPr>
                <w:sz w:val="20"/>
                <w:szCs w:val="20"/>
                <w:color w:val="auto"/>
              </w:rPr>
            </w:pPr>
            <w:r>
              <w:rPr>
                <w:rFonts w:ascii="Courier New" w:cs="Courier New" w:eastAsia="Courier New" w:hAnsi="Courier New"/>
                <w:sz w:val="9"/>
                <w:szCs w:val="9"/>
                <w:color w:val="auto"/>
              </w:rPr>
              <w:t>$100</w:t>
            </w:r>
          </w:p>
        </w:tc>
        <w:tc>
          <w:tcPr>
            <w:tcW w:w="1420" w:type="dxa"/>
            <w:vAlign w:val="bottom"/>
            <w:shd w:val="clear" w:color="auto" w:fill="CCEEFF"/>
          </w:tcPr>
          <w:p>
            <w:pPr>
              <w:jc w:val="right"/>
              <w:ind w:right="395"/>
              <w:spacing w:after="0" w:line="100" w:lineRule="exact"/>
              <w:rPr>
                <w:sz w:val="20"/>
                <w:szCs w:val="20"/>
                <w:color w:val="auto"/>
              </w:rPr>
            </w:pPr>
            <w:r>
              <w:rPr>
                <w:rFonts w:ascii="Courier New" w:cs="Courier New" w:eastAsia="Courier New" w:hAnsi="Courier New"/>
                <w:sz w:val="9"/>
                <w:szCs w:val="9"/>
                <w:color w:val="auto"/>
              </w:rPr>
              <w:t>$100</w:t>
            </w:r>
          </w:p>
        </w:tc>
        <w:tc>
          <w:tcPr>
            <w:tcW w:w="820" w:type="dxa"/>
            <w:vAlign w:val="bottom"/>
            <w:shd w:val="clear" w:color="auto" w:fill="CCEEFF"/>
          </w:tcPr>
          <w:p>
            <w:pPr>
              <w:jc w:val="right"/>
              <w:spacing w:after="0" w:line="100" w:lineRule="exact"/>
              <w:rPr>
                <w:sz w:val="20"/>
                <w:szCs w:val="20"/>
                <w:color w:val="auto"/>
              </w:rPr>
            </w:pPr>
            <w:r>
              <w:rPr>
                <w:rFonts w:ascii="Courier New" w:cs="Courier New" w:eastAsia="Courier New" w:hAnsi="Courier New"/>
                <w:sz w:val="9"/>
                <w:szCs w:val="9"/>
                <w:color w:val="auto"/>
              </w:rPr>
              <w:t>$100</w:t>
            </w:r>
          </w:p>
        </w:tc>
      </w:tr>
      <w:tr>
        <w:trPr>
          <w:trHeight w:val="99"/>
        </w:trPr>
        <w:tc>
          <w:tcPr>
            <w:tcW w:w="3300" w:type="dxa"/>
            <w:vAlign w:val="bottom"/>
          </w:tcPr>
          <w:p>
            <w:pPr>
              <w:spacing w:after="0" w:line="99" w:lineRule="exact"/>
              <w:rPr>
                <w:sz w:val="20"/>
                <w:szCs w:val="20"/>
                <w:color w:val="auto"/>
              </w:rPr>
            </w:pPr>
            <w:r>
              <w:rPr>
                <w:rFonts w:ascii="Courier New" w:cs="Courier New" w:eastAsia="Courier New" w:hAnsi="Courier New"/>
                <w:sz w:val="9"/>
                <w:szCs w:val="9"/>
                <w:color w:val="auto"/>
              </w:rPr>
              <w:t>1995</w:t>
            </w:r>
          </w:p>
        </w:tc>
        <w:tc>
          <w:tcPr>
            <w:tcW w:w="2700" w:type="dxa"/>
            <w:vAlign w:val="bottom"/>
          </w:tcPr>
          <w:p>
            <w:pPr>
              <w:jc w:val="right"/>
              <w:ind w:right="395"/>
              <w:spacing w:after="0" w:line="99" w:lineRule="exact"/>
              <w:rPr>
                <w:sz w:val="20"/>
                <w:szCs w:val="20"/>
                <w:color w:val="auto"/>
              </w:rPr>
            </w:pPr>
            <w:r>
              <w:rPr>
                <w:rFonts w:ascii="Courier New" w:cs="Courier New" w:eastAsia="Courier New" w:hAnsi="Courier New"/>
                <w:sz w:val="9"/>
                <w:szCs w:val="9"/>
                <w:color w:val="auto"/>
              </w:rPr>
              <w:t>$106</w:t>
            </w:r>
          </w:p>
        </w:tc>
        <w:tc>
          <w:tcPr>
            <w:tcW w:w="1420" w:type="dxa"/>
            <w:vAlign w:val="bottom"/>
          </w:tcPr>
          <w:p>
            <w:pPr>
              <w:jc w:val="right"/>
              <w:ind w:right="395"/>
              <w:spacing w:after="0" w:line="99" w:lineRule="exact"/>
              <w:rPr>
                <w:sz w:val="20"/>
                <w:szCs w:val="20"/>
                <w:color w:val="auto"/>
              </w:rPr>
            </w:pPr>
            <w:r>
              <w:rPr>
                <w:rFonts w:ascii="Courier New" w:cs="Courier New" w:eastAsia="Courier New" w:hAnsi="Courier New"/>
                <w:sz w:val="9"/>
                <w:szCs w:val="9"/>
                <w:color w:val="auto"/>
              </w:rPr>
              <w:t>$111</w:t>
            </w:r>
          </w:p>
        </w:tc>
        <w:tc>
          <w:tcPr>
            <w:tcW w:w="820" w:type="dxa"/>
            <w:vAlign w:val="bottom"/>
          </w:tcPr>
          <w:p>
            <w:pPr>
              <w:jc w:val="right"/>
              <w:spacing w:after="0" w:line="99" w:lineRule="exact"/>
              <w:rPr>
                <w:sz w:val="20"/>
                <w:szCs w:val="20"/>
                <w:color w:val="auto"/>
              </w:rPr>
            </w:pPr>
            <w:r>
              <w:rPr>
                <w:rFonts w:ascii="Courier New" w:cs="Courier New" w:eastAsia="Courier New" w:hAnsi="Courier New"/>
                <w:sz w:val="9"/>
                <w:szCs w:val="9"/>
                <w:color w:val="auto"/>
              </w:rPr>
              <w:t>$126</w:t>
            </w:r>
          </w:p>
        </w:tc>
      </w:tr>
      <w:tr>
        <w:trPr>
          <w:trHeight w:val="99"/>
        </w:trPr>
        <w:tc>
          <w:tcPr>
            <w:tcW w:w="3300" w:type="dxa"/>
            <w:vAlign w:val="bottom"/>
            <w:shd w:val="clear" w:color="auto" w:fill="CCEEFF"/>
          </w:tcPr>
          <w:p>
            <w:pPr>
              <w:spacing w:after="0" w:line="99" w:lineRule="exact"/>
              <w:rPr>
                <w:sz w:val="20"/>
                <w:szCs w:val="20"/>
                <w:color w:val="auto"/>
              </w:rPr>
            </w:pPr>
            <w:r>
              <w:rPr>
                <w:rFonts w:ascii="Courier New" w:cs="Courier New" w:eastAsia="Courier New" w:hAnsi="Courier New"/>
                <w:sz w:val="9"/>
                <w:szCs w:val="9"/>
                <w:color w:val="auto"/>
              </w:rPr>
              <w:t>1996</w:t>
            </w:r>
          </w:p>
        </w:tc>
        <w:tc>
          <w:tcPr>
            <w:tcW w:w="2700" w:type="dxa"/>
            <w:vAlign w:val="bottom"/>
            <w:shd w:val="clear" w:color="auto" w:fill="CCEEFF"/>
          </w:tcPr>
          <w:p>
            <w:pPr>
              <w:jc w:val="right"/>
              <w:ind w:right="395"/>
              <w:spacing w:after="0" w:line="99" w:lineRule="exact"/>
              <w:rPr>
                <w:sz w:val="20"/>
                <w:szCs w:val="20"/>
                <w:color w:val="auto"/>
              </w:rPr>
            </w:pPr>
            <w:r>
              <w:rPr>
                <w:rFonts w:ascii="Courier New" w:cs="Courier New" w:eastAsia="Courier New" w:hAnsi="Courier New"/>
                <w:sz w:val="9"/>
                <w:szCs w:val="9"/>
                <w:color w:val="auto"/>
              </w:rPr>
              <w:t>$117</w:t>
            </w:r>
          </w:p>
        </w:tc>
        <w:tc>
          <w:tcPr>
            <w:tcW w:w="1420" w:type="dxa"/>
            <w:vAlign w:val="bottom"/>
            <w:shd w:val="clear" w:color="auto" w:fill="CCEEFF"/>
          </w:tcPr>
          <w:p>
            <w:pPr>
              <w:jc w:val="right"/>
              <w:ind w:right="395"/>
              <w:spacing w:after="0" w:line="99" w:lineRule="exact"/>
              <w:rPr>
                <w:sz w:val="20"/>
                <w:szCs w:val="20"/>
                <w:color w:val="auto"/>
              </w:rPr>
            </w:pPr>
            <w:r>
              <w:rPr>
                <w:rFonts w:ascii="Courier New" w:cs="Courier New" w:eastAsia="Courier New" w:hAnsi="Courier New"/>
                <w:sz w:val="9"/>
                <w:szCs w:val="9"/>
                <w:color w:val="auto"/>
              </w:rPr>
              <w:t>$139</w:t>
            </w:r>
          </w:p>
        </w:tc>
        <w:tc>
          <w:tcPr>
            <w:tcW w:w="820" w:type="dxa"/>
            <w:vAlign w:val="bottom"/>
            <w:shd w:val="clear" w:color="auto" w:fill="CCEEFF"/>
          </w:tcPr>
          <w:p>
            <w:pPr>
              <w:jc w:val="right"/>
              <w:spacing w:after="0" w:line="99" w:lineRule="exact"/>
              <w:rPr>
                <w:sz w:val="20"/>
                <w:szCs w:val="20"/>
                <w:color w:val="auto"/>
              </w:rPr>
            </w:pPr>
            <w:r>
              <w:rPr>
                <w:rFonts w:ascii="Courier New" w:cs="Courier New" w:eastAsia="Courier New" w:hAnsi="Courier New"/>
                <w:sz w:val="9"/>
                <w:szCs w:val="9"/>
                <w:color w:val="auto"/>
              </w:rPr>
              <w:t>$157</w:t>
            </w:r>
          </w:p>
        </w:tc>
      </w:tr>
      <w:tr>
        <w:trPr>
          <w:trHeight w:val="99"/>
        </w:trPr>
        <w:tc>
          <w:tcPr>
            <w:tcW w:w="3300" w:type="dxa"/>
            <w:vAlign w:val="bottom"/>
          </w:tcPr>
          <w:p>
            <w:pPr>
              <w:spacing w:after="0" w:line="99" w:lineRule="exact"/>
              <w:rPr>
                <w:sz w:val="20"/>
                <w:szCs w:val="20"/>
                <w:color w:val="auto"/>
              </w:rPr>
            </w:pPr>
            <w:r>
              <w:rPr>
                <w:rFonts w:ascii="Courier New" w:cs="Courier New" w:eastAsia="Courier New" w:hAnsi="Courier New"/>
                <w:sz w:val="9"/>
                <w:szCs w:val="9"/>
                <w:color w:val="auto"/>
              </w:rPr>
              <w:t>1997</w:t>
            </w:r>
          </w:p>
        </w:tc>
        <w:tc>
          <w:tcPr>
            <w:tcW w:w="2700" w:type="dxa"/>
            <w:vAlign w:val="bottom"/>
          </w:tcPr>
          <w:p>
            <w:pPr>
              <w:jc w:val="right"/>
              <w:ind w:right="395"/>
              <w:spacing w:after="0" w:line="99" w:lineRule="exact"/>
              <w:rPr>
                <w:sz w:val="20"/>
                <w:szCs w:val="20"/>
                <w:color w:val="auto"/>
              </w:rPr>
            </w:pPr>
            <w:r>
              <w:rPr>
                <w:rFonts w:ascii="Courier New" w:cs="Courier New" w:eastAsia="Courier New" w:hAnsi="Courier New"/>
                <w:sz w:val="9"/>
                <w:szCs w:val="9"/>
                <w:color w:val="auto"/>
              </w:rPr>
              <w:t>$161</w:t>
            </w:r>
          </w:p>
        </w:tc>
        <w:tc>
          <w:tcPr>
            <w:tcW w:w="1420" w:type="dxa"/>
            <w:vAlign w:val="bottom"/>
          </w:tcPr>
          <w:p>
            <w:pPr>
              <w:jc w:val="right"/>
              <w:ind w:right="395"/>
              <w:spacing w:after="0" w:line="99" w:lineRule="exact"/>
              <w:rPr>
                <w:sz w:val="20"/>
                <w:szCs w:val="20"/>
                <w:color w:val="auto"/>
              </w:rPr>
            </w:pPr>
            <w:r>
              <w:rPr>
                <w:rFonts w:ascii="Courier New" w:cs="Courier New" w:eastAsia="Courier New" w:hAnsi="Courier New"/>
                <w:sz w:val="9"/>
                <w:szCs w:val="9"/>
                <w:color w:val="auto"/>
              </w:rPr>
              <w:t>$193</w:t>
            </w:r>
          </w:p>
        </w:tc>
        <w:tc>
          <w:tcPr>
            <w:tcW w:w="820" w:type="dxa"/>
            <w:vAlign w:val="bottom"/>
          </w:tcPr>
          <w:p>
            <w:pPr>
              <w:jc w:val="right"/>
              <w:spacing w:after="0" w:line="99" w:lineRule="exact"/>
              <w:rPr>
                <w:sz w:val="20"/>
                <w:szCs w:val="20"/>
                <w:color w:val="auto"/>
              </w:rPr>
            </w:pPr>
            <w:r>
              <w:rPr>
                <w:rFonts w:ascii="Courier New" w:cs="Courier New" w:eastAsia="Courier New" w:hAnsi="Courier New"/>
                <w:sz w:val="9"/>
                <w:szCs w:val="9"/>
                <w:color w:val="auto"/>
              </w:rPr>
              <w:t>$207</w:t>
            </w:r>
          </w:p>
        </w:tc>
      </w:tr>
      <w:tr>
        <w:trPr>
          <w:trHeight w:val="99"/>
        </w:trPr>
        <w:tc>
          <w:tcPr>
            <w:tcW w:w="3300" w:type="dxa"/>
            <w:vAlign w:val="bottom"/>
            <w:shd w:val="clear" w:color="auto" w:fill="CCEEFF"/>
          </w:tcPr>
          <w:p>
            <w:pPr>
              <w:spacing w:after="0" w:line="99" w:lineRule="exact"/>
              <w:rPr>
                <w:sz w:val="20"/>
                <w:szCs w:val="20"/>
                <w:color w:val="auto"/>
              </w:rPr>
            </w:pPr>
            <w:r>
              <w:rPr>
                <w:rFonts w:ascii="Courier New" w:cs="Courier New" w:eastAsia="Courier New" w:hAnsi="Courier New"/>
                <w:sz w:val="9"/>
                <w:szCs w:val="9"/>
                <w:color w:val="auto"/>
              </w:rPr>
              <w:t>1998</w:t>
            </w:r>
          </w:p>
        </w:tc>
        <w:tc>
          <w:tcPr>
            <w:tcW w:w="2700" w:type="dxa"/>
            <w:vAlign w:val="bottom"/>
            <w:shd w:val="clear" w:color="auto" w:fill="CCEEFF"/>
          </w:tcPr>
          <w:p>
            <w:pPr>
              <w:jc w:val="right"/>
              <w:ind w:right="395"/>
              <w:spacing w:after="0" w:line="99" w:lineRule="exact"/>
              <w:rPr>
                <w:sz w:val="20"/>
                <w:szCs w:val="20"/>
                <w:color w:val="auto"/>
              </w:rPr>
            </w:pPr>
            <w:r>
              <w:rPr>
                <w:rFonts w:ascii="Courier New" w:cs="Courier New" w:eastAsia="Courier New" w:hAnsi="Courier New"/>
                <w:sz w:val="9"/>
                <w:szCs w:val="9"/>
                <w:color w:val="auto"/>
              </w:rPr>
              <w:t>$85</w:t>
            </w:r>
          </w:p>
        </w:tc>
        <w:tc>
          <w:tcPr>
            <w:tcW w:w="1420" w:type="dxa"/>
            <w:vAlign w:val="bottom"/>
            <w:shd w:val="clear" w:color="auto" w:fill="CCEEFF"/>
          </w:tcPr>
          <w:p>
            <w:pPr>
              <w:jc w:val="right"/>
              <w:ind w:right="395"/>
              <w:spacing w:after="0" w:line="99" w:lineRule="exact"/>
              <w:rPr>
                <w:sz w:val="20"/>
                <w:szCs w:val="20"/>
                <w:color w:val="auto"/>
              </w:rPr>
            </w:pPr>
            <w:r>
              <w:rPr>
                <w:rFonts w:ascii="Courier New" w:cs="Courier New" w:eastAsia="Courier New" w:hAnsi="Courier New"/>
                <w:sz w:val="9"/>
                <w:szCs w:val="9"/>
                <w:color w:val="auto"/>
              </w:rPr>
              <w:t>$153</w:t>
            </w:r>
          </w:p>
        </w:tc>
        <w:tc>
          <w:tcPr>
            <w:tcW w:w="820" w:type="dxa"/>
            <w:vAlign w:val="bottom"/>
            <w:shd w:val="clear" w:color="auto" w:fill="CCEEFF"/>
          </w:tcPr>
          <w:p>
            <w:pPr>
              <w:jc w:val="right"/>
              <w:spacing w:after="0" w:line="99" w:lineRule="exact"/>
              <w:rPr>
                <w:sz w:val="20"/>
                <w:szCs w:val="20"/>
                <w:color w:val="auto"/>
              </w:rPr>
            </w:pPr>
            <w:r>
              <w:rPr>
                <w:rFonts w:ascii="Courier New" w:cs="Courier New" w:eastAsia="Courier New" w:hAnsi="Courier New"/>
                <w:sz w:val="9"/>
                <w:szCs w:val="9"/>
                <w:color w:val="auto"/>
              </w:rPr>
              <w:t>$253</w:t>
            </w:r>
          </w:p>
        </w:tc>
      </w:tr>
      <w:tr>
        <w:trPr>
          <w:trHeight w:val="99"/>
        </w:trPr>
        <w:tc>
          <w:tcPr>
            <w:tcW w:w="3300" w:type="dxa"/>
            <w:vAlign w:val="bottom"/>
          </w:tcPr>
          <w:p>
            <w:pPr>
              <w:spacing w:after="0" w:line="99" w:lineRule="exact"/>
              <w:rPr>
                <w:sz w:val="20"/>
                <w:szCs w:val="20"/>
                <w:color w:val="auto"/>
              </w:rPr>
            </w:pPr>
            <w:r>
              <w:rPr>
                <w:rFonts w:ascii="Courier New" w:cs="Courier New" w:eastAsia="Courier New" w:hAnsi="Courier New"/>
                <w:sz w:val="9"/>
                <w:szCs w:val="9"/>
                <w:color w:val="auto"/>
              </w:rPr>
              <w:t>1999</w:t>
            </w:r>
          </w:p>
        </w:tc>
        <w:tc>
          <w:tcPr>
            <w:tcW w:w="2700" w:type="dxa"/>
            <w:vAlign w:val="bottom"/>
          </w:tcPr>
          <w:p>
            <w:pPr>
              <w:jc w:val="right"/>
              <w:ind w:right="395"/>
              <w:spacing w:after="0" w:line="99" w:lineRule="exact"/>
              <w:rPr>
                <w:sz w:val="20"/>
                <w:szCs w:val="20"/>
                <w:color w:val="auto"/>
              </w:rPr>
            </w:pPr>
            <w:r>
              <w:rPr>
                <w:rFonts w:ascii="Courier New" w:cs="Courier New" w:eastAsia="Courier New" w:hAnsi="Courier New"/>
                <w:sz w:val="9"/>
                <w:szCs w:val="9"/>
                <w:color w:val="auto"/>
              </w:rPr>
              <w:t>$139</w:t>
            </w:r>
          </w:p>
        </w:tc>
        <w:tc>
          <w:tcPr>
            <w:tcW w:w="1420" w:type="dxa"/>
            <w:vAlign w:val="bottom"/>
          </w:tcPr>
          <w:p>
            <w:pPr>
              <w:jc w:val="right"/>
              <w:ind w:right="395"/>
              <w:spacing w:after="0" w:line="99" w:lineRule="exact"/>
              <w:rPr>
                <w:sz w:val="20"/>
                <w:szCs w:val="20"/>
                <w:color w:val="auto"/>
              </w:rPr>
            </w:pPr>
            <w:r>
              <w:rPr>
                <w:rFonts w:ascii="Courier New" w:cs="Courier New" w:eastAsia="Courier New" w:hAnsi="Courier New"/>
                <w:sz w:val="9"/>
                <w:szCs w:val="9"/>
                <w:color w:val="auto"/>
              </w:rPr>
              <w:t>$178</w:t>
            </w:r>
          </w:p>
        </w:tc>
        <w:tc>
          <w:tcPr>
            <w:tcW w:w="820" w:type="dxa"/>
            <w:vAlign w:val="bottom"/>
          </w:tcPr>
          <w:p>
            <w:pPr>
              <w:jc w:val="right"/>
              <w:spacing w:after="0" w:line="99" w:lineRule="exact"/>
              <w:rPr>
                <w:sz w:val="20"/>
                <w:szCs w:val="20"/>
                <w:color w:val="auto"/>
              </w:rPr>
            </w:pPr>
            <w:r>
              <w:rPr>
                <w:rFonts w:ascii="Courier New" w:cs="Courier New" w:eastAsia="Courier New" w:hAnsi="Courier New"/>
                <w:sz w:val="9"/>
                <w:szCs w:val="9"/>
                <w:color w:val="auto"/>
              </w:rPr>
              <w:t>$299</w:t>
            </w:r>
          </w:p>
        </w:tc>
      </w:tr>
      <w:tr>
        <w:trPr>
          <w:trHeight w:val="99"/>
        </w:trPr>
        <w:tc>
          <w:tcPr>
            <w:tcW w:w="3300" w:type="dxa"/>
            <w:vAlign w:val="bottom"/>
            <w:shd w:val="clear" w:color="auto" w:fill="CCEEFF"/>
          </w:tcPr>
          <w:p>
            <w:pPr>
              <w:spacing w:after="0" w:line="99" w:lineRule="exact"/>
              <w:rPr>
                <w:sz w:val="20"/>
                <w:szCs w:val="20"/>
                <w:color w:val="auto"/>
              </w:rPr>
            </w:pPr>
            <w:r>
              <w:rPr>
                <w:rFonts w:ascii="Courier New" w:cs="Courier New" w:eastAsia="Courier New" w:hAnsi="Courier New"/>
                <w:sz w:val="9"/>
                <w:szCs w:val="9"/>
                <w:color w:val="auto"/>
              </w:rPr>
              <w:t>Fiscal Year Ending October 31,</w:t>
            </w:r>
          </w:p>
        </w:tc>
        <w:tc>
          <w:tcPr>
            <w:tcW w:w="2700" w:type="dxa"/>
            <w:vAlign w:val="bottom"/>
            <w:shd w:val="clear" w:color="auto" w:fill="CCEEFF"/>
          </w:tcPr>
          <w:p>
            <w:pPr>
              <w:spacing w:after="0"/>
              <w:rPr>
                <w:sz w:val="8"/>
                <w:szCs w:val="8"/>
                <w:color w:val="auto"/>
              </w:rPr>
            </w:pPr>
          </w:p>
        </w:tc>
        <w:tc>
          <w:tcPr>
            <w:tcW w:w="142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4020"/>
        <w:spacing w:after="0"/>
        <w:rPr>
          <w:sz w:val="20"/>
          <w:szCs w:val="20"/>
          <w:color w:val="auto"/>
        </w:rPr>
      </w:pPr>
      <w:r>
        <w:rPr>
          <w:rFonts w:ascii="Courier New" w:cs="Courier New" w:eastAsia="Courier New" w:hAnsi="Courier New"/>
          <w:sz w:val="9"/>
          <w:szCs w:val="9"/>
          <w:b w:val="1"/>
          <w:bCs w:val="1"/>
          <w:color w:val="auto"/>
        </w:rPr>
        <w:t>COMPENSATION COMMITTEE INTERLOCKS AND INSIDER PARTICIPATION</w:t>
      </w:r>
    </w:p>
    <w:p>
      <w:pPr>
        <w:spacing w:after="0" w:line="112" w:lineRule="exact"/>
        <w:rPr>
          <w:sz w:val="20"/>
          <w:szCs w:val="20"/>
          <w:color w:val="auto"/>
        </w:rPr>
      </w:pPr>
    </w:p>
    <w:p>
      <w:pPr>
        <w:ind w:left="200"/>
        <w:spacing w:after="0"/>
        <w:rPr>
          <w:sz w:val="20"/>
          <w:szCs w:val="20"/>
          <w:color w:val="auto"/>
        </w:rPr>
      </w:pPr>
      <w:r>
        <w:rPr>
          <w:rFonts w:ascii="Courier New" w:cs="Courier New" w:eastAsia="Courier New" w:hAnsi="Courier New"/>
          <w:sz w:val="9"/>
          <w:szCs w:val="9"/>
          <w:color w:val="auto"/>
        </w:rPr>
        <w:t>The members of the Compensation Committee are Dale R. Olseth, Chair, Ronald O. Baukol, Janet K. Cooper, Alex A. Meyer, Robert H. Nassau and Christopher</w:t>
      </w:r>
    </w:p>
    <w:p>
      <w:pPr>
        <w:ind w:right="600"/>
        <w:spacing w:after="0" w:line="234" w:lineRule="auto"/>
        <w:rPr>
          <w:sz w:val="20"/>
          <w:szCs w:val="20"/>
          <w:color w:val="auto"/>
        </w:rPr>
      </w:pPr>
      <w:r>
        <w:rPr>
          <w:rFonts w:ascii="Courier New" w:cs="Courier New" w:eastAsia="Courier New" w:hAnsi="Courier New"/>
          <w:sz w:val="9"/>
          <w:szCs w:val="9"/>
          <w:color w:val="auto"/>
        </w:rPr>
        <w:t>A. Twomey. None of these directors is or has been an officer or employee of the Company. Although Mr. Melrose is not a member of the Committee, he attends the meetings for the purpose of providing continuity and detailed information about employees and compensation plans. Mr. Melrose does not participate in any option grant or incentive award decision or any decision of the Committee that might affect him personally.</w:t>
      </w:r>
    </w:p>
    <w:p>
      <w:pPr>
        <w:spacing w:after="0" w:line="113" w:lineRule="exact"/>
        <w:rPr>
          <w:sz w:val="20"/>
          <w:szCs w:val="20"/>
          <w:color w:val="auto"/>
        </w:rPr>
      </w:pPr>
    </w:p>
    <w:p>
      <w:pPr>
        <w:ind w:left="200"/>
        <w:spacing w:after="0"/>
        <w:rPr>
          <w:sz w:val="20"/>
          <w:szCs w:val="20"/>
          <w:color w:val="auto"/>
        </w:rPr>
      </w:pPr>
      <w:r>
        <w:rPr>
          <w:rFonts w:ascii="Courier New" w:cs="Courier New" w:eastAsia="Courier New" w:hAnsi="Courier New"/>
          <w:sz w:val="9"/>
          <w:szCs w:val="9"/>
          <w:color w:val="auto"/>
        </w:rPr>
        <w:t>Mr. Melrose</w:t>
      </w:r>
    </w:p>
    <w:p>
      <w:pPr>
        <w:spacing w:after="0" w:line="233" w:lineRule="auto"/>
        <w:rPr>
          <w:sz w:val="20"/>
          <w:szCs w:val="20"/>
          <w:color w:val="auto"/>
        </w:rPr>
      </w:pPr>
      <w:r>
        <w:rPr>
          <w:rFonts w:ascii="Courier New" w:cs="Courier New" w:eastAsia="Courier New" w:hAnsi="Courier New"/>
          <w:sz w:val="9"/>
          <w:szCs w:val="9"/>
          <w:color w:val="auto"/>
        </w:rPr>
        <w:t>serves on the Board of Directors and Compensation Committee of SurModics, Inc., of which Mr. Olseth serves as chairman and chief executive officer.</w:t>
      </w:r>
    </w:p>
    <w:p>
      <w:pPr>
        <w:spacing w:after="0"/>
        <w:rPr>
          <w:sz w:val="20"/>
          <w:szCs w:val="20"/>
          <w:color w:val="auto"/>
        </w:rPr>
      </w:pPr>
      <w:r>
        <w:rPr>
          <w:rFonts w:ascii="Courier New" w:cs="Courier New" w:eastAsia="Courier New" w:hAnsi="Courier New"/>
          <w:sz w:val="9"/>
          <w:szCs w:val="9"/>
          <w:color w:val="auto"/>
        </w:rPr>
        <w:t>Mr. Olseth serves on the Toro Board of Directors and is Chair of the Compensation Committee of the Company.</w:t>
      </w:r>
    </w:p>
    <w:p>
      <w:pPr>
        <w:spacing w:after="0" w:line="363" w:lineRule="exact"/>
        <w:rPr>
          <w:sz w:val="20"/>
          <w:szCs w:val="20"/>
          <w:color w:val="auto"/>
        </w:rPr>
      </w:pPr>
    </w:p>
    <w:p>
      <w:pPr>
        <w:jc w:val="center"/>
        <w:ind w:right="-559"/>
        <w:spacing w:after="0"/>
        <w:rPr>
          <w:sz w:val="20"/>
          <w:szCs w:val="20"/>
          <w:color w:val="auto"/>
        </w:rPr>
      </w:pPr>
      <w:r>
        <w:rPr>
          <w:rFonts w:ascii="Courier New" w:cs="Courier New" w:eastAsia="Courier New" w:hAnsi="Courier New"/>
          <w:sz w:val="9"/>
          <w:szCs w:val="9"/>
          <w:b w:val="1"/>
          <w:bCs w:val="1"/>
          <w:color w:val="auto"/>
        </w:rPr>
        <w:t>PROPOSAL TWO</w:t>
      </w:r>
    </w:p>
    <w:p>
      <w:pPr>
        <w:jc w:val="center"/>
        <w:ind w:right="-439"/>
        <w:spacing w:after="0"/>
        <w:rPr>
          <w:sz w:val="20"/>
          <w:szCs w:val="20"/>
          <w:color w:val="auto"/>
        </w:rPr>
      </w:pPr>
      <w:r>
        <w:rPr>
          <w:rFonts w:ascii="Courier New" w:cs="Courier New" w:eastAsia="Courier New" w:hAnsi="Courier New"/>
          <w:sz w:val="9"/>
          <w:szCs w:val="9"/>
          <w:b w:val="1"/>
          <w:bCs w:val="1"/>
          <w:color w:val="auto"/>
        </w:rPr>
        <w:t>AMENDMENT OF THE TORO COMPANY ANNUAL MANAGEMENT INCENTIVE PLAN II</w:t>
      </w:r>
    </w:p>
    <w:p>
      <w:pPr>
        <w:spacing w:after="0" w:line="111" w:lineRule="exact"/>
        <w:rPr>
          <w:sz w:val="20"/>
          <w:szCs w:val="20"/>
          <w:color w:val="auto"/>
        </w:rPr>
      </w:pPr>
    </w:p>
    <w:p>
      <w:pPr>
        <w:ind w:left="200"/>
        <w:spacing w:after="0"/>
        <w:rPr>
          <w:sz w:val="20"/>
          <w:szCs w:val="20"/>
          <w:color w:val="auto"/>
        </w:rPr>
      </w:pPr>
      <w:r>
        <w:rPr>
          <w:rFonts w:ascii="Courier New" w:cs="Courier New" w:eastAsia="Courier New" w:hAnsi="Courier New"/>
          <w:sz w:val="9"/>
          <w:szCs w:val="9"/>
          <w:color w:val="auto"/>
        </w:rPr>
        <w:t>At its December 2, 1999 meeting, the Compensation Committee recommended, and the Board of Directors adopted, further amendments to the Annual Plan,</w:t>
      </w:r>
    </w:p>
    <w:p>
      <w:pPr>
        <w:ind w:right="160"/>
        <w:spacing w:after="0" w:line="235" w:lineRule="auto"/>
        <w:rPr>
          <w:sz w:val="20"/>
          <w:szCs w:val="20"/>
          <w:color w:val="auto"/>
        </w:rPr>
      </w:pPr>
      <w:r>
        <w:rPr>
          <w:rFonts w:ascii="Courier New" w:cs="Courier New" w:eastAsia="Courier New" w:hAnsi="Courier New"/>
          <w:sz w:val="9"/>
          <w:szCs w:val="9"/>
          <w:color w:val="auto"/>
        </w:rPr>
        <w:t>including additional performance goals that are intended to be used to align an executive's total compensation even more closely with the Company's financial performance, by increasing management's focus on effective use of assets and on customer satisfaction. The amendments are also intended to improve the quality of the Company's earnings.</w:t>
      </w:r>
    </w:p>
    <w:p>
      <w:pPr>
        <w:sectPr>
          <w:pgSz w:w="11900" w:h="16838" w:orient="portrait"/>
          <w:cols w:equalWidth="0" w:num="1">
            <w:col w:w="10800"/>
          </w:cols>
          <w:pgMar w:left="300" w:top="136" w:right="799" w:bottom="0" w:gutter="0" w:footer="0" w:header="0"/>
        </w:sectPr>
      </w:pPr>
    </w:p>
    <w:bookmarkStart w:id="7" w:name="page8"/>
    <w:bookmarkEnd w:id="7"/>
    <w:p>
      <w:pPr>
        <w:ind w:left="200"/>
        <w:spacing w:after="0"/>
        <w:rPr>
          <w:sz w:val="20"/>
          <w:szCs w:val="20"/>
          <w:color w:val="auto"/>
        </w:rPr>
      </w:pPr>
      <w:r>
        <w:rPr>
          <w:rFonts w:ascii="Courier New" w:cs="Courier New" w:eastAsia="Courier New" w:hAnsi="Courier New"/>
          <w:sz w:val="9"/>
          <w:szCs w:val="9"/>
          <w:color w:val="auto"/>
        </w:rPr>
        <w:t>The</w:t>
      </w:r>
    </w:p>
    <w:p>
      <w:pPr>
        <w:spacing w:after="0" w:line="233" w:lineRule="auto"/>
        <w:rPr>
          <w:sz w:val="20"/>
          <w:szCs w:val="20"/>
          <w:color w:val="auto"/>
        </w:rPr>
      </w:pPr>
      <w:r>
        <w:rPr>
          <w:rFonts w:ascii="Courier New" w:cs="Courier New" w:eastAsia="Courier New" w:hAnsi="Courier New"/>
          <w:sz w:val="9"/>
          <w:szCs w:val="9"/>
          <w:color w:val="auto"/>
        </w:rPr>
        <w:t>new performance goals are average current asset turns, average net asset turns, return on average total assets, return on average current assets, average inventory asset turns,</w:t>
      </w:r>
    </w:p>
    <w:p>
      <w:pPr>
        <w:ind w:right="160"/>
        <w:spacing w:after="0" w:line="233" w:lineRule="auto"/>
        <w:rPr>
          <w:sz w:val="20"/>
          <w:szCs w:val="20"/>
          <w:color w:val="auto"/>
        </w:rPr>
      </w:pPr>
      <w:r>
        <w:rPr>
          <w:rFonts w:ascii="Courier New" w:cs="Courier New" w:eastAsia="Courier New" w:hAnsi="Courier New"/>
          <w:sz w:val="9"/>
          <w:szCs w:val="9"/>
          <w:color w:val="auto"/>
        </w:rPr>
        <w:t>controllable value added, revenue, cost of goods sold, customer satisfaction scores, customer care, fill rate, product innovation and asset management. Stockholders are being asked to consider and approve these additional financial performance goals to ensure that payments made under the Annual Plan continue to qualify as "performance-based" for purposes of Section 162(m) of the Code and in order to satisfy New York Stock Exchange guidelines relating to equity compensation for officers. Controllable value added is a measure of economic value added on a divisional basis, without an allocation for corporate overhead. Economic value added was previously approved as a performance goal by Toro stockholders. It measures after tax return on total invested capital, and is derived by taking earnings from operations plus other income, net of other expenses, adjusted by the effective tax rate, less the Company's tax adjusted target cost of invested capital. The target cost of invested capital is based on Toro's blended cost of attracting and retaining debt and equity.</w:t>
      </w:r>
    </w:p>
    <w:p>
      <w:pPr>
        <w:spacing w:after="0" w:line="114" w:lineRule="exact"/>
        <w:rPr>
          <w:sz w:val="20"/>
          <w:szCs w:val="20"/>
          <w:color w:val="auto"/>
        </w:rPr>
      </w:pPr>
    </w:p>
    <w:p>
      <w:pPr>
        <w:ind w:left="200"/>
        <w:spacing w:after="0"/>
        <w:rPr>
          <w:sz w:val="20"/>
          <w:szCs w:val="20"/>
          <w:color w:val="auto"/>
        </w:rPr>
      </w:pPr>
      <w:r>
        <w:rPr>
          <w:rFonts w:ascii="Courier New" w:cs="Courier New" w:eastAsia="Courier New" w:hAnsi="Courier New"/>
          <w:sz w:val="9"/>
          <w:szCs w:val="9"/>
          <w:color w:val="auto"/>
        </w:rPr>
        <w:t>These</w:t>
      </w:r>
    </w:p>
    <w:p>
      <w:pPr>
        <w:spacing w:after="0" w:line="233" w:lineRule="auto"/>
        <w:rPr>
          <w:sz w:val="20"/>
          <w:szCs w:val="20"/>
          <w:color w:val="auto"/>
        </w:rPr>
      </w:pPr>
      <w:r>
        <w:rPr>
          <w:rFonts w:ascii="Courier New" w:cs="Courier New" w:eastAsia="Courier New" w:hAnsi="Courier New"/>
          <w:sz w:val="9"/>
          <w:szCs w:val="9"/>
          <w:color w:val="auto"/>
        </w:rPr>
        <w:t>goals, and others previously approved by stockholders, may be used by the Compensation Committee in establishing required levels of achievement on a corporate, division or</w:t>
      </w:r>
    </w:p>
    <w:p>
      <w:pPr>
        <w:spacing w:after="0" w:line="233" w:lineRule="auto"/>
        <w:rPr>
          <w:sz w:val="20"/>
          <w:szCs w:val="20"/>
          <w:color w:val="auto"/>
        </w:rPr>
      </w:pPr>
      <w:r>
        <w:rPr>
          <w:rFonts w:ascii="Courier New" w:cs="Courier New" w:eastAsia="Courier New" w:hAnsi="Courier New"/>
          <w:sz w:val="9"/>
          <w:szCs w:val="9"/>
          <w:color w:val="auto"/>
        </w:rPr>
        <w:t>individual basis, as the Committee determines to be appropriate. Average net asset turns on a corporate basis is the average monthly net assets for a year divided by cost of goods sold. Net assets equals consolidated assets less consolidated liabilities plus consolidated long and short term debt. Average current asset turns as applicable on a division basis is the average monthly current assets for the year divided by divisional cost of goods sold. Current assets equals cash, inventory, receivables, prepaids and other current assets, excluding deferred income taxes. Average inventory asset turns is a measure of the number of times inventory is sold and replaced each year, calculated by taking average monthly inventory for a year divided by cost of goods sold. Customer care is a measure of customer feedback related to product quality, experience, price or services. Decisions by the Committee regarding achievement of customer care goals may be based on qualitative or quantitative factors.</w:t>
      </w:r>
    </w:p>
    <w:p>
      <w:pPr>
        <w:spacing w:after="0" w:line="114" w:lineRule="exact"/>
        <w:rPr>
          <w:sz w:val="20"/>
          <w:szCs w:val="20"/>
          <w:color w:val="auto"/>
        </w:rPr>
      </w:pPr>
    </w:p>
    <w:p>
      <w:pPr>
        <w:ind w:left="200"/>
        <w:spacing w:after="0"/>
        <w:rPr>
          <w:sz w:val="20"/>
          <w:szCs w:val="20"/>
          <w:color w:val="auto"/>
        </w:rPr>
      </w:pPr>
      <w:r>
        <w:rPr>
          <w:rFonts w:ascii="Courier New" w:cs="Courier New" w:eastAsia="Courier New" w:hAnsi="Courier New"/>
          <w:sz w:val="9"/>
          <w:szCs w:val="9"/>
          <w:color w:val="auto"/>
        </w:rPr>
        <w:t>The</w:t>
      </w:r>
    </w:p>
    <w:p>
      <w:pPr>
        <w:spacing w:after="0"/>
        <w:rPr>
          <w:sz w:val="20"/>
          <w:szCs w:val="20"/>
          <w:color w:val="auto"/>
        </w:rPr>
      </w:pPr>
      <w:r>
        <w:rPr>
          <w:rFonts w:ascii="Courier New" w:cs="Courier New" w:eastAsia="Courier New" w:hAnsi="Courier New"/>
          <w:sz w:val="9"/>
          <w:szCs w:val="9"/>
          <w:color w:val="auto"/>
        </w:rPr>
        <w:t>Annual Plan was originally approved by stockholders in March 1996 and was again approved as amended at annual meetings in 1997, 1998 and 1999.</w:t>
      </w:r>
    </w:p>
    <w:p>
      <w:pPr>
        <w:spacing w:after="0" w:line="111" w:lineRule="exact"/>
        <w:rPr>
          <w:sz w:val="20"/>
          <w:szCs w:val="20"/>
          <w:color w:val="auto"/>
        </w:rPr>
      </w:pPr>
    </w:p>
    <w:p>
      <w:pPr>
        <w:ind w:left="200"/>
        <w:spacing w:after="0"/>
        <w:rPr>
          <w:sz w:val="20"/>
          <w:szCs w:val="20"/>
          <w:color w:val="auto"/>
        </w:rPr>
      </w:pPr>
      <w:r>
        <w:rPr>
          <w:rFonts w:ascii="Courier New" w:cs="Courier New" w:eastAsia="Courier New" w:hAnsi="Courier New"/>
          <w:sz w:val="9"/>
          <w:szCs w:val="9"/>
          <w:color w:val="auto"/>
        </w:rPr>
        <w:t>If</w:t>
      </w:r>
    </w:p>
    <w:p>
      <w:pPr>
        <w:ind w:right="1080"/>
        <w:spacing w:after="0" w:line="235" w:lineRule="auto"/>
        <w:rPr>
          <w:sz w:val="20"/>
          <w:szCs w:val="20"/>
          <w:color w:val="auto"/>
        </w:rPr>
      </w:pPr>
      <w:r>
        <w:rPr>
          <w:rFonts w:ascii="Courier New" w:cs="Courier New" w:eastAsia="Courier New" w:hAnsi="Courier New"/>
          <w:sz w:val="9"/>
          <w:szCs w:val="9"/>
          <w:color w:val="auto"/>
        </w:rPr>
        <w:t>stockholder approval of the performance goal amendments is not obtained, the Compensation Committee will reconsider the amendments as they apply to compensation that may be paid to any person</w:t>
      </w:r>
    </w:p>
    <w:p>
      <w:pPr>
        <w:spacing w:after="0" w:line="96"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referred to in Section 162(m), and the Annual Plan as previously approved by stockholders will continue in effect as to such persons.</w:t>
      </w:r>
    </w:p>
    <w:p>
      <w:pPr>
        <w:spacing w:after="0" w:line="112" w:lineRule="exact"/>
        <w:rPr>
          <w:sz w:val="20"/>
          <w:szCs w:val="20"/>
          <w:color w:val="auto"/>
        </w:rPr>
      </w:pPr>
    </w:p>
    <w:p>
      <w:pPr>
        <w:ind w:left="200"/>
        <w:spacing w:after="0"/>
        <w:rPr>
          <w:sz w:val="20"/>
          <w:szCs w:val="20"/>
          <w:color w:val="auto"/>
        </w:rPr>
      </w:pPr>
      <w:r>
        <w:rPr>
          <w:rFonts w:ascii="Courier New" w:cs="Courier New" w:eastAsia="Courier New" w:hAnsi="Courier New"/>
          <w:sz w:val="9"/>
          <w:szCs w:val="9"/>
          <w:color w:val="auto"/>
        </w:rPr>
        <w:t>Following</w:t>
      </w:r>
    </w:p>
    <w:p>
      <w:pPr>
        <w:spacing w:after="0"/>
        <w:rPr>
          <w:sz w:val="20"/>
          <w:szCs w:val="20"/>
          <w:color w:val="auto"/>
        </w:rPr>
      </w:pPr>
      <w:r>
        <w:rPr>
          <w:rFonts w:ascii="Courier New" w:cs="Courier New" w:eastAsia="Courier New" w:hAnsi="Courier New"/>
          <w:sz w:val="9"/>
          <w:szCs w:val="9"/>
          <w:color w:val="auto"/>
        </w:rPr>
        <w:t>is a description of the more important features of the Annual Plan as amended.</w:t>
      </w:r>
    </w:p>
    <w:p>
      <w:pPr>
        <w:spacing w:after="0" w:line="113" w:lineRule="exact"/>
        <w:rPr>
          <w:sz w:val="20"/>
          <w:szCs w:val="20"/>
          <w:color w:val="auto"/>
        </w:rPr>
      </w:pPr>
    </w:p>
    <w:p>
      <w:pPr>
        <w:spacing w:after="0"/>
        <w:rPr>
          <w:sz w:val="20"/>
          <w:szCs w:val="20"/>
          <w:color w:val="auto"/>
        </w:rPr>
      </w:pPr>
      <w:r>
        <w:rPr>
          <w:rFonts w:ascii="Courier New" w:cs="Courier New" w:eastAsia="Courier New" w:hAnsi="Courier New"/>
          <w:sz w:val="9"/>
          <w:szCs w:val="9"/>
          <w:b w:val="1"/>
          <w:bCs w:val="1"/>
          <w:color w:val="auto"/>
        </w:rPr>
        <w:t>Description of the Annual Plan</w:t>
      </w:r>
    </w:p>
    <w:p>
      <w:pPr>
        <w:spacing w:after="0" w:line="112" w:lineRule="exact"/>
        <w:rPr>
          <w:sz w:val="20"/>
          <w:szCs w:val="20"/>
          <w:color w:val="auto"/>
        </w:rPr>
      </w:pPr>
    </w:p>
    <w:p>
      <w:pPr>
        <w:ind w:left="200"/>
        <w:spacing w:after="0"/>
        <w:tabs>
          <w:tab w:leader="none" w:pos="720" w:val="left"/>
        </w:tabs>
        <w:rPr>
          <w:sz w:val="20"/>
          <w:szCs w:val="20"/>
          <w:color w:val="auto"/>
        </w:rPr>
      </w:pPr>
      <w:r>
        <w:rPr>
          <w:rFonts w:ascii="Courier New" w:cs="Courier New" w:eastAsia="Courier New" w:hAnsi="Courier New"/>
          <w:sz w:val="9"/>
          <w:szCs w:val="9"/>
          <w:b w:val="1"/>
          <w:bCs w:val="1"/>
          <w:i w:val="1"/>
          <w:iCs w:val="1"/>
          <w:color w:val="auto"/>
        </w:rPr>
        <w:t>Purpose.</w:t>
      </w:r>
      <w:r>
        <w:rPr>
          <w:sz w:val="20"/>
          <w:szCs w:val="20"/>
          <w:color w:val="auto"/>
        </w:rPr>
        <w:tab/>
      </w:r>
      <w:r>
        <w:rPr>
          <w:rFonts w:ascii="Courier New" w:cs="Courier New" w:eastAsia="Courier New" w:hAnsi="Courier New"/>
          <w:sz w:val="9"/>
          <w:szCs w:val="9"/>
          <w:color w:val="auto"/>
        </w:rPr>
        <w:t>The purpose of the Annual Plan is to enhance stockholder value by providing</w:t>
      </w:r>
    </w:p>
    <w:p>
      <w:pPr>
        <w:spacing w:after="0" w:line="234" w:lineRule="auto"/>
        <w:rPr>
          <w:sz w:val="20"/>
          <w:szCs w:val="20"/>
          <w:color w:val="auto"/>
        </w:rPr>
      </w:pPr>
      <w:r>
        <w:rPr>
          <w:rFonts w:ascii="Courier New" w:cs="Courier New" w:eastAsia="Courier New" w:hAnsi="Courier New"/>
          <w:sz w:val="9"/>
          <w:szCs w:val="9"/>
          <w:color w:val="auto"/>
        </w:rPr>
        <w:t>participants an annual incentive to reinforce achievement of the Company's performance goals; to link a significant portion of a participating officer's compensation to the achievement by the Company, and in certain cases, a division or an individual, of performance goals; to attract, motivate and retain officers on a competitive basis; and to encourage selected officers of the Company for whom stock ownership goals have been established to acquire and retain Common Stock. See the Compensation Committee Report for information on stock ownership guidelines.</w:t>
      </w:r>
    </w:p>
    <w:p>
      <w:pPr>
        <w:spacing w:after="0" w:line="113" w:lineRule="exact"/>
        <w:rPr>
          <w:sz w:val="20"/>
          <w:szCs w:val="20"/>
          <w:color w:val="auto"/>
        </w:rPr>
      </w:pPr>
    </w:p>
    <w:p>
      <w:pPr>
        <w:ind w:left="200"/>
        <w:spacing w:after="0"/>
        <w:tabs>
          <w:tab w:leader="none" w:pos="1920" w:val="left"/>
        </w:tabs>
        <w:rPr>
          <w:sz w:val="20"/>
          <w:szCs w:val="20"/>
          <w:color w:val="auto"/>
        </w:rPr>
      </w:pPr>
      <w:r>
        <w:rPr>
          <w:rFonts w:ascii="Courier New" w:cs="Courier New" w:eastAsia="Courier New" w:hAnsi="Courier New"/>
          <w:sz w:val="9"/>
          <w:szCs w:val="9"/>
          <w:b w:val="1"/>
          <w:bCs w:val="1"/>
          <w:i w:val="1"/>
          <w:iCs w:val="1"/>
          <w:color w:val="auto"/>
        </w:rPr>
        <w:t>Eligibility and Participation.</w:t>
      </w:r>
      <w:r>
        <w:rPr>
          <w:sz w:val="20"/>
          <w:szCs w:val="20"/>
          <w:color w:val="auto"/>
        </w:rPr>
        <w:tab/>
      </w:r>
      <w:r>
        <w:rPr>
          <w:rFonts w:ascii="Courier New" w:cs="Courier New" w:eastAsia="Courier New" w:hAnsi="Courier New"/>
          <w:sz w:val="8"/>
          <w:szCs w:val="8"/>
          <w:color w:val="auto"/>
        </w:rPr>
        <w:t>Participation is limited to officers of the Company, including</w:t>
      </w:r>
    </w:p>
    <w:p>
      <w:pPr>
        <w:jc w:val="both"/>
        <w:ind w:right="280"/>
        <w:spacing w:after="0" w:line="234" w:lineRule="auto"/>
        <w:rPr>
          <w:sz w:val="20"/>
          <w:szCs w:val="20"/>
          <w:color w:val="auto"/>
        </w:rPr>
      </w:pPr>
      <w:r>
        <w:rPr>
          <w:rFonts w:ascii="Courier New" w:cs="Courier New" w:eastAsia="Courier New" w:hAnsi="Courier New"/>
          <w:sz w:val="9"/>
          <w:szCs w:val="9"/>
          <w:color w:val="auto"/>
        </w:rPr>
        <w:t>executive officers, who through their position or performance, can have a significant, positive impact on the Company's financial results, as determined by the Compensation Committee. The Company maintains a separate annual bonus plan for key employees who are not officers. Approximately 12 individuals, including the Company's Chief Executive Officer and the named executive officers, are expected to receive awards under the Annual Plan each year.</w:t>
      </w:r>
    </w:p>
    <w:p>
      <w:pPr>
        <w:spacing w:after="0" w:line="113" w:lineRule="exact"/>
        <w:rPr>
          <w:sz w:val="20"/>
          <w:szCs w:val="20"/>
          <w:color w:val="auto"/>
        </w:rPr>
      </w:pPr>
    </w:p>
    <w:p>
      <w:pPr>
        <w:ind w:left="200"/>
        <w:spacing w:after="0"/>
        <w:tabs>
          <w:tab w:leader="none" w:pos="1060" w:val="left"/>
        </w:tabs>
        <w:rPr>
          <w:sz w:val="20"/>
          <w:szCs w:val="20"/>
          <w:color w:val="auto"/>
        </w:rPr>
      </w:pPr>
      <w:r>
        <w:rPr>
          <w:rFonts w:ascii="Courier New" w:cs="Courier New" w:eastAsia="Courier New" w:hAnsi="Courier New"/>
          <w:sz w:val="9"/>
          <w:szCs w:val="9"/>
          <w:b w:val="1"/>
          <w:bCs w:val="1"/>
          <w:i w:val="1"/>
          <w:iCs w:val="1"/>
          <w:color w:val="auto"/>
        </w:rPr>
        <w:t>Award Amounts.</w:t>
      </w:r>
      <w:r>
        <w:rPr>
          <w:sz w:val="20"/>
          <w:szCs w:val="20"/>
          <w:color w:val="auto"/>
        </w:rPr>
        <w:tab/>
      </w:r>
      <w:r>
        <w:rPr>
          <w:rFonts w:ascii="Courier New" w:cs="Courier New" w:eastAsia="Courier New" w:hAnsi="Courier New"/>
          <w:sz w:val="8"/>
          <w:szCs w:val="8"/>
          <w:color w:val="auto"/>
        </w:rPr>
        <w:t>The target payout for an Annual Performance Award is based on a percentage of a</w:t>
      </w:r>
    </w:p>
    <w:p>
      <w:pPr>
        <w:ind w:right="120"/>
        <w:spacing w:after="0" w:line="235" w:lineRule="auto"/>
        <w:rPr>
          <w:sz w:val="20"/>
          <w:szCs w:val="20"/>
          <w:color w:val="auto"/>
        </w:rPr>
      </w:pPr>
      <w:r>
        <w:rPr>
          <w:rFonts w:ascii="Courier New" w:cs="Courier New" w:eastAsia="Courier New" w:hAnsi="Courier New"/>
          <w:sz w:val="9"/>
          <w:szCs w:val="9"/>
          <w:color w:val="auto"/>
        </w:rPr>
        <w:t>plan participant's annual base salary ("participation factor"), which is intended to reflect the participant's level of responsibility. Participation factors are up to 60% for the Chairman and Chief Executive Officer, up to 55% for the President and Chief Operating Officer, up to 50% for other elected officers and up to 45% for appointed officers.</w:t>
      </w:r>
    </w:p>
    <w:p>
      <w:pPr>
        <w:spacing w:after="0" w:line="112" w:lineRule="exact"/>
        <w:rPr>
          <w:sz w:val="20"/>
          <w:szCs w:val="20"/>
          <w:color w:val="auto"/>
        </w:rPr>
      </w:pPr>
    </w:p>
    <w:p>
      <w:pPr>
        <w:ind w:left="200"/>
        <w:spacing w:after="0"/>
        <w:rPr>
          <w:sz w:val="20"/>
          <w:szCs w:val="20"/>
          <w:color w:val="auto"/>
        </w:rPr>
      </w:pPr>
      <w:r>
        <w:rPr>
          <w:rFonts w:ascii="Courier New" w:cs="Courier New" w:eastAsia="Courier New" w:hAnsi="Courier New"/>
          <w:sz w:val="9"/>
          <w:szCs w:val="9"/>
          <w:color w:val="auto"/>
        </w:rPr>
        <w:t>The</w:t>
      </w:r>
    </w:p>
    <w:p>
      <w:pPr>
        <w:spacing w:after="0" w:line="233" w:lineRule="auto"/>
        <w:rPr>
          <w:sz w:val="20"/>
          <w:szCs w:val="20"/>
          <w:color w:val="auto"/>
        </w:rPr>
      </w:pPr>
      <w:r>
        <w:rPr>
          <w:rFonts w:ascii="Courier New" w:cs="Courier New" w:eastAsia="Courier New" w:hAnsi="Courier New"/>
          <w:sz w:val="9"/>
          <w:szCs w:val="9"/>
          <w:color w:val="auto"/>
        </w:rPr>
        <w:t>target payout can be earned only if performance goals are achieved at levels established in advance by the Compensation Committee. The Committee may establish maximum payouts of</w:t>
      </w:r>
    </w:p>
    <w:p>
      <w:pPr>
        <w:ind w:right="60"/>
        <w:spacing w:after="0" w:line="234" w:lineRule="auto"/>
        <w:rPr>
          <w:sz w:val="20"/>
          <w:szCs w:val="20"/>
          <w:color w:val="auto"/>
        </w:rPr>
      </w:pPr>
      <w:r>
        <w:rPr>
          <w:rFonts w:ascii="Courier New" w:cs="Courier New" w:eastAsia="Courier New" w:hAnsi="Courier New"/>
          <w:sz w:val="9"/>
          <w:szCs w:val="9"/>
          <w:color w:val="auto"/>
        </w:rPr>
        <w:t>up to 200% of target payouts in the event goals are exceeded in amounts established by the Committee. At the time an award is made, the Committee may establish additional individual performance goals ("SPM Performance Goals"). If an SPM Performance Goal is achieved, an award payment may be increased by up to 20% of the award payment that would otherwise be made with respect to Performance Goal achievement, but to not more than 200% of the target payout. If these goals are not achieved, award payments may be reduced.</w:t>
      </w:r>
    </w:p>
    <w:p>
      <w:pPr>
        <w:spacing w:after="0" w:line="113" w:lineRule="exact"/>
        <w:rPr>
          <w:sz w:val="20"/>
          <w:szCs w:val="20"/>
          <w:color w:val="auto"/>
        </w:rPr>
      </w:pPr>
    </w:p>
    <w:p>
      <w:pPr>
        <w:ind w:left="200"/>
        <w:spacing w:after="0"/>
        <w:tabs>
          <w:tab w:leader="none" w:pos="1260" w:val="left"/>
        </w:tabs>
        <w:rPr>
          <w:sz w:val="20"/>
          <w:szCs w:val="20"/>
          <w:color w:val="auto"/>
        </w:rPr>
      </w:pPr>
      <w:r>
        <w:rPr>
          <w:rFonts w:ascii="Courier New" w:cs="Courier New" w:eastAsia="Courier New" w:hAnsi="Courier New"/>
          <w:sz w:val="9"/>
          <w:szCs w:val="9"/>
          <w:b w:val="1"/>
          <w:bCs w:val="1"/>
          <w:i w:val="1"/>
          <w:iCs w:val="1"/>
          <w:color w:val="auto"/>
        </w:rPr>
        <w:t>Performance Goals.</w:t>
      </w:r>
      <w:r>
        <w:rPr>
          <w:sz w:val="20"/>
          <w:szCs w:val="20"/>
          <w:color w:val="auto"/>
        </w:rPr>
        <w:tab/>
      </w:r>
      <w:r>
        <w:rPr>
          <w:rFonts w:ascii="Courier New" w:cs="Courier New" w:eastAsia="Courier New" w:hAnsi="Courier New"/>
          <w:sz w:val="9"/>
          <w:szCs w:val="9"/>
          <w:color w:val="auto"/>
        </w:rPr>
        <w:t>An award payment under an Annual Performance Award will be paid only upon</w:t>
      </w:r>
    </w:p>
    <w:p>
      <w:pPr>
        <w:spacing w:after="0"/>
        <w:rPr>
          <w:sz w:val="20"/>
          <w:szCs w:val="20"/>
          <w:color w:val="auto"/>
        </w:rPr>
      </w:pPr>
      <w:r>
        <w:rPr>
          <w:rFonts w:ascii="Courier New" w:cs="Courier New" w:eastAsia="Courier New" w:hAnsi="Courier New"/>
          <w:sz w:val="9"/>
          <w:szCs w:val="9"/>
          <w:color w:val="auto"/>
        </w:rPr>
        <w:t>the achievement of performance goals established by the Compensation Committee in writing not later than 90 days after the beginning of the fiscal year to which the performance goals relate.</w:t>
      </w:r>
    </w:p>
    <w:p>
      <w:pPr>
        <w:spacing w:after="0" w:line="111" w:lineRule="exact"/>
        <w:rPr>
          <w:sz w:val="20"/>
          <w:szCs w:val="20"/>
          <w:color w:val="auto"/>
        </w:rPr>
      </w:pPr>
    </w:p>
    <w:p>
      <w:pPr>
        <w:ind w:left="200"/>
        <w:spacing w:after="0"/>
        <w:rPr>
          <w:sz w:val="20"/>
          <w:szCs w:val="20"/>
          <w:color w:val="auto"/>
        </w:rPr>
      </w:pPr>
      <w:r>
        <w:rPr>
          <w:rFonts w:ascii="Courier New" w:cs="Courier New" w:eastAsia="Courier New" w:hAnsi="Courier New"/>
          <w:sz w:val="9"/>
          <w:szCs w:val="9"/>
          <w:color w:val="auto"/>
        </w:rPr>
        <w:t>The</w:t>
      </w:r>
    </w:p>
    <w:p>
      <w:pPr>
        <w:ind w:right="1520"/>
        <w:spacing w:after="0" w:line="233" w:lineRule="auto"/>
        <w:rPr>
          <w:sz w:val="20"/>
          <w:szCs w:val="20"/>
          <w:color w:val="auto"/>
        </w:rPr>
      </w:pPr>
      <w:r>
        <w:rPr>
          <w:rFonts w:ascii="Courier New" w:cs="Courier New" w:eastAsia="Courier New" w:hAnsi="Courier New"/>
          <w:sz w:val="9"/>
          <w:szCs w:val="9"/>
          <w:color w:val="auto"/>
        </w:rPr>
        <w:t>Board is seeking approval of the addition of average current asset turns, average net asset turns, return on average total assets, return on average current assets, average inventory asset turns, controllable value added, revenue, cost of goods sold, customer satisfaction scores, customer care, product</w:t>
      </w:r>
    </w:p>
    <w:p>
      <w:pPr>
        <w:ind w:right="60"/>
        <w:spacing w:after="0" w:line="233" w:lineRule="auto"/>
        <w:rPr>
          <w:sz w:val="20"/>
          <w:szCs w:val="20"/>
          <w:color w:val="auto"/>
        </w:rPr>
      </w:pPr>
      <w:r>
        <w:rPr>
          <w:rFonts w:ascii="Courier New" w:cs="Courier New" w:eastAsia="Courier New" w:hAnsi="Courier New"/>
          <w:sz w:val="9"/>
          <w:szCs w:val="9"/>
          <w:color w:val="auto"/>
        </w:rPr>
        <w:t>innovation, asset management and fill rate as performance goals. Performance goal measures previously approved by stockholders include earnings per share, return on average net assets, division controllable profit contribution, division profit adjustment, return on equity, revenue growth, earnings growth and economic value added. Previously-approved Supplemental Division Performance Goal measures for division participants include all of the foregoing measures plus sustained earnings, product warranty experience, product recalls or inventory levels. Previously-approved SPM Performance Goals included aggressive revenue growth, sustained earnings initiative, warranty experience, product recalls, field inventory, acquisition experience, customer satisfaction, inventory reduction and inventory turnover. SPM Performance Goals are intended to be either qualitative or quantitative.</w:t>
      </w:r>
    </w:p>
    <w:p>
      <w:pPr>
        <w:spacing w:after="0" w:line="213" w:lineRule="exact"/>
        <w:rPr>
          <w:sz w:val="20"/>
          <w:szCs w:val="20"/>
          <w:color w:val="auto"/>
        </w:rPr>
      </w:pPr>
    </w:p>
    <w:p>
      <w:pPr>
        <w:ind w:left="200"/>
        <w:spacing w:after="0"/>
        <w:tabs>
          <w:tab w:leader="none" w:pos="1060" w:val="left"/>
        </w:tabs>
        <w:rPr>
          <w:sz w:val="20"/>
          <w:szCs w:val="20"/>
          <w:color w:val="auto"/>
        </w:rPr>
      </w:pPr>
      <w:r>
        <w:rPr>
          <w:rFonts w:ascii="Courier New" w:cs="Courier New" w:eastAsia="Courier New" w:hAnsi="Courier New"/>
          <w:sz w:val="9"/>
          <w:szCs w:val="9"/>
          <w:b w:val="1"/>
          <w:bCs w:val="1"/>
          <w:i w:val="1"/>
          <w:iCs w:val="1"/>
          <w:color w:val="auto"/>
        </w:rPr>
        <w:t>Maximum Award.</w:t>
      </w:r>
      <w:r>
        <w:rPr>
          <w:sz w:val="20"/>
          <w:szCs w:val="20"/>
          <w:color w:val="auto"/>
        </w:rPr>
        <w:tab/>
      </w:r>
      <w:r>
        <w:rPr>
          <w:rFonts w:ascii="Courier New" w:cs="Courier New" w:eastAsia="Courier New" w:hAnsi="Courier New"/>
          <w:sz w:val="8"/>
          <w:szCs w:val="8"/>
          <w:color w:val="auto"/>
        </w:rPr>
        <w:t>The maximum amount that may be paid under an Annual Performance Award, whether</w:t>
      </w:r>
    </w:p>
    <w:p>
      <w:pPr>
        <w:spacing w:after="0"/>
        <w:rPr>
          <w:sz w:val="20"/>
          <w:szCs w:val="20"/>
          <w:color w:val="auto"/>
        </w:rPr>
      </w:pPr>
      <w:r>
        <w:rPr>
          <w:rFonts w:ascii="Courier New" w:cs="Courier New" w:eastAsia="Courier New" w:hAnsi="Courier New"/>
          <w:sz w:val="9"/>
          <w:szCs w:val="9"/>
          <w:color w:val="auto"/>
        </w:rPr>
        <w:t>in cash or in Common Stock or Common Stock units, to a plan participant who is or may become a person referred to in Section 162(m) with respect to any fiscal year is $1,500,000.</w:t>
      </w:r>
    </w:p>
    <w:p>
      <w:pPr>
        <w:spacing w:after="0" w:line="111" w:lineRule="exact"/>
        <w:rPr>
          <w:sz w:val="20"/>
          <w:szCs w:val="20"/>
          <w:color w:val="auto"/>
        </w:rPr>
      </w:pPr>
    </w:p>
    <w:p>
      <w:pPr>
        <w:ind w:left="200"/>
        <w:spacing w:after="0"/>
        <w:tabs>
          <w:tab w:leader="none" w:pos="780" w:val="left"/>
        </w:tabs>
        <w:rPr>
          <w:sz w:val="20"/>
          <w:szCs w:val="20"/>
          <w:color w:val="auto"/>
        </w:rPr>
      </w:pPr>
      <w:r>
        <w:rPr>
          <w:rFonts w:ascii="Courier New" w:cs="Courier New" w:eastAsia="Courier New" w:hAnsi="Courier New"/>
          <w:sz w:val="9"/>
          <w:szCs w:val="9"/>
          <w:b w:val="1"/>
          <w:bCs w:val="1"/>
          <w:i w:val="1"/>
          <w:iCs w:val="1"/>
          <w:color w:val="auto"/>
        </w:rPr>
        <w:t>Payments.</w:t>
      </w:r>
      <w:r>
        <w:rPr>
          <w:sz w:val="20"/>
          <w:szCs w:val="20"/>
          <w:color w:val="auto"/>
        </w:rPr>
        <w:tab/>
      </w:r>
      <w:r>
        <w:rPr>
          <w:rFonts w:ascii="Courier New" w:cs="Courier New" w:eastAsia="Courier New" w:hAnsi="Courier New"/>
          <w:sz w:val="8"/>
          <w:szCs w:val="8"/>
          <w:color w:val="auto"/>
        </w:rPr>
        <w:t>Before any payment is made under the Annual Plan, the Committee must certify in</w:t>
      </w:r>
    </w:p>
    <w:p>
      <w:pPr>
        <w:spacing w:after="0" w:line="233" w:lineRule="auto"/>
        <w:rPr>
          <w:sz w:val="20"/>
          <w:szCs w:val="20"/>
          <w:color w:val="auto"/>
        </w:rPr>
      </w:pPr>
      <w:r>
        <w:rPr>
          <w:rFonts w:ascii="Courier New" w:cs="Courier New" w:eastAsia="Courier New" w:hAnsi="Courier New"/>
          <w:sz w:val="9"/>
          <w:szCs w:val="9"/>
          <w:color w:val="auto"/>
        </w:rPr>
        <w:t>writing that the pre-established performance goals have been met. To the extent necessary with respect to any fiscal year, in order to avoid any undue windfall or hardship due to external</w:t>
      </w:r>
    </w:p>
    <w:p>
      <w:pPr>
        <w:spacing w:after="0" w:line="234" w:lineRule="auto"/>
        <w:rPr>
          <w:sz w:val="20"/>
          <w:szCs w:val="20"/>
          <w:color w:val="auto"/>
        </w:rPr>
      </w:pPr>
      <w:r>
        <w:rPr>
          <w:rFonts w:ascii="Courier New" w:cs="Courier New" w:eastAsia="Courier New" w:hAnsi="Courier New"/>
          <w:sz w:val="9"/>
          <w:szCs w:val="9"/>
          <w:color w:val="auto"/>
        </w:rPr>
        <w:t>causes, the Committee may make the determination as to whether a performance goal has been achieved without regard to the effect on the performance goal measure, as it may otherwise be presented in the financial statements, of any change in accounting standards, any acquisition by the Company not planned for at the time the performance goals are established or any Board-approved extraordinary or non-recurring event or item.</w:t>
      </w:r>
    </w:p>
    <w:p>
      <w:pPr>
        <w:spacing w:after="0" w:line="113" w:lineRule="exact"/>
        <w:rPr>
          <w:sz w:val="20"/>
          <w:szCs w:val="20"/>
          <w:color w:val="auto"/>
        </w:rPr>
      </w:pPr>
    </w:p>
    <w:p>
      <w:pPr>
        <w:ind w:left="200"/>
        <w:spacing w:after="0"/>
        <w:tabs>
          <w:tab w:leader="none" w:pos="1480" w:val="left"/>
        </w:tabs>
        <w:rPr>
          <w:sz w:val="20"/>
          <w:szCs w:val="20"/>
          <w:color w:val="auto"/>
        </w:rPr>
      </w:pPr>
      <w:r>
        <w:rPr>
          <w:rFonts w:ascii="Courier New" w:cs="Courier New" w:eastAsia="Courier New" w:hAnsi="Courier New"/>
          <w:sz w:val="9"/>
          <w:szCs w:val="9"/>
          <w:b w:val="1"/>
          <w:bCs w:val="1"/>
          <w:i w:val="1"/>
          <w:iCs w:val="1"/>
          <w:color w:val="auto"/>
        </w:rPr>
        <w:t>Stock Retention Award.</w:t>
      </w:r>
      <w:r>
        <w:rPr>
          <w:sz w:val="20"/>
          <w:szCs w:val="20"/>
          <w:color w:val="auto"/>
        </w:rPr>
        <w:tab/>
      </w:r>
      <w:r>
        <w:rPr>
          <w:rFonts w:ascii="Courier New" w:cs="Courier New" w:eastAsia="Courier New" w:hAnsi="Courier New"/>
          <w:sz w:val="9"/>
          <w:szCs w:val="9"/>
          <w:color w:val="auto"/>
        </w:rPr>
        <w:t>The Annual Plan authorizes the grant of Stock Retention Awards to</w:t>
      </w:r>
    </w:p>
    <w:p>
      <w:pPr>
        <w:spacing w:after="0" w:line="233" w:lineRule="auto"/>
        <w:rPr>
          <w:sz w:val="20"/>
          <w:szCs w:val="20"/>
          <w:color w:val="auto"/>
        </w:rPr>
      </w:pPr>
      <w:r>
        <w:rPr>
          <w:rFonts w:ascii="Courier New" w:cs="Courier New" w:eastAsia="Courier New" w:hAnsi="Courier New"/>
          <w:sz w:val="9"/>
          <w:szCs w:val="9"/>
          <w:color w:val="auto"/>
        </w:rPr>
        <w:t>encourage selected participants to increase their ownership of Toro Common Stock. Under a Stock Retention Award, a participant may elect to convert up to 50% of a cash award payment to shares of Common Stock, or defer the compensation into Common Stock units under the Officers Deferred Plan, at fair market value on the date the Committee certifies payment of the cash award. For each two shares of Common Stock or units acquired upon conversion, a stock participant will receive as additional incentive compensation one additional share or unit of Common Stock ("Matching Shares" or "Matching Units"). The shares or units received on conversion are retained by the Company during vesting periods applicable to the Matching Shares or Matching Units. Matching Shares and Matching Units vest in increments of 25% of the total at the end of each of the second, third, fourth and fifth years after the date such shares or units are issued or credited. In the event of an actual or threatened change of control of the Company as defined in the Annual Plan or the Officers Deferred Plan, all Matching Shares and Matching Units that have not yet vested will vest.</w:t>
      </w:r>
    </w:p>
    <w:p>
      <w:pPr>
        <w:spacing w:after="0" w:line="114" w:lineRule="exact"/>
        <w:rPr>
          <w:sz w:val="20"/>
          <w:szCs w:val="20"/>
          <w:color w:val="auto"/>
        </w:rPr>
      </w:pPr>
    </w:p>
    <w:p>
      <w:pPr>
        <w:ind w:left="200"/>
        <w:spacing w:after="0"/>
        <w:tabs>
          <w:tab w:leader="none" w:pos="1260" w:val="left"/>
        </w:tabs>
        <w:rPr>
          <w:sz w:val="20"/>
          <w:szCs w:val="20"/>
          <w:color w:val="auto"/>
        </w:rPr>
      </w:pPr>
      <w:r>
        <w:rPr>
          <w:rFonts w:ascii="Courier New" w:cs="Courier New" w:eastAsia="Courier New" w:hAnsi="Courier New"/>
          <w:sz w:val="9"/>
          <w:szCs w:val="9"/>
          <w:b w:val="1"/>
          <w:bCs w:val="1"/>
          <w:i w:val="1"/>
          <w:iCs w:val="1"/>
          <w:color w:val="auto"/>
        </w:rPr>
        <w:t>Shares Authorized.</w:t>
      </w:r>
      <w:r>
        <w:rPr>
          <w:sz w:val="20"/>
          <w:szCs w:val="20"/>
          <w:color w:val="auto"/>
        </w:rPr>
        <w:tab/>
      </w:r>
      <w:r>
        <w:rPr>
          <w:rFonts w:ascii="Courier New" w:cs="Courier New" w:eastAsia="Courier New" w:hAnsi="Courier New"/>
          <w:sz w:val="8"/>
          <w:szCs w:val="8"/>
          <w:color w:val="auto"/>
        </w:rPr>
        <w:t>The number of shares of Common Stock authorized for issuance under the</w:t>
      </w:r>
    </w:p>
    <w:p>
      <w:pPr>
        <w:ind w:right="600"/>
        <w:spacing w:after="0" w:line="234" w:lineRule="auto"/>
        <w:rPr>
          <w:sz w:val="20"/>
          <w:szCs w:val="20"/>
          <w:color w:val="auto"/>
        </w:rPr>
      </w:pPr>
      <w:r>
        <w:rPr>
          <w:rFonts w:ascii="Courier New" w:cs="Courier New" w:eastAsia="Courier New" w:hAnsi="Courier New"/>
          <w:sz w:val="9"/>
          <w:szCs w:val="9"/>
          <w:color w:val="auto"/>
        </w:rPr>
        <w:t>Annual Plan is 100,000, subject to adjustment in the event of stock splits, recapitalization or other similar changes affecting the Common Stock. On December 2, 1999, the Company issued or credited an aggregate of 38,120 shares or units of Common Stock to participants under the Annual Plan for the award year ended October 31, 1999, leaving a balance of 61,880 shares available under the plan.</w:t>
      </w:r>
    </w:p>
    <w:p>
      <w:pPr>
        <w:spacing w:after="0" w:line="113" w:lineRule="exact"/>
        <w:rPr>
          <w:sz w:val="20"/>
          <w:szCs w:val="20"/>
          <w:color w:val="auto"/>
        </w:rPr>
      </w:pPr>
    </w:p>
    <w:p>
      <w:pPr>
        <w:ind w:left="200"/>
        <w:spacing w:after="0"/>
        <w:tabs>
          <w:tab w:leader="none" w:pos="1980" w:val="left"/>
        </w:tabs>
        <w:rPr>
          <w:sz w:val="20"/>
          <w:szCs w:val="20"/>
          <w:color w:val="auto"/>
        </w:rPr>
      </w:pPr>
      <w:r>
        <w:rPr>
          <w:rFonts w:ascii="Courier New" w:cs="Courier New" w:eastAsia="Courier New" w:hAnsi="Courier New"/>
          <w:sz w:val="9"/>
          <w:szCs w:val="9"/>
          <w:b w:val="1"/>
          <w:bCs w:val="1"/>
          <w:i w:val="1"/>
          <w:iCs w:val="1"/>
          <w:color w:val="auto"/>
        </w:rPr>
        <w:t>Plan Amendment and Termination.</w:t>
      </w:r>
      <w:r>
        <w:rPr>
          <w:sz w:val="20"/>
          <w:szCs w:val="20"/>
          <w:color w:val="auto"/>
        </w:rPr>
        <w:tab/>
      </w:r>
      <w:r>
        <w:rPr>
          <w:rFonts w:ascii="Courier New" w:cs="Courier New" w:eastAsia="Courier New" w:hAnsi="Courier New"/>
          <w:sz w:val="8"/>
          <w:szCs w:val="8"/>
          <w:color w:val="auto"/>
        </w:rPr>
        <w:t>The Committee may amend, suspend or terminate the Annual Plan</w:t>
      </w:r>
    </w:p>
    <w:p>
      <w:pPr>
        <w:jc w:val="both"/>
        <w:ind w:right="220"/>
        <w:spacing w:after="0" w:line="234" w:lineRule="auto"/>
        <w:rPr>
          <w:sz w:val="20"/>
          <w:szCs w:val="20"/>
          <w:color w:val="auto"/>
        </w:rPr>
      </w:pPr>
      <w:r>
        <w:rPr>
          <w:rFonts w:ascii="Courier New" w:cs="Courier New" w:eastAsia="Courier New" w:hAnsi="Courier New"/>
          <w:sz w:val="9"/>
          <w:szCs w:val="9"/>
          <w:color w:val="auto"/>
        </w:rPr>
        <w:t>at any time, with or without advance notice to plan participants, but no amendment to the plan will be effective that would increase the maximum amount that may be paid to a plan participant, that would change the stated performance goal criteria or that would modify the requirements as to eligibility for participation, unless the stockholders of the Company approve the change in accordance with the requirements of Section 162(m).</w:t>
      </w:r>
    </w:p>
    <w:p>
      <w:pPr>
        <w:spacing w:after="0" w:line="113" w:lineRule="exact"/>
        <w:rPr>
          <w:sz w:val="20"/>
          <w:szCs w:val="20"/>
          <w:color w:val="auto"/>
        </w:rPr>
      </w:pPr>
    </w:p>
    <w:p>
      <w:pPr>
        <w:ind w:left="200"/>
        <w:spacing w:after="0"/>
        <w:tabs>
          <w:tab w:leader="none" w:pos="780" w:val="left"/>
        </w:tabs>
        <w:rPr>
          <w:sz w:val="20"/>
          <w:szCs w:val="20"/>
          <w:color w:val="auto"/>
        </w:rPr>
      </w:pPr>
      <w:r>
        <w:rPr>
          <w:rFonts w:ascii="Courier New" w:cs="Courier New" w:eastAsia="Courier New" w:hAnsi="Courier New"/>
          <w:sz w:val="9"/>
          <w:szCs w:val="9"/>
          <w:b w:val="1"/>
          <w:bCs w:val="1"/>
          <w:i w:val="1"/>
          <w:iCs w:val="1"/>
          <w:color w:val="auto"/>
        </w:rPr>
        <w:t>Benefits.</w:t>
      </w:r>
      <w:r>
        <w:rPr>
          <w:sz w:val="20"/>
          <w:szCs w:val="20"/>
          <w:color w:val="auto"/>
        </w:rPr>
        <w:tab/>
      </w:r>
      <w:r>
        <w:rPr>
          <w:rFonts w:ascii="Courier New" w:cs="Courier New" w:eastAsia="Courier New" w:hAnsi="Courier New"/>
          <w:sz w:val="9"/>
          <w:szCs w:val="9"/>
          <w:color w:val="auto"/>
        </w:rPr>
        <w:t>It is not presently possible to determine the dollar value of award payments that may</w:t>
      </w:r>
    </w:p>
    <w:p>
      <w:pPr>
        <w:ind w:right="220"/>
        <w:spacing w:after="0" w:line="234" w:lineRule="auto"/>
        <w:rPr>
          <w:sz w:val="20"/>
          <w:szCs w:val="20"/>
          <w:color w:val="auto"/>
        </w:rPr>
      </w:pPr>
      <w:r>
        <w:rPr>
          <w:rFonts w:ascii="Courier New" w:cs="Courier New" w:eastAsia="Courier New" w:hAnsi="Courier New"/>
          <w:sz w:val="9"/>
          <w:szCs w:val="9"/>
          <w:color w:val="auto"/>
        </w:rPr>
        <w:t>be made, or the individuals who may be selected for such awards, in the future under this plan. Award payments made with respect to Fiscal 1999 to the Chief Executive Officer and each of the named executive officers are shown in Note (1) and in the Restricted Stock column of the Summary Compensation Table. Award payments made to all executive officers as group for Fiscal 1999 aggregated $1,951,935 and to all non-executive officer employees as a group aggregated $261,344. Non-executive directors (outside directors) are not eligible to participate in this plan.</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300"/>
        <w:spacing w:after="0"/>
        <w:rPr>
          <w:sz w:val="20"/>
          <w:szCs w:val="20"/>
          <w:color w:val="auto"/>
        </w:rPr>
      </w:pPr>
      <w:r>
        <w:rPr>
          <w:rFonts w:ascii="Courier New" w:cs="Courier New" w:eastAsia="Courier New" w:hAnsi="Courier New"/>
          <w:sz w:val="9"/>
          <w:szCs w:val="9"/>
          <w:b w:val="1"/>
          <w:bCs w:val="1"/>
          <w:color w:val="auto"/>
        </w:rPr>
        <w:t>PROPOSAL THREE</w:t>
      </w:r>
    </w:p>
    <w:p>
      <w:pPr>
        <w:ind w:left="4220"/>
        <w:spacing w:after="0"/>
        <w:rPr>
          <w:sz w:val="20"/>
          <w:szCs w:val="20"/>
          <w:color w:val="auto"/>
        </w:rPr>
      </w:pPr>
      <w:r>
        <w:rPr>
          <w:rFonts w:ascii="Courier New" w:cs="Courier New" w:eastAsia="Courier New" w:hAnsi="Courier New"/>
          <w:sz w:val="9"/>
          <w:szCs w:val="9"/>
          <w:b w:val="1"/>
          <w:bCs w:val="1"/>
          <w:color w:val="auto"/>
        </w:rPr>
        <w:t>AMENDMENT OF THE TORO COMPANY PERFORMANCE SHARE PLAN</w:t>
      </w:r>
    </w:p>
    <w:p>
      <w:pPr>
        <w:spacing w:after="0" w:line="111" w:lineRule="exact"/>
        <w:rPr>
          <w:sz w:val="20"/>
          <w:szCs w:val="20"/>
          <w:color w:val="auto"/>
        </w:rPr>
      </w:pPr>
    </w:p>
    <w:p>
      <w:pPr>
        <w:ind w:left="200"/>
        <w:spacing w:after="0"/>
        <w:rPr>
          <w:sz w:val="20"/>
          <w:szCs w:val="20"/>
          <w:color w:val="auto"/>
        </w:rPr>
      </w:pPr>
      <w:r>
        <w:rPr>
          <w:rFonts w:ascii="Courier New" w:cs="Courier New" w:eastAsia="Courier New" w:hAnsi="Courier New"/>
          <w:sz w:val="9"/>
          <w:szCs w:val="9"/>
          <w:color w:val="auto"/>
        </w:rPr>
        <w:t>At its December 2, 1999 meeting, the Compensation Committee recommended, and the Board of Directors adopted, an amendment to add additional Performance</w:t>
      </w:r>
    </w:p>
    <w:p>
      <w:pPr>
        <w:ind w:right="160"/>
        <w:spacing w:after="0" w:line="234" w:lineRule="auto"/>
        <w:rPr>
          <w:sz w:val="20"/>
          <w:szCs w:val="20"/>
          <w:color w:val="auto"/>
        </w:rPr>
      </w:pPr>
      <w:r>
        <w:rPr>
          <w:rFonts w:ascii="Courier New" w:cs="Courier New" w:eastAsia="Courier New" w:hAnsi="Courier New"/>
          <w:sz w:val="9"/>
          <w:szCs w:val="9"/>
          <w:color w:val="auto"/>
        </w:rPr>
        <w:t>Goals to The Toro Company Performance Share Plan (the "Long Term Plan"), a plan designed to tie a portion of executive compensation to achievement of the Company's Long Term financial goals through the grant of Performance Shares. Stockholders are being asked to consider and approve additional financial goals of economic value added, fill rate, customer satisfaction scores, customer care and cumulative average net asset turns, to ensure that payments made under the Long Term Plan continue to qualify as "performance based" for purposes of Section 162(m) of the Code and in order to satisfy New York Stock Exchange guidelines relating to equity compensation for officers.</w:t>
      </w:r>
    </w:p>
    <w:p>
      <w:pPr>
        <w:spacing w:after="0" w:line="112" w:lineRule="exact"/>
        <w:rPr>
          <w:sz w:val="20"/>
          <w:szCs w:val="20"/>
          <w:color w:val="auto"/>
        </w:rPr>
      </w:pPr>
    </w:p>
    <w:p>
      <w:pPr>
        <w:ind w:left="200"/>
        <w:spacing w:after="0"/>
        <w:rPr>
          <w:sz w:val="20"/>
          <w:szCs w:val="20"/>
          <w:color w:val="auto"/>
        </w:rPr>
      </w:pPr>
      <w:r>
        <w:rPr>
          <w:rFonts w:ascii="Courier New" w:cs="Courier New" w:eastAsia="Courier New" w:hAnsi="Courier New"/>
          <w:sz w:val="9"/>
          <w:szCs w:val="9"/>
          <w:color w:val="auto"/>
        </w:rPr>
        <w:t>The</w:t>
      </w:r>
    </w:p>
    <w:p>
      <w:pPr>
        <w:spacing w:after="0" w:line="233" w:lineRule="auto"/>
        <w:rPr>
          <w:sz w:val="20"/>
          <w:szCs w:val="20"/>
          <w:color w:val="auto"/>
        </w:rPr>
      </w:pPr>
      <w:r>
        <w:rPr>
          <w:rFonts w:ascii="Courier New" w:cs="Courier New" w:eastAsia="Courier New" w:hAnsi="Courier New"/>
          <w:sz w:val="9"/>
          <w:szCs w:val="9"/>
          <w:color w:val="auto"/>
        </w:rPr>
        <w:t>additional performance goals are intended for use in focusing management's attention on improved asset use and customer satisfaction. Economic value added measures the economic</w:t>
      </w:r>
    </w:p>
    <w:p>
      <w:pPr>
        <w:ind w:right="280"/>
        <w:spacing w:after="0" w:line="234" w:lineRule="auto"/>
        <w:rPr>
          <w:sz w:val="20"/>
          <w:szCs w:val="20"/>
          <w:color w:val="auto"/>
        </w:rPr>
      </w:pPr>
      <w:r>
        <w:rPr>
          <w:rFonts w:ascii="Courier New" w:cs="Courier New" w:eastAsia="Courier New" w:hAnsi="Courier New"/>
          <w:sz w:val="9"/>
          <w:szCs w:val="9"/>
          <w:color w:val="auto"/>
        </w:rPr>
        <w:t>return to stockholders on capital utilized in a company's operating units. It is similar to the microeconomic concepts of opportunity cost and economic profit. As described under Proposal Two, economic value added measures after tax return on total invested capital, and is derived by taking earnings from operations plus other income, net of other expenses, adjusted by the effective tax rate, less the Company's tax-adjusted target cost of invested capital. Average net asset turns and customer care are described in Proposal Two.</w:t>
      </w:r>
    </w:p>
    <w:p>
      <w:pPr>
        <w:spacing w:after="0" w:line="113" w:lineRule="exact"/>
        <w:rPr>
          <w:sz w:val="20"/>
          <w:szCs w:val="20"/>
          <w:color w:val="auto"/>
        </w:rPr>
      </w:pPr>
    </w:p>
    <w:p>
      <w:pPr>
        <w:ind w:left="200"/>
        <w:spacing w:after="0"/>
        <w:rPr>
          <w:sz w:val="20"/>
          <w:szCs w:val="20"/>
          <w:color w:val="auto"/>
        </w:rPr>
      </w:pPr>
      <w:r>
        <w:rPr>
          <w:rFonts w:ascii="Courier New" w:cs="Courier New" w:eastAsia="Courier New" w:hAnsi="Courier New"/>
          <w:sz w:val="9"/>
          <w:szCs w:val="9"/>
          <w:color w:val="auto"/>
        </w:rPr>
        <w:t>If</w:t>
      </w:r>
    </w:p>
    <w:p>
      <w:pPr>
        <w:ind w:right="1360"/>
        <w:spacing w:after="0" w:line="235" w:lineRule="auto"/>
        <w:rPr>
          <w:sz w:val="20"/>
          <w:szCs w:val="20"/>
          <w:color w:val="auto"/>
        </w:rPr>
      </w:pPr>
      <w:r>
        <w:rPr>
          <w:rFonts w:ascii="Courier New" w:cs="Courier New" w:eastAsia="Courier New" w:hAnsi="Courier New"/>
          <w:sz w:val="9"/>
          <w:szCs w:val="9"/>
          <w:color w:val="auto"/>
        </w:rPr>
        <w:t>stockholder approval of the new Long Term Plan is not obtained, the Compensation Committee will reconsider the amendments as they apply to compensation that may be paid to any person referred to in Section 162(m), and the Long Term Plan as previously approved by stockholders will continue in effect as to such persons.</w:t>
      </w:r>
    </w:p>
    <w:p>
      <w:pPr>
        <w:spacing w:after="0" w:line="112" w:lineRule="exact"/>
        <w:rPr>
          <w:sz w:val="20"/>
          <w:szCs w:val="20"/>
          <w:color w:val="auto"/>
        </w:rPr>
      </w:pPr>
    </w:p>
    <w:p>
      <w:pPr>
        <w:ind w:left="200"/>
        <w:spacing w:after="0"/>
        <w:rPr>
          <w:sz w:val="20"/>
          <w:szCs w:val="20"/>
          <w:color w:val="auto"/>
        </w:rPr>
      </w:pPr>
      <w:r>
        <w:rPr>
          <w:rFonts w:ascii="Courier New" w:cs="Courier New" w:eastAsia="Courier New" w:hAnsi="Courier New"/>
          <w:sz w:val="9"/>
          <w:szCs w:val="9"/>
          <w:color w:val="auto"/>
        </w:rPr>
        <w:t>The</w:t>
      </w:r>
    </w:p>
    <w:p>
      <w:pPr>
        <w:spacing w:after="0"/>
        <w:rPr>
          <w:sz w:val="20"/>
          <w:szCs w:val="20"/>
          <w:color w:val="auto"/>
        </w:rPr>
      </w:pPr>
      <w:r>
        <w:rPr>
          <w:rFonts w:ascii="Courier New" w:cs="Courier New" w:eastAsia="Courier New" w:hAnsi="Courier New"/>
          <w:sz w:val="9"/>
          <w:szCs w:val="9"/>
          <w:color w:val="auto"/>
        </w:rPr>
        <w:t>following is a summary of the material terms of the Long Term Plan as amended.</w:t>
      </w:r>
    </w:p>
    <w:p>
      <w:pPr>
        <w:spacing w:after="0" w:line="113" w:lineRule="exact"/>
        <w:rPr>
          <w:sz w:val="20"/>
          <w:szCs w:val="20"/>
          <w:color w:val="auto"/>
        </w:rPr>
      </w:pPr>
    </w:p>
    <w:p>
      <w:pPr>
        <w:spacing w:after="0"/>
        <w:rPr>
          <w:sz w:val="20"/>
          <w:szCs w:val="20"/>
          <w:color w:val="auto"/>
        </w:rPr>
      </w:pPr>
      <w:r>
        <w:rPr>
          <w:rFonts w:ascii="Courier New" w:cs="Courier New" w:eastAsia="Courier New" w:hAnsi="Courier New"/>
          <w:sz w:val="9"/>
          <w:szCs w:val="9"/>
          <w:b w:val="1"/>
          <w:bCs w:val="1"/>
          <w:color w:val="auto"/>
        </w:rPr>
        <w:t>Description of the Plan</w:t>
      </w:r>
    </w:p>
    <w:p>
      <w:pPr>
        <w:spacing w:after="0" w:line="112" w:lineRule="exact"/>
        <w:rPr>
          <w:sz w:val="20"/>
          <w:szCs w:val="20"/>
          <w:color w:val="auto"/>
        </w:rPr>
      </w:pPr>
    </w:p>
    <w:p>
      <w:pPr>
        <w:ind w:left="200"/>
        <w:spacing w:after="0"/>
        <w:tabs>
          <w:tab w:leader="none" w:pos="720" w:val="left"/>
        </w:tabs>
        <w:rPr>
          <w:sz w:val="20"/>
          <w:szCs w:val="20"/>
          <w:color w:val="auto"/>
        </w:rPr>
      </w:pPr>
      <w:r>
        <w:rPr>
          <w:rFonts w:ascii="Courier New" w:cs="Courier New" w:eastAsia="Courier New" w:hAnsi="Courier New"/>
          <w:sz w:val="9"/>
          <w:szCs w:val="9"/>
          <w:b w:val="1"/>
          <w:bCs w:val="1"/>
          <w:i w:val="1"/>
          <w:iCs w:val="1"/>
          <w:color w:val="auto"/>
        </w:rPr>
        <w:t>Purpose.</w:t>
      </w:r>
      <w:r>
        <w:rPr>
          <w:sz w:val="20"/>
          <w:szCs w:val="20"/>
          <w:color w:val="auto"/>
        </w:rPr>
        <w:tab/>
      </w:r>
      <w:r>
        <w:rPr>
          <w:rFonts w:ascii="Courier New" w:cs="Courier New" w:eastAsia="Courier New" w:hAnsi="Courier New"/>
          <w:sz w:val="9"/>
          <w:szCs w:val="9"/>
          <w:color w:val="auto"/>
        </w:rPr>
        <w:t>The purpose of the Long Term Plan is to enhance long term stockholder value by</w:t>
      </w:r>
    </w:p>
    <w:p>
      <w:pPr>
        <w:ind w:right="160"/>
        <w:spacing w:after="0" w:line="235" w:lineRule="auto"/>
        <w:rPr>
          <w:sz w:val="20"/>
          <w:szCs w:val="20"/>
          <w:color w:val="auto"/>
        </w:rPr>
      </w:pPr>
      <w:r>
        <w:rPr>
          <w:rFonts w:ascii="Courier New" w:cs="Courier New" w:eastAsia="Courier New" w:hAnsi="Courier New"/>
          <w:sz w:val="9"/>
          <w:szCs w:val="9"/>
          <w:color w:val="auto"/>
        </w:rPr>
        <w:t>reinforcing the incentives of key employees to achieve long term performance goals of the Company, to link a significant portion of a participant's compensation to the achievement by the Company of performance goals and to the value of the Common Stock and to attract, motivate and retain executives on a competitive basis.</w:t>
      </w:r>
    </w:p>
    <w:p>
      <w:pPr>
        <w:spacing w:after="0" w:line="112" w:lineRule="exact"/>
        <w:rPr>
          <w:sz w:val="20"/>
          <w:szCs w:val="20"/>
          <w:color w:val="auto"/>
        </w:rPr>
      </w:pPr>
    </w:p>
    <w:p>
      <w:pPr>
        <w:ind w:left="200"/>
        <w:spacing w:after="0"/>
        <w:tabs>
          <w:tab w:leader="none" w:pos="1920" w:val="left"/>
        </w:tabs>
        <w:rPr>
          <w:sz w:val="20"/>
          <w:szCs w:val="20"/>
          <w:color w:val="auto"/>
        </w:rPr>
      </w:pPr>
      <w:r>
        <w:rPr>
          <w:rFonts w:ascii="Courier New" w:cs="Courier New" w:eastAsia="Courier New" w:hAnsi="Courier New"/>
          <w:sz w:val="9"/>
          <w:szCs w:val="9"/>
          <w:b w:val="1"/>
          <w:bCs w:val="1"/>
          <w:i w:val="1"/>
          <w:iCs w:val="1"/>
          <w:color w:val="auto"/>
        </w:rPr>
        <w:t>Eligibility and Participation.</w:t>
      </w:r>
      <w:r>
        <w:rPr>
          <w:sz w:val="20"/>
          <w:szCs w:val="20"/>
          <w:color w:val="auto"/>
        </w:rPr>
        <w:tab/>
      </w:r>
      <w:r>
        <w:rPr>
          <w:rFonts w:ascii="Courier New" w:cs="Courier New" w:eastAsia="Courier New" w:hAnsi="Courier New"/>
          <w:sz w:val="8"/>
          <w:szCs w:val="8"/>
          <w:color w:val="auto"/>
        </w:rPr>
        <w:t>Participation in the plan is limited to key employees of the</w:t>
      </w:r>
    </w:p>
    <w:p>
      <w:pPr>
        <w:ind w:right="60"/>
        <w:spacing w:after="0" w:line="233" w:lineRule="auto"/>
        <w:rPr>
          <w:sz w:val="20"/>
          <w:szCs w:val="20"/>
          <w:color w:val="auto"/>
        </w:rPr>
      </w:pPr>
      <w:r>
        <w:rPr>
          <w:rFonts w:ascii="Courier New" w:cs="Courier New" w:eastAsia="Courier New" w:hAnsi="Courier New"/>
          <w:sz w:val="9"/>
          <w:szCs w:val="9"/>
          <w:color w:val="auto"/>
        </w:rPr>
        <w:t>Company who are in a position to have a significant, positive impact on the Company's financial results and who are selected by the Compensation Committee. Approximately 12 individuals, including the Company's Chief</w:t>
      </w:r>
    </w:p>
    <w:p>
      <w:pPr>
        <w:spacing w:after="0"/>
        <w:rPr>
          <w:sz w:val="20"/>
          <w:szCs w:val="20"/>
          <w:color w:val="auto"/>
        </w:rPr>
      </w:pPr>
      <w:r>
        <w:rPr>
          <w:rFonts w:ascii="Courier New" w:cs="Courier New" w:eastAsia="Courier New" w:hAnsi="Courier New"/>
          <w:sz w:val="9"/>
          <w:szCs w:val="9"/>
          <w:color w:val="auto"/>
        </w:rPr>
        <w:t>Executive Officer and the named executive officers, are expected to receive awards under the plan annually.</w:t>
      </w:r>
    </w:p>
    <w:p>
      <w:pPr>
        <w:spacing w:after="0" w:line="111" w:lineRule="exact"/>
        <w:rPr>
          <w:sz w:val="20"/>
          <w:szCs w:val="20"/>
          <w:color w:val="auto"/>
        </w:rPr>
      </w:pPr>
    </w:p>
    <w:p>
      <w:pPr>
        <w:ind w:left="200"/>
        <w:spacing w:after="0"/>
        <w:tabs>
          <w:tab w:leader="none" w:pos="1260" w:val="left"/>
        </w:tabs>
        <w:rPr>
          <w:sz w:val="20"/>
          <w:szCs w:val="20"/>
          <w:color w:val="auto"/>
        </w:rPr>
      </w:pPr>
      <w:r>
        <w:rPr>
          <w:rFonts w:ascii="Courier New" w:cs="Courier New" w:eastAsia="Courier New" w:hAnsi="Courier New"/>
          <w:sz w:val="9"/>
          <w:szCs w:val="9"/>
          <w:b w:val="1"/>
          <w:bCs w:val="1"/>
          <w:i w:val="1"/>
          <w:iCs w:val="1"/>
          <w:color w:val="auto"/>
        </w:rPr>
        <w:t>Performance Goals.</w:t>
      </w:r>
      <w:r>
        <w:rPr>
          <w:sz w:val="20"/>
          <w:szCs w:val="20"/>
          <w:color w:val="auto"/>
        </w:rPr>
        <w:tab/>
      </w:r>
      <w:r>
        <w:rPr>
          <w:rFonts w:ascii="Courier New" w:cs="Courier New" w:eastAsia="Courier New" w:hAnsi="Courier New"/>
          <w:sz w:val="9"/>
          <w:szCs w:val="9"/>
          <w:color w:val="auto"/>
        </w:rPr>
        <w:t>The performance goals that have previously been approved by stockholders for</w:t>
      </w:r>
    </w:p>
    <w:p>
      <w:pPr>
        <w:ind w:right="220"/>
        <w:spacing w:after="0" w:line="234" w:lineRule="auto"/>
        <w:rPr>
          <w:sz w:val="20"/>
          <w:szCs w:val="20"/>
          <w:color w:val="auto"/>
        </w:rPr>
      </w:pPr>
      <w:r>
        <w:rPr>
          <w:rFonts w:ascii="Courier New" w:cs="Courier New" w:eastAsia="Courier New" w:hAnsi="Courier New"/>
          <w:sz w:val="9"/>
          <w:szCs w:val="9"/>
          <w:color w:val="auto"/>
        </w:rPr>
        <w:t>use by the Committee with respect to each Performance Share Award are cumulative earnings, cumulative earnings per share, profit after tax, net income, return on invested capital, invested capital dollars, earnings per share, average net assets, after-tax interest expense, return on average net assets, return on equity, return on beginning equity, revenue growth and earnings growth. The new performance goals will supplement these and permit a greater focus on asset use.</w:t>
      </w:r>
    </w:p>
    <w:p>
      <w:pPr>
        <w:spacing w:after="0" w:line="113" w:lineRule="exact"/>
        <w:rPr>
          <w:sz w:val="20"/>
          <w:szCs w:val="20"/>
          <w:color w:val="auto"/>
        </w:rPr>
      </w:pPr>
    </w:p>
    <w:p>
      <w:pPr>
        <w:ind w:left="200"/>
        <w:spacing w:after="0"/>
        <w:tabs>
          <w:tab w:leader="none" w:pos="1060" w:val="left"/>
        </w:tabs>
        <w:rPr>
          <w:sz w:val="20"/>
          <w:szCs w:val="20"/>
          <w:color w:val="auto"/>
        </w:rPr>
      </w:pPr>
      <w:r>
        <w:rPr>
          <w:rFonts w:ascii="Courier New" w:cs="Courier New" w:eastAsia="Courier New" w:hAnsi="Courier New"/>
          <w:sz w:val="9"/>
          <w:szCs w:val="9"/>
          <w:b w:val="1"/>
          <w:bCs w:val="1"/>
          <w:i w:val="1"/>
          <w:iCs w:val="1"/>
          <w:color w:val="auto"/>
        </w:rPr>
        <w:t>Maximum Award.</w:t>
      </w:r>
      <w:r>
        <w:rPr>
          <w:sz w:val="20"/>
          <w:szCs w:val="20"/>
          <w:color w:val="auto"/>
        </w:rPr>
        <w:tab/>
      </w:r>
      <w:r>
        <w:rPr>
          <w:rFonts w:ascii="Courier New" w:cs="Courier New" w:eastAsia="Courier New" w:hAnsi="Courier New"/>
          <w:sz w:val="8"/>
          <w:szCs w:val="8"/>
          <w:color w:val="auto"/>
        </w:rPr>
        <w:t>The maximum award payment that may be made with respect to any Performance Share</w:t>
      </w:r>
    </w:p>
    <w:p>
      <w:pPr>
        <w:spacing w:after="0"/>
        <w:rPr>
          <w:sz w:val="20"/>
          <w:szCs w:val="20"/>
          <w:color w:val="auto"/>
        </w:rPr>
      </w:pPr>
      <w:r>
        <w:rPr>
          <w:rFonts w:ascii="Courier New" w:cs="Courier New" w:eastAsia="Courier New" w:hAnsi="Courier New"/>
          <w:sz w:val="9"/>
          <w:szCs w:val="9"/>
          <w:color w:val="auto"/>
        </w:rPr>
        <w:t>Award is 100,000 shares, subject to adjustment to give effect to adjustments in the Common Stock or changes in the corporate structure of the Company.</w:t>
      </w:r>
    </w:p>
    <w:p>
      <w:pPr>
        <w:spacing w:after="0" w:line="111" w:lineRule="exact"/>
        <w:rPr>
          <w:sz w:val="20"/>
          <w:szCs w:val="20"/>
          <w:color w:val="auto"/>
        </w:rPr>
      </w:pPr>
    </w:p>
    <w:p>
      <w:pPr>
        <w:ind w:left="200"/>
        <w:spacing w:after="0"/>
        <w:tabs>
          <w:tab w:leader="none" w:pos="720" w:val="left"/>
        </w:tabs>
        <w:rPr>
          <w:sz w:val="20"/>
          <w:szCs w:val="20"/>
          <w:color w:val="auto"/>
        </w:rPr>
      </w:pPr>
      <w:r>
        <w:rPr>
          <w:rFonts w:ascii="Courier New" w:cs="Courier New" w:eastAsia="Courier New" w:hAnsi="Courier New"/>
          <w:sz w:val="9"/>
          <w:szCs w:val="9"/>
          <w:b w:val="1"/>
          <w:bCs w:val="1"/>
          <w:i w:val="1"/>
          <w:iCs w:val="1"/>
          <w:color w:val="auto"/>
        </w:rPr>
        <w:t>Payment.</w:t>
      </w:r>
      <w:r>
        <w:rPr>
          <w:sz w:val="20"/>
          <w:szCs w:val="20"/>
          <w:color w:val="auto"/>
        </w:rPr>
        <w:tab/>
      </w:r>
      <w:r>
        <w:rPr>
          <w:rFonts w:ascii="Courier New" w:cs="Courier New" w:eastAsia="Courier New" w:hAnsi="Courier New"/>
          <w:sz w:val="9"/>
          <w:szCs w:val="9"/>
          <w:color w:val="auto"/>
        </w:rPr>
        <w:t>Before any payment or delivery of Common Stock is made under the plan to any</w:t>
      </w:r>
    </w:p>
    <w:p>
      <w:pPr>
        <w:spacing w:after="0"/>
        <w:rPr>
          <w:sz w:val="20"/>
          <w:szCs w:val="20"/>
          <w:color w:val="auto"/>
        </w:rPr>
      </w:pPr>
      <w:r>
        <w:rPr>
          <w:rFonts w:ascii="Courier New" w:cs="Courier New" w:eastAsia="Courier New" w:hAnsi="Courier New"/>
          <w:sz w:val="9"/>
          <w:szCs w:val="9"/>
          <w:color w:val="auto"/>
        </w:rPr>
        <w:t>participant who is a person referred to in Section 162(m) of the Code, the Committee must certify that the</w:t>
      </w:r>
    </w:p>
    <w:p>
      <w:pPr>
        <w:spacing w:after="0" w:line="96" w:lineRule="exact"/>
        <w:rPr>
          <w:sz w:val="20"/>
          <w:szCs w:val="20"/>
          <w:color w:val="auto"/>
        </w:rPr>
      </w:pPr>
    </w:p>
    <w:p>
      <w:pPr>
        <w:ind w:right="280"/>
        <w:spacing w:after="0" w:line="235" w:lineRule="auto"/>
        <w:rPr>
          <w:sz w:val="20"/>
          <w:szCs w:val="20"/>
          <w:color w:val="auto"/>
        </w:rPr>
      </w:pPr>
      <w:r>
        <w:rPr>
          <w:rFonts w:ascii="Courier New" w:cs="Courier New" w:eastAsia="Courier New" w:hAnsi="Courier New"/>
          <w:sz w:val="9"/>
          <w:szCs w:val="9"/>
          <w:color w:val="auto"/>
        </w:rPr>
        <w:t>performance goals established with respect to the award have been achieved. Award payments are made in Common Stock, although a participant may defer award compensation into Common Stock units in accordance with the Officers Deferred Plan.</w:t>
      </w:r>
    </w:p>
    <w:p>
      <w:pPr>
        <w:spacing w:after="0" w:line="112" w:lineRule="exact"/>
        <w:rPr>
          <w:sz w:val="20"/>
          <w:szCs w:val="20"/>
          <w:color w:val="auto"/>
        </w:rPr>
      </w:pPr>
    </w:p>
    <w:p>
      <w:pPr>
        <w:ind w:left="200"/>
        <w:spacing w:after="0"/>
        <w:tabs>
          <w:tab w:leader="none" w:pos="1260" w:val="left"/>
        </w:tabs>
        <w:rPr>
          <w:sz w:val="20"/>
          <w:szCs w:val="20"/>
          <w:color w:val="auto"/>
        </w:rPr>
      </w:pPr>
      <w:r>
        <w:rPr>
          <w:rFonts w:ascii="Courier New" w:cs="Courier New" w:eastAsia="Courier New" w:hAnsi="Courier New"/>
          <w:sz w:val="9"/>
          <w:szCs w:val="9"/>
          <w:b w:val="1"/>
          <w:bCs w:val="1"/>
          <w:i w:val="1"/>
          <w:iCs w:val="1"/>
          <w:color w:val="auto"/>
        </w:rPr>
        <w:t>Change of Control.</w:t>
      </w:r>
      <w:r>
        <w:rPr>
          <w:sz w:val="20"/>
          <w:szCs w:val="20"/>
          <w:color w:val="auto"/>
        </w:rPr>
        <w:tab/>
      </w:r>
      <w:r>
        <w:rPr>
          <w:rFonts w:ascii="Courier New" w:cs="Courier New" w:eastAsia="Courier New" w:hAnsi="Courier New"/>
          <w:sz w:val="9"/>
          <w:szCs w:val="9"/>
          <w:color w:val="auto"/>
        </w:rPr>
        <w:t>In the event of a threatened or actual change of control of the Company (as</w:t>
      </w:r>
    </w:p>
    <w:p>
      <w:pPr>
        <w:spacing w:after="0"/>
        <w:rPr>
          <w:sz w:val="20"/>
          <w:szCs w:val="20"/>
          <w:color w:val="auto"/>
        </w:rPr>
      </w:pPr>
      <w:r>
        <w:rPr>
          <w:rFonts w:ascii="Courier New" w:cs="Courier New" w:eastAsia="Courier New" w:hAnsi="Courier New"/>
          <w:sz w:val="9"/>
          <w:szCs w:val="9"/>
          <w:color w:val="auto"/>
        </w:rPr>
        <w:t>defined in the Long Term Plan), Performance Shares that have been awarded but have not yet vested will vest and become immediately payable.</w:t>
      </w:r>
    </w:p>
    <w:p>
      <w:pPr>
        <w:spacing w:after="0" w:line="111" w:lineRule="exact"/>
        <w:rPr>
          <w:sz w:val="20"/>
          <w:szCs w:val="20"/>
          <w:color w:val="auto"/>
        </w:rPr>
      </w:pPr>
    </w:p>
    <w:p>
      <w:pPr>
        <w:ind w:left="200"/>
        <w:spacing w:after="0"/>
        <w:tabs>
          <w:tab w:leader="none" w:pos="1060" w:val="left"/>
        </w:tabs>
        <w:rPr>
          <w:sz w:val="20"/>
          <w:szCs w:val="20"/>
          <w:color w:val="auto"/>
        </w:rPr>
      </w:pPr>
      <w:r>
        <w:rPr>
          <w:rFonts w:ascii="Courier New" w:cs="Courier New" w:eastAsia="Courier New" w:hAnsi="Courier New"/>
          <w:sz w:val="9"/>
          <w:szCs w:val="9"/>
          <w:b w:val="1"/>
          <w:bCs w:val="1"/>
          <w:i w:val="1"/>
          <w:iCs w:val="1"/>
          <w:color w:val="auto"/>
        </w:rPr>
        <w:t>Miscellaneous.</w:t>
      </w:r>
      <w:r>
        <w:rPr>
          <w:sz w:val="20"/>
          <w:szCs w:val="20"/>
          <w:color w:val="auto"/>
        </w:rPr>
        <w:tab/>
      </w:r>
      <w:r>
        <w:rPr>
          <w:rFonts w:ascii="Courier New" w:cs="Courier New" w:eastAsia="Courier New" w:hAnsi="Courier New"/>
          <w:sz w:val="9"/>
          <w:szCs w:val="9"/>
          <w:color w:val="auto"/>
        </w:rPr>
        <w:t>Neither Performance Shares nor Performance Share Awards may be transferred. A</w:t>
      </w:r>
    </w:p>
    <w:p>
      <w:pPr>
        <w:ind w:right="60"/>
        <w:spacing w:after="0" w:line="234" w:lineRule="auto"/>
        <w:rPr>
          <w:sz w:val="20"/>
          <w:szCs w:val="20"/>
          <w:color w:val="auto"/>
        </w:rPr>
      </w:pPr>
      <w:r>
        <w:rPr>
          <w:rFonts w:ascii="Courier New" w:cs="Courier New" w:eastAsia="Courier New" w:hAnsi="Courier New"/>
          <w:sz w:val="9"/>
          <w:szCs w:val="9"/>
          <w:color w:val="auto"/>
        </w:rPr>
        <w:t>participant may receive payment pursuant to a Performance Share Award only while an employee and only if continuously employed since the date the award was granted, except that in the event of death, disability or retirement, shares of Common Stock will be delivered with respect to an award if otherwise earned, subject to proration to reflect the portion of the applicable award term completed at the date of death, disability or retirement.</w:t>
      </w:r>
    </w:p>
    <w:p>
      <w:pPr>
        <w:spacing w:after="0" w:line="113" w:lineRule="exact"/>
        <w:rPr>
          <w:sz w:val="20"/>
          <w:szCs w:val="20"/>
          <w:color w:val="auto"/>
        </w:rPr>
      </w:pPr>
    </w:p>
    <w:p>
      <w:pPr>
        <w:ind w:left="200"/>
        <w:spacing w:after="0"/>
        <w:tabs>
          <w:tab w:leader="none" w:pos="1260" w:val="left"/>
        </w:tabs>
        <w:rPr>
          <w:sz w:val="20"/>
          <w:szCs w:val="20"/>
          <w:color w:val="auto"/>
        </w:rPr>
      </w:pPr>
      <w:r>
        <w:rPr>
          <w:rFonts w:ascii="Courier New" w:cs="Courier New" w:eastAsia="Courier New" w:hAnsi="Courier New"/>
          <w:sz w:val="9"/>
          <w:szCs w:val="9"/>
          <w:b w:val="1"/>
          <w:bCs w:val="1"/>
          <w:i w:val="1"/>
          <w:iCs w:val="1"/>
          <w:color w:val="auto"/>
        </w:rPr>
        <w:t>Shares Authorized.</w:t>
      </w:r>
      <w:r>
        <w:rPr>
          <w:sz w:val="20"/>
          <w:szCs w:val="20"/>
          <w:color w:val="auto"/>
        </w:rPr>
        <w:tab/>
      </w:r>
      <w:r>
        <w:rPr>
          <w:rFonts w:ascii="Courier New" w:cs="Courier New" w:eastAsia="Courier New" w:hAnsi="Courier New"/>
          <w:sz w:val="9"/>
          <w:szCs w:val="9"/>
          <w:color w:val="auto"/>
        </w:rPr>
        <w:t>The number of shares of Common Stock authorized for issuance under the Long</w:t>
      </w:r>
    </w:p>
    <w:p>
      <w:pPr>
        <w:ind w:right="60"/>
        <w:spacing w:after="0" w:line="235" w:lineRule="auto"/>
        <w:rPr>
          <w:sz w:val="20"/>
          <w:szCs w:val="20"/>
          <w:color w:val="auto"/>
        </w:rPr>
      </w:pPr>
      <w:r>
        <w:rPr>
          <w:rFonts w:ascii="Courier New" w:cs="Courier New" w:eastAsia="Courier New" w:hAnsi="Courier New"/>
          <w:sz w:val="9"/>
          <w:szCs w:val="9"/>
          <w:color w:val="auto"/>
        </w:rPr>
        <w:t>Term Plan is 500,000, subject to adjustment in the event of stock splits, recapitalization or other similar changes affecting the Common Stock. 42,912 shares of Common Stock were earned and issued or deferred under the Long Term Plan for the one year transition period ended October 31, 1999.</w:t>
      </w:r>
    </w:p>
    <w:p>
      <w:pPr>
        <w:sectPr>
          <w:pgSz w:w="11900" w:h="16838" w:orient="portrait"/>
          <w:cols w:equalWidth="0" w:num="1">
            <w:col w:w="10800"/>
          </w:cols>
          <w:pgMar w:left="300" w:top="134" w:right="799" w:bottom="0" w:gutter="0" w:footer="0" w:header="0"/>
        </w:sectPr>
      </w:pPr>
    </w:p>
    <w:bookmarkStart w:id="8" w:name="page9"/>
    <w:bookmarkEnd w:id="8"/>
    <w:p>
      <w:pPr>
        <w:ind w:left="200"/>
        <w:spacing w:after="0"/>
        <w:tabs>
          <w:tab w:leader="none" w:pos="1980" w:val="left"/>
        </w:tabs>
        <w:rPr>
          <w:sz w:val="20"/>
          <w:szCs w:val="20"/>
          <w:color w:val="auto"/>
        </w:rPr>
      </w:pPr>
      <w:r>
        <w:rPr>
          <w:rFonts w:ascii="Courier New" w:cs="Courier New" w:eastAsia="Courier New" w:hAnsi="Courier New"/>
          <w:sz w:val="9"/>
          <w:szCs w:val="9"/>
          <w:b w:val="1"/>
          <w:bCs w:val="1"/>
          <w:i w:val="1"/>
          <w:iCs w:val="1"/>
          <w:color w:val="auto"/>
        </w:rPr>
        <w:t>Plan Amendment and Termination.</w:t>
      </w:r>
      <w:r>
        <w:rPr>
          <w:sz w:val="20"/>
          <w:szCs w:val="20"/>
          <w:color w:val="auto"/>
        </w:rPr>
        <w:tab/>
      </w:r>
      <w:r>
        <w:rPr>
          <w:rFonts w:ascii="Courier New" w:cs="Courier New" w:eastAsia="Courier New" w:hAnsi="Courier New"/>
          <w:sz w:val="8"/>
          <w:szCs w:val="8"/>
          <w:color w:val="auto"/>
        </w:rPr>
        <w:t>The Committee may amend, suspend or terminate the Annual Plan</w:t>
      </w:r>
    </w:p>
    <w:p>
      <w:pPr>
        <w:jc w:val="both"/>
        <w:ind w:right="220"/>
        <w:spacing w:after="0" w:line="234" w:lineRule="auto"/>
        <w:rPr>
          <w:sz w:val="20"/>
          <w:szCs w:val="20"/>
          <w:color w:val="auto"/>
        </w:rPr>
      </w:pPr>
      <w:r>
        <w:rPr>
          <w:rFonts w:ascii="Courier New" w:cs="Courier New" w:eastAsia="Courier New" w:hAnsi="Courier New"/>
          <w:sz w:val="9"/>
          <w:szCs w:val="9"/>
          <w:color w:val="auto"/>
        </w:rPr>
        <w:t>at any time, with or without advance notice to plan participants, but no amendment to the plan will be effective that would increase the maximum amount that may be paid to a plan participant, that would change the stated performance goal criteria or that would modify the requirements as to eligibility for participation, unless the stockholders of the Company approve the change in accordance with the requirements of Section 162(m).</w:t>
      </w:r>
    </w:p>
    <w:p>
      <w:pPr>
        <w:spacing w:after="0" w:line="113" w:lineRule="exact"/>
        <w:rPr>
          <w:sz w:val="20"/>
          <w:szCs w:val="20"/>
          <w:color w:val="auto"/>
        </w:rPr>
      </w:pPr>
    </w:p>
    <w:p>
      <w:pPr>
        <w:ind w:left="200"/>
        <w:spacing w:after="0"/>
        <w:tabs>
          <w:tab w:leader="none" w:pos="780" w:val="left"/>
        </w:tabs>
        <w:rPr>
          <w:sz w:val="20"/>
          <w:szCs w:val="20"/>
          <w:color w:val="auto"/>
        </w:rPr>
      </w:pPr>
      <w:r>
        <w:rPr>
          <w:rFonts w:ascii="Courier New" w:cs="Courier New" w:eastAsia="Courier New" w:hAnsi="Courier New"/>
          <w:sz w:val="9"/>
          <w:szCs w:val="9"/>
          <w:b w:val="1"/>
          <w:bCs w:val="1"/>
          <w:i w:val="1"/>
          <w:iCs w:val="1"/>
          <w:color w:val="auto"/>
        </w:rPr>
        <w:t>Benefits.</w:t>
      </w:r>
      <w:r>
        <w:rPr>
          <w:sz w:val="20"/>
          <w:szCs w:val="20"/>
          <w:color w:val="auto"/>
        </w:rPr>
        <w:tab/>
      </w:r>
      <w:r>
        <w:rPr>
          <w:rFonts w:ascii="Courier New" w:cs="Courier New" w:eastAsia="Courier New" w:hAnsi="Courier New"/>
          <w:sz w:val="9"/>
          <w:szCs w:val="9"/>
          <w:color w:val="auto"/>
        </w:rPr>
        <w:t>It is not presently possible to determine the dollar value of award payments that may</w:t>
      </w:r>
    </w:p>
    <w:p>
      <w:pPr>
        <w:ind w:right="220"/>
        <w:spacing w:after="0" w:line="233" w:lineRule="auto"/>
        <w:rPr>
          <w:sz w:val="20"/>
          <w:szCs w:val="20"/>
          <w:color w:val="auto"/>
        </w:rPr>
      </w:pPr>
      <w:r>
        <w:rPr>
          <w:rFonts w:ascii="Courier New" w:cs="Courier New" w:eastAsia="Courier New" w:hAnsi="Courier New"/>
          <w:sz w:val="9"/>
          <w:szCs w:val="9"/>
          <w:color w:val="auto"/>
        </w:rPr>
        <w:t>be made, or the individuals who may be selected for such awards, in the future under this plan. Award payments made with respect to the one year Fiscal 1999 transition award to the Chief Executive Officer and each of the named executive officers are shown in Note (1) to the Summary Compensation Table and the grant of awards for the two year transition period and the Fiscal 1999 to 2001 award term are shown in the Long Term Incentive Compensation table. The dollar value of Performance Shares awarded to all executive officers as group for Fiscal 1999 aggregated $1,349,592 and to non-executive officer employees</w:t>
      </w:r>
    </w:p>
    <w:p>
      <w:pPr>
        <w:ind w:right="1240"/>
        <w:spacing w:after="0" w:line="235" w:lineRule="auto"/>
        <w:rPr>
          <w:sz w:val="20"/>
          <w:szCs w:val="20"/>
          <w:color w:val="auto"/>
        </w:rPr>
      </w:pPr>
      <w:r>
        <w:rPr>
          <w:rFonts w:ascii="Courier New" w:cs="Courier New" w:eastAsia="Courier New" w:hAnsi="Courier New"/>
          <w:sz w:val="9"/>
          <w:szCs w:val="9"/>
          <w:color w:val="auto"/>
        </w:rPr>
        <w:t>as a group aggregated $101,370. The value is based on the closing price of Toro Common Stock on December 2, 1999. Non-executive directors (outside directors) are not eligible to participate in this plan.</w:t>
      </w:r>
    </w:p>
    <w:p>
      <w:pPr>
        <w:spacing w:after="0" w:line="364" w:lineRule="exact"/>
        <w:rPr>
          <w:sz w:val="20"/>
          <w:szCs w:val="20"/>
          <w:color w:val="auto"/>
        </w:rPr>
      </w:pPr>
    </w:p>
    <w:p>
      <w:pPr>
        <w:ind w:left="5320"/>
        <w:spacing w:after="0"/>
        <w:rPr>
          <w:sz w:val="20"/>
          <w:szCs w:val="20"/>
          <w:color w:val="auto"/>
        </w:rPr>
      </w:pPr>
      <w:r>
        <w:rPr>
          <w:rFonts w:ascii="Courier New" w:cs="Courier New" w:eastAsia="Courier New" w:hAnsi="Courier New"/>
          <w:sz w:val="9"/>
          <w:szCs w:val="9"/>
          <w:b w:val="1"/>
          <w:bCs w:val="1"/>
          <w:color w:val="auto"/>
        </w:rPr>
        <w:t>PROPOSAL FOUR</w:t>
      </w:r>
    </w:p>
    <w:p>
      <w:pPr>
        <w:ind w:left="4260"/>
        <w:spacing w:after="0"/>
        <w:rPr>
          <w:sz w:val="20"/>
          <w:szCs w:val="20"/>
          <w:color w:val="auto"/>
        </w:rPr>
      </w:pPr>
      <w:r>
        <w:rPr>
          <w:rFonts w:ascii="Courier New" w:cs="Courier New" w:eastAsia="Courier New" w:hAnsi="Courier New"/>
          <w:sz w:val="9"/>
          <w:szCs w:val="9"/>
          <w:b w:val="1"/>
          <w:bCs w:val="1"/>
          <w:color w:val="auto"/>
        </w:rPr>
        <w:t>AMENDMENT OF THE TORO COMPANY DIRECTORS STOCK PLAN</w:t>
      </w:r>
    </w:p>
    <w:p>
      <w:pPr>
        <w:spacing w:after="0" w:line="111" w:lineRule="exact"/>
        <w:rPr>
          <w:sz w:val="20"/>
          <w:szCs w:val="20"/>
          <w:color w:val="auto"/>
        </w:rPr>
      </w:pPr>
    </w:p>
    <w:p>
      <w:pPr>
        <w:ind w:left="200"/>
        <w:spacing w:after="0"/>
        <w:rPr>
          <w:sz w:val="20"/>
          <w:szCs w:val="20"/>
          <w:color w:val="auto"/>
        </w:rPr>
      </w:pPr>
      <w:r>
        <w:rPr>
          <w:rFonts w:ascii="Courier New" w:cs="Courier New" w:eastAsia="Courier New" w:hAnsi="Courier New"/>
          <w:sz w:val="9"/>
          <w:szCs w:val="9"/>
          <w:color w:val="auto"/>
        </w:rPr>
        <w:t>At its December 2, 1999 meeting, the Board of Directors adopted an amendment to the Directors Plan to increase the value of shares of Common Stock</w:t>
      </w:r>
    </w:p>
    <w:p>
      <w:pPr>
        <w:ind w:right="160"/>
        <w:spacing w:after="0" w:line="233" w:lineRule="auto"/>
        <w:rPr>
          <w:sz w:val="20"/>
          <w:szCs w:val="20"/>
          <w:color w:val="auto"/>
        </w:rPr>
      </w:pPr>
      <w:r>
        <w:rPr>
          <w:rFonts w:ascii="Courier New" w:cs="Courier New" w:eastAsia="Courier New" w:hAnsi="Courier New"/>
          <w:sz w:val="9"/>
          <w:szCs w:val="9"/>
          <w:color w:val="auto"/>
        </w:rPr>
        <w:t>granted annually to nonemployee directors ("Directors Shares") from $5,000 to $10,000. Management believes it is in the interest of stockholders to increase the compensation of its nonemployee directors in order to stay competitive with other companies in attracting and retaining experienced and knowledgeable independent directors to serve on the Board of Directors. By paying the compensation in shares of Common Stock, the interests of directors are intended to be further aligned with those of stockholders. The Board of Directors first adopted, and the stockholders first approved, the Directors Plan in 1992. The plan was amended by the Board in 1995 and approved by stockholders in 1996 to provide for Directors Options and to increase the authorized shares. Although the Board is not required to obtain stockholder approval of the amendments, it wishes to do so and, if approval is not given, the Board of Directors will reconsider its decision.</w:t>
      </w:r>
    </w:p>
    <w:p>
      <w:pPr>
        <w:spacing w:after="0" w:line="114" w:lineRule="exact"/>
        <w:rPr>
          <w:sz w:val="20"/>
          <w:szCs w:val="20"/>
          <w:color w:val="auto"/>
        </w:rPr>
      </w:pPr>
    </w:p>
    <w:p>
      <w:pPr>
        <w:ind w:left="200"/>
        <w:spacing w:after="0"/>
        <w:rPr>
          <w:sz w:val="20"/>
          <w:szCs w:val="20"/>
          <w:color w:val="auto"/>
        </w:rPr>
      </w:pPr>
      <w:r>
        <w:rPr>
          <w:rFonts w:ascii="Courier New" w:cs="Courier New" w:eastAsia="Courier New" w:hAnsi="Courier New"/>
          <w:sz w:val="9"/>
          <w:szCs w:val="9"/>
          <w:color w:val="auto"/>
        </w:rPr>
        <w:t>The</w:t>
      </w:r>
    </w:p>
    <w:p>
      <w:pPr>
        <w:ind w:right="2600"/>
        <w:spacing w:after="0" w:line="235" w:lineRule="auto"/>
        <w:rPr>
          <w:sz w:val="20"/>
          <w:szCs w:val="20"/>
          <w:color w:val="auto"/>
        </w:rPr>
      </w:pPr>
      <w:r>
        <w:rPr>
          <w:rFonts w:ascii="Courier New" w:cs="Courier New" w:eastAsia="Courier New" w:hAnsi="Courier New"/>
          <w:sz w:val="9"/>
          <w:szCs w:val="9"/>
          <w:color w:val="auto"/>
        </w:rPr>
        <w:t>Plan is intended to conform to the provisions of Rule 16b-3 under the Securities Exchange Act of 1934 Act, so that the receipt of stock and options by a nonemployee director will be exempt acquisitions for</w:t>
      </w:r>
    </w:p>
    <w:p>
      <w:pPr>
        <w:spacing w:after="0" w:line="96"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purposes of Section 16(b) under the Securities Exchange Act of 1934 Act and so that nonemployee directors are eligible to serve on the Compensation Committee.</w:t>
      </w:r>
    </w:p>
    <w:p>
      <w:pPr>
        <w:spacing w:after="0" w:line="112" w:lineRule="exact"/>
        <w:rPr>
          <w:sz w:val="20"/>
          <w:szCs w:val="20"/>
          <w:color w:val="auto"/>
        </w:rPr>
      </w:pPr>
    </w:p>
    <w:p>
      <w:pPr>
        <w:ind w:left="200"/>
        <w:spacing w:after="0"/>
        <w:rPr>
          <w:sz w:val="20"/>
          <w:szCs w:val="20"/>
          <w:color w:val="auto"/>
        </w:rPr>
      </w:pPr>
      <w:r>
        <w:rPr>
          <w:rFonts w:ascii="Courier New" w:cs="Courier New" w:eastAsia="Courier New" w:hAnsi="Courier New"/>
          <w:sz w:val="9"/>
          <w:szCs w:val="9"/>
          <w:color w:val="auto"/>
        </w:rPr>
        <w:t>Following</w:t>
      </w:r>
    </w:p>
    <w:p>
      <w:pPr>
        <w:spacing w:after="0"/>
        <w:rPr>
          <w:sz w:val="20"/>
          <w:szCs w:val="20"/>
          <w:color w:val="auto"/>
        </w:rPr>
      </w:pPr>
      <w:r>
        <w:rPr>
          <w:rFonts w:ascii="Courier New" w:cs="Courier New" w:eastAsia="Courier New" w:hAnsi="Courier New"/>
          <w:sz w:val="9"/>
          <w:szCs w:val="9"/>
          <w:color w:val="auto"/>
        </w:rPr>
        <w:t>is a summary of the material features of the Directors Plan as amended.</w:t>
      </w:r>
    </w:p>
    <w:p>
      <w:pPr>
        <w:spacing w:after="0" w:line="113" w:lineRule="exact"/>
        <w:rPr>
          <w:sz w:val="20"/>
          <w:szCs w:val="20"/>
          <w:color w:val="auto"/>
        </w:rPr>
      </w:pPr>
    </w:p>
    <w:p>
      <w:pPr>
        <w:spacing w:after="0"/>
        <w:rPr>
          <w:sz w:val="20"/>
          <w:szCs w:val="20"/>
          <w:color w:val="auto"/>
        </w:rPr>
      </w:pPr>
      <w:r>
        <w:rPr>
          <w:rFonts w:ascii="Courier New" w:cs="Courier New" w:eastAsia="Courier New" w:hAnsi="Courier New"/>
          <w:sz w:val="9"/>
          <w:szCs w:val="9"/>
          <w:b w:val="1"/>
          <w:bCs w:val="1"/>
          <w:color w:val="auto"/>
        </w:rPr>
        <w:t>Description of the Directors Plan</w:t>
      </w:r>
    </w:p>
    <w:p>
      <w:pPr>
        <w:spacing w:after="0" w:line="112" w:lineRule="exact"/>
        <w:rPr>
          <w:sz w:val="20"/>
          <w:szCs w:val="20"/>
          <w:color w:val="auto"/>
        </w:rPr>
      </w:pPr>
    </w:p>
    <w:p>
      <w:pPr>
        <w:ind w:left="200"/>
        <w:spacing w:after="0"/>
        <w:tabs>
          <w:tab w:leader="none" w:pos="720" w:val="left"/>
        </w:tabs>
        <w:rPr>
          <w:sz w:val="20"/>
          <w:szCs w:val="20"/>
          <w:color w:val="auto"/>
        </w:rPr>
      </w:pPr>
      <w:r>
        <w:rPr>
          <w:rFonts w:ascii="Courier New" w:cs="Courier New" w:eastAsia="Courier New" w:hAnsi="Courier New"/>
          <w:sz w:val="9"/>
          <w:szCs w:val="9"/>
          <w:b w:val="1"/>
          <w:bCs w:val="1"/>
          <w:i w:val="1"/>
          <w:iCs w:val="1"/>
          <w:color w:val="auto"/>
        </w:rPr>
        <w:t>Purpose.</w:t>
      </w:r>
      <w:r>
        <w:rPr>
          <w:sz w:val="20"/>
          <w:szCs w:val="20"/>
          <w:color w:val="auto"/>
        </w:rPr>
        <w:tab/>
      </w:r>
      <w:r>
        <w:rPr>
          <w:rFonts w:ascii="Courier New" w:cs="Courier New" w:eastAsia="Courier New" w:hAnsi="Courier New"/>
          <w:sz w:val="9"/>
          <w:szCs w:val="9"/>
          <w:color w:val="auto"/>
        </w:rPr>
        <w:t>The purpose of the Directors Plan is to attract and retain experienced and</w:t>
      </w:r>
    </w:p>
    <w:p>
      <w:pPr>
        <w:spacing w:after="0"/>
        <w:rPr>
          <w:sz w:val="20"/>
          <w:szCs w:val="20"/>
          <w:color w:val="auto"/>
        </w:rPr>
      </w:pPr>
      <w:r>
        <w:rPr>
          <w:rFonts w:ascii="Courier New" w:cs="Courier New" w:eastAsia="Courier New" w:hAnsi="Courier New"/>
          <w:sz w:val="9"/>
          <w:szCs w:val="9"/>
          <w:color w:val="auto"/>
        </w:rPr>
        <w:t>knowledgeable nonemployee directors to serve as members of the Board of Directors of the Company and to further align their interests with those of stockholders.</w:t>
      </w:r>
    </w:p>
    <w:p>
      <w:pPr>
        <w:spacing w:after="0" w:line="111" w:lineRule="exact"/>
        <w:rPr>
          <w:sz w:val="20"/>
          <w:szCs w:val="20"/>
          <w:color w:val="auto"/>
        </w:rPr>
      </w:pPr>
    </w:p>
    <w:p>
      <w:pPr>
        <w:ind w:left="200"/>
        <w:spacing w:after="0"/>
        <w:tabs>
          <w:tab w:leader="none" w:pos="940" w:val="left"/>
        </w:tabs>
        <w:rPr>
          <w:sz w:val="20"/>
          <w:szCs w:val="20"/>
          <w:color w:val="auto"/>
        </w:rPr>
      </w:pPr>
      <w:r>
        <w:rPr>
          <w:rFonts w:ascii="Courier New" w:cs="Courier New" w:eastAsia="Courier New" w:hAnsi="Courier New"/>
          <w:sz w:val="9"/>
          <w:szCs w:val="9"/>
          <w:b w:val="1"/>
          <w:bCs w:val="1"/>
          <w:i w:val="1"/>
          <w:iCs w:val="1"/>
          <w:color w:val="auto"/>
        </w:rPr>
        <w:t>Eligibility.</w:t>
      </w:r>
      <w:r>
        <w:rPr>
          <w:sz w:val="20"/>
          <w:szCs w:val="20"/>
          <w:color w:val="auto"/>
        </w:rPr>
        <w:tab/>
      </w:r>
      <w:r>
        <w:rPr>
          <w:rFonts w:ascii="Courier New" w:cs="Courier New" w:eastAsia="Courier New" w:hAnsi="Courier New"/>
          <w:sz w:val="9"/>
          <w:szCs w:val="9"/>
          <w:color w:val="auto"/>
        </w:rPr>
        <w:t>Members of the Board of Directors who are not current employees of the Company or</w:t>
      </w:r>
    </w:p>
    <w:p>
      <w:pPr>
        <w:spacing w:after="0"/>
        <w:rPr>
          <w:sz w:val="20"/>
          <w:szCs w:val="20"/>
          <w:color w:val="auto"/>
        </w:rPr>
      </w:pPr>
      <w:r>
        <w:rPr>
          <w:rFonts w:ascii="Courier New" w:cs="Courier New" w:eastAsia="Courier New" w:hAnsi="Courier New"/>
          <w:sz w:val="9"/>
          <w:szCs w:val="9"/>
          <w:color w:val="auto"/>
        </w:rPr>
        <w:t>any subsidiary are eligible to receive awards under the Directors Plan. At the present time, 10 individuals are eligible to participate.</w:t>
      </w:r>
    </w:p>
    <w:p>
      <w:pPr>
        <w:spacing w:after="0" w:line="111" w:lineRule="exact"/>
        <w:rPr>
          <w:sz w:val="20"/>
          <w:szCs w:val="20"/>
          <w:color w:val="auto"/>
        </w:rPr>
      </w:pPr>
    </w:p>
    <w:p>
      <w:pPr>
        <w:ind w:left="200"/>
        <w:spacing w:after="0"/>
        <w:tabs>
          <w:tab w:leader="none" w:pos="1700" w:val="left"/>
        </w:tabs>
        <w:rPr>
          <w:sz w:val="20"/>
          <w:szCs w:val="20"/>
          <w:color w:val="auto"/>
        </w:rPr>
      </w:pPr>
      <w:r>
        <w:rPr>
          <w:rFonts w:ascii="Courier New" w:cs="Courier New" w:eastAsia="Courier New" w:hAnsi="Courier New"/>
          <w:sz w:val="9"/>
          <w:szCs w:val="9"/>
          <w:b w:val="1"/>
          <w:bCs w:val="1"/>
          <w:i w:val="1"/>
          <w:iCs w:val="1"/>
          <w:color w:val="auto"/>
        </w:rPr>
        <w:t>Award of Directors Shares.</w:t>
      </w:r>
      <w:r>
        <w:rPr>
          <w:sz w:val="20"/>
          <w:szCs w:val="20"/>
          <w:color w:val="auto"/>
        </w:rPr>
        <w:tab/>
      </w:r>
      <w:r>
        <w:rPr>
          <w:rFonts w:ascii="Courier New" w:cs="Courier New" w:eastAsia="Courier New" w:hAnsi="Courier New"/>
          <w:sz w:val="9"/>
          <w:szCs w:val="9"/>
          <w:color w:val="auto"/>
        </w:rPr>
        <w:t>Under the Directors Plan as amended, the Company will annually issue</w:t>
      </w:r>
    </w:p>
    <w:p>
      <w:pPr>
        <w:jc w:val="both"/>
        <w:ind w:right="120"/>
        <w:spacing w:after="0" w:line="235" w:lineRule="auto"/>
        <w:rPr>
          <w:sz w:val="20"/>
          <w:szCs w:val="20"/>
          <w:color w:val="auto"/>
        </w:rPr>
      </w:pPr>
      <w:r>
        <w:rPr>
          <w:rFonts w:ascii="Courier New" w:cs="Courier New" w:eastAsia="Courier New" w:hAnsi="Courier New"/>
          <w:sz w:val="9"/>
          <w:szCs w:val="9"/>
          <w:color w:val="auto"/>
        </w:rPr>
        <w:t>to each nonemployee director, on the first day of each fiscal year, Directors Shares, which are shares of Toro Common Stock having a fair market value of $10,000, based on the average of the closing prices of the Common Stock on the New York Stock Exchange for each of the trading days in the three month calendar period immediately prior to the date of issue.</w:t>
      </w:r>
    </w:p>
    <w:p>
      <w:pPr>
        <w:spacing w:after="0" w:line="112" w:lineRule="exact"/>
        <w:rPr>
          <w:sz w:val="20"/>
          <w:szCs w:val="20"/>
          <w:color w:val="auto"/>
        </w:rPr>
      </w:pPr>
    </w:p>
    <w:p>
      <w:pPr>
        <w:ind w:left="200"/>
        <w:spacing w:after="0"/>
        <w:tabs>
          <w:tab w:leader="none" w:pos="2300" w:val="left"/>
        </w:tabs>
        <w:rPr>
          <w:sz w:val="20"/>
          <w:szCs w:val="20"/>
          <w:color w:val="auto"/>
        </w:rPr>
      </w:pPr>
      <w:r>
        <w:rPr>
          <w:rFonts w:ascii="Courier New" w:cs="Courier New" w:eastAsia="Courier New" w:hAnsi="Courier New"/>
          <w:sz w:val="9"/>
          <w:szCs w:val="9"/>
          <w:b w:val="1"/>
          <w:bCs w:val="1"/>
          <w:i w:val="1"/>
          <w:iCs w:val="1"/>
          <w:color w:val="auto"/>
        </w:rPr>
        <w:t>Award of Directors Options and Terms.</w:t>
      </w:r>
      <w:r>
        <w:rPr>
          <w:sz w:val="20"/>
          <w:szCs w:val="20"/>
          <w:color w:val="auto"/>
        </w:rPr>
        <w:tab/>
      </w:r>
      <w:r>
        <w:rPr>
          <w:rFonts w:ascii="Courier New" w:cs="Courier New" w:eastAsia="Courier New" w:hAnsi="Courier New"/>
          <w:sz w:val="8"/>
          <w:szCs w:val="8"/>
          <w:color w:val="auto"/>
        </w:rPr>
        <w:t>Under the Directors Plan, the Company annually grants to</w:t>
      </w:r>
    </w:p>
    <w:p>
      <w:pPr>
        <w:jc w:val="both"/>
        <w:ind w:right="120"/>
        <w:spacing w:after="0" w:line="233" w:lineRule="auto"/>
        <w:rPr>
          <w:sz w:val="20"/>
          <w:szCs w:val="20"/>
          <w:color w:val="auto"/>
        </w:rPr>
      </w:pPr>
      <w:r>
        <w:rPr>
          <w:rFonts w:ascii="Courier New" w:cs="Courier New" w:eastAsia="Courier New" w:hAnsi="Courier New"/>
          <w:sz w:val="9"/>
          <w:szCs w:val="9"/>
          <w:color w:val="auto"/>
        </w:rPr>
        <w:t>each nonemployee director, on the first day of each fiscal year, a Directors Option to purchase 1,000 shares of Toro Common Stock, on the terms and conditions described below. Options may be granted only as nonqualified stock options. Each Directors Option has a term of five years and is exercisable six months following the date of grant. The exercise price per share of Common Stock at the date of grant</w:t>
      </w:r>
    </w:p>
    <w:p>
      <w:pPr>
        <w:spacing w:after="0"/>
        <w:rPr>
          <w:sz w:val="20"/>
          <w:szCs w:val="20"/>
          <w:color w:val="auto"/>
        </w:rPr>
      </w:pPr>
      <w:r>
        <w:rPr>
          <w:rFonts w:ascii="Courier New" w:cs="Courier New" w:eastAsia="Courier New" w:hAnsi="Courier New"/>
          <w:sz w:val="9"/>
          <w:szCs w:val="9"/>
          <w:color w:val="auto"/>
        </w:rPr>
        <w:t>is equal to the 4 p.m. Eastern Time closing price of a share of Common Stock on the New York Stock Exchange on that date.</w:t>
      </w:r>
    </w:p>
    <w:p>
      <w:pPr>
        <w:spacing w:after="0" w:line="111" w:lineRule="exact"/>
        <w:rPr>
          <w:sz w:val="20"/>
          <w:szCs w:val="20"/>
          <w:color w:val="auto"/>
        </w:rPr>
      </w:pPr>
    </w:p>
    <w:p>
      <w:pPr>
        <w:ind w:left="200"/>
        <w:spacing w:after="0"/>
        <w:rPr>
          <w:sz w:val="20"/>
          <w:szCs w:val="20"/>
          <w:color w:val="auto"/>
        </w:rPr>
      </w:pPr>
      <w:r>
        <w:rPr>
          <w:rFonts w:ascii="Courier New" w:cs="Courier New" w:eastAsia="Courier New" w:hAnsi="Courier New"/>
          <w:sz w:val="9"/>
          <w:szCs w:val="9"/>
          <w:color w:val="auto"/>
        </w:rPr>
        <w:t>Options</w:t>
      </w:r>
    </w:p>
    <w:p>
      <w:pPr>
        <w:ind w:right="1520"/>
        <w:spacing w:after="0" w:line="235" w:lineRule="auto"/>
        <w:rPr>
          <w:sz w:val="20"/>
          <w:szCs w:val="20"/>
          <w:color w:val="auto"/>
        </w:rPr>
      </w:pPr>
      <w:r>
        <w:rPr>
          <w:rFonts w:ascii="Courier New" w:cs="Courier New" w:eastAsia="Courier New" w:hAnsi="Courier New"/>
          <w:sz w:val="9"/>
          <w:szCs w:val="9"/>
          <w:color w:val="auto"/>
        </w:rPr>
        <w:t>may not be transferred except by will or the laws of descent and distribution. In the event a nonemployee director's service terminates prior to exercise of any outstanding option, such options will be immediately cancelled and will again become available for option grants.</w:t>
      </w:r>
    </w:p>
    <w:p>
      <w:pPr>
        <w:spacing w:after="0" w:line="112" w:lineRule="exact"/>
        <w:rPr>
          <w:sz w:val="20"/>
          <w:szCs w:val="20"/>
          <w:color w:val="auto"/>
        </w:rPr>
      </w:pPr>
    </w:p>
    <w:p>
      <w:pPr>
        <w:ind w:left="200"/>
        <w:spacing w:after="0"/>
        <w:tabs>
          <w:tab w:leader="none" w:pos="1380" w:val="left"/>
        </w:tabs>
        <w:rPr>
          <w:sz w:val="20"/>
          <w:szCs w:val="20"/>
          <w:color w:val="auto"/>
        </w:rPr>
      </w:pPr>
      <w:r>
        <w:rPr>
          <w:rFonts w:ascii="Courier New" w:cs="Courier New" w:eastAsia="Courier New" w:hAnsi="Courier New"/>
          <w:sz w:val="9"/>
          <w:szCs w:val="9"/>
          <w:b w:val="1"/>
          <w:bCs w:val="1"/>
          <w:i w:val="1"/>
          <w:iCs w:val="1"/>
          <w:color w:val="auto"/>
        </w:rPr>
        <w:t>Methods of Exercise.</w:t>
      </w:r>
      <w:r>
        <w:rPr>
          <w:sz w:val="20"/>
          <w:szCs w:val="20"/>
          <w:color w:val="auto"/>
        </w:rPr>
        <w:tab/>
      </w:r>
      <w:r>
        <w:rPr>
          <w:rFonts w:ascii="Courier New" w:cs="Courier New" w:eastAsia="Courier New" w:hAnsi="Courier New"/>
          <w:sz w:val="8"/>
          <w:szCs w:val="8"/>
          <w:color w:val="auto"/>
        </w:rPr>
        <w:t>The Directors Plan permits exercise of an option by payment in cash or</w:t>
      </w:r>
    </w:p>
    <w:p>
      <w:pPr>
        <w:spacing w:after="0"/>
        <w:rPr>
          <w:sz w:val="20"/>
          <w:szCs w:val="20"/>
          <w:color w:val="auto"/>
        </w:rPr>
      </w:pPr>
      <w:r>
        <w:rPr>
          <w:rFonts w:ascii="Courier New" w:cs="Courier New" w:eastAsia="Courier New" w:hAnsi="Courier New"/>
          <w:sz w:val="9"/>
          <w:szCs w:val="9"/>
          <w:color w:val="auto"/>
        </w:rPr>
        <w:t>shares of Common Stock.</w:t>
      </w:r>
    </w:p>
    <w:p>
      <w:pPr>
        <w:spacing w:after="0" w:line="111" w:lineRule="exact"/>
        <w:rPr>
          <w:sz w:val="20"/>
          <w:szCs w:val="20"/>
          <w:color w:val="auto"/>
        </w:rPr>
      </w:pPr>
    </w:p>
    <w:p>
      <w:pPr>
        <w:ind w:left="200"/>
        <w:spacing w:after="0"/>
        <w:tabs>
          <w:tab w:leader="none" w:pos="1260" w:val="left"/>
        </w:tabs>
        <w:rPr>
          <w:sz w:val="20"/>
          <w:szCs w:val="20"/>
          <w:color w:val="auto"/>
        </w:rPr>
      </w:pPr>
      <w:r>
        <w:rPr>
          <w:rFonts w:ascii="Courier New" w:cs="Courier New" w:eastAsia="Courier New" w:hAnsi="Courier New"/>
          <w:sz w:val="9"/>
          <w:szCs w:val="9"/>
          <w:b w:val="1"/>
          <w:bCs w:val="1"/>
          <w:i w:val="1"/>
          <w:iCs w:val="1"/>
          <w:color w:val="auto"/>
        </w:rPr>
        <w:t>Change of Control.</w:t>
      </w:r>
      <w:r>
        <w:rPr>
          <w:sz w:val="20"/>
          <w:szCs w:val="20"/>
          <w:color w:val="auto"/>
        </w:rPr>
        <w:tab/>
      </w:r>
      <w:r>
        <w:rPr>
          <w:rFonts w:ascii="Courier New" w:cs="Courier New" w:eastAsia="Courier New" w:hAnsi="Courier New"/>
          <w:sz w:val="9"/>
          <w:szCs w:val="9"/>
          <w:color w:val="auto"/>
        </w:rPr>
        <w:t>In the event of an actual or threatened change of control of the Company as</w:t>
      </w:r>
    </w:p>
    <w:p>
      <w:pPr>
        <w:spacing w:after="0"/>
        <w:rPr>
          <w:sz w:val="20"/>
          <w:szCs w:val="20"/>
          <w:color w:val="auto"/>
        </w:rPr>
      </w:pPr>
      <w:r>
        <w:rPr>
          <w:rFonts w:ascii="Courier New" w:cs="Courier New" w:eastAsia="Courier New" w:hAnsi="Courier New"/>
          <w:sz w:val="9"/>
          <w:szCs w:val="9"/>
          <w:color w:val="auto"/>
        </w:rPr>
        <w:t>defined in the Directors Plan, all options will fully vest.</w:t>
      </w:r>
    </w:p>
    <w:p>
      <w:pPr>
        <w:spacing w:after="0" w:line="111" w:lineRule="exact"/>
        <w:rPr>
          <w:sz w:val="20"/>
          <w:szCs w:val="20"/>
          <w:color w:val="auto"/>
        </w:rPr>
      </w:pPr>
    </w:p>
    <w:p>
      <w:pPr>
        <w:ind w:left="200"/>
        <w:spacing w:after="0"/>
        <w:tabs>
          <w:tab w:leader="none" w:pos="1060" w:val="left"/>
        </w:tabs>
        <w:rPr>
          <w:sz w:val="20"/>
          <w:szCs w:val="20"/>
          <w:color w:val="auto"/>
        </w:rPr>
      </w:pPr>
      <w:r>
        <w:rPr>
          <w:rFonts w:ascii="Courier New" w:cs="Courier New" w:eastAsia="Courier New" w:hAnsi="Courier New"/>
          <w:sz w:val="9"/>
          <w:szCs w:val="9"/>
          <w:b w:val="1"/>
          <w:bCs w:val="1"/>
          <w:i w:val="1"/>
          <w:iCs w:val="1"/>
          <w:color w:val="auto"/>
        </w:rPr>
        <w:t>Miscellaneous.</w:t>
      </w:r>
      <w:r>
        <w:rPr>
          <w:sz w:val="20"/>
          <w:szCs w:val="20"/>
          <w:color w:val="auto"/>
        </w:rPr>
        <w:tab/>
      </w:r>
      <w:r>
        <w:rPr>
          <w:rFonts w:ascii="Courier New" w:cs="Courier New" w:eastAsia="Courier New" w:hAnsi="Courier New"/>
          <w:sz w:val="9"/>
          <w:szCs w:val="9"/>
          <w:color w:val="auto"/>
        </w:rPr>
        <w:t>The maximum number of shares to be made available for issuance under the</w:t>
      </w:r>
    </w:p>
    <w:p>
      <w:pPr>
        <w:ind w:right="160"/>
        <w:spacing w:after="0" w:line="235" w:lineRule="auto"/>
        <w:rPr>
          <w:sz w:val="20"/>
          <w:szCs w:val="20"/>
          <w:color w:val="auto"/>
        </w:rPr>
      </w:pPr>
      <w:r>
        <w:rPr>
          <w:rFonts w:ascii="Courier New" w:cs="Courier New" w:eastAsia="Courier New" w:hAnsi="Courier New"/>
          <w:sz w:val="9"/>
          <w:szCs w:val="9"/>
          <w:color w:val="auto"/>
        </w:rPr>
        <w:t>Directors Plan is 65,000, subject to adjustment to reflect changes in the corporate or capital structure of the Company. Shares may be authorized but unissued Common Stock or shares of Common Stock held in the Company's treasury. To date 50,239 shares have been issued under the Directors Plan.</w:t>
      </w:r>
    </w:p>
    <w:p>
      <w:pPr>
        <w:spacing w:after="0" w:line="112" w:lineRule="exact"/>
        <w:rPr>
          <w:sz w:val="20"/>
          <w:szCs w:val="20"/>
          <w:color w:val="auto"/>
        </w:rPr>
      </w:pPr>
    </w:p>
    <w:p>
      <w:pPr>
        <w:ind w:left="200"/>
        <w:spacing w:after="0"/>
        <w:tabs>
          <w:tab w:leader="none" w:pos="1320" w:val="left"/>
        </w:tabs>
        <w:rPr>
          <w:sz w:val="20"/>
          <w:szCs w:val="20"/>
          <w:color w:val="auto"/>
        </w:rPr>
      </w:pPr>
      <w:r>
        <w:rPr>
          <w:rFonts w:ascii="Courier New" w:cs="Courier New" w:eastAsia="Courier New" w:hAnsi="Courier New"/>
          <w:sz w:val="9"/>
          <w:szCs w:val="9"/>
          <w:b w:val="1"/>
          <w:bCs w:val="1"/>
          <w:i w:val="1"/>
          <w:iCs w:val="1"/>
          <w:color w:val="auto"/>
        </w:rPr>
        <w:t>Term and Amendment.</w:t>
      </w:r>
      <w:r>
        <w:rPr>
          <w:sz w:val="20"/>
          <w:szCs w:val="20"/>
          <w:color w:val="auto"/>
        </w:rPr>
        <w:tab/>
      </w:r>
      <w:r>
        <w:rPr>
          <w:rFonts w:ascii="Courier New" w:cs="Courier New" w:eastAsia="Courier New" w:hAnsi="Courier New"/>
          <w:sz w:val="9"/>
          <w:szCs w:val="9"/>
          <w:color w:val="auto"/>
        </w:rPr>
        <w:t>The term of the Directors Plan is ten years, which expires on</w:t>
      </w:r>
    </w:p>
    <w:p>
      <w:pPr>
        <w:spacing w:after="0"/>
        <w:rPr>
          <w:sz w:val="20"/>
          <w:szCs w:val="20"/>
          <w:color w:val="auto"/>
        </w:rPr>
      </w:pPr>
      <w:r>
        <w:rPr>
          <w:rFonts w:ascii="Courier New" w:cs="Courier New" w:eastAsia="Courier New" w:hAnsi="Courier New"/>
          <w:sz w:val="9"/>
          <w:szCs w:val="9"/>
          <w:color w:val="auto"/>
        </w:rPr>
        <w:t>August 20, 2002, unless terminated sooner by the Board of Directors. The Directors Plan may be amended, suspended or discontinued at any time by the Board of Directors.</w:t>
      </w:r>
    </w:p>
    <w:p>
      <w:pPr>
        <w:spacing w:after="0" w:line="113" w:lineRule="exact"/>
        <w:rPr>
          <w:sz w:val="20"/>
          <w:szCs w:val="20"/>
          <w:color w:val="auto"/>
        </w:rPr>
      </w:pPr>
    </w:p>
    <w:p>
      <w:pPr>
        <w:spacing w:after="0"/>
        <w:rPr>
          <w:sz w:val="20"/>
          <w:szCs w:val="20"/>
          <w:color w:val="auto"/>
        </w:rPr>
      </w:pPr>
      <w:r>
        <w:rPr>
          <w:rFonts w:ascii="Courier New" w:cs="Courier New" w:eastAsia="Courier New" w:hAnsi="Courier New"/>
          <w:sz w:val="9"/>
          <w:szCs w:val="9"/>
          <w:b w:val="1"/>
          <w:bCs w:val="1"/>
          <w:color w:val="auto"/>
        </w:rPr>
        <w:t>Tax Consequences Under the Plan</w:t>
      </w:r>
    </w:p>
    <w:p>
      <w:pPr>
        <w:spacing w:after="0" w:line="112" w:lineRule="exact"/>
        <w:rPr>
          <w:sz w:val="20"/>
          <w:szCs w:val="20"/>
          <w:color w:val="auto"/>
        </w:rPr>
      </w:pPr>
    </w:p>
    <w:p>
      <w:pPr>
        <w:ind w:left="200"/>
        <w:spacing w:after="0"/>
        <w:rPr>
          <w:sz w:val="20"/>
          <w:szCs w:val="20"/>
          <w:color w:val="auto"/>
        </w:rPr>
      </w:pPr>
      <w:r>
        <w:rPr>
          <w:rFonts w:ascii="Courier New" w:cs="Courier New" w:eastAsia="Courier New" w:hAnsi="Courier New"/>
          <w:sz w:val="9"/>
          <w:szCs w:val="9"/>
          <w:color w:val="auto"/>
        </w:rPr>
        <w:t>The award of Directors Shares will result in taxable income to a nonemployee director and an income expense and related deduction to the Company at the time of</w:t>
      </w:r>
    </w:p>
    <w:p>
      <w:pPr>
        <w:spacing w:after="0" w:line="234" w:lineRule="auto"/>
        <w:rPr>
          <w:sz w:val="20"/>
          <w:szCs w:val="20"/>
          <w:color w:val="auto"/>
        </w:rPr>
      </w:pPr>
      <w:r>
        <w:rPr>
          <w:rFonts w:ascii="Courier New" w:cs="Courier New" w:eastAsia="Courier New" w:hAnsi="Courier New"/>
          <w:sz w:val="9"/>
          <w:szCs w:val="9"/>
          <w:color w:val="auto"/>
        </w:rPr>
        <w:t>issuance of Directors Shares. The grant of a Directors Option is not a taxable event for the option holder. Upon exercise of a Directors Option, the option holder will generally be required to recognize ordinary income in an amount equal to the excess of the fair market value of the Common Stock acquired upon exercise (generally determined as of the date of exercise) over the exercise price of the option, and the Company will be entitled to a deduction in an equal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5320"/>
        <w:spacing w:after="0"/>
        <w:rPr>
          <w:sz w:val="20"/>
          <w:szCs w:val="20"/>
          <w:color w:val="auto"/>
        </w:rPr>
      </w:pPr>
      <w:r>
        <w:rPr>
          <w:rFonts w:ascii="Courier New" w:cs="Courier New" w:eastAsia="Courier New" w:hAnsi="Courier New"/>
          <w:sz w:val="9"/>
          <w:szCs w:val="9"/>
          <w:b w:val="1"/>
          <w:bCs w:val="1"/>
          <w:color w:val="auto"/>
        </w:rPr>
        <w:t>PROPOSAL FIVE</w:t>
      </w:r>
    </w:p>
    <w:p>
      <w:pPr>
        <w:ind w:left="5020"/>
        <w:spacing w:after="0"/>
        <w:rPr>
          <w:sz w:val="20"/>
          <w:szCs w:val="20"/>
          <w:color w:val="auto"/>
        </w:rPr>
      </w:pPr>
      <w:r>
        <w:rPr>
          <w:rFonts w:ascii="Courier New" w:cs="Courier New" w:eastAsia="Courier New" w:hAnsi="Courier New"/>
          <w:sz w:val="9"/>
          <w:szCs w:val="9"/>
          <w:b w:val="1"/>
          <w:bCs w:val="1"/>
          <w:color w:val="auto"/>
        </w:rPr>
        <w:t>2000 STOCK OPTION PLAN</w:t>
      </w:r>
    </w:p>
    <w:p>
      <w:pPr>
        <w:spacing w:after="0" w:line="111" w:lineRule="exact"/>
        <w:rPr>
          <w:sz w:val="20"/>
          <w:szCs w:val="20"/>
          <w:color w:val="auto"/>
        </w:rPr>
      </w:pPr>
    </w:p>
    <w:p>
      <w:pPr>
        <w:ind w:left="200"/>
        <w:spacing w:after="0"/>
        <w:rPr>
          <w:sz w:val="20"/>
          <w:szCs w:val="20"/>
          <w:color w:val="auto"/>
        </w:rPr>
      </w:pPr>
      <w:r>
        <w:rPr>
          <w:rFonts w:ascii="Courier New" w:cs="Courier New" w:eastAsia="Courier New" w:hAnsi="Courier New"/>
          <w:sz w:val="9"/>
          <w:szCs w:val="9"/>
          <w:color w:val="auto"/>
        </w:rPr>
        <w:t>At its December 2, 1999 meeting, the Compensation Committee recommended, and the Board of Directors adopted, subject to stockholder approval, The Toro</w:t>
      </w:r>
    </w:p>
    <w:p>
      <w:pPr>
        <w:ind w:right="60"/>
        <w:spacing w:after="0" w:line="234" w:lineRule="auto"/>
        <w:rPr>
          <w:sz w:val="20"/>
          <w:szCs w:val="20"/>
          <w:color w:val="auto"/>
        </w:rPr>
      </w:pPr>
      <w:r>
        <w:rPr>
          <w:rFonts w:ascii="Courier New" w:cs="Courier New" w:eastAsia="Courier New" w:hAnsi="Courier New"/>
          <w:sz w:val="9"/>
          <w:szCs w:val="9"/>
          <w:color w:val="auto"/>
        </w:rPr>
        <w:t>Company 2000 Stock Option Plan (the "2000 Plan") under which options may be granted to key employee to purchase shares of Toro Common Stock. The Board took this action because most shares of Common Stock available under the Company's 1993 Stock Option Plan have been used, no further grants may be made under the 1989 Stock Option Plan and the Board wishes to provide for future option grants. The plan authorizes 1,000,000 shares.</w:t>
      </w:r>
    </w:p>
    <w:p>
      <w:pPr>
        <w:spacing w:after="0" w:line="113" w:lineRule="exact"/>
        <w:rPr>
          <w:sz w:val="20"/>
          <w:szCs w:val="20"/>
          <w:color w:val="auto"/>
        </w:rPr>
      </w:pPr>
    </w:p>
    <w:p>
      <w:pPr>
        <w:ind w:left="200"/>
        <w:spacing w:after="0"/>
        <w:rPr>
          <w:sz w:val="20"/>
          <w:szCs w:val="20"/>
          <w:color w:val="auto"/>
        </w:rPr>
      </w:pPr>
      <w:r>
        <w:rPr>
          <w:rFonts w:ascii="Courier New" w:cs="Courier New" w:eastAsia="Courier New" w:hAnsi="Courier New"/>
          <w:sz w:val="9"/>
          <w:szCs w:val="9"/>
          <w:color w:val="auto"/>
        </w:rPr>
        <w:t>Following</w:t>
      </w:r>
    </w:p>
    <w:p>
      <w:pPr>
        <w:spacing w:after="0"/>
        <w:rPr>
          <w:sz w:val="20"/>
          <w:szCs w:val="20"/>
          <w:color w:val="auto"/>
        </w:rPr>
      </w:pPr>
      <w:r>
        <w:rPr>
          <w:rFonts w:ascii="Courier New" w:cs="Courier New" w:eastAsia="Courier New" w:hAnsi="Courier New"/>
          <w:sz w:val="9"/>
          <w:szCs w:val="9"/>
          <w:color w:val="auto"/>
        </w:rPr>
        <w:t>is a summary of the material features of the 2000 Plan.</w:t>
      </w:r>
    </w:p>
    <w:p>
      <w:pPr>
        <w:spacing w:after="0" w:line="113" w:lineRule="exact"/>
        <w:rPr>
          <w:sz w:val="20"/>
          <w:szCs w:val="20"/>
          <w:color w:val="auto"/>
        </w:rPr>
      </w:pPr>
    </w:p>
    <w:p>
      <w:pPr>
        <w:spacing w:after="0"/>
        <w:rPr>
          <w:sz w:val="20"/>
          <w:szCs w:val="20"/>
          <w:color w:val="auto"/>
        </w:rPr>
      </w:pPr>
      <w:r>
        <w:rPr>
          <w:rFonts w:ascii="Courier New" w:cs="Courier New" w:eastAsia="Courier New" w:hAnsi="Courier New"/>
          <w:sz w:val="9"/>
          <w:szCs w:val="9"/>
          <w:b w:val="1"/>
          <w:bCs w:val="1"/>
          <w:color w:val="auto"/>
        </w:rPr>
        <w:t>Summary of the 2000 Plan Features</w:t>
      </w:r>
    </w:p>
    <w:p>
      <w:pPr>
        <w:spacing w:after="0" w:line="112" w:lineRule="exact"/>
        <w:rPr>
          <w:sz w:val="20"/>
          <w:szCs w:val="20"/>
          <w:color w:val="auto"/>
        </w:rPr>
      </w:pPr>
    </w:p>
    <w:p>
      <w:pPr>
        <w:ind w:left="200"/>
        <w:spacing w:after="0"/>
        <w:tabs>
          <w:tab w:leader="none" w:pos="720" w:val="left"/>
        </w:tabs>
        <w:rPr>
          <w:sz w:val="20"/>
          <w:szCs w:val="20"/>
          <w:color w:val="auto"/>
        </w:rPr>
      </w:pPr>
      <w:r>
        <w:rPr>
          <w:rFonts w:ascii="Courier New" w:cs="Courier New" w:eastAsia="Courier New" w:hAnsi="Courier New"/>
          <w:sz w:val="9"/>
          <w:szCs w:val="9"/>
          <w:b w:val="1"/>
          <w:bCs w:val="1"/>
          <w:i w:val="1"/>
          <w:iCs w:val="1"/>
          <w:color w:val="auto"/>
        </w:rPr>
        <w:t>Purpose.</w:t>
      </w:r>
      <w:r>
        <w:rPr>
          <w:sz w:val="20"/>
          <w:szCs w:val="20"/>
          <w:color w:val="auto"/>
        </w:rPr>
        <w:tab/>
      </w:r>
      <w:r>
        <w:rPr>
          <w:rFonts w:ascii="Courier New" w:cs="Courier New" w:eastAsia="Courier New" w:hAnsi="Courier New"/>
          <w:sz w:val="9"/>
          <w:szCs w:val="9"/>
          <w:color w:val="auto"/>
        </w:rPr>
        <w:t>The purpose of the 2000 Plan is to provide an incentive to key employees, including</w:t>
      </w:r>
    </w:p>
    <w:p>
      <w:pPr>
        <w:spacing w:after="0"/>
        <w:rPr>
          <w:sz w:val="20"/>
          <w:szCs w:val="20"/>
          <w:color w:val="auto"/>
        </w:rPr>
      </w:pPr>
      <w:r>
        <w:rPr>
          <w:rFonts w:ascii="Courier New" w:cs="Courier New" w:eastAsia="Courier New" w:hAnsi="Courier New"/>
          <w:sz w:val="9"/>
          <w:szCs w:val="9"/>
          <w:color w:val="auto"/>
        </w:rPr>
        <w:t>executive officers, and consultants, to contribute significantly to the strategic and long term performance objectives and growth of the Company.</w:t>
      </w:r>
    </w:p>
    <w:p>
      <w:pPr>
        <w:spacing w:after="0" w:line="111" w:lineRule="exact"/>
        <w:rPr>
          <w:sz w:val="20"/>
          <w:szCs w:val="20"/>
          <w:color w:val="auto"/>
        </w:rPr>
      </w:pPr>
    </w:p>
    <w:p>
      <w:pPr>
        <w:ind w:left="200"/>
        <w:spacing w:after="0"/>
        <w:tabs>
          <w:tab w:leader="none" w:pos="940" w:val="left"/>
        </w:tabs>
        <w:rPr>
          <w:sz w:val="20"/>
          <w:szCs w:val="20"/>
          <w:color w:val="auto"/>
        </w:rPr>
      </w:pPr>
      <w:r>
        <w:rPr>
          <w:rFonts w:ascii="Courier New" w:cs="Courier New" w:eastAsia="Courier New" w:hAnsi="Courier New"/>
          <w:sz w:val="9"/>
          <w:szCs w:val="9"/>
          <w:b w:val="1"/>
          <w:bCs w:val="1"/>
          <w:i w:val="1"/>
          <w:iCs w:val="1"/>
          <w:color w:val="auto"/>
        </w:rPr>
        <w:t>Eligibility.</w:t>
      </w:r>
      <w:r>
        <w:rPr>
          <w:sz w:val="20"/>
          <w:szCs w:val="20"/>
          <w:color w:val="auto"/>
        </w:rPr>
        <w:tab/>
      </w:r>
      <w:r>
        <w:rPr>
          <w:rFonts w:ascii="Courier New" w:cs="Courier New" w:eastAsia="Courier New" w:hAnsi="Courier New"/>
          <w:sz w:val="9"/>
          <w:szCs w:val="9"/>
          <w:color w:val="auto"/>
        </w:rPr>
        <w:t>Any employee regularly employed in an executive, managerial, professional or</w:t>
      </w:r>
    </w:p>
    <w:p>
      <w:pPr>
        <w:spacing w:after="0" w:line="234" w:lineRule="auto"/>
        <w:rPr>
          <w:sz w:val="20"/>
          <w:szCs w:val="20"/>
          <w:color w:val="auto"/>
        </w:rPr>
      </w:pPr>
      <w:r>
        <w:rPr>
          <w:rFonts w:ascii="Courier New" w:cs="Courier New" w:eastAsia="Courier New" w:hAnsi="Courier New"/>
          <w:sz w:val="9"/>
          <w:szCs w:val="9"/>
          <w:color w:val="auto"/>
        </w:rPr>
        <w:t>technical position, and any other individual who performs services for the Company, who contributes significantly to the strategic and long term performance objectives of the Company is eligible to participate in the 2000 Plan. The Compensation Committee will have the power to select the individuals to whom options will be granted. At the present time, approximately 100 employees are eligible to participate in the proposed plan.</w:t>
      </w:r>
    </w:p>
    <w:p>
      <w:pPr>
        <w:spacing w:after="0" w:line="113" w:lineRule="exact"/>
        <w:rPr>
          <w:sz w:val="20"/>
          <w:szCs w:val="20"/>
          <w:color w:val="auto"/>
        </w:rPr>
      </w:pPr>
    </w:p>
    <w:p>
      <w:pPr>
        <w:ind w:left="200"/>
        <w:spacing w:after="0"/>
        <w:tabs>
          <w:tab w:leader="none" w:pos="1760" w:val="left"/>
        </w:tabs>
        <w:rPr>
          <w:sz w:val="20"/>
          <w:szCs w:val="20"/>
          <w:color w:val="auto"/>
        </w:rPr>
      </w:pPr>
      <w:r>
        <w:rPr>
          <w:rFonts w:ascii="Courier New" w:cs="Courier New" w:eastAsia="Courier New" w:hAnsi="Courier New"/>
          <w:sz w:val="9"/>
          <w:szCs w:val="9"/>
          <w:b w:val="1"/>
          <w:bCs w:val="1"/>
          <w:i w:val="1"/>
          <w:iCs w:val="1"/>
          <w:color w:val="auto"/>
        </w:rPr>
        <w:t>Award of Options and Terms.</w:t>
      </w:r>
      <w:r>
        <w:rPr>
          <w:sz w:val="20"/>
          <w:szCs w:val="20"/>
          <w:color w:val="auto"/>
        </w:rPr>
        <w:tab/>
      </w:r>
      <w:r>
        <w:rPr>
          <w:rFonts w:ascii="Courier New" w:cs="Courier New" w:eastAsia="Courier New" w:hAnsi="Courier New"/>
          <w:sz w:val="8"/>
          <w:szCs w:val="8"/>
          <w:color w:val="auto"/>
        </w:rPr>
        <w:t>Options may be granted either as incentive stock options under</w:t>
      </w:r>
    </w:p>
    <w:p>
      <w:pPr>
        <w:spacing w:after="0" w:line="233" w:lineRule="auto"/>
        <w:rPr>
          <w:sz w:val="20"/>
          <w:szCs w:val="20"/>
          <w:color w:val="auto"/>
        </w:rPr>
      </w:pPr>
      <w:r>
        <w:rPr>
          <w:rFonts w:ascii="Courier New" w:cs="Courier New" w:eastAsia="Courier New" w:hAnsi="Courier New"/>
          <w:sz w:val="9"/>
          <w:szCs w:val="9"/>
          <w:color w:val="auto"/>
        </w:rPr>
        <w:t>Section 422 of the Code, or as nonqualified options. The term of each option will be fixed by the Committee, subject to the requirements of Section 422 for incentive stock options. The</w:t>
      </w:r>
    </w:p>
    <w:p>
      <w:pPr>
        <w:ind w:right="380"/>
        <w:spacing w:after="0" w:line="235" w:lineRule="auto"/>
        <w:rPr>
          <w:sz w:val="20"/>
          <w:szCs w:val="20"/>
          <w:color w:val="auto"/>
        </w:rPr>
      </w:pPr>
      <w:r>
        <w:rPr>
          <w:rFonts w:ascii="Courier New" w:cs="Courier New" w:eastAsia="Courier New" w:hAnsi="Courier New"/>
          <w:sz w:val="9"/>
          <w:szCs w:val="9"/>
          <w:color w:val="auto"/>
        </w:rPr>
        <w:t>exercise price of an option shall not be less than 100% of fair market value of the Common Stock on the date of grant. The fair market value of one share of the Common Stock on January 31, 2000 was $33.9375.</w:t>
      </w:r>
    </w:p>
    <w:p>
      <w:pPr>
        <w:spacing w:after="0" w:line="112" w:lineRule="exact"/>
        <w:rPr>
          <w:sz w:val="20"/>
          <w:szCs w:val="20"/>
          <w:color w:val="auto"/>
        </w:rPr>
      </w:pPr>
    </w:p>
    <w:p>
      <w:pPr>
        <w:ind w:left="200"/>
        <w:spacing w:after="0"/>
        <w:rPr>
          <w:sz w:val="20"/>
          <w:szCs w:val="20"/>
          <w:color w:val="auto"/>
        </w:rPr>
      </w:pPr>
      <w:r>
        <w:rPr>
          <w:rFonts w:ascii="Courier New" w:cs="Courier New" w:eastAsia="Courier New" w:hAnsi="Courier New"/>
          <w:sz w:val="9"/>
          <w:szCs w:val="9"/>
          <w:color w:val="auto"/>
        </w:rPr>
        <w:t>Options</w:t>
      </w:r>
    </w:p>
    <w:p>
      <w:pPr>
        <w:spacing w:after="0" w:line="233" w:lineRule="auto"/>
        <w:rPr>
          <w:sz w:val="20"/>
          <w:szCs w:val="20"/>
          <w:color w:val="auto"/>
        </w:rPr>
      </w:pPr>
      <w:r>
        <w:rPr>
          <w:rFonts w:ascii="Courier New" w:cs="Courier New" w:eastAsia="Courier New" w:hAnsi="Courier New"/>
          <w:sz w:val="9"/>
          <w:szCs w:val="9"/>
          <w:color w:val="auto"/>
        </w:rPr>
        <w:t>may not be transferred except by will or the laws of descent and distribution. During the lifetime of the option holder, the option may be exercised only by the option holder</w:t>
      </w:r>
    </w:p>
    <w:p>
      <w:pPr>
        <w:ind w:right="500"/>
        <w:spacing w:after="0" w:line="262" w:lineRule="auto"/>
        <w:rPr>
          <w:sz w:val="20"/>
          <w:szCs w:val="20"/>
          <w:color w:val="auto"/>
        </w:rPr>
      </w:pPr>
      <w:r>
        <w:rPr>
          <w:rFonts w:ascii="Courier New" w:cs="Courier New" w:eastAsia="Courier New" w:hAnsi="Courier New"/>
          <w:sz w:val="8"/>
          <w:szCs w:val="8"/>
          <w:color w:val="auto"/>
        </w:rPr>
        <w:t>and only while an employee of the Company or of a parent or a subsidiary of the Company and only if continuously so employed since the date the option was granted, except that (1) options may be exercised not later than the earlier of the date the option expires or one year after termination by reason of disability or death, and (2) nonqualified stock options may be exercised not</w:t>
      </w:r>
    </w:p>
    <w:p>
      <w:pPr>
        <w:ind w:right="60"/>
        <w:spacing w:after="0" w:line="262" w:lineRule="auto"/>
        <w:rPr>
          <w:sz w:val="20"/>
          <w:szCs w:val="20"/>
          <w:color w:val="auto"/>
        </w:rPr>
      </w:pPr>
      <w:r>
        <w:rPr>
          <w:rFonts w:ascii="Courier New" w:cs="Courier New" w:eastAsia="Courier New" w:hAnsi="Courier New"/>
          <w:sz w:val="8"/>
          <w:szCs w:val="8"/>
          <w:color w:val="auto"/>
        </w:rPr>
        <w:t>later than the earlier of the date the option expires or up to four years after the date of retirement as defined in the 2000 Plan. In the event an option holder terminates employment or performance of services and is employed or retained by a competitor of the Company within one year thereafter or violates a confidentiality or similar agreement with the Company or engages in conduct detrimental to the Company, any outstanding options held by such person may be cancelled or rescinded and the Company will have the right to the return of the economic value of any option realized during the</w:t>
      </w:r>
    </w:p>
    <w:p>
      <w:pPr>
        <w:ind w:right="540"/>
        <w:spacing w:after="0" w:line="235" w:lineRule="auto"/>
        <w:rPr>
          <w:sz w:val="20"/>
          <w:szCs w:val="20"/>
          <w:color w:val="auto"/>
        </w:rPr>
      </w:pPr>
      <w:r>
        <w:rPr>
          <w:rFonts w:ascii="Courier New" w:cs="Courier New" w:eastAsia="Courier New" w:hAnsi="Courier New"/>
          <w:sz w:val="9"/>
          <w:szCs w:val="9"/>
          <w:color w:val="auto"/>
        </w:rPr>
        <w:t>12 month period prior to such termination. In the event an option holder's employment or service terminates prior to exercise of any outstanding option, other than as a result of disability, death or retirement (as defined in the plan), such options will be cancelled three months after termination, and will again become available for option grants.</w:t>
      </w:r>
    </w:p>
    <w:p>
      <w:pPr>
        <w:spacing w:after="0" w:line="112" w:lineRule="exact"/>
        <w:rPr>
          <w:sz w:val="20"/>
          <w:szCs w:val="20"/>
          <w:color w:val="auto"/>
        </w:rPr>
      </w:pPr>
    </w:p>
    <w:p>
      <w:pPr>
        <w:ind w:left="200"/>
        <w:spacing w:after="0"/>
        <w:rPr>
          <w:sz w:val="20"/>
          <w:szCs w:val="20"/>
          <w:color w:val="auto"/>
        </w:rPr>
      </w:pPr>
      <w:r>
        <w:rPr>
          <w:rFonts w:ascii="Courier New" w:cs="Courier New" w:eastAsia="Courier New" w:hAnsi="Courier New"/>
          <w:sz w:val="9"/>
          <w:szCs w:val="9"/>
          <w:color w:val="auto"/>
        </w:rPr>
        <w:t>The</w:t>
      </w:r>
    </w:p>
    <w:p>
      <w:pPr>
        <w:spacing w:after="0" w:line="233" w:lineRule="auto"/>
        <w:rPr>
          <w:sz w:val="20"/>
          <w:szCs w:val="20"/>
          <w:color w:val="auto"/>
        </w:rPr>
      </w:pPr>
      <w:r>
        <w:rPr>
          <w:rFonts w:ascii="Courier New" w:cs="Courier New" w:eastAsia="Courier New" w:hAnsi="Courier New"/>
          <w:sz w:val="9"/>
          <w:szCs w:val="9"/>
          <w:color w:val="auto"/>
        </w:rPr>
        <w:t>Committee may include a provision in an option permitting the grant of a new option when payment of the exercise price of an option is made in shares of Common Stock (an</w:t>
      </w:r>
    </w:p>
    <w:p>
      <w:pPr>
        <w:spacing w:after="0" w:line="235" w:lineRule="auto"/>
        <w:rPr>
          <w:sz w:val="20"/>
          <w:szCs w:val="20"/>
          <w:color w:val="auto"/>
        </w:rPr>
      </w:pPr>
      <w:r>
        <w:rPr>
          <w:rFonts w:ascii="Courier New" w:cs="Courier New" w:eastAsia="Courier New" w:hAnsi="Courier New"/>
          <w:sz w:val="9"/>
          <w:szCs w:val="9"/>
          <w:color w:val="auto"/>
        </w:rPr>
        <w:t>accelerated ownership option). The terms of the accelerated ownership option would be the same as those of the original option, except that the exercise price would be fair market value at the date of grant of the new option.</w:t>
      </w:r>
    </w:p>
    <w:p>
      <w:pPr>
        <w:spacing w:after="0" w:line="112" w:lineRule="exact"/>
        <w:rPr>
          <w:sz w:val="20"/>
          <w:szCs w:val="20"/>
          <w:color w:val="auto"/>
        </w:rPr>
      </w:pPr>
    </w:p>
    <w:p>
      <w:pPr>
        <w:ind w:left="200"/>
        <w:spacing w:after="0"/>
        <w:rPr>
          <w:sz w:val="20"/>
          <w:szCs w:val="20"/>
          <w:color w:val="auto"/>
        </w:rPr>
      </w:pPr>
      <w:r>
        <w:rPr>
          <w:rFonts w:ascii="Courier New" w:cs="Courier New" w:eastAsia="Courier New" w:hAnsi="Courier New"/>
          <w:sz w:val="9"/>
          <w:szCs w:val="9"/>
          <w:color w:val="auto"/>
        </w:rPr>
        <w:t>The</w:t>
      </w:r>
    </w:p>
    <w:p>
      <w:pPr>
        <w:ind w:right="1300"/>
        <w:spacing w:after="0" w:line="235" w:lineRule="auto"/>
        <w:rPr>
          <w:sz w:val="20"/>
          <w:szCs w:val="20"/>
          <w:color w:val="auto"/>
        </w:rPr>
      </w:pPr>
      <w:r>
        <w:rPr>
          <w:rFonts w:ascii="Courier New" w:cs="Courier New" w:eastAsia="Courier New" w:hAnsi="Courier New"/>
          <w:sz w:val="9"/>
          <w:szCs w:val="9"/>
          <w:color w:val="auto"/>
        </w:rPr>
        <w:t>2000 Plan provides that the Committee may permit exercise of an option by a variety of methods, including payment in cash or shares of Common Stock or a combination of cash and shares of Common Stock, or a same day sale through a brokerage firm in accordance with regulations of the Federal Reserve Board.</w:t>
      </w:r>
    </w:p>
    <w:p>
      <w:pPr>
        <w:spacing w:after="0" w:line="211" w:lineRule="exact"/>
        <w:rPr>
          <w:sz w:val="20"/>
          <w:szCs w:val="20"/>
          <w:color w:val="auto"/>
        </w:rPr>
      </w:pPr>
    </w:p>
    <w:p>
      <w:pPr>
        <w:ind w:left="200"/>
        <w:spacing w:after="0"/>
        <w:tabs>
          <w:tab w:leader="none" w:pos="1060" w:val="left"/>
        </w:tabs>
        <w:rPr>
          <w:sz w:val="20"/>
          <w:szCs w:val="20"/>
          <w:color w:val="auto"/>
        </w:rPr>
      </w:pPr>
      <w:r>
        <w:rPr>
          <w:rFonts w:ascii="Courier New" w:cs="Courier New" w:eastAsia="Courier New" w:hAnsi="Courier New"/>
          <w:sz w:val="9"/>
          <w:szCs w:val="9"/>
          <w:b w:val="1"/>
          <w:bCs w:val="1"/>
          <w:i w:val="1"/>
          <w:iCs w:val="1"/>
          <w:color w:val="auto"/>
        </w:rPr>
        <w:t>Maximum Award.</w:t>
      </w:r>
      <w:r>
        <w:rPr>
          <w:sz w:val="20"/>
          <w:szCs w:val="20"/>
          <w:color w:val="auto"/>
        </w:rPr>
        <w:tab/>
      </w:r>
      <w:r>
        <w:rPr>
          <w:rFonts w:ascii="Courier New" w:cs="Courier New" w:eastAsia="Courier New" w:hAnsi="Courier New"/>
          <w:sz w:val="8"/>
          <w:szCs w:val="8"/>
          <w:color w:val="auto"/>
        </w:rPr>
        <w:t>The maximum number of shares that may be covered by options granted to any</w:t>
      </w:r>
    </w:p>
    <w:p>
      <w:pPr>
        <w:spacing w:after="0" w:line="234" w:lineRule="auto"/>
        <w:rPr>
          <w:sz w:val="20"/>
          <w:szCs w:val="20"/>
          <w:color w:val="auto"/>
        </w:rPr>
      </w:pPr>
      <w:r>
        <w:rPr>
          <w:rFonts w:ascii="Courier New" w:cs="Courier New" w:eastAsia="Courier New" w:hAnsi="Courier New"/>
          <w:sz w:val="9"/>
          <w:szCs w:val="9"/>
          <w:color w:val="auto"/>
        </w:rPr>
        <w:t>individual during any calendar year will be 100,000. To the extent that the aggregate fair market value (as of grant date) of Common Stock with respect to which incentive stock options are exercisable for the first time during any calendar year by an individual exceeds $100,000 or such other limit as may be required by the Code, options which exceed such limit will be treated as nonqualified options. This dollar limit does not apply to nonqualified options.</w:t>
      </w:r>
    </w:p>
    <w:p>
      <w:pPr>
        <w:spacing w:after="0" w:line="113" w:lineRule="exact"/>
        <w:rPr>
          <w:sz w:val="20"/>
          <w:szCs w:val="20"/>
          <w:color w:val="auto"/>
        </w:rPr>
      </w:pPr>
    </w:p>
    <w:p>
      <w:pPr>
        <w:ind w:left="200"/>
        <w:spacing w:after="0"/>
        <w:tabs>
          <w:tab w:leader="none" w:pos="1260" w:val="left"/>
        </w:tabs>
        <w:rPr>
          <w:sz w:val="20"/>
          <w:szCs w:val="20"/>
          <w:color w:val="auto"/>
        </w:rPr>
      </w:pPr>
      <w:r>
        <w:rPr>
          <w:rFonts w:ascii="Courier New" w:cs="Courier New" w:eastAsia="Courier New" w:hAnsi="Courier New"/>
          <w:sz w:val="9"/>
          <w:szCs w:val="9"/>
          <w:b w:val="1"/>
          <w:bCs w:val="1"/>
          <w:i w:val="1"/>
          <w:iCs w:val="1"/>
          <w:color w:val="auto"/>
        </w:rPr>
        <w:t>Change of Control.</w:t>
      </w:r>
      <w:r>
        <w:rPr>
          <w:sz w:val="20"/>
          <w:szCs w:val="20"/>
          <w:color w:val="auto"/>
        </w:rPr>
        <w:tab/>
      </w:r>
      <w:r>
        <w:rPr>
          <w:rFonts w:ascii="Courier New" w:cs="Courier New" w:eastAsia="Courier New" w:hAnsi="Courier New"/>
          <w:sz w:val="9"/>
          <w:szCs w:val="9"/>
          <w:color w:val="auto"/>
        </w:rPr>
        <w:t>In the event of a change of control of the Company as defined in the 2000</w:t>
      </w:r>
    </w:p>
    <w:p>
      <w:pPr>
        <w:spacing w:after="0"/>
        <w:rPr>
          <w:sz w:val="20"/>
          <w:szCs w:val="20"/>
          <w:color w:val="auto"/>
        </w:rPr>
      </w:pPr>
      <w:r>
        <w:rPr>
          <w:rFonts w:ascii="Courier New" w:cs="Courier New" w:eastAsia="Courier New" w:hAnsi="Courier New"/>
          <w:sz w:val="9"/>
          <w:szCs w:val="9"/>
          <w:color w:val="auto"/>
        </w:rPr>
        <w:t>Plan, all unvested options will fully vest, unless otherwise limited by the Committee at the time of grant.</w:t>
      </w:r>
    </w:p>
    <w:p>
      <w:pPr>
        <w:spacing w:after="0" w:line="111" w:lineRule="exact"/>
        <w:rPr>
          <w:sz w:val="20"/>
          <w:szCs w:val="20"/>
          <w:color w:val="auto"/>
        </w:rPr>
      </w:pPr>
    </w:p>
    <w:p>
      <w:pPr>
        <w:ind w:left="200"/>
        <w:spacing w:after="0"/>
        <w:tabs>
          <w:tab w:leader="none" w:pos="1980" w:val="left"/>
        </w:tabs>
        <w:rPr>
          <w:sz w:val="20"/>
          <w:szCs w:val="20"/>
          <w:color w:val="auto"/>
        </w:rPr>
      </w:pPr>
      <w:r>
        <w:rPr>
          <w:rFonts w:ascii="Courier New" w:cs="Courier New" w:eastAsia="Courier New" w:hAnsi="Courier New"/>
          <w:sz w:val="9"/>
          <w:szCs w:val="9"/>
          <w:b w:val="1"/>
          <w:bCs w:val="1"/>
          <w:i w:val="1"/>
          <w:iCs w:val="1"/>
          <w:color w:val="auto"/>
        </w:rPr>
        <w:t>Plan Amendment and Termination.</w:t>
      </w:r>
      <w:r>
        <w:rPr>
          <w:sz w:val="20"/>
          <w:szCs w:val="20"/>
          <w:color w:val="auto"/>
        </w:rPr>
        <w:tab/>
      </w:r>
      <w:r>
        <w:rPr>
          <w:rFonts w:ascii="Courier New" w:cs="Courier New" w:eastAsia="Courier New" w:hAnsi="Courier New"/>
          <w:sz w:val="8"/>
          <w:szCs w:val="8"/>
          <w:color w:val="auto"/>
        </w:rPr>
        <w:t>The 2000 Plan may be amended, suspended or terminated at any</w:t>
      </w:r>
    </w:p>
    <w:p>
      <w:pPr>
        <w:spacing w:after="0" w:line="233" w:lineRule="auto"/>
        <w:rPr>
          <w:sz w:val="20"/>
          <w:szCs w:val="20"/>
          <w:color w:val="auto"/>
        </w:rPr>
      </w:pPr>
      <w:r>
        <w:rPr>
          <w:rFonts w:ascii="Courier New" w:cs="Courier New" w:eastAsia="Courier New" w:hAnsi="Courier New"/>
          <w:sz w:val="9"/>
          <w:szCs w:val="9"/>
          <w:color w:val="auto"/>
        </w:rPr>
        <w:t>time by the Board of Directors, including an amendment to increase the number of shares of Common Stock with respect to which options may be granted; provided that no amendment that would increase the maximum number of options that may be awarded to a person referred to in Section 162(m) of the Code or that would modify requirements as to eligibility will be effective without approval of the stockholders, in accordance with the Code. No amendment to the 2000 Plan may, without the consent of the option holder, alter or impair any option previously granted under the 2000 Plan. The 2000 Plan will remain in effect until all shares of Common Stock reserved for issuance have been purchased, except that no options may be granted under the 2000 Plan later than ten years after its effective date.</w:t>
      </w:r>
    </w:p>
    <w:p>
      <w:pPr>
        <w:spacing w:after="0" w:line="114" w:lineRule="exact"/>
        <w:rPr>
          <w:sz w:val="20"/>
          <w:szCs w:val="20"/>
          <w:color w:val="auto"/>
        </w:rPr>
      </w:pPr>
    </w:p>
    <w:p>
      <w:pPr>
        <w:ind w:left="200"/>
        <w:spacing w:after="0"/>
        <w:tabs>
          <w:tab w:leader="none" w:pos="1260" w:val="left"/>
        </w:tabs>
        <w:rPr>
          <w:sz w:val="20"/>
          <w:szCs w:val="20"/>
          <w:color w:val="auto"/>
        </w:rPr>
      </w:pPr>
      <w:r>
        <w:rPr>
          <w:rFonts w:ascii="Courier New" w:cs="Courier New" w:eastAsia="Courier New" w:hAnsi="Courier New"/>
          <w:sz w:val="9"/>
          <w:szCs w:val="9"/>
          <w:b w:val="1"/>
          <w:bCs w:val="1"/>
          <w:i w:val="1"/>
          <w:iCs w:val="1"/>
          <w:color w:val="auto"/>
        </w:rPr>
        <w:t>Shares Authorized.</w:t>
      </w:r>
      <w:r>
        <w:rPr>
          <w:sz w:val="20"/>
          <w:szCs w:val="20"/>
          <w:color w:val="auto"/>
        </w:rPr>
        <w:tab/>
      </w:r>
      <w:r>
        <w:rPr>
          <w:rFonts w:ascii="Courier New" w:cs="Courier New" w:eastAsia="Courier New" w:hAnsi="Courier New"/>
          <w:sz w:val="9"/>
          <w:szCs w:val="9"/>
          <w:color w:val="auto"/>
        </w:rPr>
        <w:t>The number of shares authorized for issuance under the 2000 Plan is</w:t>
      </w:r>
    </w:p>
    <w:p>
      <w:pPr>
        <w:spacing w:after="0" w:line="235" w:lineRule="auto"/>
        <w:rPr>
          <w:sz w:val="20"/>
          <w:szCs w:val="20"/>
          <w:color w:val="auto"/>
        </w:rPr>
      </w:pPr>
      <w:r>
        <w:rPr>
          <w:rFonts w:ascii="Courier New" w:cs="Courier New" w:eastAsia="Courier New" w:hAnsi="Courier New"/>
          <w:sz w:val="9"/>
          <w:szCs w:val="9"/>
          <w:color w:val="auto"/>
        </w:rPr>
        <w:t>1,000,000, subject to adjustment in the event of stock splits, recapitalization or other similar events affecting the Common Stock. Shares of Common Stock to be issued upon the exercise of options may be either original issue or treasury shares. Shares of Common Stock covered by options which terminate without being exercised will again be available for option grants.</w:t>
      </w:r>
    </w:p>
    <w:p>
      <w:pPr>
        <w:spacing w:after="0" w:line="112" w:lineRule="exact"/>
        <w:rPr>
          <w:sz w:val="20"/>
          <w:szCs w:val="20"/>
          <w:color w:val="auto"/>
        </w:rPr>
      </w:pPr>
    </w:p>
    <w:p>
      <w:pPr>
        <w:ind w:left="200"/>
        <w:spacing w:after="0"/>
        <w:tabs>
          <w:tab w:leader="none" w:pos="780" w:val="left"/>
        </w:tabs>
        <w:rPr>
          <w:sz w:val="20"/>
          <w:szCs w:val="20"/>
          <w:color w:val="auto"/>
        </w:rPr>
      </w:pPr>
      <w:r>
        <w:rPr>
          <w:rFonts w:ascii="Courier New" w:cs="Courier New" w:eastAsia="Courier New" w:hAnsi="Courier New"/>
          <w:sz w:val="9"/>
          <w:szCs w:val="9"/>
          <w:b w:val="1"/>
          <w:bCs w:val="1"/>
          <w:i w:val="1"/>
          <w:iCs w:val="1"/>
          <w:color w:val="auto"/>
        </w:rPr>
        <w:t>Benefits.</w:t>
      </w:r>
      <w:r>
        <w:rPr>
          <w:sz w:val="20"/>
          <w:szCs w:val="20"/>
          <w:color w:val="auto"/>
        </w:rPr>
        <w:tab/>
      </w:r>
      <w:r>
        <w:rPr>
          <w:rFonts w:ascii="Courier New" w:cs="Courier New" w:eastAsia="Courier New" w:hAnsi="Courier New"/>
          <w:sz w:val="9"/>
          <w:szCs w:val="9"/>
          <w:color w:val="auto"/>
        </w:rPr>
        <w:t>It is not presently possible to determine the dollar value of award payments that may</w:t>
      </w:r>
    </w:p>
    <w:p>
      <w:pPr>
        <w:ind w:right="60"/>
        <w:spacing w:after="0" w:line="234" w:lineRule="auto"/>
        <w:rPr>
          <w:sz w:val="20"/>
          <w:szCs w:val="20"/>
          <w:color w:val="auto"/>
        </w:rPr>
      </w:pPr>
      <w:r>
        <w:rPr>
          <w:rFonts w:ascii="Courier New" w:cs="Courier New" w:eastAsia="Courier New" w:hAnsi="Courier New"/>
          <w:sz w:val="9"/>
          <w:szCs w:val="9"/>
          <w:color w:val="auto"/>
        </w:rPr>
        <w:t>be made, or the individuals who may be selected for such awards, in the future under this plan. Stock option grants under the 1993 Plan made in Fiscal 1999 to the Chief Executive Officer and each of the named executive officers are shown in the Summary Compensation table and the Stock Options table. Options granted in Fiscal 1999 to all executive officers as a group aggregated 133,400 and to all non-executive officer employees as a group aggregated 11,000. Non-executive directors (outside directors) are not eligible to participate in this plan.</w:t>
      </w:r>
    </w:p>
    <w:p>
      <w:pPr>
        <w:spacing w:after="0" w:line="115" w:lineRule="exact"/>
        <w:rPr>
          <w:sz w:val="20"/>
          <w:szCs w:val="20"/>
          <w:color w:val="auto"/>
        </w:rPr>
      </w:pPr>
    </w:p>
    <w:p>
      <w:pPr>
        <w:spacing w:after="0"/>
        <w:rPr>
          <w:sz w:val="20"/>
          <w:szCs w:val="20"/>
          <w:color w:val="auto"/>
        </w:rPr>
      </w:pPr>
      <w:r>
        <w:rPr>
          <w:rFonts w:ascii="Courier New" w:cs="Courier New" w:eastAsia="Courier New" w:hAnsi="Courier New"/>
          <w:sz w:val="9"/>
          <w:szCs w:val="9"/>
          <w:b w:val="1"/>
          <w:bCs w:val="1"/>
          <w:color w:val="auto"/>
        </w:rPr>
        <w:t>Tax Consequences Under the Plan</w:t>
      </w:r>
    </w:p>
    <w:p>
      <w:pPr>
        <w:spacing w:after="0" w:line="115" w:lineRule="exact"/>
        <w:rPr>
          <w:sz w:val="20"/>
          <w:szCs w:val="20"/>
          <w:color w:val="auto"/>
        </w:rPr>
      </w:pPr>
    </w:p>
    <w:p>
      <w:pPr>
        <w:ind w:right="2120" w:firstLine="216"/>
        <w:spacing w:after="0" w:line="235" w:lineRule="auto"/>
        <w:rPr>
          <w:sz w:val="20"/>
          <w:szCs w:val="20"/>
          <w:color w:val="auto"/>
        </w:rPr>
      </w:pPr>
      <w:r>
        <w:rPr>
          <w:rFonts w:ascii="Courier New" w:cs="Courier New" w:eastAsia="Courier New" w:hAnsi="Courier New"/>
          <w:sz w:val="9"/>
          <w:szCs w:val="9"/>
          <w:color w:val="auto"/>
        </w:rPr>
        <w:t>The following is a brief description of the federal income tax treatment which will generally apply to options granted under the 2000 Plan, based on the Code as presently in effect.</w:t>
      </w:r>
    </w:p>
    <w:p>
      <w:pPr>
        <w:sectPr>
          <w:pgSz w:w="11900" w:h="16838" w:orient="portrait"/>
          <w:cols w:equalWidth="0" w:num="1">
            <w:col w:w="10800"/>
          </w:cols>
          <w:pgMar w:left="300" w:top="134" w:right="799" w:bottom="0" w:gutter="0" w:footer="0" w:header="0"/>
        </w:sectPr>
      </w:pPr>
    </w:p>
    <w:bookmarkStart w:id="9" w:name="page10"/>
    <w:bookmarkEnd w:id="9"/>
    <w:p>
      <w:pPr>
        <w:ind w:left="208"/>
        <w:spacing w:after="0"/>
        <w:rPr>
          <w:sz w:val="20"/>
          <w:szCs w:val="20"/>
          <w:color w:val="auto"/>
        </w:rPr>
      </w:pPr>
      <w:r>
        <w:rPr>
          <w:rFonts w:ascii="Courier New" w:cs="Courier New" w:eastAsia="Courier New" w:hAnsi="Courier New"/>
          <w:sz w:val="9"/>
          <w:szCs w:val="9"/>
          <w:color w:val="auto"/>
        </w:rPr>
        <w:t>With</w:t>
      </w:r>
    </w:p>
    <w:p>
      <w:pPr>
        <w:ind w:left="8"/>
        <w:spacing w:after="0" w:line="233" w:lineRule="auto"/>
        <w:rPr>
          <w:sz w:val="20"/>
          <w:szCs w:val="20"/>
          <w:color w:val="auto"/>
        </w:rPr>
      </w:pPr>
      <w:r>
        <w:rPr>
          <w:rFonts w:ascii="Courier New" w:cs="Courier New" w:eastAsia="Courier New" w:hAnsi="Courier New"/>
          <w:sz w:val="9"/>
          <w:szCs w:val="9"/>
          <w:color w:val="auto"/>
        </w:rPr>
        <w:t>respect to incentive stock options, generally, the option holder is not taxed and the Company is not entitled to a deduction on either the grant or the exercise of an incentive</w:t>
      </w:r>
    </w:p>
    <w:p>
      <w:pPr>
        <w:ind w:left="8"/>
        <w:spacing w:after="0" w:line="233" w:lineRule="auto"/>
        <w:rPr>
          <w:sz w:val="20"/>
          <w:szCs w:val="20"/>
          <w:color w:val="auto"/>
        </w:rPr>
      </w:pPr>
      <w:r>
        <w:rPr>
          <w:rFonts w:ascii="Courier New" w:cs="Courier New" w:eastAsia="Courier New" w:hAnsi="Courier New"/>
          <w:sz w:val="9"/>
          <w:szCs w:val="9"/>
          <w:color w:val="auto"/>
        </w:rPr>
        <w:t>stock option, so long as the requirements of Section 422 continue to be met. If the option holder meets the employment requirements and does not dispose of the shares of Common Stock acquired</w:t>
      </w:r>
    </w:p>
    <w:p>
      <w:pPr>
        <w:ind w:left="8"/>
        <w:spacing w:after="0" w:line="233" w:lineRule="auto"/>
        <w:rPr>
          <w:sz w:val="20"/>
          <w:szCs w:val="20"/>
          <w:color w:val="auto"/>
        </w:rPr>
      </w:pPr>
      <w:r>
        <w:rPr>
          <w:rFonts w:ascii="Courier New" w:cs="Courier New" w:eastAsia="Courier New" w:hAnsi="Courier New"/>
          <w:sz w:val="9"/>
          <w:szCs w:val="9"/>
          <w:color w:val="auto"/>
        </w:rPr>
        <w:t>upon exercise of an incentive stock option until at least (1) one year after transfer of the shares pursuant to the exercise of the option and (2) two years after the date the option was</w:t>
      </w:r>
    </w:p>
    <w:p>
      <w:pPr>
        <w:ind w:left="8"/>
        <w:spacing w:after="0" w:line="233" w:lineRule="auto"/>
        <w:rPr>
          <w:sz w:val="20"/>
          <w:szCs w:val="20"/>
          <w:color w:val="auto"/>
        </w:rPr>
      </w:pPr>
      <w:r>
        <w:rPr>
          <w:rFonts w:ascii="Courier New" w:cs="Courier New" w:eastAsia="Courier New" w:hAnsi="Courier New"/>
          <w:sz w:val="9"/>
          <w:szCs w:val="9"/>
          <w:color w:val="auto"/>
        </w:rPr>
        <w:t>granted, gain or loss realized on sale of the shares will be treated as long term capital gain or loss. If the shares of Common Stock are disposed of before those periods expire, which is called a</w:t>
      </w:r>
    </w:p>
    <w:p>
      <w:pPr>
        <w:ind w:left="8"/>
        <w:spacing w:after="0" w:line="233" w:lineRule="auto"/>
        <w:rPr>
          <w:sz w:val="20"/>
          <w:szCs w:val="20"/>
          <w:color w:val="auto"/>
        </w:rPr>
      </w:pPr>
      <w:r>
        <w:rPr>
          <w:rFonts w:ascii="Courier New" w:cs="Courier New" w:eastAsia="Courier New" w:hAnsi="Courier New"/>
          <w:sz w:val="9"/>
          <w:szCs w:val="9"/>
          <w:color w:val="auto"/>
        </w:rPr>
        <w:t>disqualifying disposition, the option holder will be required to recognize ordinary income in an amount equal to the lesser of (1) the excess, if any, of the fair market value of the Common</w:t>
      </w:r>
    </w:p>
    <w:p>
      <w:pPr>
        <w:ind w:left="8"/>
        <w:spacing w:after="0" w:line="233" w:lineRule="auto"/>
        <w:rPr>
          <w:sz w:val="20"/>
          <w:szCs w:val="20"/>
          <w:color w:val="auto"/>
        </w:rPr>
      </w:pPr>
      <w:r>
        <w:rPr>
          <w:rFonts w:ascii="Courier New" w:cs="Courier New" w:eastAsia="Courier New" w:hAnsi="Courier New"/>
          <w:sz w:val="9"/>
          <w:szCs w:val="9"/>
          <w:color w:val="auto"/>
        </w:rPr>
        <w:t>Stock on the date of exercise over the exercise price or (2) if the disposition is a taxable sale or exchange, the amount of gain realized. Upon such a disqualifying disposition, the Company</w:t>
      </w:r>
    </w:p>
    <w:p>
      <w:pPr>
        <w:ind w:left="8"/>
        <w:spacing w:after="0"/>
        <w:rPr>
          <w:sz w:val="20"/>
          <w:szCs w:val="20"/>
          <w:color w:val="auto"/>
        </w:rPr>
      </w:pPr>
      <w:r>
        <w:rPr>
          <w:rFonts w:ascii="Courier New" w:cs="Courier New" w:eastAsia="Courier New" w:hAnsi="Courier New"/>
          <w:sz w:val="9"/>
          <w:szCs w:val="9"/>
          <w:color w:val="auto"/>
        </w:rPr>
        <w:t>will generally be entitled, at the same time, to a deduction equal to the amount of ordinary income recognized by such person.</w:t>
      </w:r>
    </w:p>
    <w:p>
      <w:pPr>
        <w:spacing w:after="0" w:line="111" w:lineRule="exact"/>
        <w:rPr>
          <w:sz w:val="20"/>
          <w:szCs w:val="20"/>
          <w:color w:val="auto"/>
        </w:rPr>
      </w:pPr>
    </w:p>
    <w:p>
      <w:pPr>
        <w:ind w:left="208"/>
        <w:spacing w:after="0"/>
        <w:rPr>
          <w:sz w:val="20"/>
          <w:szCs w:val="20"/>
          <w:color w:val="auto"/>
        </w:rPr>
      </w:pPr>
      <w:r>
        <w:rPr>
          <w:rFonts w:ascii="Courier New" w:cs="Courier New" w:eastAsia="Courier New" w:hAnsi="Courier New"/>
          <w:sz w:val="9"/>
          <w:szCs w:val="9"/>
          <w:color w:val="auto"/>
        </w:rPr>
        <w:t>The</w:t>
      </w:r>
    </w:p>
    <w:p>
      <w:pPr>
        <w:ind w:left="8" w:right="2020"/>
        <w:spacing w:after="0" w:line="235" w:lineRule="auto"/>
        <w:rPr>
          <w:sz w:val="20"/>
          <w:szCs w:val="20"/>
          <w:color w:val="auto"/>
        </w:rPr>
      </w:pPr>
      <w:r>
        <w:rPr>
          <w:rFonts w:ascii="Courier New" w:cs="Courier New" w:eastAsia="Courier New" w:hAnsi="Courier New"/>
          <w:sz w:val="9"/>
          <w:szCs w:val="9"/>
          <w:color w:val="auto"/>
        </w:rPr>
        <w:t>grant of an option which does not qualify for treatment as an incentive stock option is generally not a taxable event for the option holder. Upon exercise of the option, the option holder will generally be</w:t>
      </w:r>
    </w:p>
    <w:p>
      <w:pPr>
        <w:spacing w:after="0" w:line="97" w:lineRule="exact"/>
        <w:rPr>
          <w:sz w:val="20"/>
          <w:szCs w:val="20"/>
          <w:color w:val="auto"/>
        </w:rPr>
      </w:pPr>
    </w:p>
    <w:p>
      <w:pPr>
        <w:ind w:left="8" w:right="780"/>
        <w:spacing w:after="0" w:line="235" w:lineRule="auto"/>
        <w:rPr>
          <w:sz w:val="20"/>
          <w:szCs w:val="20"/>
          <w:color w:val="auto"/>
        </w:rPr>
      </w:pPr>
      <w:r>
        <w:rPr>
          <w:rFonts w:ascii="Courier New" w:cs="Courier New" w:eastAsia="Courier New" w:hAnsi="Courier New"/>
          <w:sz w:val="9"/>
          <w:szCs w:val="9"/>
          <w:color w:val="auto"/>
        </w:rPr>
        <w:t>required to recognize ordinary income in an amount equal to the excess of the fair market value of the Common Stock acquired upon exercise (determined as of the date of exercise) over the exercise price of the option, and the Company will be entitled to a deduction in an equal amount.</w:t>
      </w:r>
    </w:p>
    <w:p>
      <w:pPr>
        <w:spacing w:after="0" w:line="112" w:lineRule="exact"/>
        <w:rPr>
          <w:sz w:val="20"/>
          <w:szCs w:val="20"/>
          <w:color w:val="auto"/>
        </w:rPr>
      </w:pPr>
    </w:p>
    <w:p>
      <w:pPr>
        <w:ind w:left="208"/>
        <w:spacing w:after="0"/>
        <w:rPr>
          <w:sz w:val="20"/>
          <w:szCs w:val="20"/>
          <w:color w:val="auto"/>
        </w:rPr>
      </w:pPr>
      <w:r>
        <w:rPr>
          <w:rFonts w:ascii="Courier New" w:cs="Courier New" w:eastAsia="Courier New" w:hAnsi="Courier New"/>
          <w:sz w:val="9"/>
          <w:szCs w:val="9"/>
          <w:color w:val="auto"/>
        </w:rPr>
        <w:t>Option</w:t>
      </w:r>
    </w:p>
    <w:p>
      <w:pPr>
        <w:ind w:left="8"/>
        <w:spacing w:after="0" w:line="233" w:lineRule="auto"/>
        <w:rPr>
          <w:sz w:val="20"/>
          <w:szCs w:val="20"/>
          <w:color w:val="auto"/>
        </w:rPr>
      </w:pPr>
      <w:r>
        <w:rPr>
          <w:rFonts w:ascii="Courier New" w:cs="Courier New" w:eastAsia="Courier New" w:hAnsi="Courier New"/>
          <w:sz w:val="9"/>
          <w:szCs w:val="9"/>
          <w:color w:val="auto"/>
        </w:rPr>
        <w:t>agreements under the 2000 Plan may provide for accelerated vesting in the event of a change of control of the Company. If such a provision becomes effective, certain amounts</w:t>
      </w:r>
    </w:p>
    <w:p>
      <w:pPr>
        <w:ind w:left="8" w:right="680"/>
        <w:spacing w:after="0" w:line="233" w:lineRule="auto"/>
        <w:rPr>
          <w:sz w:val="20"/>
          <w:szCs w:val="20"/>
          <w:color w:val="auto"/>
        </w:rPr>
      </w:pPr>
      <w:r>
        <w:rPr>
          <w:rFonts w:ascii="Courier New" w:cs="Courier New" w:eastAsia="Courier New" w:hAnsi="Courier New"/>
          <w:sz w:val="9"/>
          <w:szCs w:val="9"/>
          <w:color w:val="auto"/>
        </w:rPr>
        <w:t>with respect to benefits derived may be characterized as "parachute payments" under certain provisions of the Code. If such provisions are applicable, an employee will be subject to a 20% excise tax on any "excess parachute payment" pursuant to Code Section 4999 and the Company will be denied a deduction with respect to such excess parachute payment pursuant to Code Section 280G. An employee generally is deemed to have received a "parachute payment" if such employee receives compensation that (1) is contingent upon a change in the ownership of control of the Company and</w:t>
      </w:r>
    </w:p>
    <w:p>
      <w:pPr>
        <w:ind w:left="208" w:hanging="208"/>
        <w:spacing w:after="0" w:line="233" w:lineRule="auto"/>
        <w:tabs>
          <w:tab w:leader="none" w:pos="208" w:val="left"/>
        </w:tabs>
        <w:numPr>
          <w:ilvl w:val="0"/>
          <w:numId w:val="3"/>
        </w:numPr>
        <w:rPr>
          <w:rFonts w:ascii="Courier New" w:cs="Courier New" w:eastAsia="Courier New" w:hAnsi="Courier New"/>
          <w:sz w:val="9"/>
          <w:szCs w:val="9"/>
          <w:color w:val="auto"/>
        </w:rPr>
      </w:pPr>
      <w:r>
        <w:rPr>
          <w:rFonts w:ascii="Courier New" w:cs="Courier New" w:eastAsia="Courier New" w:hAnsi="Courier New"/>
          <w:sz w:val="9"/>
          <w:szCs w:val="9"/>
          <w:color w:val="auto"/>
        </w:rPr>
        <w:t>exceeds, in the aggregate, an amount equal to three times the employee's "base amount". The "base amount" generally is the average of the annual compensation of such employee for the five</w:t>
      </w:r>
    </w:p>
    <w:p>
      <w:pPr>
        <w:ind w:left="8" w:right="840"/>
        <w:spacing w:after="0" w:line="235" w:lineRule="auto"/>
        <w:rPr>
          <w:rFonts w:ascii="Courier New" w:cs="Courier New" w:eastAsia="Courier New" w:hAnsi="Courier New"/>
          <w:sz w:val="9"/>
          <w:szCs w:val="9"/>
          <w:color w:val="auto"/>
        </w:rPr>
      </w:pPr>
      <w:r>
        <w:rPr>
          <w:rFonts w:ascii="Courier New" w:cs="Courier New" w:eastAsia="Courier New" w:hAnsi="Courier New"/>
          <w:sz w:val="9"/>
          <w:szCs w:val="9"/>
          <w:color w:val="auto"/>
        </w:rPr>
        <w:t>years preceding the change in ownership or control. An "excess parachute payment" with respect to any employee is the excess of the total parachute payments to such person over such person's base amount.</w:t>
      </w:r>
    </w:p>
    <w:p>
      <w:pPr>
        <w:spacing w:after="0" w:line="364" w:lineRule="exact"/>
        <w:rPr>
          <w:sz w:val="20"/>
          <w:szCs w:val="20"/>
          <w:color w:val="auto"/>
        </w:rPr>
      </w:pPr>
    </w:p>
    <w:p>
      <w:pPr>
        <w:ind w:left="5348"/>
        <w:spacing w:after="0"/>
        <w:rPr>
          <w:sz w:val="20"/>
          <w:szCs w:val="20"/>
          <w:color w:val="auto"/>
        </w:rPr>
      </w:pPr>
      <w:r>
        <w:rPr>
          <w:rFonts w:ascii="Courier New" w:cs="Courier New" w:eastAsia="Courier New" w:hAnsi="Courier New"/>
          <w:sz w:val="9"/>
          <w:szCs w:val="9"/>
          <w:b w:val="1"/>
          <w:bCs w:val="1"/>
          <w:color w:val="auto"/>
        </w:rPr>
        <w:t>PROPOSAL SIX</w:t>
      </w:r>
    </w:p>
    <w:p>
      <w:pPr>
        <w:ind w:left="4728"/>
        <w:spacing w:after="0"/>
        <w:rPr>
          <w:sz w:val="20"/>
          <w:szCs w:val="20"/>
          <w:color w:val="auto"/>
        </w:rPr>
      </w:pPr>
      <w:r>
        <w:rPr>
          <w:rFonts w:ascii="Courier New" w:cs="Courier New" w:eastAsia="Courier New" w:hAnsi="Courier New"/>
          <w:sz w:val="9"/>
          <w:szCs w:val="9"/>
          <w:b w:val="1"/>
          <w:bCs w:val="1"/>
          <w:color w:val="auto"/>
        </w:rPr>
        <w:t>SELECTION OF INDEPENDENT AUDITORS</w:t>
      </w:r>
    </w:p>
    <w:p>
      <w:pPr>
        <w:spacing w:after="0" w:line="111" w:lineRule="exact"/>
        <w:rPr>
          <w:sz w:val="20"/>
          <w:szCs w:val="20"/>
          <w:color w:val="auto"/>
        </w:rPr>
      </w:pPr>
    </w:p>
    <w:p>
      <w:pPr>
        <w:ind w:left="208"/>
        <w:spacing w:after="0"/>
        <w:rPr>
          <w:sz w:val="20"/>
          <w:szCs w:val="20"/>
          <w:color w:val="auto"/>
        </w:rPr>
      </w:pPr>
      <w:r>
        <w:rPr>
          <w:rFonts w:ascii="Courier New" w:cs="Courier New" w:eastAsia="Courier New" w:hAnsi="Courier New"/>
          <w:sz w:val="9"/>
          <w:szCs w:val="9"/>
          <w:color w:val="auto"/>
        </w:rPr>
        <w:t>KPMG LLP has served as independent auditors to the Company for many years. The Audit Committee of the Board of Directors has again selected KPMG LLP to serve</w:t>
      </w:r>
    </w:p>
    <w:p>
      <w:pPr>
        <w:ind w:left="8"/>
        <w:spacing w:after="0"/>
        <w:rPr>
          <w:sz w:val="20"/>
          <w:szCs w:val="20"/>
          <w:color w:val="auto"/>
        </w:rPr>
      </w:pPr>
      <w:r>
        <w:rPr>
          <w:rFonts w:ascii="Courier New" w:cs="Courier New" w:eastAsia="Courier New" w:hAnsi="Courier New"/>
          <w:sz w:val="9"/>
          <w:szCs w:val="9"/>
          <w:color w:val="auto"/>
        </w:rPr>
        <w:t>as independent auditors for Fiscal 2000. Although it is not required to do so, the Board of Directors wishes to submit the selection of KPMG LLP for stockholder approval at the meeting.</w:t>
      </w:r>
    </w:p>
    <w:p>
      <w:pPr>
        <w:spacing w:after="0" w:line="111" w:lineRule="exact"/>
        <w:rPr>
          <w:sz w:val="20"/>
          <w:szCs w:val="20"/>
          <w:color w:val="auto"/>
        </w:rPr>
      </w:pPr>
    </w:p>
    <w:p>
      <w:pPr>
        <w:ind w:left="208"/>
        <w:spacing w:after="0"/>
        <w:rPr>
          <w:sz w:val="20"/>
          <w:szCs w:val="20"/>
          <w:color w:val="auto"/>
        </w:rPr>
      </w:pPr>
      <w:r>
        <w:rPr>
          <w:rFonts w:ascii="Courier New" w:cs="Courier New" w:eastAsia="Courier New" w:hAnsi="Courier New"/>
          <w:sz w:val="9"/>
          <w:szCs w:val="9"/>
          <w:color w:val="auto"/>
        </w:rPr>
        <w:t>A</w:t>
      </w:r>
    </w:p>
    <w:p>
      <w:pPr>
        <w:ind w:left="8"/>
        <w:spacing w:after="0"/>
        <w:rPr>
          <w:sz w:val="20"/>
          <w:szCs w:val="20"/>
          <w:color w:val="auto"/>
        </w:rPr>
      </w:pPr>
      <w:r>
        <w:rPr>
          <w:rFonts w:ascii="Courier New" w:cs="Courier New" w:eastAsia="Courier New" w:hAnsi="Courier New"/>
          <w:sz w:val="9"/>
          <w:szCs w:val="9"/>
          <w:color w:val="auto"/>
        </w:rPr>
        <w:t>representative of KPMG LLP is expected to be present at the Annual Meeting with the opportunity to make a statement and to be available to respond to appropriate questions.</w:t>
      </w:r>
    </w:p>
    <w:p>
      <w:pPr>
        <w:spacing w:after="0" w:line="111" w:lineRule="exact"/>
        <w:rPr>
          <w:sz w:val="20"/>
          <w:szCs w:val="20"/>
          <w:color w:val="auto"/>
        </w:rPr>
      </w:pPr>
    </w:p>
    <w:p>
      <w:pPr>
        <w:ind w:left="208"/>
        <w:spacing w:after="0"/>
        <w:rPr>
          <w:sz w:val="20"/>
          <w:szCs w:val="20"/>
          <w:color w:val="auto"/>
        </w:rPr>
      </w:pPr>
      <w:r>
        <w:rPr>
          <w:rFonts w:ascii="Courier New" w:cs="Courier New" w:eastAsia="Courier New" w:hAnsi="Courier New"/>
          <w:sz w:val="9"/>
          <w:szCs w:val="9"/>
          <w:color w:val="auto"/>
        </w:rPr>
        <w:t>If</w:t>
      </w:r>
    </w:p>
    <w:p>
      <w:pPr>
        <w:ind w:left="8"/>
        <w:spacing w:after="0"/>
        <w:rPr>
          <w:sz w:val="20"/>
          <w:szCs w:val="20"/>
          <w:color w:val="auto"/>
        </w:rPr>
      </w:pPr>
      <w:r>
        <w:rPr>
          <w:rFonts w:ascii="Courier New" w:cs="Courier New" w:eastAsia="Courier New" w:hAnsi="Courier New"/>
          <w:sz w:val="9"/>
          <w:szCs w:val="9"/>
          <w:color w:val="auto"/>
        </w:rPr>
        <w:t>the stockholders do not approve the selection of KPMG LLP, the Board of Directors will reconsider its selection.</w:t>
      </w:r>
    </w:p>
    <w:p>
      <w:pPr>
        <w:spacing w:after="0" w:line="365" w:lineRule="exact"/>
        <w:rPr>
          <w:sz w:val="20"/>
          <w:szCs w:val="20"/>
          <w:color w:val="auto"/>
        </w:rPr>
      </w:pPr>
    </w:p>
    <w:p>
      <w:pPr>
        <w:jc w:val="center"/>
        <w:ind w:right="112"/>
        <w:spacing w:after="0"/>
        <w:rPr>
          <w:sz w:val="20"/>
          <w:szCs w:val="20"/>
          <w:color w:val="auto"/>
        </w:rPr>
      </w:pPr>
      <w:r>
        <w:rPr>
          <w:rFonts w:ascii="Courier New" w:cs="Courier New" w:eastAsia="Courier New" w:hAnsi="Courier New"/>
          <w:sz w:val="9"/>
          <w:szCs w:val="9"/>
          <w:b w:val="1"/>
          <w:bCs w:val="1"/>
          <w:color w:val="auto"/>
        </w:rPr>
        <w:t>OTHER INFORMATION</w:t>
      </w:r>
    </w:p>
    <w:p>
      <w:pPr>
        <w:spacing w:after="0" w:line="114" w:lineRule="exact"/>
        <w:rPr>
          <w:sz w:val="20"/>
          <w:szCs w:val="20"/>
          <w:color w:val="auto"/>
        </w:rPr>
      </w:pPr>
    </w:p>
    <w:p>
      <w:pPr>
        <w:ind w:left="8"/>
        <w:spacing w:after="0"/>
        <w:rPr>
          <w:sz w:val="20"/>
          <w:szCs w:val="20"/>
          <w:color w:val="auto"/>
        </w:rPr>
      </w:pPr>
      <w:r>
        <w:rPr>
          <w:rFonts w:ascii="Courier New" w:cs="Courier New" w:eastAsia="Courier New" w:hAnsi="Courier New"/>
          <w:sz w:val="9"/>
          <w:szCs w:val="9"/>
          <w:b w:val="1"/>
          <w:bCs w:val="1"/>
          <w:color w:val="auto"/>
        </w:rPr>
        <w:t>Stockholder Proposals for 2001 Annual Meeting</w:t>
      </w:r>
    </w:p>
    <w:p>
      <w:pPr>
        <w:spacing w:after="0" w:line="112" w:lineRule="exact"/>
        <w:rPr>
          <w:sz w:val="20"/>
          <w:szCs w:val="20"/>
          <w:color w:val="auto"/>
        </w:rPr>
      </w:pPr>
    </w:p>
    <w:p>
      <w:pPr>
        <w:ind w:left="208"/>
        <w:spacing w:after="0"/>
        <w:rPr>
          <w:sz w:val="20"/>
          <w:szCs w:val="20"/>
          <w:color w:val="auto"/>
        </w:rPr>
      </w:pPr>
      <w:r>
        <w:rPr>
          <w:rFonts w:ascii="Courier New" w:cs="Courier New" w:eastAsia="Courier New" w:hAnsi="Courier New"/>
          <w:sz w:val="9"/>
          <w:szCs w:val="9"/>
          <w:color w:val="auto"/>
        </w:rPr>
        <w:t>The 2001 Annual Meeting of Stockholders is expected to be held on March 22, 2001. If you wish to make a proposal to be included in the Company's Proxy</w:t>
      </w:r>
    </w:p>
    <w:p>
      <w:pPr>
        <w:ind w:left="8" w:right="1000"/>
        <w:spacing w:after="0" w:line="235" w:lineRule="auto"/>
        <w:rPr>
          <w:sz w:val="20"/>
          <w:szCs w:val="20"/>
          <w:color w:val="auto"/>
        </w:rPr>
      </w:pPr>
      <w:r>
        <w:rPr>
          <w:rFonts w:ascii="Courier New" w:cs="Courier New" w:eastAsia="Courier New" w:hAnsi="Courier New"/>
          <w:sz w:val="9"/>
          <w:szCs w:val="9"/>
          <w:color w:val="auto"/>
        </w:rPr>
        <w:t>Statement for the 2001 Annual Meeting, you must assure that the proposal is received by the Secretary of the Company no later than the close of business on October 12, 2000, unless the date of the meeting is delayed by more than 30 calendar days.</w:t>
      </w:r>
    </w:p>
    <w:p>
      <w:pPr>
        <w:spacing w:after="0" w:line="112" w:lineRule="exact"/>
        <w:rPr>
          <w:sz w:val="20"/>
          <w:szCs w:val="20"/>
          <w:color w:val="auto"/>
        </w:rPr>
      </w:pPr>
    </w:p>
    <w:p>
      <w:pPr>
        <w:ind w:left="208"/>
        <w:spacing w:after="0"/>
        <w:rPr>
          <w:sz w:val="20"/>
          <w:szCs w:val="20"/>
          <w:color w:val="auto"/>
        </w:rPr>
      </w:pPr>
      <w:r>
        <w:rPr>
          <w:rFonts w:ascii="Courier New" w:cs="Courier New" w:eastAsia="Courier New" w:hAnsi="Courier New"/>
          <w:sz w:val="9"/>
          <w:szCs w:val="9"/>
          <w:color w:val="auto"/>
        </w:rPr>
        <w:t>If</w:t>
      </w:r>
    </w:p>
    <w:p>
      <w:pPr>
        <w:ind w:left="8"/>
        <w:spacing w:after="0" w:line="233" w:lineRule="auto"/>
        <w:rPr>
          <w:sz w:val="20"/>
          <w:szCs w:val="20"/>
          <w:color w:val="auto"/>
        </w:rPr>
      </w:pPr>
      <w:r>
        <w:rPr>
          <w:rFonts w:ascii="Courier New" w:cs="Courier New" w:eastAsia="Courier New" w:hAnsi="Courier New"/>
          <w:sz w:val="9"/>
          <w:szCs w:val="9"/>
          <w:color w:val="auto"/>
        </w:rPr>
        <w:t>you wish to nominate a candidate for election to the Board of Directors or propose other business at the 2001 Annual Meeting, you must give complete and timely written notice to</w:t>
      </w:r>
    </w:p>
    <w:p>
      <w:pPr>
        <w:ind w:left="8" w:right="1480"/>
        <w:spacing w:after="0" w:line="262" w:lineRule="auto"/>
        <w:rPr>
          <w:sz w:val="20"/>
          <w:szCs w:val="20"/>
          <w:color w:val="auto"/>
        </w:rPr>
      </w:pPr>
      <w:r>
        <w:rPr>
          <w:rFonts w:ascii="Courier New" w:cs="Courier New" w:eastAsia="Courier New" w:hAnsi="Courier New"/>
          <w:sz w:val="8"/>
          <w:szCs w:val="8"/>
          <w:color w:val="auto"/>
        </w:rPr>
        <w:t>the Secretary of the Company, in accordance with the Company's Bylaws. The deadline for the 2001 Annual Meeting is not later than December 26, 2000 nor earlier than November 11, 2000, unless the date of the meeting is advanced by more than 30 days or delayed by more than 60 days. If you would like a copy of Toro's Bylaws, you may write to Toro's Assistant Corporate</w:t>
      </w:r>
    </w:p>
    <w:p>
      <w:pPr>
        <w:ind w:left="8" w:right="680"/>
        <w:spacing w:after="0" w:line="234" w:lineRule="auto"/>
        <w:rPr>
          <w:sz w:val="20"/>
          <w:szCs w:val="20"/>
          <w:color w:val="auto"/>
        </w:rPr>
      </w:pPr>
      <w:r>
        <w:rPr>
          <w:rFonts w:ascii="Courier New" w:cs="Courier New" w:eastAsia="Courier New" w:hAnsi="Courier New"/>
          <w:sz w:val="9"/>
          <w:szCs w:val="9"/>
          <w:color w:val="auto"/>
        </w:rPr>
        <w:t>Secretary. If a proposal is not timely and properly made in accordance with the procedures set forth in the Bylaws, it will be defective and may not be brought before the meeting. If the proposal is nonetheless brought before the meeting and the chairman of the meeting does not exercise the power and duty to declare the proposal defective, the persons named in the proxy may use their discretionary voting with respect to the proposal.</w:t>
      </w:r>
    </w:p>
    <w:p>
      <w:pPr>
        <w:spacing w:after="0" w:line="115" w:lineRule="exact"/>
        <w:rPr>
          <w:sz w:val="20"/>
          <w:szCs w:val="20"/>
          <w:color w:val="auto"/>
        </w:rPr>
      </w:pPr>
    </w:p>
    <w:p>
      <w:pPr>
        <w:ind w:left="8"/>
        <w:spacing w:after="0"/>
        <w:rPr>
          <w:sz w:val="20"/>
          <w:szCs w:val="20"/>
          <w:color w:val="auto"/>
        </w:rPr>
      </w:pPr>
      <w:r>
        <w:rPr>
          <w:rFonts w:ascii="Courier New" w:cs="Courier New" w:eastAsia="Courier New" w:hAnsi="Courier New"/>
          <w:sz w:val="9"/>
          <w:szCs w:val="9"/>
          <w:b w:val="1"/>
          <w:bCs w:val="1"/>
          <w:color w:val="auto"/>
        </w:rPr>
        <w:t>Annual Report</w:t>
      </w:r>
    </w:p>
    <w:p>
      <w:pPr>
        <w:spacing w:after="0" w:line="114" w:lineRule="exact"/>
        <w:rPr>
          <w:sz w:val="20"/>
          <w:szCs w:val="20"/>
          <w:color w:val="auto"/>
        </w:rPr>
      </w:pPr>
    </w:p>
    <w:p>
      <w:pPr>
        <w:ind w:left="208"/>
        <w:spacing w:after="0"/>
        <w:rPr>
          <w:sz w:val="20"/>
          <w:szCs w:val="20"/>
          <w:color w:val="auto"/>
        </w:rPr>
      </w:pPr>
      <w:r>
        <w:rPr>
          <w:rFonts w:ascii="Courier New" w:cs="Courier New" w:eastAsia="Courier New" w:hAnsi="Courier New"/>
          <w:sz w:val="9"/>
          <w:szCs w:val="9"/>
          <w:color w:val="auto"/>
        </w:rPr>
        <w:t>The Annual Report of the Company for Fiscal 1999 (the fiscal year ended October 31, 1999) including financial statements is enclosed.</w:t>
      </w:r>
    </w:p>
    <w:p>
      <w:pPr>
        <w:spacing w:after="0" w:line="213" w:lineRule="exact"/>
        <w:rPr>
          <w:sz w:val="20"/>
          <w:szCs w:val="20"/>
          <w:color w:val="auto"/>
        </w:rPr>
      </w:pPr>
    </w:p>
    <w:p>
      <w:pPr>
        <w:ind w:left="8"/>
        <w:spacing w:after="0"/>
        <w:rPr>
          <w:sz w:val="20"/>
          <w:szCs w:val="20"/>
          <w:color w:val="auto"/>
        </w:rPr>
      </w:pPr>
      <w:r>
        <w:rPr>
          <w:rFonts w:ascii="Courier New" w:cs="Courier New" w:eastAsia="Courier New" w:hAnsi="Courier New"/>
          <w:sz w:val="9"/>
          <w:szCs w:val="9"/>
          <w:b w:val="1"/>
          <w:bCs w:val="1"/>
          <w:color w:val="auto"/>
        </w:rPr>
        <w:t>Cost and Method of Solicitation</w:t>
      </w:r>
    </w:p>
    <w:p>
      <w:pPr>
        <w:spacing w:after="0" w:line="112" w:lineRule="exact"/>
        <w:rPr>
          <w:sz w:val="20"/>
          <w:szCs w:val="20"/>
          <w:color w:val="auto"/>
        </w:rPr>
      </w:pPr>
    </w:p>
    <w:p>
      <w:pPr>
        <w:ind w:left="208"/>
        <w:spacing w:after="0"/>
        <w:rPr>
          <w:sz w:val="20"/>
          <w:szCs w:val="20"/>
          <w:color w:val="auto"/>
        </w:rPr>
      </w:pPr>
      <w:r>
        <w:rPr>
          <w:rFonts w:ascii="Courier New" w:cs="Courier New" w:eastAsia="Courier New" w:hAnsi="Courier New"/>
          <w:sz w:val="9"/>
          <w:szCs w:val="9"/>
          <w:color w:val="auto"/>
        </w:rPr>
        <w:t>The Company will pay the cost of soliciting proxies and may make arrangements with brokerage houses, custodians, nominees and other fiduciaries to send proxy</w:t>
      </w:r>
    </w:p>
    <w:p>
      <w:pPr>
        <w:ind w:left="8"/>
        <w:spacing w:after="0" w:line="233" w:lineRule="auto"/>
        <w:rPr>
          <w:sz w:val="20"/>
          <w:szCs w:val="20"/>
          <w:color w:val="auto"/>
        </w:rPr>
      </w:pPr>
      <w:r>
        <w:rPr>
          <w:rFonts w:ascii="Courier New" w:cs="Courier New" w:eastAsia="Courier New" w:hAnsi="Courier New"/>
          <w:sz w:val="9"/>
          <w:szCs w:val="9"/>
          <w:color w:val="auto"/>
        </w:rPr>
        <w:t>material to beneficial owners of the Common Stock. The Company will reimburse them for reasonable out-of-pocket expenses. In addition to solicitation by mail, certain officers</w:t>
      </w:r>
    </w:p>
    <w:p>
      <w:pPr>
        <w:ind w:left="8"/>
        <w:spacing w:after="0"/>
        <w:rPr>
          <w:sz w:val="20"/>
          <w:szCs w:val="20"/>
          <w:color w:val="auto"/>
        </w:rPr>
      </w:pPr>
      <w:r>
        <w:rPr>
          <w:rFonts w:ascii="Courier New" w:cs="Courier New" w:eastAsia="Courier New" w:hAnsi="Courier New"/>
          <w:sz w:val="8"/>
          <w:szCs w:val="8"/>
          <w:color w:val="auto"/>
        </w:rPr>
        <w:t>and employees of the Company, who will receive no compensation for such services other than regular employee compensation, may solicit proxies by telephone, electronic transmission and personally. The</w:t>
      </w:r>
    </w:p>
    <w:p>
      <w:pPr>
        <w:spacing w:after="0" w:line="5" w:lineRule="exact"/>
        <w:rPr>
          <w:sz w:val="20"/>
          <w:szCs w:val="20"/>
          <w:color w:val="auto"/>
        </w:rPr>
      </w:pPr>
    </w:p>
    <w:p>
      <w:pPr>
        <w:ind w:left="8"/>
        <w:spacing w:after="0"/>
        <w:rPr>
          <w:sz w:val="20"/>
          <w:szCs w:val="20"/>
          <w:color w:val="auto"/>
        </w:rPr>
      </w:pPr>
      <w:r>
        <w:rPr>
          <w:rFonts w:ascii="Courier New" w:cs="Courier New" w:eastAsia="Courier New" w:hAnsi="Courier New"/>
          <w:sz w:val="9"/>
          <w:szCs w:val="9"/>
          <w:color w:val="auto"/>
        </w:rPr>
        <w:t>Company has retained Morrow &amp; Co., for an estimated fee of $7,500 plus out-of-pocket costs and expenses, to assist in distributing proxy materials and in making mail,</w:t>
      </w:r>
    </w:p>
    <w:p>
      <w:pPr>
        <w:ind w:left="8"/>
        <w:spacing w:after="0"/>
        <w:rPr>
          <w:sz w:val="20"/>
          <w:szCs w:val="20"/>
          <w:color w:val="auto"/>
        </w:rPr>
      </w:pPr>
      <w:r>
        <w:rPr>
          <w:rFonts w:ascii="Courier New" w:cs="Courier New" w:eastAsia="Courier New" w:hAnsi="Courier New"/>
          <w:sz w:val="9"/>
          <w:szCs w:val="9"/>
          <w:color w:val="auto"/>
        </w:rPr>
        <w:t>telephone and personal solicitation of proxies.</w:t>
      </w:r>
    </w:p>
    <w:p>
      <w:pPr>
        <w:spacing w:after="0" w:line="113" w:lineRule="exact"/>
        <w:rPr>
          <w:sz w:val="20"/>
          <w:szCs w:val="20"/>
          <w:color w:val="auto"/>
        </w:rPr>
      </w:pPr>
    </w:p>
    <w:p>
      <w:pPr>
        <w:ind w:left="8"/>
        <w:spacing w:after="0"/>
        <w:rPr>
          <w:sz w:val="20"/>
          <w:szCs w:val="20"/>
          <w:color w:val="auto"/>
        </w:rPr>
      </w:pPr>
      <w:r>
        <w:rPr>
          <w:rFonts w:ascii="Courier New" w:cs="Courier New" w:eastAsia="Courier New" w:hAnsi="Courier New"/>
          <w:sz w:val="9"/>
          <w:szCs w:val="9"/>
          <w:b w:val="1"/>
          <w:bCs w:val="1"/>
          <w:color w:val="auto"/>
        </w:rPr>
        <w:t>Other Matters</w:t>
      </w:r>
    </w:p>
    <w:p>
      <w:pPr>
        <w:spacing w:after="0" w:line="115" w:lineRule="exact"/>
        <w:rPr>
          <w:sz w:val="20"/>
          <w:szCs w:val="20"/>
          <w:color w:val="auto"/>
        </w:rPr>
      </w:pPr>
    </w:p>
    <w:p>
      <w:pPr>
        <w:ind w:left="8" w:right="2880" w:firstLine="216"/>
        <w:spacing w:after="0" w:line="235" w:lineRule="auto"/>
        <w:rPr>
          <w:sz w:val="20"/>
          <w:szCs w:val="20"/>
          <w:color w:val="auto"/>
        </w:rPr>
      </w:pPr>
      <w:r>
        <w:rPr>
          <w:rFonts w:ascii="Courier New" w:cs="Courier New" w:eastAsia="Courier New" w:hAnsi="Courier New"/>
          <w:sz w:val="9"/>
          <w:szCs w:val="9"/>
          <w:color w:val="auto"/>
        </w:rPr>
        <w:t>The Company's management knows of no other matters that may come before the Annual Meeting. However, if matters other than those referred to above should properly come before the Annual Meeting, the persons named on the enclosed proxy card intend to vote such proxy in accordance with their best judgment.</w:t>
      </w:r>
    </w:p>
    <w:p>
      <w:pPr>
        <w:sectPr>
          <w:pgSz w:w="11900" w:h="16838" w:orient="portrait"/>
          <w:cols w:equalWidth="0" w:num="1">
            <w:col w:w="11368"/>
          </w:cols>
          <w:pgMar w:left="292" w:top="134" w:right="239" w:bottom="0" w:gutter="0" w:footer="0" w:header="0"/>
        </w:sectPr>
      </w:pPr>
    </w:p>
    <w:p>
      <w:pPr>
        <w:spacing w:after="0" w:line="112" w:lineRule="exact"/>
        <w:rPr>
          <w:sz w:val="20"/>
          <w:szCs w:val="20"/>
          <w:color w:val="auto"/>
        </w:rPr>
      </w:pPr>
    </w:p>
    <w:p>
      <w:pPr>
        <w:ind w:left="4348"/>
        <w:spacing w:after="0"/>
        <w:rPr>
          <w:sz w:val="20"/>
          <w:szCs w:val="20"/>
          <w:color w:val="auto"/>
        </w:rPr>
      </w:pPr>
      <w:r>
        <w:rPr>
          <w:rFonts w:ascii="Courier New" w:cs="Courier New" w:eastAsia="Courier New" w:hAnsi="Courier New"/>
          <w:sz w:val="9"/>
          <w:szCs w:val="9"/>
          <w:color w:val="auto"/>
        </w:rPr>
        <w:t>Dale R. Olseth, Chair</w:t>
      </w:r>
    </w:p>
    <w:p>
      <w:pPr>
        <w:ind w:left="4348"/>
        <w:spacing w:after="0" w:line="233" w:lineRule="auto"/>
        <w:rPr>
          <w:sz w:val="20"/>
          <w:szCs w:val="20"/>
          <w:color w:val="auto"/>
        </w:rPr>
      </w:pPr>
      <w:r>
        <w:rPr>
          <w:rFonts w:ascii="Courier New" w:cs="Courier New" w:eastAsia="Courier New" w:hAnsi="Courier New"/>
          <w:sz w:val="9"/>
          <w:szCs w:val="9"/>
          <w:color w:val="auto"/>
        </w:rPr>
        <w:t>Ronald O. Baukol</w:t>
      </w:r>
    </w:p>
    <w:p>
      <w:pPr>
        <w:ind w:left="4348"/>
        <w:spacing w:after="0"/>
        <w:rPr>
          <w:sz w:val="20"/>
          <w:szCs w:val="20"/>
          <w:color w:val="auto"/>
        </w:rPr>
      </w:pPr>
      <w:r>
        <w:rPr>
          <w:rFonts w:ascii="Courier New" w:cs="Courier New" w:eastAsia="Courier New" w:hAnsi="Courier New"/>
          <w:sz w:val="9"/>
          <w:szCs w:val="9"/>
          <w:color w:val="auto"/>
        </w:rPr>
        <w:t>Janet K. Cooper</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jc w:val="right"/>
        <w:ind w:right="520"/>
        <w:spacing w:after="0"/>
        <w:rPr>
          <w:sz w:val="20"/>
          <w:szCs w:val="20"/>
          <w:color w:val="auto"/>
        </w:rPr>
      </w:pPr>
      <w:r>
        <w:rPr>
          <w:rFonts w:ascii="Courier New" w:cs="Courier New" w:eastAsia="Courier New" w:hAnsi="Courier New"/>
          <w:sz w:val="9"/>
          <w:szCs w:val="9"/>
          <w:color w:val="auto"/>
        </w:rPr>
        <w:t>Alex A. Meyer</w:t>
      </w:r>
    </w:p>
    <w:p>
      <w:pPr>
        <w:jc w:val="right"/>
        <w:ind w:right="520"/>
        <w:spacing w:after="0" w:line="233" w:lineRule="auto"/>
        <w:rPr>
          <w:sz w:val="20"/>
          <w:szCs w:val="20"/>
          <w:color w:val="auto"/>
        </w:rPr>
      </w:pPr>
      <w:r>
        <w:rPr>
          <w:rFonts w:ascii="Courier New" w:cs="Courier New" w:eastAsia="Courier New" w:hAnsi="Courier New"/>
          <w:sz w:val="9"/>
          <w:szCs w:val="9"/>
          <w:color w:val="auto"/>
        </w:rPr>
        <w:t>Robert H. Nassau</w:t>
      </w:r>
    </w:p>
    <w:p>
      <w:pPr>
        <w:jc w:val="right"/>
        <w:ind w:right="520"/>
        <w:spacing w:after="0"/>
        <w:rPr>
          <w:sz w:val="20"/>
          <w:szCs w:val="20"/>
          <w:color w:val="auto"/>
        </w:rPr>
      </w:pPr>
      <w:r>
        <w:rPr>
          <w:rFonts w:ascii="Courier New" w:cs="Courier New" w:eastAsia="Courier New" w:hAnsi="Courier New"/>
          <w:sz w:val="9"/>
          <w:szCs w:val="9"/>
          <w:color w:val="auto"/>
        </w:rPr>
        <w:t>Christopher A. Twomey</w:t>
      </w:r>
    </w:p>
    <w:p>
      <w:pPr>
        <w:spacing w:after="0" w:line="200" w:lineRule="exact"/>
        <w:rPr>
          <w:sz w:val="20"/>
          <w:szCs w:val="20"/>
          <w:color w:val="auto"/>
        </w:rPr>
      </w:pPr>
    </w:p>
    <w:p>
      <w:pPr>
        <w:sectPr>
          <w:pgSz w:w="11900" w:h="16838" w:orient="portrait"/>
          <w:cols w:equalWidth="0" w:num="2">
            <w:col w:w="8988" w:space="720"/>
            <w:col w:w="1660"/>
          </w:cols>
          <w:pgMar w:left="292" w:top="134" w:right="2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12"/>
        <w:spacing w:after="0"/>
        <w:rPr>
          <w:sz w:val="20"/>
          <w:szCs w:val="20"/>
          <w:color w:val="auto"/>
        </w:rPr>
      </w:pPr>
      <w:r>
        <w:rPr>
          <w:rFonts w:ascii="Courier New" w:cs="Courier New" w:eastAsia="Courier New" w:hAnsi="Courier New"/>
          <w:sz w:val="9"/>
          <w:szCs w:val="9"/>
          <w:b w:val="1"/>
          <w:bCs w:val="1"/>
          <w:color w:val="auto"/>
        </w:rPr>
        <w:t>APPENDIX</w:t>
      </w:r>
    </w:p>
    <w:p>
      <w:pPr>
        <w:spacing w:after="0" w:line="247" w:lineRule="exact"/>
        <w:rPr>
          <w:sz w:val="20"/>
          <w:szCs w:val="20"/>
          <w:color w:val="auto"/>
        </w:rPr>
      </w:pPr>
    </w:p>
    <w:p>
      <w:pPr>
        <w:ind w:left="8"/>
        <w:spacing w:after="0"/>
        <w:rPr>
          <w:sz w:val="20"/>
          <w:szCs w:val="20"/>
          <w:color w:val="auto"/>
        </w:rPr>
      </w:pPr>
      <w:r>
        <w:rPr>
          <w:rFonts w:ascii="Courier New" w:cs="Courier New" w:eastAsia="Courier New" w:hAnsi="Courier New"/>
          <w:sz w:val="9"/>
          <w:szCs w:val="9"/>
          <w:color w:val="auto"/>
        </w:rPr>
        <w:t>A.</w:t>
      </w:r>
    </w:p>
    <w:p>
      <w:pPr>
        <w:ind w:left="368"/>
        <w:spacing w:after="0" w:line="233" w:lineRule="auto"/>
        <w:rPr>
          <w:sz w:val="20"/>
          <w:szCs w:val="20"/>
          <w:color w:val="auto"/>
        </w:rPr>
      </w:pPr>
      <w:r>
        <w:rPr>
          <w:rFonts w:ascii="Courier New" w:cs="Courier New" w:eastAsia="Courier New" w:hAnsi="Courier New"/>
          <w:sz w:val="9"/>
          <w:szCs w:val="9"/>
          <w:color w:val="auto"/>
        </w:rPr>
        <w:t>The</w:t>
      </w:r>
    </w:p>
    <w:p>
      <w:pPr>
        <w:ind w:left="368"/>
        <w:spacing w:after="0"/>
        <w:rPr>
          <w:sz w:val="20"/>
          <w:szCs w:val="20"/>
          <w:color w:val="auto"/>
        </w:rPr>
      </w:pPr>
      <w:r>
        <w:rPr>
          <w:rFonts w:ascii="Courier New" w:cs="Courier New" w:eastAsia="Courier New" w:hAnsi="Courier New"/>
          <w:sz w:val="9"/>
          <w:szCs w:val="9"/>
          <w:color w:val="auto"/>
        </w:rPr>
        <w:t>Toro Company Annual Management Incentive Plan II</w:t>
      </w:r>
    </w:p>
    <w:p>
      <w:pPr>
        <w:spacing w:after="0" w:line="192" w:lineRule="exact"/>
        <w:rPr>
          <w:sz w:val="20"/>
          <w:szCs w:val="20"/>
          <w:color w:val="auto"/>
        </w:rPr>
      </w:pPr>
    </w:p>
    <w:p>
      <w:pPr>
        <w:ind w:left="8"/>
        <w:spacing w:after="0"/>
        <w:rPr>
          <w:sz w:val="20"/>
          <w:szCs w:val="20"/>
          <w:color w:val="auto"/>
        </w:rPr>
      </w:pPr>
      <w:r>
        <w:rPr>
          <w:rFonts w:ascii="Courier New" w:cs="Courier New" w:eastAsia="Courier New" w:hAnsi="Courier New"/>
          <w:sz w:val="9"/>
          <w:szCs w:val="9"/>
          <w:color w:val="auto"/>
        </w:rPr>
        <w:t>B.</w:t>
      </w:r>
    </w:p>
    <w:p>
      <w:pPr>
        <w:ind w:left="368"/>
        <w:spacing w:after="0" w:line="233" w:lineRule="auto"/>
        <w:rPr>
          <w:sz w:val="20"/>
          <w:szCs w:val="20"/>
          <w:color w:val="auto"/>
        </w:rPr>
      </w:pPr>
      <w:r>
        <w:rPr>
          <w:rFonts w:ascii="Courier New" w:cs="Courier New" w:eastAsia="Courier New" w:hAnsi="Courier New"/>
          <w:sz w:val="9"/>
          <w:szCs w:val="9"/>
          <w:color w:val="auto"/>
        </w:rPr>
        <w:t>The</w:t>
      </w:r>
    </w:p>
    <w:p>
      <w:pPr>
        <w:ind w:left="368"/>
        <w:spacing w:after="0"/>
        <w:rPr>
          <w:sz w:val="20"/>
          <w:szCs w:val="20"/>
          <w:color w:val="auto"/>
        </w:rPr>
      </w:pPr>
      <w:r>
        <w:rPr>
          <w:rFonts w:ascii="Courier New" w:cs="Courier New" w:eastAsia="Courier New" w:hAnsi="Courier New"/>
          <w:sz w:val="9"/>
          <w:szCs w:val="9"/>
          <w:color w:val="auto"/>
        </w:rPr>
        <w:t>Toro Company Performance Share Plan</w:t>
      </w:r>
    </w:p>
    <w:p>
      <w:pPr>
        <w:spacing w:after="0" w:line="192" w:lineRule="exact"/>
        <w:rPr>
          <w:sz w:val="20"/>
          <w:szCs w:val="20"/>
          <w:color w:val="auto"/>
        </w:rPr>
      </w:pPr>
    </w:p>
    <w:p>
      <w:pPr>
        <w:ind w:left="8"/>
        <w:spacing w:after="0"/>
        <w:rPr>
          <w:sz w:val="20"/>
          <w:szCs w:val="20"/>
          <w:color w:val="auto"/>
        </w:rPr>
      </w:pPr>
      <w:r>
        <w:rPr>
          <w:rFonts w:ascii="Courier New" w:cs="Courier New" w:eastAsia="Courier New" w:hAnsi="Courier New"/>
          <w:sz w:val="9"/>
          <w:szCs w:val="9"/>
          <w:color w:val="auto"/>
        </w:rPr>
        <w:t>C.</w:t>
      </w:r>
    </w:p>
    <w:p>
      <w:pPr>
        <w:ind w:left="368"/>
        <w:spacing w:after="0" w:line="233" w:lineRule="auto"/>
        <w:rPr>
          <w:sz w:val="20"/>
          <w:szCs w:val="20"/>
          <w:color w:val="auto"/>
        </w:rPr>
      </w:pPr>
      <w:r>
        <w:rPr>
          <w:rFonts w:ascii="Courier New" w:cs="Courier New" w:eastAsia="Courier New" w:hAnsi="Courier New"/>
          <w:sz w:val="9"/>
          <w:szCs w:val="9"/>
          <w:color w:val="auto"/>
        </w:rPr>
        <w:t>The</w:t>
      </w:r>
    </w:p>
    <w:p>
      <w:pPr>
        <w:ind w:left="368"/>
        <w:spacing w:after="0"/>
        <w:rPr>
          <w:sz w:val="20"/>
          <w:szCs w:val="20"/>
          <w:color w:val="auto"/>
        </w:rPr>
      </w:pPr>
      <w:r>
        <w:rPr>
          <w:rFonts w:ascii="Courier New" w:cs="Courier New" w:eastAsia="Courier New" w:hAnsi="Courier New"/>
          <w:sz w:val="9"/>
          <w:szCs w:val="9"/>
          <w:color w:val="auto"/>
        </w:rPr>
        <w:t>Toro Company Directors Stock Plan</w:t>
      </w:r>
    </w:p>
    <w:p>
      <w:pPr>
        <w:spacing w:after="0" w:line="192" w:lineRule="exact"/>
        <w:rPr>
          <w:sz w:val="20"/>
          <w:szCs w:val="20"/>
          <w:color w:val="auto"/>
        </w:rPr>
      </w:pPr>
    </w:p>
    <w:p>
      <w:pPr>
        <w:ind w:left="8"/>
        <w:spacing w:after="0"/>
        <w:rPr>
          <w:sz w:val="20"/>
          <w:szCs w:val="20"/>
          <w:color w:val="auto"/>
        </w:rPr>
      </w:pPr>
      <w:r>
        <w:rPr>
          <w:rFonts w:ascii="Courier New" w:cs="Courier New" w:eastAsia="Courier New" w:hAnsi="Courier New"/>
          <w:sz w:val="9"/>
          <w:szCs w:val="9"/>
          <w:color w:val="auto"/>
        </w:rPr>
        <w:t>D.</w:t>
      </w:r>
    </w:p>
    <w:p>
      <w:pPr>
        <w:ind w:left="368"/>
        <w:spacing w:after="0" w:line="233" w:lineRule="auto"/>
        <w:rPr>
          <w:sz w:val="20"/>
          <w:szCs w:val="20"/>
          <w:color w:val="auto"/>
        </w:rPr>
      </w:pPr>
      <w:r>
        <w:rPr>
          <w:rFonts w:ascii="Courier New" w:cs="Courier New" w:eastAsia="Courier New" w:hAnsi="Courier New"/>
          <w:sz w:val="9"/>
          <w:szCs w:val="9"/>
          <w:color w:val="auto"/>
        </w:rPr>
        <w:t>The</w:t>
      </w:r>
    </w:p>
    <w:p>
      <w:pPr>
        <w:ind w:left="368"/>
        <w:spacing w:after="0"/>
        <w:rPr>
          <w:sz w:val="20"/>
          <w:szCs w:val="20"/>
          <w:color w:val="auto"/>
        </w:rPr>
      </w:pPr>
      <w:r>
        <w:rPr>
          <w:rFonts w:ascii="Courier New" w:cs="Courier New" w:eastAsia="Courier New" w:hAnsi="Courier New"/>
          <w:sz w:val="9"/>
          <w:szCs w:val="9"/>
          <w:color w:val="auto"/>
        </w:rPr>
        <w:t>Toro Company 2000 Stock Option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5248"/>
        <w:spacing w:after="0"/>
        <w:rPr>
          <w:sz w:val="20"/>
          <w:szCs w:val="20"/>
          <w:color w:val="auto"/>
        </w:rPr>
      </w:pPr>
      <w:r>
        <w:rPr>
          <w:rFonts w:ascii="Courier New" w:cs="Courier New" w:eastAsia="Courier New" w:hAnsi="Courier New"/>
          <w:sz w:val="9"/>
          <w:szCs w:val="9"/>
          <w:b w:val="1"/>
          <w:bCs w:val="1"/>
          <w:color w:val="auto"/>
        </w:rPr>
        <w:t>The Toro Company</w:t>
      </w:r>
    </w:p>
    <w:p>
      <w:pPr>
        <w:ind w:left="4688"/>
        <w:spacing w:after="0"/>
        <w:rPr>
          <w:sz w:val="20"/>
          <w:szCs w:val="20"/>
          <w:color w:val="auto"/>
        </w:rPr>
      </w:pPr>
      <w:r>
        <w:rPr>
          <w:rFonts w:ascii="Courier New" w:cs="Courier New" w:eastAsia="Courier New" w:hAnsi="Courier New"/>
          <w:sz w:val="9"/>
          <w:szCs w:val="9"/>
          <w:b w:val="1"/>
          <w:bCs w:val="1"/>
          <w:color w:val="auto"/>
        </w:rPr>
        <w:t>Annual Management Incentive Plan II</w:t>
      </w:r>
    </w:p>
    <w:p>
      <w:pPr>
        <w:spacing w:after="0" w:line="246" w:lineRule="exact"/>
        <w:rPr>
          <w:sz w:val="20"/>
          <w:szCs w:val="20"/>
          <w:color w:val="auto"/>
        </w:rPr>
      </w:pPr>
    </w:p>
    <w:p>
      <w:pPr>
        <w:ind w:left="8"/>
        <w:spacing w:after="0"/>
        <w:rPr>
          <w:sz w:val="20"/>
          <w:szCs w:val="20"/>
          <w:color w:val="auto"/>
        </w:rPr>
      </w:pPr>
      <w:r>
        <w:rPr>
          <w:rFonts w:ascii="Courier New" w:cs="Courier New" w:eastAsia="Courier New" w:hAnsi="Courier New"/>
          <w:sz w:val="9"/>
          <w:szCs w:val="9"/>
          <w:color w:val="auto"/>
        </w:rPr>
        <w:t>1.</w:t>
      </w:r>
    </w:p>
    <w:p>
      <w:pPr>
        <w:ind w:left="368"/>
        <w:spacing w:after="0" w:line="233" w:lineRule="auto"/>
        <w:tabs>
          <w:tab w:leader="none" w:pos="1148" w:val="left"/>
        </w:tabs>
        <w:rPr>
          <w:sz w:val="20"/>
          <w:szCs w:val="20"/>
          <w:color w:val="auto"/>
        </w:rPr>
      </w:pPr>
      <w:r>
        <w:rPr>
          <w:rFonts w:ascii="Courier New" w:cs="Courier New" w:eastAsia="Courier New" w:hAnsi="Courier New"/>
          <w:sz w:val="9"/>
          <w:szCs w:val="9"/>
          <w:b w:val="1"/>
          <w:bCs w:val="1"/>
          <w:color w:val="auto"/>
        </w:rPr>
        <w:t>Plan Purpose.</w:t>
      </w:r>
      <w:r>
        <w:rPr>
          <w:sz w:val="20"/>
          <w:szCs w:val="20"/>
          <w:color w:val="auto"/>
        </w:rPr>
        <w:tab/>
      </w:r>
      <w:r>
        <w:rPr>
          <w:rFonts w:ascii="Courier New" w:cs="Courier New" w:eastAsia="Courier New" w:hAnsi="Courier New"/>
          <w:sz w:val="9"/>
          <w:szCs w:val="9"/>
          <w:color w:val="auto"/>
        </w:rPr>
        <w:t>The purpose of The Toro Company Annual Management Incentive Plan II (the "Plan") is to enhance</w:t>
      </w:r>
    </w:p>
    <w:p>
      <w:pPr>
        <w:jc w:val="both"/>
        <w:ind w:left="368" w:right="260"/>
        <w:spacing w:after="0" w:line="234" w:lineRule="auto"/>
        <w:rPr>
          <w:sz w:val="20"/>
          <w:szCs w:val="20"/>
          <w:color w:val="auto"/>
        </w:rPr>
      </w:pPr>
      <w:r>
        <w:rPr>
          <w:rFonts w:ascii="Courier New" w:cs="Courier New" w:eastAsia="Courier New" w:hAnsi="Courier New"/>
          <w:sz w:val="9"/>
          <w:szCs w:val="9"/>
          <w:color w:val="auto"/>
        </w:rPr>
        <w:t>stockholder value of The Toro Company (the "Company") by providing an annual incentive to reinforce achievement of the Company's performance goals ("Performance Goals"); to link a significant portion of a participating officer's annual compensation to the achievement by the Company, and in certain cases, a division or individual, of Performance Goals; to attract, motivate and retain officers on a competitive basis by making awards based on annual achievement of Performance Goals ("Annual Performance Awards"); and to encourage selected officers to acquire and retain shares of the Common Stock, par value $1.00 per share, and related Preferred Share Purchase Rights of the Company ("Common Stock").</w:t>
      </w:r>
    </w:p>
    <w:p>
      <w:pPr>
        <w:spacing w:after="0" w:line="193" w:lineRule="exact"/>
        <w:rPr>
          <w:sz w:val="20"/>
          <w:szCs w:val="20"/>
          <w:color w:val="auto"/>
        </w:rPr>
      </w:pPr>
    </w:p>
    <w:p>
      <w:pPr>
        <w:ind w:left="8"/>
        <w:spacing w:after="0"/>
        <w:rPr>
          <w:sz w:val="20"/>
          <w:szCs w:val="20"/>
          <w:color w:val="auto"/>
        </w:rPr>
      </w:pPr>
      <w:r>
        <w:rPr>
          <w:rFonts w:ascii="Courier New" w:cs="Courier New" w:eastAsia="Courier New" w:hAnsi="Courier New"/>
          <w:sz w:val="9"/>
          <w:szCs w:val="9"/>
          <w:color w:val="auto"/>
        </w:rPr>
        <w:t>2.</w:t>
      </w:r>
    </w:p>
    <w:p>
      <w:pPr>
        <w:ind w:left="368"/>
        <w:spacing w:after="0" w:line="233" w:lineRule="auto"/>
        <w:tabs>
          <w:tab w:leader="none" w:pos="2068" w:val="left"/>
        </w:tabs>
        <w:rPr>
          <w:sz w:val="20"/>
          <w:szCs w:val="20"/>
          <w:color w:val="auto"/>
        </w:rPr>
      </w:pPr>
      <w:r>
        <w:rPr>
          <w:rFonts w:ascii="Courier New" w:cs="Courier New" w:eastAsia="Courier New" w:hAnsi="Courier New"/>
          <w:sz w:val="9"/>
          <w:szCs w:val="9"/>
          <w:b w:val="1"/>
          <w:bCs w:val="1"/>
          <w:color w:val="auto"/>
        </w:rPr>
        <w:t>Eligibility and Participation.</w:t>
      </w:r>
      <w:r>
        <w:rPr>
          <w:sz w:val="20"/>
          <w:szCs w:val="20"/>
          <w:color w:val="auto"/>
        </w:rPr>
        <w:tab/>
      </w:r>
      <w:r>
        <w:rPr>
          <w:rFonts w:ascii="Courier New" w:cs="Courier New" w:eastAsia="Courier New" w:hAnsi="Courier New"/>
          <w:sz w:val="9"/>
          <w:szCs w:val="9"/>
          <w:color w:val="auto"/>
        </w:rPr>
        <w:t>Within the first 90 days of each fiscal year, or before the first 25% of a</w:t>
      </w:r>
    </w:p>
    <w:p>
      <w:pPr>
        <w:ind w:left="368" w:right="260"/>
        <w:spacing w:after="0" w:line="233" w:lineRule="auto"/>
        <w:rPr>
          <w:sz w:val="20"/>
          <w:szCs w:val="20"/>
          <w:color w:val="auto"/>
        </w:rPr>
      </w:pPr>
      <w:r>
        <w:rPr>
          <w:rFonts w:ascii="Courier New" w:cs="Courier New" w:eastAsia="Courier New" w:hAnsi="Courier New"/>
          <w:sz w:val="9"/>
          <w:szCs w:val="9"/>
          <w:color w:val="auto"/>
        </w:rPr>
        <w:t>shorter performance period has elapsed, the Compensation Committee (the "Committee") shall select as recipients of Annual Performance Awards ("Plan Participants") those officers of the Company who, through their position or performance, can have a significant, positive impact on the Company's financial results. Plan Participants are designated to participate in the Plan for one fiscal year, but may be renominated and selected again. Newly-hired and newly-promoted officers may be selected as Plan Participants after the first 90 days of a fiscal year subject to the provisions of this paragraph and subparagraph 4.a. With respect to persons subject to Section 16 of the Securities Exchange Act of 1934 ("Exchange Act"), transactions under the Plan are intended to comply with</w:t>
      </w:r>
    </w:p>
    <w:p>
      <w:pPr>
        <w:ind w:left="368" w:right="1240"/>
        <w:spacing w:after="0" w:line="235" w:lineRule="auto"/>
        <w:rPr>
          <w:sz w:val="20"/>
          <w:szCs w:val="20"/>
          <w:color w:val="auto"/>
        </w:rPr>
      </w:pPr>
      <w:r>
        <w:rPr>
          <w:rFonts w:ascii="Courier New" w:cs="Courier New" w:eastAsia="Courier New" w:hAnsi="Courier New"/>
          <w:sz w:val="9"/>
          <w:szCs w:val="9"/>
          <w:color w:val="auto"/>
        </w:rPr>
        <w:t>all applicable conditions of Rule 16b-3 or its successor provisions under the Exchange Act. To the extent any provision of the Plan or action by the Committee fails to so comply, it shall be deemed null and void, to the extent permitted by law and deemed advisable by the Committee.</w:t>
      </w:r>
    </w:p>
    <w:p>
      <w:pPr>
        <w:spacing w:after="0" w:line="193" w:lineRule="exact"/>
        <w:rPr>
          <w:sz w:val="20"/>
          <w:szCs w:val="20"/>
          <w:color w:val="auto"/>
        </w:rPr>
      </w:pPr>
    </w:p>
    <w:p>
      <w:pPr>
        <w:ind w:left="8"/>
        <w:spacing w:after="0"/>
        <w:rPr>
          <w:sz w:val="20"/>
          <w:szCs w:val="20"/>
          <w:color w:val="auto"/>
        </w:rPr>
      </w:pPr>
      <w:r>
        <w:rPr>
          <w:rFonts w:ascii="Courier New" w:cs="Courier New" w:eastAsia="Courier New" w:hAnsi="Courier New"/>
          <w:sz w:val="9"/>
          <w:szCs w:val="9"/>
          <w:color w:val="auto"/>
        </w:rPr>
        <w:t>3.</w:t>
      </w:r>
    </w:p>
    <w:p>
      <w:pPr>
        <w:ind w:left="368"/>
        <w:spacing w:after="0"/>
        <w:rPr>
          <w:sz w:val="20"/>
          <w:szCs w:val="20"/>
          <w:color w:val="auto"/>
        </w:rPr>
      </w:pPr>
      <w:r>
        <w:rPr>
          <w:rFonts w:ascii="Courier New" w:cs="Courier New" w:eastAsia="Courier New" w:hAnsi="Courier New"/>
          <w:sz w:val="9"/>
          <w:szCs w:val="9"/>
          <w:b w:val="1"/>
          <w:bCs w:val="1"/>
          <w:color w:val="auto"/>
        </w:rPr>
        <w:t>Award Amounts.</w:t>
      </w:r>
    </w:p>
    <w:p>
      <w:pPr>
        <w:spacing w:after="0" w:line="200" w:lineRule="exact"/>
        <w:rPr>
          <w:sz w:val="20"/>
          <w:szCs w:val="20"/>
          <w:color w:val="auto"/>
        </w:rPr>
      </w:pPr>
    </w:p>
    <w:p>
      <w:pPr>
        <w:spacing w:after="0" w:line="280" w:lineRule="exact"/>
        <w:rPr>
          <w:sz w:val="20"/>
          <w:szCs w:val="20"/>
          <w:color w:val="auto"/>
        </w:rPr>
      </w:pPr>
    </w:p>
    <w:p>
      <w:pPr>
        <w:ind w:left="368"/>
        <w:spacing w:after="0"/>
        <w:rPr>
          <w:sz w:val="20"/>
          <w:szCs w:val="20"/>
          <w:color w:val="auto"/>
        </w:rPr>
      </w:pPr>
      <w:r>
        <w:rPr>
          <w:rFonts w:ascii="Courier New" w:cs="Courier New" w:eastAsia="Courier New" w:hAnsi="Courier New"/>
          <w:sz w:val="9"/>
          <w:szCs w:val="9"/>
          <w:color w:val="auto"/>
        </w:rPr>
        <w:t>a.</w:t>
      </w:r>
    </w:p>
    <w:p>
      <w:pPr>
        <w:ind w:left="728"/>
        <w:spacing w:after="0"/>
        <w:tabs>
          <w:tab w:leader="none" w:pos="1568" w:val="left"/>
        </w:tabs>
        <w:rPr>
          <w:sz w:val="20"/>
          <w:szCs w:val="20"/>
          <w:color w:val="auto"/>
        </w:rPr>
      </w:pPr>
      <w:r>
        <w:rPr>
          <w:rFonts w:ascii="Courier New" w:cs="Courier New" w:eastAsia="Courier New" w:hAnsi="Courier New"/>
          <w:sz w:val="9"/>
          <w:szCs w:val="9"/>
          <w:b w:val="1"/>
          <w:bCs w:val="1"/>
          <w:i w:val="1"/>
          <w:iCs w:val="1"/>
          <w:color w:val="auto"/>
        </w:rPr>
        <w:t>Target Payout.</w:t>
      </w:r>
      <w:r>
        <w:rPr>
          <w:sz w:val="20"/>
          <w:szCs w:val="20"/>
          <w:color w:val="auto"/>
        </w:rPr>
        <w:tab/>
      </w:r>
      <w:r>
        <w:rPr>
          <w:rFonts w:ascii="Courier New" w:cs="Courier New" w:eastAsia="Courier New" w:hAnsi="Courier New"/>
          <w:sz w:val="8"/>
          <w:szCs w:val="8"/>
          <w:color w:val="auto"/>
        </w:rPr>
        <w:t>The target amount that may be paid with respect to an Annual Performance Award (the "Target Payout")</w:t>
      </w:r>
    </w:p>
    <w:p>
      <w:pPr>
        <w:ind w:left="728"/>
        <w:spacing w:after="0" w:line="233" w:lineRule="auto"/>
        <w:rPr>
          <w:sz w:val="20"/>
          <w:szCs w:val="20"/>
          <w:color w:val="auto"/>
        </w:rPr>
      </w:pPr>
      <w:r>
        <w:rPr>
          <w:rFonts w:ascii="Courier New" w:cs="Courier New" w:eastAsia="Courier New" w:hAnsi="Courier New"/>
          <w:sz w:val="9"/>
          <w:szCs w:val="9"/>
          <w:color w:val="auto"/>
        </w:rPr>
        <w:t>shall be determined by the Committee and shall be based on a percentage of a Plan Participant's actual annual base salary at the time of grant ("Participation Factor"), within the range established this subparagraph and subject to adjustment as provided in the last sentence of this subparagraph. The Participation Factors, which are intended to reflect a Plan Participant's level of responsibility, are up to 60% for the Chairman and Chief Executive Officer, up to 55% for the President and Chief Operating Officer if one should be elected, up to 50% for other elected officers an up to 45% for other officers. The Chief Executive Officer may approve modifications to the foregoing Participation Factors for any participant who is not a person referred to in Section 162(m)</w:t>
      </w:r>
    </w:p>
    <w:p>
      <w:pPr>
        <w:ind w:left="728" w:right="220"/>
        <w:spacing w:after="0" w:line="235" w:lineRule="auto"/>
        <w:rPr>
          <w:sz w:val="20"/>
          <w:szCs w:val="20"/>
          <w:color w:val="auto"/>
        </w:rPr>
      </w:pPr>
      <w:r>
        <w:rPr>
          <w:rFonts w:ascii="Courier New" w:cs="Courier New" w:eastAsia="Courier New" w:hAnsi="Courier New"/>
          <w:sz w:val="9"/>
          <w:szCs w:val="9"/>
          <w:color w:val="auto"/>
        </w:rPr>
        <w:t>of the Internal Revenue Code of 1986, as amended, or the regulations thereunder ("Section 162(m)"), if such modification is based on level of responsibility. The Committee may establish curves, matrices or other measurements for prorating the amount of payouts for achievement of Performance Goals at less than the Target Payout.</w:t>
      </w:r>
    </w:p>
    <w:p>
      <w:pPr>
        <w:sectPr>
          <w:pgSz w:w="11900" w:h="16838" w:orient="portrait"/>
          <w:cols w:equalWidth="0" w:num="1">
            <w:col w:w="11368"/>
          </w:cols>
          <w:pgMar w:left="292" w:top="134" w:right="239" w:bottom="0" w:gutter="0" w:footer="0" w:header="0"/>
          <w:type w:val="continuous"/>
        </w:sectPr>
      </w:pPr>
    </w:p>
    <w:bookmarkStart w:id="10" w:name="page11"/>
    <w:bookmarkEnd w:id="10"/>
    <w:p>
      <w:pPr>
        <w:spacing w:after="0" w:line="14"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b.</w:t>
      </w:r>
    </w:p>
    <w:p>
      <w:pPr>
        <w:ind w:left="720"/>
        <w:spacing w:after="0"/>
        <w:tabs>
          <w:tab w:leader="none" w:pos="1620" w:val="left"/>
        </w:tabs>
        <w:rPr>
          <w:sz w:val="20"/>
          <w:szCs w:val="20"/>
          <w:color w:val="auto"/>
        </w:rPr>
      </w:pPr>
      <w:r>
        <w:rPr>
          <w:rFonts w:ascii="Courier New" w:cs="Courier New" w:eastAsia="Courier New" w:hAnsi="Courier New"/>
          <w:sz w:val="9"/>
          <w:szCs w:val="9"/>
          <w:b w:val="1"/>
          <w:bCs w:val="1"/>
          <w:i w:val="1"/>
          <w:iCs w:val="1"/>
          <w:color w:val="auto"/>
        </w:rPr>
        <w:t>Maximum Payout.</w:t>
      </w:r>
      <w:r>
        <w:rPr>
          <w:sz w:val="20"/>
          <w:szCs w:val="20"/>
          <w:color w:val="auto"/>
        </w:rPr>
        <w:tab/>
      </w:r>
      <w:r>
        <w:rPr>
          <w:rFonts w:ascii="Courier New" w:cs="Courier New" w:eastAsia="Courier New" w:hAnsi="Courier New"/>
          <w:sz w:val="8"/>
          <w:szCs w:val="8"/>
          <w:color w:val="auto"/>
        </w:rPr>
        <w:t>The Committee may also establish a maximum potential payout amount (the "Maximum Payout") with</w:t>
      </w:r>
    </w:p>
    <w:p>
      <w:pPr>
        <w:ind w:left="720"/>
        <w:spacing w:after="0" w:line="234" w:lineRule="auto"/>
        <w:rPr>
          <w:sz w:val="20"/>
          <w:szCs w:val="20"/>
          <w:color w:val="auto"/>
        </w:rPr>
      </w:pPr>
      <w:r>
        <w:rPr>
          <w:rFonts w:ascii="Courier New" w:cs="Courier New" w:eastAsia="Courier New" w:hAnsi="Courier New"/>
          <w:sz w:val="9"/>
          <w:szCs w:val="9"/>
          <w:color w:val="auto"/>
        </w:rPr>
        <w:t>respect to an Annual Performance Award of up to 200% of the Target Payout in the event Performance Goal targets are exceeded by an amount established by the Committee at the time Performance Goals established. The Committee may establish curves, matrices or other measurements for prorating the amount of payouts for achievement of Performance Goals at greater than the Target Payout but less t the Maximum Payout.</w:t>
      </w:r>
    </w:p>
    <w:p>
      <w:pPr>
        <w:spacing w:after="0" w:line="194"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c.</w:t>
      </w:r>
    </w:p>
    <w:p>
      <w:pPr>
        <w:ind w:left="720" w:right="4860"/>
        <w:spacing w:after="0" w:line="233" w:lineRule="auto"/>
        <w:rPr>
          <w:sz w:val="20"/>
          <w:szCs w:val="20"/>
          <w:color w:val="auto"/>
        </w:rPr>
      </w:pPr>
      <w:r>
        <w:rPr>
          <w:rFonts w:ascii="Courier New" w:cs="Courier New" w:eastAsia="Courier New" w:hAnsi="Courier New"/>
          <w:sz w:val="9"/>
          <w:szCs w:val="9"/>
          <w:b w:val="1"/>
          <w:bCs w:val="1"/>
          <w:i w:val="1"/>
          <w:iCs w:val="1"/>
          <w:color w:val="auto"/>
        </w:rPr>
        <w:t xml:space="preserve">Division Payout. </w:t>
      </w:r>
      <w:r>
        <w:rPr>
          <w:rFonts w:ascii="Courier New" w:cs="Courier New" w:eastAsia="Courier New" w:hAnsi="Courier New"/>
          <w:sz w:val="9"/>
          <w:szCs w:val="9"/>
          <w:color w:val="auto"/>
        </w:rPr>
        <w:t>At the time an Annual Performance Award is made, the Committee may establish supplemental</w:t>
      </w:r>
      <w:r>
        <w:rPr>
          <w:rFonts w:ascii="Courier New" w:cs="Courier New" w:eastAsia="Courier New" w:hAnsi="Courier New"/>
          <w:sz w:val="9"/>
          <w:szCs w:val="9"/>
          <w:b w:val="1"/>
          <w:bCs w:val="1"/>
          <w:i w:val="1"/>
          <w:iCs w:val="1"/>
          <w:color w:val="auto"/>
        </w:rPr>
        <w:t xml:space="preserve"> </w:t>
      </w:r>
      <w:r>
        <w:rPr>
          <w:rFonts w:ascii="Courier New" w:cs="Courier New" w:eastAsia="Courier New" w:hAnsi="Courier New"/>
          <w:sz w:val="9"/>
          <w:szCs w:val="9"/>
          <w:color w:val="auto"/>
        </w:rPr>
        <w:t>division-specific Performance Goals ("Supplemental Division Performance Goals") and</w:t>
      </w:r>
    </w:p>
    <w:p>
      <w:pPr>
        <w:ind w:left="720"/>
        <w:spacing w:after="0" w:line="234" w:lineRule="auto"/>
        <w:rPr>
          <w:sz w:val="20"/>
          <w:szCs w:val="20"/>
          <w:color w:val="auto"/>
        </w:rPr>
      </w:pPr>
      <w:r>
        <w:rPr>
          <w:rFonts w:ascii="Courier New" w:cs="Courier New" w:eastAsia="Courier New" w:hAnsi="Courier New"/>
          <w:sz w:val="9"/>
          <w:szCs w:val="9"/>
          <w:color w:val="auto"/>
        </w:rPr>
        <w:t>may provide that achievement of a Supplemental Division Performance Goal at or above an established target level shall be required in order to earn a Target Payout or Maximum Payout. The Committee shall also have the discretion to reduce by an amount up to 20% the amount that would otherwise be paid under the division payout formula to a division vice president or general manager based on th Committee's evaluation of the quality of division performance.</w:t>
      </w:r>
    </w:p>
    <w:p>
      <w:pPr>
        <w:spacing w:after="0" w:line="293"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d.</w:t>
      </w:r>
    </w:p>
    <w:p>
      <w:pPr>
        <w:ind w:left="720"/>
        <w:spacing w:after="0"/>
        <w:tabs>
          <w:tab w:leader="none" w:pos="2800" w:val="left"/>
        </w:tabs>
        <w:rPr>
          <w:sz w:val="20"/>
          <w:szCs w:val="20"/>
          <w:color w:val="auto"/>
        </w:rPr>
      </w:pPr>
      <w:r>
        <w:rPr>
          <w:rFonts w:ascii="Courier New" w:cs="Courier New" w:eastAsia="Courier New" w:hAnsi="Courier New"/>
          <w:sz w:val="9"/>
          <w:szCs w:val="9"/>
          <w:b w:val="1"/>
          <w:bCs w:val="1"/>
          <w:i w:val="1"/>
          <w:iCs w:val="1"/>
          <w:color w:val="auto"/>
        </w:rPr>
        <w:t>Strategic Performance Measure Payout.</w:t>
      </w:r>
      <w:r>
        <w:rPr>
          <w:sz w:val="20"/>
          <w:szCs w:val="20"/>
          <w:color w:val="auto"/>
        </w:rPr>
        <w:tab/>
      </w:r>
      <w:r>
        <w:rPr>
          <w:rFonts w:ascii="Courier New" w:cs="Courier New" w:eastAsia="Courier New" w:hAnsi="Courier New"/>
          <w:sz w:val="8"/>
          <w:szCs w:val="8"/>
          <w:color w:val="auto"/>
        </w:rPr>
        <w:t>At the time an Annual Performance Award is made, the Committee may increase the</w:t>
      </w:r>
    </w:p>
    <w:p>
      <w:pPr>
        <w:ind w:left="720"/>
        <w:spacing w:after="0" w:line="234" w:lineRule="auto"/>
        <w:rPr>
          <w:sz w:val="20"/>
          <w:szCs w:val="20"/>
          <w:color w:val="auto"/>
        </w:rPr>
      </w:pPr>
      <w:r>
        <w:rPr>
          <w:rFonts w:ascii="Courier New" w:cs="Courier New" w:eastAsia="Courier New" w:hAnsi="Courier New"/>
          <w:sz w:val="9"/>
          <w:szCs w:val="9"/>
          <w:color w:val="auto"/>
        </w:rPr>
        <w:t>Target Payout and the Maximum Payout (as either may be prorated in accordance with subparagraphs 3.a. and 3.b.) by up to 20% but to not more than 200% of the Target Payout, for selected Plan Participants ("Strategic Performance Participants"), to reflect individual strategic performance measures ("SPM Performance Goals") established at that time by the Committee. The Committee shall ha the discretion to reduce by an amount up to 20% the amount that would otherwise be paid under the payout formula to a Strategic Performance Participant based on the Committee's evaluation of the individual's achievement of the SPM Performance Goal.</w:t>
      </w:r>
    </w:p>
    <w:p>
      <w:pPr>
        <w:spacing w:after="0" w:line="193"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e.</w:t>
      </w:r>
    </w:p>
    <w:p>
      <w:pPr>
        <w:ind w:left="720"/>
        <w:spacing w:after="0" w:line="233" w:lineRule="auto"/>
        <w:tabs>
          <w:tab w:leader="none" w:pos="2040" w:val="left"/>
        </w:tabs>
        <w:rPr>
          <w:sz w:val="20"/>
          <w:szCs w:val="20"/>
          <w:color w:val="auto"/>
        </w:rPr>
      </w:pPr>
      <w:r>
        <w:rPr>
          <w:rFonts w:ascii="Courier New" w:cs="Courier New" w:eastAsia="Courier New" w:hAnsi="Courier New"/>
          <w:sz w:val="9"/>
          <w:szCs w:val="9"/>
          <w:b w:val="1"/>
          <w:bCs w:val="1"/>
          <w:i w:val="1"/>
          <w:iCs w:val="1"/>
          <w:color w:val="auto"/>
        </w:rPr>
        <w:t>Section 162(m) Maximum.</w:t>
      </w:r>
      <w:r>
        <w:rPr>
          <w:sz w:val="20"/>
          <w:szCs w:val="20"/>
          <w:color w:val="auto"/>
        </w:rPr>
        <w:tab/>
      </w:r>
      <w:r>
        <w:rPr>
          <w:rFonts w:ascii="Courier New" w:cs="Courier New" w:eastAsia="Courier New" w:hAnsi="Courier New"/>
          <w:sz w:val="9"/>
          <w:szCs w:val="9"/>
          <w:color w:val="auto"/>
        </w:rPr>
        <w:t>With respect to any Plan Participant who is or may become a person referred to in</w:t>
      </w:r>
    </w:p>
    <w:p>
      <w:pPr>
        <w:ind w:left="720"/>
        <w:spacing w:after="0" w:line="234" w:lineRule="auto"/>
        <w:rPr>
          <w:sz w:val="20"/>
          <w:szCs w:val="20"/>
          <w:color w:val="auto"/>
        </w:rPr>
      </w:pPr>
      <w:r>
        <w:rPr>
          <w:rFonts w:ascii="Courier New" w:cs="Courier New" w:eastAsia="Courier New" w:hAnsi="Courier New"/>
          <w:sz w:val="9"/>
          <w:szCs w:val="9"/>
          <w:color w:val="auto"/>
        </w:rPr>
        <w:t>Section 162(m), the maximum dollar amount that may be paid under an Annual Performance Award shall be set at the time the Committee grants the award and establishes Performance Goals under the award, and the Committee shall have the discretion to decrease an award payment, but may not under any circumstances increase such amount. Notwithstanding any other provision of this Plan, the maxi dollar amount a Plan Participant may be paid under an Annual Performance Award, whether in cash or Common Stock or Common Stock units, with respect to any fiscal year is $1,500,000. The Committee m in its discretion, decrease this maximum, but may not, under any circumstances, increase this maximum.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4.</w:t>
      </w:r>
    </w:p>
    <w:p>
      <w:pPr>
        <w:ind w:left="360"/>
        <w:spacing w:after="0"/>
        <w:rPr>
          <w:sz w:val="20"/>
          <w:szCs w:val="20"/>
          <w:color w:val="auto"/>
        </w:rPr>
      </w:pPr>
      <w:r>
        <w:rPr>
          <w:rFonts w:ascii="Courier New" w:cs="Courier New" w:eastAsia="Courier New" w:hAnsi="Courier New"/>
          <w:sz w:val="9"/>
          <w:szCs w:val="9"/>
          <w:b w:val="1"/>
          <w:bCs w:val="1"/>
          <w:color w:val="auto"/>
        </w:rPr>
        <w:t>Performance Goals.</w:t>
      </w:r>
    </w:p>
    <w:p>
      <w:pPr>
        <w:spacing w:after="0" w:line="200" w:lineRule="exact"/>
        <w:rPr>
          <w:sz w:val="20"/>
          <w:szCs w:val="20"/>
          <w:color w:val="auto"/>
        </w:rPr>
      </w:pPr>
    </w:p>
    <w:p>
      <w:pPr>
        <w:spacing w:after="0" w:line="280"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a.</w:t>
      </w:r>
    </w:p>
    <w:p>
      <w:pPr>
        <w:ind w:left="720"/>
        <w:spacing w:after="0" w:line="233" w:lineRule="auto"/>
        <w:tabs>
          <w:tab w:leader="none" w:pos="1560" w:val="left"/>
        </w:tabs>
        <w:rPr>
          <w:sz w:val="20"/>
          <w:szCs w:val="20"/>
          <w:color w:val="auto"/>
        </w:rPr>
      </w:pPr>
      <w:r>
        <w:rPr>
          <w:rFonts w:ascii="Courier New" w:cs="Courier New" w:eastAsia="Courier New" w:hAnsi="Courier New"/>
          <w:sz w:val="9"/>
          <w:szCs w:val="9"/>
          <w:b w:val="1"/>
          <w:bCs w:val="1"/>
          <w:i w:val="1"/>
          <w:iCs w:val="1"/>
          <w:color w:val="auto"/>
        </w:rPr>
        <w:t>Establishment.</w:t>
      </w:r>
      <w:r>
        <w:rPr>
          <w:sz w:val="20"/>
          <w:szCs w:val="20"/>
          <w:color w:val="auto"/>
        </w:rPr>
        <w:tab/>
      </w:r>
      <w:r>
        <w:rPr>
          <w:rFonts w:ascii="Courier New" w:cs="Courier New" w:eastAsia="Courier New" w:hAnsi="Courier New"/>
          <w:sz w:val="9"/>
          <w:szCs w:val="9"/>
          <w:color w:val="auto"/>
        </w:rPr>
        <w:t>An award payment under an Annual Performance Award shall be made to a Plan Participant only if the</w:t>
      </w:r>
    </w:p>
    <w:p>
      <w:pPr>
        <w:ind w:left="720" w:right="220"/>
        <w:spacing w:after="0" w:line="234" w:lineRule="auto"/>
        <w:rPr>
          <w:sz w:val="20"/>
          <w:szCs w:val="20"/>
          <w:color w:val="auto"/>
        </w:rPr>
      </w:pPr>
      <w:r>
        <w:rPr>
          <w:rFonts w:ascii="Courier New" w:cs="Courier New" w:eastAsia="Courier New" w:hAnsi="Courier New"/>
          <w:sz w:val="9"/>
          <w:szCs w:val="9"/>
          <w:color w:val="auto"/>
        </w:rPr>
        <w:t>Company, a division and/or the individual participant achieves Performance Goals established by the Committee in writing not later than 90 days after the commencement of the fiscal year to which the Performance Goal relates, provided that the outcome is substantially uncertain at the time the Committee establishes the Performance Goal; and provided further that in no event will a Performance Goal be considered to be pre-established if it is established after 25% of the period of service (as scheduled in good faith at the time the Performance Goal is established) has elapsed.</w:t>
      </w:r>
    </w:p>
    <w:p>
      <w:pPr>
        <w:spacing w:after="0" w:line="193"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b.</w:t>
      </w:r>
    </w:p>
    <w:p>
      <w:pPr>
        <w:ind w:left="720"/>
        <w:spacing w:after="0"/>
        <w:tabs>
          <w:tab w:leader="none" w:pos="2200" w:val="left"/>
        </w:tabs>
        <w:rPr>
          <w:sz w:val="20"/>
          <w:szCs w:val="20"/>
          <w:color w:val="auto"/>
        </w:rPr>
      </w:pPr>
      <w:r>
        <w:rPr>
          <w:rFonts w:ascii="Courier New" w:cs="Courier New" w:eastAsia="Courier New" w:hAnsi="Courier New"/>
          <w:sz w:val="9"/>
          <w:szCs w:val="9"/>
          <w:b w:val="1"/>
          <w:bCs w:val="1"/>
          <w:i w:val="1"/>
          <w:iCs w:val="1"/>
          <w:color w:val="auto"/>
        </w:rPr>
        <w:t>Performance Goal Criteria.</w:t>
      </w:r>
      <w:r>
        <w:rPr>
          <w:sz w:val="20"/>
          <w:szCs w:val="20"/>
          <w:color w:val="auto"/>
        </w:rPr>
        <w:tab/>
      </w:r>
      <w:r>
        <w:rPr>
          <w:rFonts w:ascii="Courier New" w:cs="Courier New" w:eastAsia="Courier New" w:hAnsi="Courier New"/>
          <w:sz w:val="8"/>
          <w:szCs w:val="8"/>
          <w:color w:val="auto"/>
        </w:rPr>
        <w:t>Performance Goals to be established under subparagraph 4.a. shall be based on revenue,</w:t>
      </w:r>
    </w:p>
    <w:p>
      <w:pPr>
        <w:ind w:left="720"/>
        <w:spacing w:after="0" w:line="233" w:lineRule="auto"/>
        <w:rPr>
          <w:sz w:val="20"/>
          <w:szCs w:val="20"/>
          <w:color w:val="auto"/>
        </w:rPr>
      </w:pPr>
      <w:r>
        <w:rPr>
          <w:rFonts w:ascii="Courier New" w:cs="Courier New" w:eastAsia="Courier New" w:hAnsi="Courier New"/>
          <w:sz w:val="9"/>
          <w:szCs w:val="9"/>
          <w:color w:val="auto"/>
        </w:rPr>
        <w:t>revenue growth, cost of goods sold, earnings per share (EPS), earnings growth, return on average net assets (ROANA), return on average total assets, return on average current assets, return on equi average net asset dollar level, average current asset turns, average net asset turns, average inventory asset turns, division profit adjustment, division controllable profit contribution, division average asset dollars, economic value added, controllable value added, product innovation, asset management, customer satisfaction scores, customer care and fill rate. Supplemental Division Performance Goals for division participants that may be established under subparagraph 4.a. may be based on any of the foregoing and/or on division specific operating performance goals including sustained earnings, product warranty experience, product recalls or inventory levels. SPM Performance Goals that may be established under subparagraph 4.a. may be based on quantitative or qualitati factors, and may include, but are not limited to, aggressive revenue growth, sustained earnings initiative, warranty experience, product recalls, field inventory, acquisition experience, customer satisfaction (determined by such measurements as product innovation, asset management, product quality, warranty, on-time delivery,</w:t>
      </w:r>
    </w:p>
    <w:p>
      <w:pPr>
        <w:ind w:left="720"/>
        <w:spacing w:after="0" w:line="235" w:lineRule="auto"/>
        <w:rPr>
          <w:sz w:val="20"/>
          <w:szCs w:val="20"/>
          <w:color w:val="auto"/>
        </w:rPr>
      </w:pPr>
      <w:r>
        <w:rPr>
          <w:rFonts w:ascii="Courier New" w:cs="Courier New" w:eastAsia="Courier New" w:hAnsi="Courier New"/>
          <w:sz w:val="9"/>
          <w:szCs w:val="9"/>
          <w:color w:val="auto"/>
        </w:rPr>
        <w:t>after-market service, customer care or customer satisfaction scores or survey results), inventory reduction and inventory turnover or any of the other Performance Goals listed in this paragraph. Ea Performance Goal is to be specifically defined by the Committee on a Company, division or individual basis and/or in comparison with peer group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5.</w:t>
      </w:r>
    </w:p>
    <w:p>
      <w:pPr>
        <w:ind w:left="360"/>
        <w:spacing w:after="0" w:line="233" w:lineRule="auto"/>
        <w:tabs>
          <w:tab w:leader="none" w:pos="920" w:val="left"/>
        </w:tabs>
        <w:rPr>
          <w:sz w:val="20"/>
          <w:szCs w:val="20"/>
          <w:color w:val="auto"/>
        </w:rPr>
      </w:pPr>
      <w:r>
        <w:rPr>
          <w:rFonts w:ascii="Courier New" w:cs="Courier New" w:eastAsia="Courier New" w:hAnsi="Courier New"/>
          <w:sz w:val="9"/>
          <w:szCs w:val="9"/>
          <w:b w:val="1"/>
          <w:bCs w:val="1"/>
          <w:color w:val="auto"/>
        </w:rPr>
        <w:t>Payments.</w:t>
      </w:r>
      <w:r>
        <w:rPr>
          <w:sz w:val="20"/>
          <w:szCs w:val="20"/>
          <w:color w:val="auto"/>
        </w:rPr>
        <w:tab/>
      </w:r>
      <w:r>
        <w:rPr>
          <w:rFonts w:ascii="Courier New" w:cs="Courier New" w:eastAsia="Courier New" w:hAnsi="Courier New"/>
          <w:sz w:val="9"/>
          <w:szCs w:val="9"/>
          <w:color w:val="auto"/>
        </w:rPr>
        <w:t>Before any payment is made under the Plan, the Committee must certify in writing, as reflected in the</w:t>
      </w:r>
    </w:p>
    <w:p>
      <w:pPr>
        <w:ind w:left="360" w:right="200"/>
        <w:spacing w:after="0" w:line="234" w:lineRule="auto"/>
        <w:rPr>
          <w:sz w:val="20"/>
          <w:szCs w:val="20"/>
          <w:color w:val="auto"/>
        </w:rPr>
      </w:pPr>
      <w:r>
        <w:rPr>
          <w:rFonts w:ascii="Courier New" w:cs="Courier New" w:eastAsia="Courier New" w:hAnsi="Courier New"/>
          <w:sz w:val="9"/>
          <w:szCs w:val="9"/>
          <w:color w:val="auto"/>
        </w:rPr>
        <w:t>minutes, that the Performance Goals established with respect to an Annual Performance Award have been achieved. To the extent necessary with respect to any fiscal year, in order to avoid any undue windfall or hardship due to external causes, the Committee may make the determination as to whether a Performance Goal has been achieved without regard to the effect on the Performance Goal measure, as it may otherwise be presented in the financial statements, of any change in accounting standards, any acquisition by the Company not planned for at the time the Performance Goals are established or any Board-approved extraordinary or non-recurring event or item.</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6.</w:t>
      </w:r>
    </w:p>
    <w:p>
      <w:pPr>
        <w:ind w:left="360"/>
        <w:spacing w:after="0"/>
        <w:rPr>
          <w:sz w:val="20"/>
          <w:szCs w:val="20"/>
          <w:color w:val="auto"/>
        </w:rPr>
      </w:pPr>
      <w:r>
        <w:rPr>
          <w:rFonts w:ascii="Courier New" w:cs="Courier New" w:eastAsia="Courier New" w:hAnsi="Courier New"/>
          <w:sz w:val="9"/>
          <w:szCs w:val="9"/>
          <w:b w:val="1"/>
          <w:bCs w:val="1"/>
          <w:color w:val="auto"/>
        </w:rPr>
        <w:t>Stock Retention Provisions.</w:t>
      </w:r>
    </w:p>
    <w:p>
      <w:pPr>
        <w:spacing w:after="0" w:line="200" w:lineRule="exact"/>
        <w:rPr>
          <w:sz w:val="20"/>
          <w:szCs w:val="20"/>
          <w:color w:val="auto"/>
        </w:rPr>
      </w:pPr>
    </w:p>
    <w:p>
      <w:pPr>
        <w:spacing w:after="0" w:line="280"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a.</w:t>
      </w:r>
    </w:p>
    <w:p>
      <w:pPr>
        <w:ind w:left="720"/>
        <w:spacing w:after="0" w:line="233" w:lineRule="auto"/>
        <w:tabs>
          <w:tab w:leader="none" w:pos="2860" w:val="left"/>
        </w:tabs>
        <w:rPr>
          <w:sz w:val="20"/>
          <w:szCs w:val="20"/>
          <w:color w:val="auto"/>
        </w:rPr>
      </w:pPr>
      <w:r>
        <w:rPr>
          <w:rFonts w:ascii="Courier New" w:cs="Courier New" w:eastAsia="Courier New" w:hAnsi="Courier New"/>
          <w:sz w:val="9"/>
          <w:szCs w:val="9"/>
          <w:b w:val="1"/>
          <w:bCs w:val="1"/>
          <w:i w:val="1"/>
          <w:iCs w:val="1"/>
          <w:color w:val="auto"/>
        </w:rPr>
        <w:t>Eligibility for Stock Retention Award.</w:t>
      </w:r>
      <w:r>
        <w:rPr>
          <w:sz w:val="20"/>
          <w:szCs w:val="20"/>
          <w:color w:val="auto"/>
        </w:rPr>
        <w:tab/>
      </w:r>
      <w:r>
        <w:rPr>
          <w:rFonts w:ascii="Courier New" w:cs="Courier New" w:eastAsia="Courier New" w:hAnsi="Courier New"/>
          <w:sz w:val="9"/>
          <w:szCs w:val="9"/>
          <w:color w:val="auto"/>
        </w:rPr>
        <w:t>Subject to the terms and conditions of this paragraph 6 (the "Stock</w:t>
      </w:r>
    </w:p>
    <w:p>
      <w:pPr>
        <w:ind w:left="720"/>
        <w:spacing w:after="0" w:line="233" w:lineRule="auto"/>
        <w:rPr>
          <w:sz w:val="20"/>
          <w:szCs w:val="20"/>
          <w:color w:val="auto"/>
        </w:rPr>
      </w:pPr>
      <w:r>
        <w:rPr>
          <w:rFonts w:ascii="Courier New" w:cs="Courier New" w:eastAsia="Courier New" w:hAnsi="Courier New"/>
          <w:sz w:val="9"/>
          <w:szCs w:val="9"/>
          <w:color w:val="auto"/>
        </w:rPr>
        <w:t>Retention Provisions"), at the time the Committee selects Plan Participants, the Committee may grant to selected Plan Participants ("Stock Participants") a right (a "Stock Retention Award") to elec</w:t>
      </w:r>
    </w:p>
    <w:p>
      <w:pPr>
        <w:ind w:left="720"/>
        <w:spacing w:after="0" w:line="233" w:lineRule="auto"/>
        <w:rPr>
          <w:sz w:val="20"/>
          <w:szCs w:val="20"/>
          <w:color w:val="auto"/>
        </w:rPr>
      </w:pPr>
      <w:r>
        <w:rPr>
          <w:rFonts w:ascii="Courier New" w:cs="Courier New" w:eastAsia="Courier New" w:hAnsi="Courier New"/>
          <w:sz w:val="9"/>
          <w:szCs w:val="9"/>
          <w:color w:val="auto"/>
        </w:rPr>
        <w:t>(i) to convert to shares of Common Stock or (ii) to defer, through The Toro Company Deferred Compensation Plan for Officers (the "Officers Deferred Plan"), into units having a value</w:t>
      </w:r>
    </w:p>
    <w:p>
      <w:pPr>
        <w:jc w:val="both"/>
        <w:ind w:left="720"/>
        <w:spacing w:after="0" w:line="234" w:lineRule="auto"/>
        <w:rPr>
          <w:sz w:val="20"/>
          <w:szCs w:val="20"/>
          <w:color w:val="auto"/>
        </w:rPr>
      </w:pPr>
      <w:r>
        <w:rPr>
          <w:rFonts w:ascii="Courier New" w:cs="Courier New" w:eastAsia="Courier New" w:hAnsi="Courier New"/>
          <w:sz w:val="9"/>
          <w:szCs w:val="9"/>
          <w:color w:val="auto"/>
        </w:rPr>
        <w:t>based on shares of Common Stock, up to 50% of the amount of an award payment under an Annual Performance Award ("Base Cash Award") and to receive additional incentive compensation in the form of on additional share or unit of Common Stock for every two shares or units acquired upon conversion of the Base Cash Award, up to the 50% limit (the "Matching Shares" or "Matching Units"). The shares o units acquired upon conversion of the Base Cash Award shall be retained by the Company during the vesting periods for the Matching Shares or Units described in subparagraph 6.e. Shares of Common St issued under the Stock Retention Provisions shall be called "Retained Shares" and units of Common Stock deferred under the Officers Deferred Plan shall be called "Retained Units."</w:t>
      </w:r>
    </w:p>
    <w:p>
      <w:pPr>
        <w:spacing w:after="0" w:line="193"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b.</w:t>
      </w:r>
    </w:p>
    <w:p>
      <w:pPr>
        <w:ind w:left="720"/>
        <w:spacing w:after="0" w:line="233" w:lineRule="auto"/>
        <w:tabs>
          <w:tab w:leader="none" w:pos="2200" w:val="left"/>
        </w:tabs>
        <w:rPr>
          <w:sz w:val="20"/>
          <w:szCs w:val="20"/>
          <w:color w:val="auto"/>
        </w:rPr>
      </w:pPr>
      <w:r>
        <w:rPr>
          <w:rFonts w:ascii="Courier New" w:cs="Courier New" w:eastAsia="Courier New" w:hAnsi="Courier New"/>
          <w:sz w:val="9"/>
          <w:szCs w:val="9"/>
          <w:b w:val="1"/>
          <w:bCs w:val="1"/>
          <w:i w:val="1"/>
          <w:iCs w:val="1"/>
          <w:color w:val="auto"/>
        </w:rPr>
        <w:t>Number of Shares or Units.</w:t>
      </w:r>
      <w:r>
        <w:rPr>
          <w:sz w:val="20"/>
          <w:szCs w:val="20"/>
          <w:color w:val="auto"/>
        </w:rPr>
        <w:tab/>
      </w:r>
      <w:r>
        <w:rPr>
          <w:rFonts w:ascii="Courier New" w:cs="Courier New" w:eastAsia="Courier New" w:hAnsi="Courier New"/>
          <w:sz w:val="9"/>
          <w:szCs w:val="9"/>
          <w:color w:val="auto"/>
        </w:rPr>
        <w:t>The number of Retained Shares or Retained Units to be issued or credited upon conversion</w:t>
      </w:r>
    </w:p>
    <w:p>
      <w:pPr>
        <w:ind w:left="720" w:right="280"/>
        <w:spacing w:after="0" w:line="234" w:lineRule="auto"/>
        <w:rPr>
          <w:sz w:val="20"/>
          <w:szCs w:val="20"/>
          <w:color w:val="auto"/>
        </w:rPr>
      </w:pPr>
      <w:r>
        <w:rPr>
          <w:rFonts w:ascii="Courier New" w:cs="Courier New" w:eastAsia="Courier New" w:hAnsi="Courier New"/>
          <w:sz w:val="9"/>
          <w:szCs w:val="9"/>
          <w:color w:val="auto"/>
        </w:rPr>
        <w:t>shall be equal to the dollar amount of the portion of the Base Cash Award subject to the election, divided by the fair market value of the Common Stock on the date that the Committee makes the certification required under paragraph 5 of this Plan. Fair market value shall be the 4 p.m. Eastern Time closing price of one share of Common Stock, as reported by the New York Stock Exchange. Retained Shares shall be issued in whole shares only and cash shall be paid for fractional shares.</w:t>
      </w:r>
    </w:p>
    <w:p>
      <w:pPr>
        <w:spacing w:after="0" w:line="194"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c.</w:t>
      </w:r>
    </w:p>
    <w:p>
      <w:pPr>
        <w:ind w:left="720"/>
        <w:spacing w:after="0"/>
        <w:rPr>
          <w:sz w:val="20"/>
          <w:szCs w:val="20"/>
          <w:color w:val="auto"/>
        </w:rPr>
      </w:pPr>
      <w:r>
        <w:rPr>
          <w:rFonts w:ascii="Courier New" w:cs="Courier New" w:eastAsia="Courier New" w:hAnsi="Courier New"/>
          <w:sz w:val="9"/>
          <w:szCs w:val="9"/>
          <w:b w:val="1"/>
          <w:bCs w:val="1"/>
          <w:i w:val="1"/>
          <w:iCs w:val="1"/>
          <w:color w:val="auto"/>
        </w:rPr>
        <w:t>Election to Exercise Stock Retention Award.</w:t>
      </w:r>
    </w:p>
    <w:p>
      <w:pPr>
        <w:spacing w:after="0" w:line="200" w:lineRule="exact"/>
        <w:rPr>
          <w:sz w:val="20"/>
          <w:szCs w:val="20"/>
          <w:color w:val="auto"/>
        </w:rPr>
      </w:pPr>
    </w:p>
    <w:p>
      <w:pPr>
        <w:spacing w:after="0" w:line="280" w:lineRule="exact"/>
        <w:rPr>
          <w:sz w:val="20"/>
          <w:szCs w:val="20"/>
          <w:color w:val="auto"/>
        </w:rPr>
      </w:pPr>
    </w:p>
    <w:p>
      <w:pPr>
        <w:ind w:left="720"/>
        <w:spacing w:after="0"/>
        <w:rPr>
          <w:sz w:val="20"/>
          <w:szCs w:val="20"/>
          <w:color w:val="auto"/>
        </w:rPr>
      </w:pPr>
      <w:r>
        <w:rPr>
          <w:rFonts w:ascii="Courier New" w:cs="Courier New" w:eastAsia="Courier New" w:hAnsi="Courier New"/>
          <w:sz w:val="9"/>
          <w:szCs w:val="9"/>
          <w:color w:val="auto"/>
        </w:rPr>
        <w:t>i.</w:t>
      </w:r>
    </w:p>
    <w:p>
      <w:pPr>
        <w:ind w:left="1080"/>
        <w:spacing w:after="0" w:line="233" w:lineRule="auto"/>
        <w:rPr>
          <w:sz w:val="20"/>
          <w:szCs w:val="20"/>
          <w:color w:val="auto"/>
        </w:rPr>
      </w:pPr>
      <w:r>
        <w:rPr>
          <w:rFonts w:ascii="Courier New" w:cs="Courier New" w:eastAsia="Courier New" w:hAnsi="Courier New"/>
          <w:sz w:val="9"/>
          <w:szCs w:val="9"/>
          <w:color w:val="auto"/>
        </w:rPr>
        <w:t>On</w:t>
      </w:r>
    </w:p>
    <w:p>
      <w:pPr>
        <w:ind w:left="1080"/>
        <w:spacing w:after="0" w:line="233" w:lineRule="auto"/>
        <w:rPr>
          <w:sz w:val="20"/>
          <w:szCs w:val="20"/>
          <w:color w:val="auto"/>
        </w:rPr>
      </w:pPr>
      <w:r>
        <w:rPr>
          <w:rFonts w:ascii="Courier New" w:cs="Courier New" w:eastAsia="Courier New" w:hAnsi="Courier New"/>
          <w:sz w:val="9"/>
          <w:szCs w:val="9"/>
          <w:color w:val="auto"/>
        </w:rPr>
        <w:t>or before the December 31 immediately preceding the end of the fiscal year to which a Stock Retention Award relates, a Stock Participant</w:t>
      </w:r>
    </w:p>
    <w:p>
      <w:pPr>
        <w:jc w:val="both"/>
        <w:ind w:left="1080"/>
        <w:spacing w:after="0" w:line="234" w:lineRule="auto"/>
        <w:rPr>
          <w:sz w:val="20"/>
          <w:szCs w:val="20"/>
          <w:color w:val="auto"/>
        </w:rPr>
      </w:pPr>
      <w:r>
        <w:rPr>
          <w:rFonts w:ascii="Courier New" w:cs="Courier New" w:eastAsia="Courier New" w:hAnsi="Courier New"/>
          <w:sz w:val="9"/>
          <w:szCs w:val="9"/>
          <w:color w:val="auto"/>
        </w:rPr>
        <w:t>who wishes to convert a portion of a Base Cash Award into deferred compensation Retained Units shall notify the Company in writing that he or she has elected to participate in the Stock Reten Provisions and shall specify the percentage of the Base Cash Award to be converted, up to the 50% limit, except as otherwise provided in the Officers Deferred Plan with respect to any year in that plan is materially amended or the first year in which a Stock Participant becomes eligible to participate in the Stock Retention Provisions.</w:t>
      </w:r>
    </w:p>
    <w:p>
      <w:pPr>
        <w:spacing w:after="0" w:line="194" w:lineRule="exact"/>
        <w:rPr>
          <w:sz w:val="20"/>
          <w:szCs w:val="20"/>
          <w:color w:val="auto"/>
        </w:rPr>
      </w:pPr>
    </w:p>
    <w:p>
      <w:pPr>
        <w:ind w:left="720"/>
        <w:spacing w:after="0"/>
        <w:rPr>
          <w:sz w:val="20"/>
          <w:szCs w:val="20"/>
          <w:color w:val="auto"/>
        </w:rPr>
      </w:pPr>
      <w:r>
        <w:rPr>
          <w:rFonts w:ascii="Courier New" w:cs="Courier New" w:eastAsia="Courier New" w:hAnsi="Courier New"/>
          <w:sz w:val="9"/>
          <w:szCs w:val="9"/>
          <w:color w:val="auto"/>
        </w:rPr>
        <w:t>ii.</w:t>
      </w:r>
    </w:p>
    <w:p>
      <w:pPr>
        <w:ind w:left="1080"/>
        <w:spacing w:after="0" w:line="233" w:lineRule="auto"/>
        <w:rPr>
          <w:sz w:val="20"/>
          <w:szCs w:val="20"/>
          <w:color w:val="auto"/>
        </w:rPr>
      </w:pPr>
      <w:r>
        <w:rPr>
          <w:rFonts w:ascii="Courier New" w:cs="Courier New" w:eastAsia="Courier New" w:hAnsi="Courier New"/>
          <w:sz w:val="9"/>
          <w:szCs w:val="9"/>
          <w:color w:val="auto"/>
        </w:rPr>
        <w:t>On</w:t>
      </w:r>
    </w:p>
    <w:p>
      <w:pPr>
        <w:ind w:left="1080" w:right="3320"/>
        <w:spacing w:after="0" w:line="233" w:lineRule="auto"/>
        <w:rPr>
          <w:sz w:val="20"/>
          <w:szCs w:val="20"/>
          <w:color w:val="auto"/>
        </w:rPr>
      </w:pPr>
      <w:r>
        <w:rPr>
          <w:rFonts w:ascii="Courier New" w:cs="Courier New" w:eastAsia="Courier New" w:hAnsi="Courier New"/>
          <w:sz w:val="9"/>
          <w:szCs w:val="9"/>
          <w:color w:val="auto"/>
        </w:rPr>
        <w:t>or before the September 15 immediately prior to the last day of the fiscal year to which a Stock Retention Award relates, a Stock Participant who has not elected to convert the maximum permissible</w:t>
      </w:r>
    </w:p>
    <w:p>
      <w:pPr>
        <w:ind w:left="1080"/>
        <w:spacing w:after="0" w:line="235" w:lineRule="auto"/>
        <w:rPr>
          <w:sz w:val="20"/>
          <w:szCs w:val="20"/>
          <w:color w:val="auto"/>
        </w:rPr>
      </w:pPr>
      <w:r>
        <w:rPr>
          <w:rFonts w:ascii="Courier New" w:cs="Courier New" w:eastAsia="Courier New" w:hAnsi="Courier New"/>
          <w:sz w:val="9"/>
          <w:szCs w:val="9"/>
          <w:color w:val="auto"/>
        </w:rPr>
        <w:t>portion of the Base Cash Award into Retained Units and who wishes to convert the portion of the Base Cash Award not yet subject to an election under paragraph 6.c.i. into Retained Shares shal notify the Company in writing that he or she has elected to participate in the Stock Retention Provisions and shall specify the percentage of the Base Cash Award to be converted.</w:t>
      </w:r>
    </w:p>
    <w:p>
      <w:pPr>
        <w:spacing w:after="0" w:line="391" w:lineRule="exact"/>
        <w:rPr>
          <w:sz w:val="20"/>
          <w:szCs w:val="20"/>
          <w:color w:val="auto"/>
        </w:rPr>
      </w:pPr>
    </w:p>
    <w:p>
      <w:pPr>
        <w:ind w:left="720"/>
        <w:spacing w:after="0"/>
        <w:rPr>
          <w:sz w:val="20"/>
          <w:szCs w:val="20"/>
          <w:color w:val="auto"/>
        </w:rPr>
      </w:pPr>
      <w:r>
        <w:rPr>
          <w:rFonts w:ascii="Courier New" w:cs="Courier New" w:eastAsia="Courier New" w:hAnsi="Courier New"/>
          <w:sz w:val="9"/>
          <w:szCs w:val="9"/>
          <w:color w:val="auto"/>
        </w:rPr>
        <w:t>iii.</w:t>
      </w:r>
    </w:p>
    <w:p>
      <w:pPr>
        <w:ind w:left="1080"/>
        <w:spacing w:after="0" w:line="233" w:lineRule="auto"/>
        <w:rPr>
          <w:sz w:val="20"/>
          <w:szCs w:val="20"/>
          <w:color w:val="auto"/>
        </w:rPr>
      </w:pPr>
      <w:r>
        <w:rPr>
          <w:rFonts w:ascii="Courier New" w:cs="Courier New" w:eastAsia="Courier New" w:hAnsi="Courier New"/>
          <w:sz w:val="9"/>
          <w:szCs w:val="9"/>
          <w:color w:val="auto"/>
        </w:rPr>
        <w:t>An</w:t>
      </w:r>
    </w:p>
    <w:p>
      <w:pPr>
        <w:ind w:left="1080"/>
        <w:spacing w:after="0"/>
        <w:rPr>
          <w:sz w:val="20"/>
          <w:szCs w:val="20"/>
          <w:color w:val="auto"/>
        </w:rPr>
      </w:pPr>
      <w:r>
        <w:rPr>
          <w:rFonts w:ascii="Courier New" w:cs="Courier New" w:eastAsia="Courier New" w:hAnsi="Courier New"/>
          <w:sz w:val="9"/>
          <w:szCs w:val="9"/>
          <w:color w:val="auto"/>
        </w:rPr>
        <w:t>election to participate is effective only for the fiscal year to which the Stock Retention Award relates.</w:t>
      </w:r>
    </w:p>
    <w:p>
      <w:pPr>
        <w:spacing w:after="0" w:line="192" w:lineRule="exact"/>
        <w:rPr>
          <w:sz w:val="20"/>
          <w:szCs w:val="20"/>
          <w:color w:val="auto"/>
        </w:rPr>
      </w:pPr>
    </w:p>
    <w:p>
      <w:pPr>
        <w:ind w:left="720"/>
        <w:spacing w:after="0"/>
        <w:rPr>
          <w:sz w:val="20"/>
          <w:szCs w:val="20"/>
          <w:color w:val="auto"/>
        </w:rPr>
      </w:pPr>
      <w:r>
        <w:rPr>
          <w:rFonts w:ascii="Courier New" w:cs="Courier New" w:eastAsia="Courier New" w:hAnsi="Courier New"/>
          <w:sz w:val="9"/>
          <w:szCs w:val="9"/>
          <w:color w:val="auto"/>
        </w:rPr>
        <w:t>iv.</w:t>
      </w:r>
    </w:p>
    <w:p>
      <w:pPr>
        <w:ind w:left="1080"/>
        <w:spacing w:after="0" w:line="233" w:lineRule="auto"/>
        <w:rPr>
          <w:sz w:val="20"/>
          <w:szCs w:val="20"/>
          <w:color w:val="auto"/>
        </w:rPr>
      </w:pPr>
      <w:r>
        <w:rPr>
          <w:rFonts w:ascii="Courier New" w:cs="Courier New" w:eastAsia="Courier New" w:hAnsi="Courier New"/>
          <w:sz w:val="9"/>
          <w:szCs w:val="9"/>
          <w:color w:val="auto"/>
        </w:rPr>
        <w:t>A</w:t>
      </w:r>
    </w:p>
    <w:p>
      <w:pPr>
        <w:ind w:left="1080"/>
        <w:spacing w:after="0" w:line="233" w:lineRule="auto"/>
        <w:rPr>
          <w:sz w:val="20"/>
          <w:szCs w:val="20"/>
          <w:color w:val="auto"/>
        </w:rPr>
      </w:pPr>
      <w:r>
        <w:rPr>
          <w:rFonts w:ascii="Courier New" w:cs="Courier New" w:eastAsia="Courier New" w:hAnsi="Courier New"/>
          <w:sz w:val="9"/>
          <w:szCs w:val="9"/>
          <w:color w:val="auto"/>
        </w:rPr>
        <w:t>Stock Participant who terminates employment, dies, retires at or after age 65, elects early retirement at or after age 55 or becomes permanently</w:t>
      </w:r>
    </w:p>
    <w:p>
      <w:pPr>
        <w:ind w:left="1080"/>
        <w:spacing w:after="0" w:line="235" w:lineRule="auto"/>
        <w:rPr>
          <w:sz w:val="20"/>
          <w:szCs w:val="20"/>
          <w:color w:val="auto"/>
        </w:rPr>
      </w:pPr>
      <w:r>
        <w:rPr>
          <w:rFonts w:ascii="Courier New" w:cs="Courier New" w:eastAsia="Courier New" w:hAnsi="Courier New"/>
          <w:sz w:val="9"/>
          <w:szCs w:val="9"/>
          <w:color w:val="auto"/>
        </w:rPr>
        <w:t>disabled and unable to work during the fiscal year to which a Stock Retention Award relates shall not be eligible to participate in the Stock Retention Provisions for that fiscal year, and an Retention Award for that year and any election made by the Stock Participant shall be canceled automatically as of the date of any such event.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d.</w:t>
      </w:r>
    </w:p>
    <w:p>
      <w:pPr>
        <w:ind w:left="720"/>
        <w:spacing w:after="0"/>
        <w:tabs>
          <w:tab w:leader="none" w:pos="2160" w:val="left"/>
        </w:tabs>
        <w:rPr>
          <w:sz w:val="20"/>
          <w:szCs w:val="20"/>
          <w:color w:val="auto"/>
        </w:rPr>
      </w:pPr>
      <w:r>
        <w:rPr>
          <w:rFonts w:ascii="Courier New" w:cs="Courier New" w:eastAsia="Courier New" w:hAnsi="Courier New"/>
          <w:sz w:val="9"/>
          <w:szCs w:val="9"/>
          <w:b w:val="1"/>
          <w:bCs w:val="1"/>
          <w:i w:val="1"/>
          <w:iCs w:val="1"/>
          <w:color w:val="auto"/>
        </w:rPr>
        <w:t>Matching Shares or Units.</w:t>
      </w:r>
      <w:r>
        <w:rPr>
          <w:sz w:val="20"/>
          <w:szCs w:val="20"/>
          <w:color w:val="auto"/>
        </w:rPr>
        <w:tab/>
      </w:r>
      <w:r>
        <w:rPr>
          <w:rFonts w:ascii="Courier New" w:cs="Courier New" w:eastAsia="Courier New" w:hAnsi="Courier New"/>
          <w:sz w:val="8"/>
          <w:szCs w:val="8"/>
          <w:color w:val="auto"/>
        </w:rPr>
        <w:t>As soon as practical following the conversion of a Base Cash Award to Retained Shares or</w:t>
      </w:r>
    </w:p>
    <w:p>
      <w:pPr>
        <w:ind w:left="720" w:right="60"/>
        <w:spacing w:after="0" w:line="235" w:lineRule="auto"/>
        <w:rPr>
          <w:sz w:val="20"/>
          <w:szCs w:val="20"/>
          <w:color w:val="auto"/>
        </w:rPr>
      </w:pPr>
      <w:r>
        <w:rPr>
          <w:rFonts w:ascii="Courier New" w:cs="Courier New" w:eastAsia="Courier New" w:hAnsi="Courier New"/>
          <w:sz w:val="9"/>
          <w:szCs w:val="9"/>
          <w:color w:val="auto"/>
        </w:rPr>
        <w:t>Retained Units, the Company shall issue one Matching Share or credit one Matching Unit for each two Retained Shares or Retained Units acquired upon conversion. Matching Shares shall be held by the Company for the Stock Participant's account. Matching Shares shall be issued in whole shares only and cash shall be paid for fractional shares.</w:t>
      </w:r>
    </w:p>
    <w:p>
      <w:pPr>
        <w:sectPr>
          <w:pgSz w:w="11900" w:h="16853" w:orient="portrait"/>
          <w:cols w:equalWidth="0" w:num="1">
            <w:col w:w="11360"/>
          </w:cols>
          <w:pgMar w:left="300" w:top="134" w:right="239" w:bottom="0" w:gutter="0" w:footer="0" w:header="0"/>
        </w:sectPr>
      </w:pPr>
    </w:p>
    <w:p>
      <w:pPr>
        <w:spacing w:after="0" w:line="196" w:lineRule="exact"/>
        <w:rPr>
          <w:sz w:val="20"/>
          <w:szCs w:val="20"/>
          <w:color w:val="auto"/>
        </w:rPr>
      </w:pPr>
    </w:p>
    <w:p>
      <w:pPr>
        <w:ind w:left="360"/>
        <w:spacing w:after="0"/>
        <w:rPr>
          <w:sz w:val="20"/>
          <w:szCs w:val="20"/>
          <w:color w:val="auto"/>
        </w:rPr>
      </w:pPr>
      <w:r>
        <w:rPr>
          <w:rFonts w:ascii="Courier New" w:cs="Courier New" w:eastAsia="Courier New" w:hAnsi="Courier New"/>
          <w:sz w:val="8"/>
          <w:szCs w:val="8"/>
          <w:color w:val="auto"/>
        </w:rPr>
        <w:t>e.</w:t>
      </w:r>
    </w:p>
    <w:p>
      <w:pPr>
        <w:sectPr>
          <w:pgSz w:w="11900" w:h="16853" w:orient="portrait"/>
          <w:cols w:equalWidth="0" w:num="1">
            <w:col w:w="11360"/>
          </w:cols>
          <w:pgMar w:left="300" w:top="134" w:right="239" w:bottom="0" w:gutter="0" w:footer="0" w:header="0"/>
          <w:type w:val="continuous"/>
        </w:sectPr>
      </w:pPr>
    </w:p>
    <w:bookmarkStart w:id="11" w:name="page12"/>
    <w:bookmarkEnd w:id="11"/>
    <w:p>
      <w:pPr>
        <w:ind w:left="360"/>
        <w:spacing w:after="0"/>
        <w:rPr>
          <w:sz w:val="20"/>
          <w:szCs w:val="20"/>
          <w:color w:val="auto"/>
        </w:rPr>
      </w:pPr>
      <w:r>
        <w:rPr>
          <w:rFonts w:ascii="Courier New" w:cs="Courier New" w:eastAsia="Courier New" w:hAnsi="Courier New"/>
          <w:sz w:val="9"/>
          <w:szCs w:val="9"/>
          <w:b w:val="1"/>
          <w:bCs w:val="1"/>
          <w:i w:val="1"/>
          <w:iCs w:val="1"/>
          <w:color w:val="auto"/>
        </w:rPr>
        <w:t>Vesting, Delivery and Distribution.</w:t>
      </w:r>
    </w:p>
    <w:p>
      <w:pPr>
        <w:spacing w:after="0" w:line="200" w:lineRule="exact"/>
        <w:rPr>
          <w:sz w:val="20"/>
          <w:szCs w:val="20"/>
          <w:color w:val="auto"/>
        </w:rPr>
      </w:pPr>
    </w:p>
    <w:p>
      <w:pPr>
        <w:spacing w:after="0" w:line="281"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i.</w:t>
      </w:r>
    </w:p>
    <w:p>
      <w:pPr>
        <w:ind w:left="720"/>
        <w:spacing w:after="0"/>
        <w:rPr>
          <w:sz w:val="20"/>
          <w:szCs w:val="20"/>
          <w:color w:val="auto"/>
        </w:rPr>
      </w:pPr>
      <w:r>
        <w:rPr>
          <w:rFonts w:ascii="Courier New" w:cs="Courier New" w:eastAsia="Courier New" w:hAnsi="Courier New"/>
          <w:sz w:val="9"/>
          <w:szCs w:val="9"/>
          <w:color w:val="auto"/>
        </w:rPr>
        <w:t>Vesting.</w:t>
      </w:r>
    </w:p>
    <w:p>
      <w:pPr>
        <w:spacing w:after="0" w:line="200" w:lineRule="exact"/>
        <w:rPr>
          <w:sz w:val="20"/>
          <w:szCs w:val="20"/>
          <w:color w:val="auto"/>
        </w:rPr>
      </w:pPr>
    </w:p>
    <w:p>
      <w:pPr>
        <w:spacing w:after="0" w:line="379" w:lineRule="exact"/>
        <w:rPr>
          <w:sz w:val="20"/>
          <w:szCs w:val="20"/>
          <w:color w:val="auto"/>
        </w:rPr>
      </w:pPr>
    </w:p>
    <w:p>
      <w:pPr>
        <w:ind w:left="720"/>
        <w:spacing w:after="0"/>
        <w:rPr>
          <w:sz w:val="20"/>
          <w:szCs w:val="20"/>
          <w:color w:val="auto"/>
        </w:rPr>
      </w:pPr>
      <w:r>
        <w:rPr>
          <w:rFonts w:ascii="Courier New" w:cs="Courier New" w:eastAsia="Courier New" w:hAnsi="Courier New"/>
          <w:sz w:val="9"/>
          <w:szCs w:val="9"/>
          <w:color w:val="auto"/>
        </w:rPr>
        <w:t>A.</w:t>
      </w:r>
    </w:p>
    <w:p>
      <w:pPr>
        <w:ind w:left="1080"/>
        <w:spacing w:after="0" w:line="233" w:lineRule="auto"/>
        <w:rPr>
          <w:sz w:val="20"/>
          <w:szCs w:val="20"/>
          <w:color w:val="auto"/>
        </w:rPr>
      </w:pPr>
      <w:r>
        <w:rPr>
          <w:rFonts w:ascii="Courier New" w:cs="Courier New" w:eastAsia="Courier New" w:hAnsi="Courier New"/>
          <w:sz w:val="9"/>
          <w:szCs w:val="9"/>
          <w:color w:val="auto"/>
        </w:rPr>
        <w:t>Retained</w:t>
      </w:r>
    </w:p>
    <w:p>
      <w:pPr>
        <w:ind w:left="1080"/>
        <w:spacing w:after="0"/>
        <w:rPr>
          <w:sz w:val="20"/>
          <w:szCs w:val="20"/>
          <w:color w:val="auto"/>
        </w:rPr>
      </w:pPr>
      <w:r>
        <w:rPr>
          <w:rFonts w:ascii="Courier New" w:cs="Courier New" w:eastAsia="Courier New" w:hAnsi="Courier New"/>
          <w:sz w:val="9"/>
          <w:szCs w:val="9"/>
          <w:color w:val="auto"/>
        </w:rPr>
        <w:t>Shares and Retained Units are fully vested at the time of issuance or crediting.</w:t>
      </w:r>
    </w:p>
    <w:p>
      <w:pPr>
        <w:spacing w:after="0" w:line="192" w:lineRule="exact"/>
        <w:rPr>
          <w:sz w:val="20"/>
          <w:szCs w:val="20"/>
          <w:color w:val="auto"/>
        </w:rPr>
      </w:pPr>
    </w:p>
    <w:p>
      <w:pPr>
        <w:ind w:left="720"/>
        <w:spacing w:after="0"/>
        <w:rPr>
          <w:sz w:val="20"/>
          <w:szCs w:val="20"/>
          <w:color w:val="auto"/>
        </w:rPr>
      </w:pPr>
      <w:r>
        <w:rPr>
          <w:rFonts w:ascii="Courier New" w:cs="Courier New" w:eastAsia="Courier New" w:hAnsi="Courier New"/>
          <w:sz w:val="9"/>
          <w:szCs w:val="9"/>
          <w:color w:val="auto"/>
        </w:rPr>
        <w:t>B.</w:t>
      </w:r>
    </w:p>
    <w:p>
      <w:pPr>
        <w:ind w:left="1080"/>
        <w:spacing w:after="0" w:line="233" w:lineRule="auto"/>
        <w:rPr>
          <w:sz w:val="20"/>
          <w:szCs w:val="20"/>
          <w:color w:val="auto"/>
        </w:rPr>
      </w:pPr>
      <w:r>
        <w:rPr>
          <w:rFonts w:ascii="Courier New" w:cs="Courier New" w:eastAsia="Courier New" w:hAnsi="Courier New"/>
          <w:sz w:val="9"/>
          <w:szCs w:val="9"/>
          <w:color w:val="auto"/>
        </w:rPr>
        <w:t>Matching</w:t>
      </w:r>
    </w:p>
    <w:p>
      <w:pPr>
        <w:ind w:left="1080"/>
        <w:spacing w:after="0" w:line="233" w:lineRule="auto"/>
        <w:rPr>
          <w:sz w:val="20"/>
          <w:szCs w:val="20"/>
          <w:color w:val="auto"/>
        </w:rPr>
      </w:pPr>
      <w:r>
        <w:rPr>
          <w:rFonts w:ascii="Courier New" w:cs="Courier New" w:eastAsia="Courier New" w:hAnsi="Courier New"/>
          <w:sz w:val="9"/>
          <w:szCs w:val="9"/>
          <w:color w:val="auto"/>
        </w:rPr>
        <w:t>Shares and Matching Units held or credited by the Company shall be forfeitable until they vest and shall vest in increments of 25% of the total number of such Matching</w:t>
      </w:r>
    </w:p>
    <w:p>
      <w:pPr>
        <w:jc w:val="both"/>
        <w:ind w:left="1080"/>
        <w:spacing w:after="0" w:line="234" w:lineRule="auto"/>
        <w:rPr>
          <w:sz w:val="20"/>
          <w:szCs w:val="20"/>
          <w:color w:val="auto"/>
        </w:rPr>
      </w:pPr>
      <w:r>
        <w:rPr>
          <w:rFonts w:ascii="Courier New" w:cs="Courier New" w:eastAsia="Courier New" w:hAnsi="Courier New"/>
          <w:sz w:val="9"/>
          <w:szCs w:val="9"/>
          <w:color w:val="auto"/>
        </w:rPr>
        <w:t>Shares or Units at the end of each of the second, third, fourth and fifth years after the date such Matching Shares or Units are issued or credited, provided that such Matching Shares vest only if the Stock Participant's Retained Shares or Units have been left on deposit with the Company through the requisite two, three, four and five year periods and all other requ Plan have been met, except as may otherwise be provided in subparagraph 6.f.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ii.</w:t>
      </w:r>
    </w:p>
    <w:p>
      <w:pPr>
        <w:ind w:left="720"/>
        <w:spacing w:after="0"/>
        <w:rPr>
          <w:sz w:val="20"/>
          <w:szCs w:val="20"/>
          <w:color w:val="auto"/>
        </w:rPr>
      </w:pPr>
      <w:r>
        <w:rPr>
          <w:rFonts w:ascii="Courier New" w:cs="Courier New" w:eastAsia="Courier New" w:hAnsi="Courier New"/>
          <w:sz w:val="9"/>
          <w:szCs w:val="9"/>
          <w:color w:val="auto"/>
        </w:rPr>
        <w:t>Delivery.</w:t>
      </w:r>
    </w:p>
    <w:p>
      <w:pPr>
        <w:spacing w:after="0" w:line="200" w:lineRule="exact"/>
        <w:rPr>
          <w:sz w:val="20"/>
          <w:szCs w:val="20"/>
          <w:color w:val="auto"/>
        </w:rPr>
      </w:pPr>
    </w:p>
    <w:p>
      <w:pPr>
        <w:spacing w:after="0" w:line="379" w:lineRule="exact"/>
        <w:rPr>
          <w:sz w:val="20"/>
          <w:szCs w:val="20"/>
          <w:color w:val="auto"/>
        </w:rPr>
      </w:pPr>
    </w:p>
    <w:p>
      <w:pPr>
        <w:ind w:left="720"/>
        <w:spacing w:after="0"/>
        <w:rPr>
          <w:sz w:val="20"/>
          <w:szCs w:val="20"/>
          <w:color w:val="auto"/>
        </w:rPr>
      </w:pPr>
      <w:r>
        <w:rPr>
          <w:rFonts w:ascii="Courier New" w:cs="Courier New" w:eastAsia="Courier New" w:hAnsi="Courier New"/>
          <w:sz w:val="9"/>
          <w:szCs w:val="9"/>
          <w:color w:val="auto"/>
        </w:rPr>
        <w:t>A.</w:t>
      </w:r>
    </w:p>
    <w:p>
      <w:pPr>
        <w:ind w:left="1080"/>
        <w:spacing w:after="0" w:line="233" w:lineRule="auto"/>
        <w:rPr>
          <w:sz w:val="20"/>
          <w:szCs w:val="20"/>
          <w:color w:val="auto"/>
        </w:rPr>
      </w:pPr>
      <w:r>
        <w:rPr>
          <w:rFonts w:ascii="Courier New" w:cs="Courier New" w:eastAsia="Courier New" w:hAnsi="Courier New"/>
          <w:sz w:val="9"/>
          <w:szCs w:val="9"/>
          <w:color w:val="auto"/>
        </w:rPr>
        <w:t>Retained</w:t>
      </w:r>
    </w:p>
    <w:p>
      <w:pPr>
        <w:ind w:left="1080" w:right="640"/>
        <w:spacing w:after="0" w:line="235" w:lineRule="auto"/>
        <w:rPr>
          <w:sz w:val="20"/>
          <w:szCs w:val="20"/>
          <w:color w:val="auto"/>
        </w:rPr>
      </w:pPr>
      <w:r>
        <w:rPr>
          <w:rFonts w:ascii="Courier New" w:cs="Courier New" w:eastAsia="Courier New" w:hAnsi="Courier New"/>
          <w:sz w:val="9"/>
          <w:szCs w:val="9"/>
          <w:color w:val="auto"/>
        </w:rPr>
        <w:t>Shares and Matching Shares will be delivered as soon as possible after the applicable vesting requirements (including accelerated vesting under subparagraph 6.f.) have been fulfilled. In the event vesting requirements are not fulfilled, Retained Shares will be returned to a Stock Participant as soon as possible.</w:t>
      </w:r>
    </w:p>
    <w:p>
      <w:pPr>
        <w:spacing w:after="0" w:line="193" w:lineRule="exact"/>
        <w:rPr>
          <w:sz w:val="20"/>
          <w:szCs w:val="20"/>
          <w:color w:val="auto"/>
        </w:rPr>
      </w:pPr>
    </w:p>
    <w:p>
      <w:pPr>
        <w:ind w:left="720"/>
        <w:spacing w:after="0"/>
        <w:rPr>
          <w:sz w:val="20"/>
          <w:szCs w:val="20"/>
          <w:color w:val="auto"/>
        </w:rPr>
      </w:pPr>
      <w:r>
        <w:rPr>
          <w:rFonts w:ascii="Courier New" w:cs="Courier New" w:eastAsia="Courier New" w:hAnsi="Courier New"/>
          <w:sz w:val="9"/>
          <w:szCs w:val="9"/>
          <w:color w:val="auto"/>
        </w:rPr>
        <w:t>B.</w:t>
      </w:r>
    </w:p>
    <w:p>
      <w:pPr>
        <w:ind w:left="1080"/>
        <w:spacing w:after="0" w:line="233" w:lineRule="auto"/>
        <w:rPr>
          <w:sz w:val="20"/>
          <w:szCs w:val="20"/>
          <w:color w:val="auto"/>
        </w:rPr>
      </w:pPr>
      <w:r>
        <w:rPr>
          <w:rFonts w:ascii="Courier New" w:cs="Courier New" w:eastAsia="Courier New" w:hAnsi="Courier New"/>
          <w:sz w:val="9"/>
          <w:szCs w:val="9"/>
          <w:color w:val="auto"/>
        </w:rPr>
        <w:t>Retained</w:t>
      </w:r>
    </w:p>
    <w:p>
      <w:pPr>
        <w:ind w:left="1080" w:right="640"/>
        <w:spacing w:after="0" w:line="235" w:lineRule="auto"/>
        <w:rPr>
          <w:sz w:val="20"/>
          <w:szCs w:val="20"/>
          <w:color w:val="auto"/>
        </w:rPr>
      </w:pPr>
      <w:r>
        <w:rPr>
          <w:rFonts w:ascii="Courier New" w:cs="Courier New" w:eastAsia="Courier New" w:hAnsi="Courier New"/>
          <w:sz w:val="9"/>
          <w:szCs w:val="9"/>
          <w:color w:val="auto"/>
        </w:rPr>
        <w:t>Units and Matching Units that have vested will be distributed to a Stock Participant consistent with a Stock Participant's distribution election properly made in accordance with the provisions of the Officers Deferred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f.</w:t>
      </w:r>
    </w:p>
    <w:p>
      <w:pPr>
        <w:ind w:left="360"/>
        <w:spacing w:after="0"/>
        <w:rPr>
          <w:sz w:val="20"/>
          <w:szCs w:val="20"/>
          <w:color w:val="auto"/>
        </w:rPr>
      </w:pPr>
      <w:r>
        <w:rPr>
          <w:rFonts w:ascii="Courier New" w:cs="Courier New" w:eastAsia="Courier New" w:hAnsi="Courier New"/>
          <w:sz w:val="9"/>
          <w:szCs w:val="9"/>
          <w:b w:val="1"/>
          <w:bCs w:val="1"/>
          <w:i w:val="1"/>
          <w:iCs w:val="1"/>
          <w:color w:val="auto"/>
        </w:rPr>
        <w:t>Vesting and Cancellation Under Special Conditions.</w:t>
      </w:r>
    </w:p>
    <w:p>
      <w:pPr>
        <w:spacing w:after="0" w:line="200" w:lineRule="exact"/>
        <w:rPr>
          <w:sz w:val="20"/>
          <w:szCs w:val="20"/>
          <w:color w:val="auto"/>
        </w:rPr>
      </w:pPr>
    </w:p>
    <w:p>
      <w:pPr>
        <w:spacing w:after="0" w:line="280"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i.</w:t>
      </w:r>
    </w:p>
    <w:p>
      <w:pPr>
        <w:ind w:left="720"/>
        <w:spacing w:after="0" w:line="233" w:lineRule="auto"/>
        <w:rPr>
          <w:sz w:val="20"/>
          <w:szCs w:val="20"/>
          <w:color w:val="auto"/>
        </w:rPr>
      </w:pPr>
      <w:r>
        <w:rPr>
          <w:rFonts w:ascii="Courier New" w:cs="Courier New" w:eastAsia="Courier New" w:hAnsi="Courier New"/>
          <w:sz w:val="9"/>
          <w:szCs w:val="9"/>
          <w:color w:val="auto"/>
        </w:rPr>
        <w:t>Retirement</w:t>
      </w:r>
    </w:p>
    <w:p>
      <w:pPr>
        <w:ind w:left="720"/>
        <w:spacing w:after="0" w:line="233" w:lineRule="auto"/>
        <w:rPr>
          <w:sz w:val="20"/>
          <w:szCs w:val="20"/>
          <w:color w:val="auto"/>
        </w:rPr>
      </w:pPr>
      <w:r>
        <w:rPr>
          <w:rFonts w:ascii="Courier New" w:cs="Courier New" w:eastAsia="Courier New" w:hAnsi="Courier New"/>
          <w:sz w:val="9"/>
          <w:szCs w:val="9"/>
          <w:color w:val="auto"/>
        </w:rPr>
        <w:t>or Disability. Notwithstanding the foregoing, all Matching Shares or Units held in a Stock Participant's account shall vest in full if</w:t>
      </w:r>
    </w:p>
    <w:p>
      <w:pPr>
        <w:ind w:left="720"/>
        <w:spacing w:after="0" w:line="233" w:lineRule="auto"/>
        <w:rPr>
          <w:sz w:val="20"/>
          <w:szCs w:val="20"/>
          <w:color w:val="auto"/>
        </w:rPr>
      </w:pPr>
      <w:r>
        <w:rPr>
          <w:rFonts w:ascii="Courier New" w:cs="Courier New" w:eastAsia="Courier New" w:hAnsi="Courier New"/>
          <w:sz w:val="9"/>
          <w:szCs w:val="9"/>
          <w:color w:val="auto"/>
        </w:rPr>
        <w:t>the participant retires on or after age 65 or becomes permanently disabled and unable to work. Notwithstanding the foregoing, if within one year after such retirement the Stock Participant</w:t>
      </w:r>
    </w:p>
    <w:p>
      <w:pPr>
        <w:jc w:val="both"/>
        <w:ind w:left="720" w:hanging="8"/>
        <w:spacing w:after="0" w:line="234" w:lineRule="auto"/>
        <w:tabs>
          <w:tab w:leader="none" w:pos="936" w:val="left"/>
        </w:tabs>
        <w:numPr>
          <w:ilvl w:val="0"/>
          <w:numId w:val="4"/>
        </w:numPr>
        <w:rPr>
          <w:rFonts w:ascii="Courier New" w:cs="Courier New" w:eastAsia="Courier New" w:hAnsi="Courier New"/>
          <w:sz w:val="9"/>
          <w:szCs w:val="9"/>
          <w:color w:val="auto"/>
        </w:rPr>
      </w:pPr>
      <w:r>
        <w:rPr>
          <w:rFonts w:ascii="Courier New" w:cs="Courier New" w:eastAsia="Courier New" w:hAnsi="Courier New"/>
          <w:sz w:val="9"/>
          <w:szCs w:val="9"/>
          <w:color w:val="auto"/>
        </w:rPr>
        <w:t>is employed or retained by or renders service to any organization that, directly or indirectly, competes with or becomes competitive with the Company, or if the rendering of such services is prejudicial or in conflict with the interests of the Company, or (B) violates any confidentiality agreement or agreement governing the ownership or assignment of intellectual property righ with the Company, or (C) engages in any other conduct or act determined to be injurious, detrimental or prejudicial to any interest of the Company, the Company may rescind or restrict such early vesting or withhold or have the right to the return of the economic value of the Matching</w:t>
      </w:r>
    </w:p>
    <w:p>
      <w:pPr>
        <w:spacing w:after="0" w:line="96" w:lineRule="exact"/>
        <w:rPr>
          <w:sz w:val="20"/>
          <w:szCs w:val="20"/>
          <w:color w:val="auto"/>
        </w:rPr>
      </w:pPr>
    </w:p>
    <w:p>
      <w:pPr>
        <w:ind w:left="720"/>
        <w:spacing w:after="0"/>
        <w:rPr>
          <w:sz w:val="20"/>
          <w:szCs w:val="20"/>
          <w:color w:val="auto"/>
        </w:rPr>
      </w:pPr>
      <w:r>
        <w:rPr>
          <w:rFonts w:ascii="Courier New" w:cs="Courier New" w:eastAsia="Courier New" w:hAnsi="Courier New"/>
          <w:sz w:val="9"/>
          <w:szCs w:val="9"/>
          <w:color w:val="auto"/>
        </w:rPr>
        <w:t>Shares or Units which vested early under this subparagraph; provided, however, that this provision shall not be applicable in the event of a Change of Control.</w:t>
      </w:r>
    </w:p>
    <w:p>
      <w:pPr>
        <w:spacing w:after="0" w:line="193"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ii.</w:t>
      </w:r>
    </w:p>
    <w:p>
      <w:pPr>
        <w:ind w:left="720"/>
        <w:spacing w:after="0" w:line="233" w:lineRule="auto"/>
        <w:rPr>
          <w:sz w:val="20"/>
          <w:szCs w:val="20"/>
          <w:color w:val="auto"/>
        </w:rPr>
      </w:pPr>
      <w:r>
        <w:rPr>
          <w:rFonts w:ascii="Courier New" w:cs="Courier New" w:eastAsia="Courier New" w:hAnsi="Courier New"/>
          <w:sz w:val="9"/>
          <w:szCs w:val="9"/>
          <w:color w:val="auto"/>
        </w:rPr>
        <w:t>Early</w:t>
      </w:r>
    </w:p>
    <w:p>
      <w:pPr>
        <w:ind w:left="720"/>
        <w:spacing w:after="0" w:line="233" w:lineRule="auto"/>
        <w:rPr>
          <w:sz w:val="20"/>
          <w:szCs w:val="20"/>
          <w:color w:val="auto"/>
        </w:rPr>
      </w:pPr>
      <w:r>
        <w:rPr>
          <w:rFonts w:ascii="Courier New" w:cs="Courier New" w:eastAsia="Courier New" w:hAnsi="Courier New"/>
          <w:sz w:val="9"/>
          <w:szCs w:val="9"/>
          <w:color w:val="auto"/>
        </w:rPr>
        <w:t>Retirement. Matching Units held in the account of a Stock Participant who retires at or after age 55, but before age 65, shall vest or be</w:t>
      </w:r>
    </w:p>
    <w:p>
      <w:pPr>
        <w:jc w:val="both"/>
        <w:ind w:left="720"/>
        <w:spacing w:after="0" w:line="262" w:lineRule="auto"/>
        <w:rPr>
          <w:sz w:val="20"/>
          <w:szCs w:val="20"/>
          <w:color w:val="auto"/>
        </w:rPr>
      </w:pPr>
      <w:r>
        <w:rPr>
          <w:rFonts w:ascii="Courier New" w:cs="Courier New" w:eastAsia="Courier New" w:hAnsi="Courier New"/>
          <w:sz w:val="8"/>
          <w:szCs w:val="8"/>
          <w:color w:val="auto"/>
        </w:rPr>
        <w:t>forfeited in accordance with the provisions of the Officers Deferred Plan. A Stock Participant who retires at or after age 55, but before age 65, may elect at anytime to have Retained Shares deposit with the Company delivered and to forfeit Matching Shares that have not yet vested. If the Stock Participant does not make this election, Retained Shares and Matching Shares shall rem deposit until the participant reaches age 65 or until the applicable vesting requirements of subparagraph 6.e. have been fulfilled, as the case may be, and Matching Shares shall vest upon the occurrence of the earlier of such event. Notwithstanding the foregoing, if within one year after such retirement the Stock Participant (A) is employed or retained by or renders service to any organization that, directly or indirectly, competes with or becomes competitive with the Company, or if the rendering of such services is prejudicial or in conflict with the interests of the or (B) violates any confidentiality agreement or agreement governing the ownership or assignment of intellectual property rights with the Company, or (C) engages in any other conduct or</w:t>
      </w:r>
    </w:p>
    <w:p>
      <w:pPr>
        <w:jc w:val="both"/>
        <w:ind w:left="720"/>
        <w:spacing w:after="0" w:line="234" w:lineRule="auto"/>
        <w:rPr>
          <w:sz w:val="20"/>
          <w:szCs w:val="20"/>
          <w:color w:val="auto"/>
        </w:rPr>
      </w:pPr>
      <w:r>
        <w:rPr>
          <w:rFonts w:ascii="Courier New" w:cs="Courier New" w:eastAsia="Courier New" w:hAnsi="Courier New"/>
          <w:sz w:val="9"/>
          <w:szCs w:val="9"/>
          <w:color w:val="auto"/>
        </w:rPr>
        <w:t>act determined to be injurious, detrimental or prejudicial to any interest of the Company, the Company may rescind or restrict such vesting or withhold or have the right to the return of the value of the Matching Shares or Units which vested after the date of early retirement under this subparagraph; provided, however, that this provision shall not be applicable in the event of a of Control.</w:t>
      </w:r>
    </w:p>
    <w:p>
      <w:pPr>
        <w:spacing w:after="0" w:line="194"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iii.</w:t>
      </w:r>
    </w:p>
    <w:p>
      <w:pPr>
        <w:ind w:left="720"/>
        <w:spacing w:after="0" w:line="233" w:lineRule="auto"/>
        <w:rPr>
          <w:sz w:val="20"/>
          <w:szCs w:val="20"/>
          <w:color w:val="auto"/>
        </w:rPr>
      </w:pPr>
      <w:r>
        <w:rPr>
          <w:rFonts w:ascii="Courier New" w:cs="Courier New" w:eastAsia="Courier New" w:hAnsi="Courier New"/>
          <w:sz w:val="9"/>
          <w:szCs w:val="9"/>
          <w:color w:val="auto"/>
        </w:rPr>
        <w:t>Early</w:t>
      </w:r>
    </w:p>
    <w:p>
      <w:pPr>
        <w:ind w:left="720"/>
        <w:spacing w:after="0" w:line="233" w:lineRule="auto"/>
        <w:rPr>
          <w:sz w:val="20"/>
          <w:szCs w:val="20"/>
          <w:color w:val="auto"/>
        </w:rPr>
      </w:pPr>
      <w:r>
        <w:rPr>
          <w:rFonts w:ascii="Courier New" w:cs="Courier New" w:eastAsia="Courier New" w:hAnsi="Courier New"/>
          <w:sz w:val="9"/>
          <w:szCs w:val="9"/>
          <w:color w:val="auto"/>
        </w:rPr>
        <w:t>Withdrawal. In the event that a Stock Participant elects to withdraw Retained Shares or Units from the account prior to age 65, but before</w:t>
      </w:r>
    </w:p>
    <w:p>
      <w:pPr>
        <w:ind w:left="720"/>
        <w:spacing w:after="0"/>
        <w:rPr>
          <w:sz w:val="20"/>
          <w:szCs w:val="20"/>
          <w:color w:val="auto"/>
        </w:rPr>
      </w:pPr>
      <w:r>
        <w:rPr>
          <w:rFonts w:ascii="Courier New" w:cs="Courier New" w:eastAsia="Courier New" w:hAnsi="Courier New"/>
          <w:sz w:val="9"/>
          <w:szCs w:val="9"/>
          <w:color w:val="auto"/>
        </w:rPr>
        <w:t>the applicable vesting requirements have been fulfilled, Matching Shares or Units held in such participant's account that have not vested shall not vest and shall be forfeited.</w:t>
      </w:r>
    </w:p>
    <w:p>
      <w:pPr>
        <w:spacing w:after="0" w:line="192"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iv.</w:t>
      </w:r>
    </w:p>
    <w:p>
      <w:pPr>
        <w:ind w:left="720"/>
        <w:spacing w:after="0" w:line="233" w:lineRule="auto"/>
        <w:rPr>
          <w:sz w:val="20"/>
          <w:szCs w:val="20"/>
          <w:color w:val="auto"/>
        </w:rPr>
      </w:pPr>
      <w:r>
        <w:rPr>
          <w:rFonts w:ascii="Courier New" w:cs="Courier New" w:eastAsia="Courier New" w:hAnsi="Courier New"/>
          <w:sz w:val="9"/>
          <w:szCs w:val="9"/>
          <w:color w:val="auto"/>
        </w:rPr>
        <w:t>Death.</w:t>
      </w:r>
    </w:p>
    <w:p>
      <w:pPr>
        <w:ind w:left="720" w:right="2680"/>
        <w:spacing w:after="0" w:line="235" w:lineRule="auto"/>
        <w:rPr>
          <w:sz w:val="20"/>
          <w:szCs w:val="20"/>
          <w:color w:val="auto"/>
        </w:rPr>
      </w:pPr>
      <w:r>
        <w:rPr>
          <w:rFonts w:ascii="Courier New" w:cs="Courier New" w:eastAsia="Courier New" w:hAnsi="Courier New"/>
          <w:sz w:val="9"/>
          <w:szCs w:val="9"/>
          <w:color w:val="auto"/>
        </w:rPr>
        <w:t>In the event of the death of a Stock Participant before the applicable vesting requirements have been fulfilled, the Matching Shares or Units shall vest in full.</w:t>
      </w:r>
    </w:p>
    <w:p>
      <w:pPr>
        <w:spacing w:after="0" w:line="193"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v.</w:t>
      </w:r>
    </w:p>
    <w:p>
      <w:pPr>
        <w:ind w:left="720"/>
        <w:spacing w:after="0" w:line="233" w:lineRule="auto"/>
        <w:rPr>
          <w:sz w:val="20"/>
          <w:szCs w:val="20"/>
          <w:color w:val="auto"/>
        </w:rPr>
      </w:pPr>
      <w:r>
        <w:rPr>
          <w:rFonts w:ascii="Courier New" w:cs="Courier New" w:eastAsia="Courier New" w:hAnsi="Courier New"/>
          <w:sz w:val="9"/>
          <w:szCs w:val="9"/>
          <w:color w:val="auto"/>
        </w:rPr>
        <w:t>Voluntary</w:t>
      </w:r>
    </w:p>
    <w:p>
      <w:pPr>
        <w:ind w:left="720"/>
        <w:spacing w:after="0" w:line="233" w:lineRule="auto"/>
        <w:rPr>
          <w:sz w:val="20"/>
          <w:szCs w:val="20"/>
          <w:color w:val="auto"/>
        </w:rPr>
      </w:pPr>
      <w:r>
        <w:rPr>
          <w:rFonts w:ascii="Courier New" w:cs="Courier New" w:eastAsia="Courier New" w:hAnsi="Courier New"/>
          <w:sz w:val="9"/>
          <w:szCs w:val="9"/>
          <w:color w:val="auto"/>
        </w:rPr>
        <w:t>Resignation. In the event that a Stock Participant resigns voluntarily, Matching Shares or Units held in such participant's account that</w:t>
      </w:r>
    </w:p>
    <w:p>
      <w:pPr>
        <w:ind w:left="720"/>
        <w:spacing w:after="0" w:line="235" w:lineRule="auto"/>
        <w:rPr>
          <w:sz w:val="20"/>
          <w:szCs w:val="20"/>
          <w:color w:val="auto"/>
        </w:rPr>
      </w:pPr>
      <w:r>
        <w:rPr>
          <w:rFonts w:ascii="Courier New" w:cs="Courier New" w:eastAsia="Courier New" w:hAnsi="Courier New"/>
          <w:sz w:val="9"/>
          <w:szCs w:val="9"/>
          <w:color w:val="auto"/>
        </w:rPr>
        <w:t>have not yet vested shall not vest and shall be forfeited, unless otherwise determined by the Chairman of the Committee, in his or her discretion, upon recommendation by the Chief Executive O the Company.</w:t>
      </w:r>
    </w:p>
    <w:p>
      <w:pPr>
        <w:spacing w:after="0" w:line="193"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vi.</w:t>
      </w:r>
    </w:p>
    <w:p>
      <w:pPr>
        <w:ind w:left="720"/>
        <w:spacing w:after="0" w:line="233" w:lineRule="auto"/>
        <w:rPr>
          <w:sz w:val="20"/>
          <w:szCs w:val="20"/>
          <w:color w:val="auto"/>
        </w:rPr>
      </w:pPr>
      <w:r>
        <w:rPr>
          <w:rFonts w:ascii="Courier New" w:cs="Courier New" w:eastAsia="Courier New" w:hAnsi="Courier New"/>
          <w:sz w:val="9"/>
          <w:szCs w:val="9"/>
          <w:color w:val="auto"/>
        </w:rPr>
        <w:t>Change</w:t>
      </w:r>
    </w:p>
    <w:p>
      <w:pPr>
        <w:ind w:left="720"/>
        <w:spacing w:after="0"/>
        <w:rPr>
          <w:sz w:val="20"/>
          <w:szCs w:val="20"/>
          <w:color w:val="auto"/>
        </w:rPr>
      </w:pPr>
      <w:r>
        <w:rPr>
          <w:rFonts w:ascii="Courier New" w:cs="Courier New" w:eastAsia="Courier New" w:hAnsi="Courier New"/>
          <w:sz w:val="9"/>
          <w:szCs w:val="9"/>
          <w:color w:val="auto"/>
        </w:rPr>
        <w:t>of Control. All Matching Shares and Matching Units shall vest if there is a Change of Control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720"/>
        <w:spacing w:after="0"/>
        <w:rPr>
          <w:sz w:val="20"/>
          <w:szCs w:val="20"/>
          <w:color w:val="auto"/>
        </w:rPr>
      </w:pPr>
      <w:r>
        <w:rPr>
          <w:rFonts w:ascii="Courier New" w:cs="Courier New" w:eastAsia="Courier New" w:hAnsi="Courier New"/>
          <w:sz w:val="9"/>
          <w:szCs w:val="9"/>
          <w:color w:val="auto"/>
        </w:rPr>
        <w:t>Change</w:t>
      </w:r>
    </w:p>
    <w:p>
      <w:pPr>
        <w:ind w:left="720"/>
        <w:spacing w:after="0"/>
        <w:rPr>
          <w:sz w:val="20"/>
          <w:szCs w:val="20"/>
          <w:color w:val="auto"/>
        </w:rPr>
      </w:pPr>
      <w:r>
        <w:rPr>
          <w:rFonts w:ascii="Courier New" w:cs="Courier New" w:eastAsia="Courier New" w:hAnsi="Courier New"/>
          <w:sz w:val="9"/>
          <w:szCs w:val="9"/>
          <w:color w:val="auto"/>
        </w:rPr>
        <w:t>of Control means:</w:t>
      </w:r>
    </w:p>
    <w:p>
      <w:pPr>
        <w:spacing w:after="0" w:line="200" w:lineRule="exact"/>
        <w:rPr>
          <w:sz w:val="20"/>
          <w:szCs w:val="20"/>
          <w:color w:val="auto"/>
        </w:rPr>
      </w:pPr>
    </w:p>
    <w:p>
      <w:pPr>
        <w:spacing w:after="0" w:line="298" w:lineRule="exact"/>
        <w:rPr>
          <w:sz w:val="20"/>
          <w:szCs w:val="20"/>
          <w:color w:val="auto"/>
        </w:rPr>
      </w:pPr>
    </w:p>
    <w:p>
      <w:pPr>
        <w:ind w:left="920"/>
        <w:spacing w:after="0"/>
        <w:rPr>
          <w:sz w:val="20"/>
          <w:szCs w:val="20"/>
          <w:color w:val="auto"/>
        </w:rPr>
      </w:pPr>
      <w:r>
        <w:rPr>
          <w:rFonts w:ascii="Courier New" w:cs="Courier New" w:eastAsia="Courier New" w:hAnsi="Courier New"/>
          <w:sz w:val="9"/>
          <w:szCs w:val="9"/>
          <w:color w:val="auto"/>
        </w:rPr>
        <w:t>(A) The</w:t>
      </w:r>
    </w:p>
    <w:p>
      <w:pPr>
        <w:ind w:left="720"/>
        <w:spacing w:after="0" w:line="233" w:lineRule="auto"/>
        <w:rPr>
          <w:sz w:val="20"/>
          <w:szCs w:val="20"/>
          <w:color w:val="auto"/>
        </w:rPr>
      </w:pPr>
      <w:r>
        <w:rPr>
          <w:rFonts w:ascii="Courier New" w:cs="Courier New" w:eastAsia="Courier New" w:hAnsi="Courier New"/>
          <w:sz w:val="9"/>
          <w:szCs w:val="9"/>
          <w:color w:val="auto"/>
        </w:rPr>
        <w:t>acquisition by any individual, entity or group (within the meaning of Section 13(d)(3) or 14(d)(2) of the Exchange Act) (a "Person") of beneficial</w:t>
      </w:r>
    </w:p>
    <w:p>
      <w:pPr>
        <w:ind w:left="720"/>
        <w:spacing w:after="0" w:line="233" w:lineRule="auto"/>
        <w:rPr>
          <w:sz w:val="20"/>
          <w:szCs w:val="20"/>
          <w:color w:val="auto"/>
        </w:rPr>
      </w:pPr>
      <w:r>
        <w:rPr>
          <w:rFonts w:ascii="Courier New" w:cs="Courier New" w:eastAsia="Courier New" w:hAnsi="Courier New"/>
          <w:sz w:val="9"/>
          <w:szCs w:val="9"/>
          <w:color w:val="auto"/>
        </w:rPr>
        <w:t>ownership (within the meaning of Rule 13d-3 under the Exchange Act) of 15% or more of either (A) the then-outstanding shares of Common Stock of the Company (the</w:t>
      </w:r>
    </w:p>
    <w:p>
      <w:pPr>
        <w:ind w:left="720"/>
        <w:spacing w:after="0" w:line="233" w:lineRule="auto"/>
        <w:rPr>
          <w:sz w:val="20"/>
          <w:szCs w:val="20"/>
          <w:color w:val="auto"/>
        </w:rPr>
      </w:pPr>
      <w:r>
        <w:rPr>
          <w:rFonts w:ascii="Courier New" w:cs="Courier New" w:eastAsia="Courier New" w:hAnsi="Courier New"/>
          <w:sz w:val="9"/>
          <w:szCs w:val="9"/>
          <w:color w:val="auto"/>
        </w:rPr>
        <w:t>"Outstanding Company Common Stock") or (B) the combined voting power of the then-outstanding voting securities of the Company entitled to vote generally in the election of directors</w:t>
      </w:r>
    </w:p>
    <w:p>
      <w:pPr>
        <w:ind w:left="720" w:right="240"/>
        <w:spacing w:after="0" w:line="234" w:lineRule="auto"/>
        <w:rPr>
          <w:sz w:val="20"/>
          <w:szCs w:val="20"/>
          <w:color w:val="auto"/>
        </w:rPr>
      </w:pPr>
      <w:r>
        <w:rPr>
          <w:rFonts w:ascii="Courier New" w:cs="Courier New" w:eastAsia="Courier New" w:hAnsi="Courier New"/>
          <w:sz w:val="9"/>
          <w:szCs w:val="9"/>
          <w:color w:val="auto"/>
        </w:rPr>
        <w:t>(the "Outstanding Company Voting Securities"); provided, however, that for purposes of this subparagraph (A), the following acquisitions shall not constitute a Change of Control: (a) any acquisition directly from the Company, (b) any acquisition by the Company, (c) any acquisition by any employee benefit plan (or related trust) sponsored or maintained by the Company or any corporation controlled by the Company, or (d) any acquisition by any corporation pursuant to a transaction that complies with clauses (a), (b) and (c) of subparagraph (C) of this subparagraph 8.f.vi.; or</w:t>
      </w:r>
    </w:p>
    <w:p>
      <w:pPr>
        <w:sectPr>
          <w:pgSz w:w="11900" w:h="16838" w:orient="portrait"/>
          <w:cols w:equalWidth="0" w:num="1">
            <w:col w:w="11000"/>
          </w:cols>
          <w:pgMar w:left="660" w:top="136" w:right="239" w:bottom="115" w:gutter="0" w:footer="0" w:header="0"/>
        </w:sectPr>
      </w:pPr>
    </w:p>
    <w:bookmarkStart w:id="12" w:name="page13"/>
    <w:bookmarkEnd w:id="12"/>
    <w:p>
      <w:pPr>
        <w:ind w:left="1280"/>
        <w:spacing w:after="0"/>
        <w:rPr>
          <w:sz w:val="20"/>
          <w:szCs w:val="20"/>
          <w:color w:val="auto"/>
        </w:rPr>
      </w:pPr>
      <w:r>
        <w:rPr>
          <w:rFonts w:ascii="Courier New" w:cs="Courier New" w:eastAsia="Courier New" w:hAnsi="Courier New"/>
          <w:sz w:val="9"/>
          <w:szCs w:val="9"/>
          <w:color w:val="auto"/>
        </w:rPr>
        <w:t>(B) Individuals</w:t>
      </w:r>
    </w:p>
    <w:p>
      <w:pPr>
        <w:ind w:left="1080"/>
        <w:spacing w:after="0" w:line="233" w:lineRule="auto"/>
        <w:rPr>
          <w:sz w:val="20"/>
          <w:szCs w:val="20"/>
          <w:color w:val="auto"/>
        </w:rPr>
      </w:pPr>
      <w:r>
        <w:rPr>
          <w:rFonts w:ascii="Courier New" w:cs="Courier New" w:eastAsia="Courier New" w:hAnsi="Courier New"/>
          <w:sz w:val="9"/>
          <w:szCs w:val="9"/>
          <w:color w:val="auto"/>
        </w:rPr>
        <w:t>who, as of the date hereof, constitute the Board of Directors of the Company (the "Incumbent Board") cease for any reason to constitute at least a</w:t>
      </w:r>
    </w:p>
    <w:p>
      <w:pPr>
        <w:jc w:val="both"/>
        <w:ind w:left="1080"/>
        <w:spacing w:after="0" w:line="234" w:lineRule="auto"/>
        <w:rPr>
          <w:sz w:val="20"/>
          <w:szCs w:val="20"/>
          <w:color w:val="auto"/>
        </w:rPr>
      </w:pPr>
      <w:r>
        <w:rPr>
          <w:rFonts w:ascii="Courier New" w:cs="Courier New" w:eastAsia="Courier New" w:hAnsi="Courier New"/>
          <w:sz w:val="9"/>
          <w:szCs w:val="9"/>
          <w:color w:val="auto"/>
        </w:rPr>
        <w:t>majority of the Board; provided, however, that any individual becoming a director subsequent to the date hereof whose election, or nomination for election by the Company's stockholders, was a by a vote of at least a majority of the directors then comprising the Incumbent Board shall be considered as though such individual were a member of the Incumbent Board, but excluding, for th purpose, any such individual whose initial assumption of office occurs as a result of an actual or threatened election contest with respect to the election or removal of directors or other ac threatened solicitation of proxies or consents by or on behalf of a Person other than the Board; or</w:t>
      </w:r>
    </w:p>
    <w:p>
      <w:pPr>
        <w:spacing w:after="0" w:line="200" w:lineRule="exact"/>
        <w:rPr>
          <w:sz w:val="20"/>
          <w:szCs w:val="20"/>
          <w:color w:val="auto"/>
        </w:rPr>
      </w:pPr>
    </w:p>
    <w:p>
      <w:pPr>
        <w:spacing w:after="0" w:line="299" w:lineRule="exact"/>
        <w:rPr>
          <w:sz w:val="20"/>
          <w:szCs w:val="20"/>
          <w:color w:val="auto"/>
        </w:rPr>
      </w:pPr>
    </w:p>
    <w:p>
      <w:pPr>
        <w:ind w:left="1280"/>
        <w:spacing w:after="0"/>
        <w:rPr>
          <w:sz w:val="20"/>
          <w:szCs w:val="20"/>
          <w:color w:val="auto"/>
        </w:rPr>
      </w:pPr>
      <w:r>
        <w:rPr>
          <w:rFonts w:ascii="Courier New" w:cs="Courier New" w:eastAsia="Courier New" w:hAnsi="Courier New"/>
          <w:sz w:val="9"/>
          <w:szCs w:val="9"/>
          <w:color w:val="auto"/>
        </w:rPr>
        <w:t>(C) Consummation</w:t>
      </w:r>
    </w:p>
    <w:p>
      <w:pPr>
        <w:ind w:left="1080"/>
        <w:spacing w:after="0" w:line="233" w:lineRule="auto"/>
        <w:rPr>
          <w:sz w:val="20"/>
          <w:szCs w:val="20"/>
          <w:color w:val="auto"/>
        </w:rPr>
      </w:pPr>
      <w:r>
        <w:rPr>
          <w:rFonts w:ascii="Courier New" w:cs="Courier New" w:eastAsia="Courier New" w:hAnsi="Courier New"/>
          <w:sz w:val="9"/>
          <w:szCs w:val="9"/>
          <w:color w:val="auto"/>
        </w:rPr>
        <w:t>of a reorganization, merger or consolidation of the Company or sale or other disposition of all or substantially all of the assets of the Company or</w:t>
      </w:r>
    </w:p>
    <w:p>
      <w:pPr>
        <w:jc w:val="both"/>
        <w:ind w:left="1080"/>
        <w:spacing w:after="0" w:line="233" w:lineRule="auto"/>
        <w:rPr>
          <w:sz w:val="20"/>
          <w:szCs w:val="20"/>
          <w:color w:val="auto"/>
        </w:rPr>
      </w:pPr>
      <w:r>
        <w:rPr>
          <w:rFonts w:ascii="Courier New" w:cs="Courier New" w:eastAsia="Courier New" w:hAnsi="Courier New"/>
          <w:sz w:val="9"/>
          <w:szCs w:val="9"/>
          <w:color w:val="auto"/>
        </w:rPr>
        <w:t>the acquisition by the Company of assets or stock of another entity (a "Business Combination"), in each case, unless, following such Business Combination, (a) all or substantially all of the individuals and entities who were the beneficial owners, respectively, of the Outstanding Company Common Stock and Outstanding Company Voting Securities immediately prior to such Business Com beneficially own, directly or indirectly, more than 50% of, respectively, the then-outstanding shares of common stock and the combined voting power of the then-outstanding</w:t>
      </w:r>
    </w:p>
    <w:p>
      <w:pPr>
        <w:ind w:left="1080"/>
        <w:spacing w:after="0" w:line="262" w:lineRule="auto"/>
        <w:rPr>
          <w:sz w:val="20"/>
          <w:szCs w:val="20"/>
          <w:color w:val="auto"/>
        </w:rPr>
      </w:pPr>
      <w:r>
        <w:rPr>
          <w:rFonts w:ascii="Courier New" w:cs="Courier New" w:eastAsia="Courier New" w:hAnsi="Courier New"/>
          <w:sz w:val="8"/>
          <w:szCs w:val="8"/>
          <w:color w:val="auto"/>
        </w:rPr>
        <w:t>voting securities entitled to vote generally in the election of directors, as the case may be, of the corporation resulting from such Business Combination (including, without limitation, a co which as a result of such transaction owns the Company or all or substantially all of the Company's assets either directly or through one or more subsidiaries) in substantially the same propo their ownership, immediately prior to such Business Combination of the Outstanding Company Common Stock and Outstanding Company Voting Securities, as the case may be, (b) no Person (excluding any corporation resulting from such Business Combination or any employee benefit plan (or related trust) of the Company or such corporation resulting from such Business Combination) beneficia directly or indirectly, 15% or more of, respectively, the then-outstanding shares of common stock of the corporation resulting from such Business Combination, or the combined voting power of the then-outstanding voting securities of such corporation except to the extent that such ownership existed prior to the Business Combination and (c) at least a majority of the</w:t>
      </w:r>
    </w:p>
    <w:p>
      <w:pPr>
        <w:ind w:left="1080" w:right="20"/>
        <w:spacing w:after="0" w:line="235" w:lineRule="auto"/>
        <w:rPr>
          <w:sz w:val="20"/>
          <w:szCs w:val="20"/>
          <w:color w:val="auto"/>
        </w:rPr>
      </w:pPr>
      <w:r>
        <w:rPr>
          <w:rFonts w:ascii="Courier New" w:cs="Courier New" w:eastAsia="Courier New" w:hAnsi="Courier New"/>
          <w:sz w:val="9"/>
          <w:szCs w:val="9"/>
          <w:color w:val="auto"/>
        </w:rPr>
        <w:t>members of the board of directors of the corporation resulting from such Business Combination were members of the Incumbent Board at the time of the execution of the initial agreement, or of action of the Board, providing for such Business Combination; or</w:t>
      </w:r>
    </w:p>
    <w:p>
      <w:pPr>
        <w:spacing w:after="0" w:line="200" w:lineRule="exact"/>
        <w:rPr>
          <w:sz w:val="20"/>
          <w:szCs w:val="20"/>
          <w:color w:val="auto"/>
        </w:rPr>
      </w:pPr>
    </w:p>
    <w:p>
      <w:pPr>
        <w:spacing w:after="0" w:line="299" w:lineRule="exact"/>
        <w:rPr>
          <w:sz w:val="20"/>
          <w:szCs w:val="20"/>
          <w:color w:val="auto"/>
        </w:rPr>
      </w:pPr>
    </w:p>
    <w:p>
      <w:pPr>
        <w:ind w:left="1280"/>
        <w:spacing w:after="0"/>
        <w:rPr>
          <w:sz w:val="20"/>
          <w:szCs w:val="20"/>
          <w:color w:val="auto"/>
        </w:rPr>
      </w:pPr>
      <w:r>
        <w:rPr>
          <w:rFonts w:ascii="Courier New" w:cs="Courier New" w:eastAsia="Courier New" w:hAnsi="Courier New"/>
          <w:sz w:val="9"/>
          <w:szCs w:val="9"/>
          <w:color w:val="auto"/>
        </w:rPr>
        <w:t>(D) Approval</w:t>
      </w:r>
    </w:p>
    <w:p>
      <w:pPr>
        <w:ind w:left="1080"/>
        <w:spacing w:after="0"/>
        <w:rPr>
          <w:sz w:val="20"/>
          <w:szCs w:val="20"/>
          <w:color w:val="auto"/>
        </w:rPr>
      </w:pPr>
      <w:r>
        <w:rPr>
          <w:rFonts w:ascii="Courier New" w:cs="Courier New" w:eastAsia="Courier New" w:hAnsi="Courier New"/>
          <w:sz w:val="9"/>
          <w:szCs w:val="9"/>
          <w:color w:val="auto"/>
        </w:rPr>
        <w:t>by the stockholders of the Company of a complete liquidation or dissolution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g.</w:t>
      </w:r>
    </w:p>
    <w:p>
      <w:pPr>
        <w:ind w:left="720" w:right="4380"/>
        <w:spacing w:after="0" w:line="233" w:lineRule="auto"/>
        <w:rPr>
          <w:sz w:val="20"/>
          <w:szCs w:val="20"/>
          <w:color w:val="auto"/>
        </w:rPr>
      </w:pPr>
      <w:r>
        <w:rPr>
          <w:rFonts w:ascii="Courier New" w:cs="Courier New" w:eastAsia="Courier New" w:hAnsi="Courier New"/>
          <w:sz w:val="9"/>
          <w:szCs w:val="9"/>
          <w:b w:val="1"/>
          <w:bCs w:val="1"/>
          <w:i w:val="1"/>
          <w:iCs w:val="1"/>
          <w:color w:val="auto"/>
        </w:rPr>
        <w:t xml:space="preserve">Temporary Withdrawal for Option Exercise. </w:t>
      </w:r>
      <w:r>
        <w:rPr>
          <w:rFonts w:ascii="Courier New" w:cs="Courier New" w:eastAsia="Courier New" w:hAnsi="Courier New"/>
          <w:sz w:val="9"/>
          <w:szCs w:val="9"/>
          <w:color w:val="auto"/>
        </w:rPr>
        <w:t>A Stock Participant may temporarily withdraw all or a portion of Retained</w:t>
      </w:r>
      <w:r>
        <w:rPr>
          <w:rFonts w:ascii="Courier New" w:cs="Courier New" w:eastAsia="Courier New" w:hAnsi="Courier New"/>
          <w:sz w:val="9"/>
          <w:szCs w:val="9"/>
          <w:b w:val="1"/>
          <w:bCs w:val="1"/>
          <w:i w:val="1"/>
          <w:iCs w:val="1"/>
          <w:color w:val="auto"/>
        </w:rPr>
        <w:t xml:space="preserve"> </w:t>
      </w:r>
      <w:r>
        <w:rPr>
          <w:rFonts w:ascii="Courier New" w:cs="Courier New" w:eastAsia="Courier New" w:hAnsi="Courier New"/>
          <w:sz w:val="9"/>
          <w:szCs w:val="9"/>
          <w:color w:val="auto"/>
        </w:rPr>
        <w:t>Shares held in the participant's account, but not Matching Shares or Retained or</w:t>
      </w:r>
    </w:p>
    <w:p>
      <w:pPr>
        <w:ind w:left="720"/>
        <w:spacing w:after="0"/>
        <w:rPr>
          <w:sz w:val="20"/>
          <w:szCs w:val="20"/>
          <w:color w:val="auto"/>
        </w:rPr>
      </w:pPr>
      <w:r>
        <w:rPr>
          <w:rFonts w:ascii="Courier New" w:cs="Courier New" w:eastAsia="Courier New" w:hAnsi="Courier New"/>
          <w:sz w:val="9"/>
          <w:szCs w:val="9"/>
          <w:color w:val="auto"/>
        </w:rPr>
        <w:t>Matching Units, in order to exercise Company stock options, provided that an equal number of shares of Common Stock is promptly redeposited with the Company after such exercise.</w:t>
      </w:r>
    </w:p>
    <w:p>
      <w:pPr>
        <w:spacing w:after="0" w:line="192"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h.</w:t>
      </w:r>
    </w:p>
    <w:p>
      <w:pPr>
        <w:ind w:left="720"/>
        <w:spacing w:after="0" w:line="233" w:lineRule="auto"/>
        <w:tabs>
          <w:tab w:leader="none" w:pos="1940" w:val="left"/>
        </w:tabs>
        <w:rPr>
          <w:sz w:val="20"/>
          <w:szCs w:val="20"/>
          <w:color w:val="auto"/>
        </w:rPr>
      </w:pPr>
      <w:r>
        <w:rPr>
          <w:rFonts w:ascii="Courier New" w:cs="Courier New" w:eastAsia="Courier New" w:hAnsi="Courier New"/>
          <w:sz w:val="9"/>
          <w:szCs w:val="9"/>
          <w:b w:val="1"/>
          <w:bCs w:val="1"/>
          <w:i w:val="1"/>
          <w:iCs w:val="1"/>
          <w:color w:val="auto"/>
        </w:rPr>
        <w:t>Dividends and Voting.</w:t>
      </w:r>
      <w:r>
        <w:rPr>
          <w:sz w:val="20"/>
          <w:szCs w:val="20"/>
          <w:color w:val="auto"/>
        </w:rPr>
        <w:tab/>
      </w:r>
      <w:r>
        <w:rPr>
          <w:rFonts w:ascii="Courier New" w:cs="Courier New" w:eastAsia="Courier New" w:hAnsi="Courier New"/>
          <w:sz w:val="9"/>
          <w:szCs w:val="9"/>
          <w:color w:val="auto"/>
        </w:rPr>
        <w:t>Dividends on Retained and Matching Shares may at the election of the Stock Participant be paid</w:t>
      </w:r>
    </w:p>
    <w:p>
      <w:pPr>
        <w:ind w:left="720" w:right="120"/>
        <w:spacing w:after="0" w:line="235" w:lineRule="auto"/>
        <w:rPr>
          <w:sz w:val="20"/>
          <w:szCs w:val="20"/>
          <w:color w:val="auto"/>
        </w:rPr>
      </w:pPr>
      <w:r>
        <w:rPr>
          <w:rFonts w:ascii="Courier New" w:cs="Courier New" w:eastAsia="Courier New" w:hAnsi="Courier New"/>
          <w:sz w:val="9"/>
          <w:szCs w:val="9"/>
          <w:color w:val="auto"/>
        </w:rPr>
        <w:t>to such participant or reinvested under the Company's dividend reinvestment plan as then in effect. Dividends on Retained and Matching Units shall be credited under the Officers Deferred Plan, in additional units based on the fair market value of one share of the Common Stock on the dividend payment date. A Stock Participant shall have the right to vote Retained and Matching Shares.</w:t>
      </w:r>
    </w:p>
    <w:p>
      <w:pPr>
        <w:spacing w:after="0" w:line="292"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i.</w:t>
      </w:r>
    </w:p>
    <w:p>
      <w:pPr>
        <w:ind w:left="720"/>
        <w:spacing w:after="0"/>
        <w:tabs>
          <w:tab w:leader="none" w:pos="3440" w:val="left"/>
        </w:tabs>
        <w:rPr>
          <w:sz w:val="20"/>
          <w:szCs w:val="20"/>
          <w:color w:val="auto"/>
        </w:rPr>
      </w:pPr>
      <w:r>
        <w:rPr>
          <w:rFonts w:ascii="Courier New" w:cs="Courier New" w:eastAsia="Courier New" w:hAnsi="Courier New"/>
          <w:sz w:val="9"/>
          <w:szCs w:val="9"/>
          <w:b w:val="1"/>
          <w:bCs w:val="1"/>
          <w:i w:val="1"/>
          <w:iCs w:val="1"/>
          <w:color w:val="auto"/>
        </w:rPr>
        <w:t>Maximum Shares Subject to Stock Retention Awards.</w:t>
      </w:r>
      <w:r>
        <w:rPr>
          <w:sz w:val="20"/>
          <w:szCs w:val="20"/>
          <w:color w:val="auto"/>
        </w:rPr>
        <w:tab/>
      </w:r>
      <w:r>
        <w:rPr>
          <w:rFonts w:ascii="Courier New" w:cs="Courier New" w:eastAsia="Courier New" w:hAnsi="Courier New"/>
          <w:sz w:val="8"/>
          <w:szCs w:val="8"/>
          <w:color w:val="auto"/>
        </w:rPr>
        <w:t>Subject to the provisions of this subparagraph and</w:t>
      </w:r>
    </w:p>
    <w:p>
      <w:pPr>
        <w:ind w:left="720" w:right="60"/>
        <w:spacing w:after="0" w:line="233" w:lineRule="auto"/>
        <w:rPr>
          <w:sz w:val="20"/>
          <w:szCs w:val="20"/>
          <w:color w:val="auto"/>
        </w:rPr>
      </w:pPr>
      <w:r>
        <w:rPr>
          <w:rFonts w:ascii="Courier New" w:cs="Courier New" w:eastAsia="Courier New" w:hAnsi="Courier New"/>
          <w:sz w:val="9"/>
          <w:szCs w:val="9"/>
          <w:color w:val="auto"/>
        </w:rPr>
        <w:t>paragraph 3.e. hereof, the number of shares of Common Stock reserved and available for issuance pursuant to Stock Retention Awards under the Plan is 100,000. Shares of Common Stock that may be issued hereunder may be authorized but unissued shares, reacquired or treasury shares or outstanding shares acquired in the market or from private sources or a combination thereof. In the event of corporate transaction involving the Company, the Common Stock or the Company's corporate or capital structure, including but not limited to any stock dividend, stock split, extraordinary cash dividend, recapitalization, reorganization, merger, consolidation, reclassification, split-up, spin-off, combination or exchange of shares, or a sale of the Company or of all</w:t>
      </w:r>
    </w:p>
    <w:p>
      <w:pPr>
        <w:jc w:val="both"/>
        <w:ind w:left="720" w:right="280"/>
        <w:spacing w:after="0" w:line="233" w:lineRule="auto"/>
        <w:rPr>
          <w:sz w:val="20"/>
          <w:szCs w:val="20"/>
          <w:color w:val="auto"/>
        </w:rPr>
      </w:pPr>
      <w:r>
        <w:rPr>
          <w:rFonts w:ascii="Courier New" w:cs="Courier New" w:eastAsia="Courier New" w:hAnsi="Courier New"/>
          <w:sz w:val="9"/>
          <w:szCs w:val="9"/>
          <w:color w:val="auto"/>
        </w:rPr>
        <w:t>or part of its assets or any distribution to stockholders other than a normal cash dividend, the Committee shall make such proportional adjustments as are necessary to preserve the benefits or potential benefits of the Stock Retention Awards. Action by the Committee may include all or any of adjustment in (i) the maximum number and kind of securities subject to the Plan as set forth in this paragraph; (ii) the maximum number and kind of securities that may be made subject to Stock Retention Awards for any individual as set forth in paragraph 3.e.; (iii) the</w:t>
      </w:r>
    </w:p>
    <w:p>
      <w:pPr>
        <w:ind w:left="720" w:right="600"/>
        <w:spacing w:after="0" w:line="235" w:lineRule="auto"/>
        <w:rPr>
          <w:sz w:val="20"/>
          <w:szCs w:val="20"/>
          <w:color w:val="auto"/>
        </w:rPr>
      </w:pPr>
      <w:r>
        <w:rPr>
          <w:rFonts w:ascii="Courier New" w:cs="Courier New" w:eastAsia="Courier New" w:hAnsi="Courier New"/>
          <w:sz w:val="9"/>
          <w:szCs w:val="9"/>
          <w:color w:val="auto"/>
        </w:rPr>
        <w:t>number and kind of securities subject to any outstanding Stock Retention Award; (iv) the conversion price of a Stock Retention Award, without any change in the aggregate price to be paid therefor; and (v) any other adjustments that the Committee determines to be equitable.</w:t>
      </w:r>
    </w:p>
    <w:p>
      <w:pPr>
        <w:spacing w:after="0" w:line="193"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j.</w:t>
      </w:r>
    </w:p>
    <w:p>
      <w:pPr>
        <w:ind w:left="720"/>
        <w:spacing w:after="0" w:line="233" w:lineRule="auto"/>
        <w:rPr>
          <w:sz w:val="20"/>
          <w:szCs w:val="20"/>
          <w:color w:val="auto"/>
        </w:rPr>
      </w:pPr>
      <w:r>
        <w:rPr>
          <w:rFonts w:ascii="Courier New" w:cs="Courier New" w:eastAsia="Courier New" w:hAnsi="Courier New"/>
          <w:sz w:val="9"/>
          <w:szCs w:val="9"/>
          <w:b w:val="1"/>
          <w:bCs w:val="1"/>
          <w:i w:val="1"/>
          <w:iCs w:val="1"/>
          <w:color w:val="auto"/>
        </w:rPr>
        <w:t>Tax Withholding</w:t>
      </w:r>
      <w:r>
        <w:rPr>
          <w:rFonts w:ascii="Courier New" w:cs="Courier New" w:eastAsia="Courier New" w:hAnsi="Courier New"/>
          <w:sz w:val="9"/>
          <w:szCs w:val="9"/>
          <w:color w:val="auto"/>
        </w:rPr>
        <w:t>. The Company shall have the right to deduct from any settlement made under the Plan or to require the participant to</w:t>
      </w:r>
    </w:p>
    <w:p>
      <w:pPr>
        <w:ind w:left="720"/>
        <w:spacing w:after="0" w:line="234" w:lineRule="auto"/>
        <w:rPr>
          <w:sz w:val="20"/>
          <w:szCs w:val="20"/>
          <w:color w:val="auto"/>
        </w:rPr>
      </w:pPr>
      <w:r>
        <w:rPr>
          <w:rFonts w:ascii="Courier New" w:cs="Courier New" w:eastAsia="Courier New" w:hAnsi="Courier New"/>
          <w:sz w:val="9"/>
          <w:szCs w:val="9"/>
          <w:color w:val="auto"/>
        </w:rPr>
        <w:t>pay the amount of any federal, state or local taxes of any kind required by law to be withheld with respect to the grant, vesting, payment or settlement of an award under this Plan, or to take such other action as may be necessary in the opinion of the Company to satisfy all obligations for the payment of such taxes. If Common Stock is withheld or surrendered to satisfy tax withholding, such stock shall be valued at its fair market value as of the date it is withheld or surrendered. The Company may also deduct from any award settlement any other amounts due the Company by the Plan Participant.</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7.</w:t>
      </w:r>
    </w:p>
    <w:p>
      <w:pPr>
        <w:ind w:left="360"/>
        <w:spacing w:after="0" w:line="233" w:lineRule="auto"/>
        <w:tabs>
          <w:tab w:leader="none" w:pos="1520" w:val="left"/>
        </w:tabs>
        <w:rPr>
          <w:sz w:val="20"/>
          <w:szCs w:val="20"/>
          <w:color w:val="auto"/>
        </w:rPr>
      </w:pPr>
      <w:r>
        <w:rPr>
          <w:rFonts w:ascii="Courier New" w:cs="Courier New" w:eastAsia="Courier New" w:hAnsi="Courier New"/>
          <w:sz w:val="9"/>
          <w:szCs w:val="9"/>
          <w:b w:val="1"/>
          <w:bCs w:val="1"/>
          <w:color w:val="auto"/>
        </w:rPr>
        <w:t>Non-transferability.</w:t>
      </w:r>
      <w:r>
        <w:rPr>
          <w:sz w:val="20"/>
          <w:szCs w:val="20"/>
          <w:color w:val="auto"/>
        </w:rPr>
        <w:tab/>
      </w:r>
      <w:r>
        <w:rPr>
          <w:rFonts w:ascii="Courier New" w:cs="Courier New" w:eastAsia="Courier New" w:hAnsi="Courier New"/>
          <w:sz w:val="9"/>
          <w:szCs w:val="9"/>
          <w:color w:val="auto"/>
        </w:rPr>
        <w:t>Neither Annual Performance Awards, Stock Retention Awards, Retained Shares, Matching</w:t>
      </w:r>
    </w:p>
    <w:p>
      <w:pPr>
        <w:ind w:left="360" w:right="320"/>
        <w:spacing w:after="0" w:line="234" w:lineRule="auto"/>
        <w:rPr>
          <w:sz w:val="20"/>
          <w:szCs w:val="20"/>
          <w:color w:val="auto"/>
        </w:rPr>
      </w:pPr>
      <w:r>
        <w:rPr>
          <w:rFonts w:ascii="Courier New" w:cs="Courier New" w:eastAsia="Courier New" w:hAnsi="Courier New"/>
          <w:sz w:val="9"/>
          <w:szCs w:val="9"/>
          <w:color w:val="auto"/>
        </w:rPr>
        <w:t>Shares, Retained Units, Matching Units nor any interest in any one of such awards or shares or units or benefits may be anticipated, alienated, encumbered, sold, pledged, assigned, transferred or subjected to any charge or legal process, other than by will or the laws of descent and distribution, so long as the Retained and Matching Shares are held by the Company or the Retained and Matching Units have not been distributed in accordance with the Officers Deferred Plan, and any sale, pledge, assignment or other attempted transfer shall be null and void.</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8.</w:t>
      </w:r>
    </w:p>
    <w:p>
      <w:pPr>
        <w:ind w:left="360"/>
        <w:spacing w:after="0" w:line="233" w:lineRule="auto"/>
        <w:tabs>
          <w:tab w:leader="none" w:pos="1260" w:val="left"/>
        </w:tabs>
        <w:rPr>
          <w:sz w:val="20"/>
          <w:szCs w:val="20"/>
          <w:color w:val="auto"/>
        </w:rPr>
      </w:pPr>
      <w:r>
        <w:rPr>
          <w:rFonts w:ascii="Courier New" w:cs="Courier New" w:eastAsia="Courier New" w:hAnsi="Courier New"/>
          <w:sz w:val="9"/>
          <w:szCs w:val="9"/>
          <w:b w:val="1"/>
          <w:bCs w:val="1"/>
          <w:color w:val="auto"/>
        </w:rPr>
        <w:t>Administration.</w:t>
      </w:r>
      <w:r>
        <w:rPr>
          <w:sz w:val="20"/>
          <w:szCs w:val="20"/>
          <w:color w:val="auto"/>
        </w:rPr>
        <w:tab/>
      </w:r>
      <w:r>
        <w:rPr>
          <w:rFonts w:ascii="Courier New" w:cs="Courier New" w:eastAsia="Courier New" w:hAnsi="Courier New"/>
          <w:sz w:val="9"/>
          <w:szCs w:val="9"/>
          <w:color w:val="auto"/>
        </w:rPr>
        <w:t>The Committee shall have the authority to administer the Plan; establish policies under the Plan;</w:t>
      </w:r>
    </w:p>
    <w:p>
      <w:pPr>
        <w:ind w:left="360"/>
        <w:spacing w:after="0" w:line="233" w:lineRule="auto"/>
        <w:rPr>
          <w:sz w:val="20"/>
          <w:szCs w:val="20"/>
          <w:color w:val="auto"/>
        </w:rPr>
      </w:pPr>
      <w:r>
        <w:rPr>
          <w:rFonts w:ascii="Courier New" w:cs="Courier New" w:eastAsia="Courier New" w:hAnsi="Courier New"/>
          <w:sz w:val="9"/>
          <w:szCs w:val="9"/>
          <w:color w:val="auto"/>
        </w:rPr>
        <w:t>amend the Plan, subject to the provisions of paragraph 10; interpret provisions of the Plan; select Plan Participants and Stock Participants; establish Performance Goals; make Annual</w:t>
      </w:r>
    </w:p>
    <w:p>
      <w:pPr>
        <w:ind w:left="360" w:right="320"/>
        <w:spacing w:after="0" w:line="233" w:lineRule="auto"/>
        <w:rPr>
          <w:sz w:val="20"/>
          <w:szCs w:val="20"/>
          <w:color w:val="auto"/>
        </w:rPr>
      </w:pPr>
      <w:r>
        <w:rPr>
          <w:rFonts w:ascii="Courier New" w:cs="Courier New" w:eastAsia="Courier New" w:hAnsi="Courier New"/>
          <w:sz w:val="9"/>
          <w:szCs w:val="9"/>
          <w:color w:val="auto"/>
        </w:rPr>
        <w:t>Performance Awards and Stock Retention Awards; or terminate the Plan, in its sole discretion. The Committee may delegate certain of these activities and all decisions not required to be exercised by it</w:t>
      </w:r>
    </w:p>
    <w:p>
      <w:pPr>
        <w:ind w:left="360" w:right="1180"/>
        <w:spacing w:after="0" w:line="235" w:lineRule="auto"/>
        <w:rPr>
          <w:sz w:val="20"/>
          <w:szCs w:val="20"/>
          <w:color w:val="auto"/>
        </w:rPr>
      </w:pPr>
      <w:r>
        <w:rPr>
          <w:rFonts w:ascii="Courier New" w:cs="Courier New" w:eastAsia="Courier New" w:hAnsi="Courier New"/>
          <w:sz w:val="9"/>
          <w:szCs w:val="9"/>
          <w:color w:val="auto"/>
        </w:rPr>
        <w:t>under Section 162(m) or Section 16 of the Exchange Act, as it solely determines. All decisions of the Committee shall be final and binding upon all parties including the Company, its stockholders, Plan Participants and Stock Participants.</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9.</w:t>
      </w:r>
    </w:p>
    <w:p>
      <w:pPr>
        <w:ind w:left="360"/>
        <w:spacing w:after="0" w:line="233" w:lineRule="auto"/>
        <w:tabs>
          <w:tab w:leader="none" w:pos="1200" w:val="left"/>
        </w:tabs>
        <w:rPr>
          <w:sz w:val="20"/>
          <w:szCs w:val="20"/>
          <w:color w:val="auto"/>
        </w:rPr>
      </w:pPr>
      <w:r>
        <w:rPr>
          <w:rFonts w:ascii="Courier New" w:cs="Courier New" w:eastAsia="Courier New" w:hAnsi="Courier New"/>
          <w:sz w:val="9"/>
          <w:szCs w:val="9"/>
          <w:b w:val="1"/>
          <w:bCs w:val="1"/>
          <w:color w:val="auto"/>
        </w:rPr>
        <w:t>Governing Law.</w:t>
      </w:r>
      <w:r>
        <w:rPr>
          <w:sz w:val="20"/>
          <w:szCs w:val="20"/>
          <w:color w:val="auto"/>
        </w:rPr>
        <w:tab/>
      </w:r>
      <w:r>
        <w:rPr>
          <w:rFonts w:ascii="Courier New" w:cs="Courier New" w:eastAsia="Courier New" w:hAnsi="Courier New"/>
          <w:sz w:val="9"/>
          <w:szCs w:val="9"/>
          <w:color w:val="auto"/>
        </w:rPr>
        <w:t>The Plan, awards granted under the Plan, agreements entered into under the Plan, Retained or Matching</w:t>
      </w:r>
    </w:p>
    <w:p>
      <w:pPr>
        <w:ind w:left="360" w:right="260"/>
        <w:spacing w:after="0" w:line="235" w:lineRule="auto"/>
        <w:rPr>
          <w:sz w:val="20"/>
          <w:szCs w:val="20"/>
          <w:color w:val="auto"/>
        </w:rPr>
      </w:pPr>
      <w:r>
        <w:rPr>
          <w:rFonts w:ascii="Courier New" w:cs="Courier New" w:eastAsia="Courier New" w:hAnsi="Courier New"/>
          <w:sz w:val="9"/>
          <w:szCs w:val="9"/>
          <w:color w:val="auto"/>
        </w:rPr>
        <w:t>Shares and Retained or Matching Units shall be construed, administered and governed in all respects under and by the applicable laws of the State of Delaware, excluding any conflicts or choice of law rule or principle that might otherwise refer construction or interpretation of the Plan or an award or agreement or shares or units to the substantive law of another jurisdiction.</w:t>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10.</w:t>
      </w:r>
    </w:p>
    <w:p>
      <w:pPr>
        <w:ind w:left="360"/>
        <w:spacing w:after="0"/>
        <w:tabs>
          <w:tab w:leader="none" w:pos="2120" w:val="left"/>
        </w:tabs>
        <w:rPr>
          <w:sz w:val="20"/>
          <w:szCs w:val="20"/>
          <w:color w:val="auto"/>
        </w:rPr>
      </w:pPr>
      <w:r>
        <w:rPr>
          <w:rFonts w:ascii="Courier New" w:cs="Courier New" w:eastAsia="Courier New" w:hAnsi="Courier New"/>
          <w:sz w:val="9"/>
          <w:szCs w:val="9"/>
          <w:b w:val="1"/>
          <w:bCs w:val="1"/>
          <w:color w:val="auto"/>
        </w:rPr>
        <w:t>Plan Amendment and Termination.</w:t>
      </w:r>
      <w:r>
        <w:rPr>
          <w:sz w:val="20"/>
          <w:szCs w:val="20"/>
          <w:color w:val="auto"/>
        </w:rPr>
        <w:tab/>
      </w:r>
      <w:r>
        <w:rPr>
          <w:rFonts w:ascii="Courier New" w:cs="Courier New" w:eastAsia="Courier New" w:hAnsi="Courier New"/>
          <w:sz w:val="8"/>
          <w:szCs w:val="8"/>
          <w:color w:val="auto"/>
        </w:rPr>
        <w:t>The Committee may, in its sole discretion, amend, suspend or terminate the Plan at</w:t>
      </w:r>
    </w:p>
    <w:p>
      <w:pPr>
        <w:ind w:left="360" w:right="580"/>
        <w:spacing w:after="0" w:line="233" w:lineRule="auto"/>
        <w:rPr>
          <w:sz w:val="20"/>
          <w:szCs w:val="20"/>
          <w:color w:val="auto"/>
        </w:rPr>
      </w:pPr>
      <w:r>
        <w:rPr>
          <w:rFonts w:ascii="Courier New" w:cs="Courier New" w:eastAsia="Courier New" w:hAnsi="Courier New"/>
          <w:sz w:val="9"/>
          <w:szCs w:val="9"/>
          <w:color w:val="auto"/>
        </w:rPr>
        <w:t>any time, with or without advance notice to Plan Participants, provided that no amendment to the Plan shall be effective that would increase the maximum amount payable under paragraph 3.e. to a Plan Participant who is a person referred to in Section 162(m); that would change the Performance Goal criteria applicable to a Plan Participant who is a person referred to in Section 162(m) for payment of awards stated under paragraph 4; or that would modify the requirements as to eligibility for participation under paragraph 2, unless the stockholders</w:t>
      </w:r>
    </w:p>
    <w:p>
      <w:pPr>
        <w:ind w:left="360" w:right="740"/>
        <w:spacing w:after="0" w:line="235" w:lineRule="auto"/>
        <w:rPr>
          <w:sz w:val="20"/>
          <w:szCs w:val="20"/>
          <w:color w:val="auto"/>
        </w:rPr>
      </w:pPr>
      <w:r>
        <w:rPr>
          <w:rFonts w:ascii="Courier New" w:cs="Courier New" w:eastAsia="Courier New" w:hAnsi="Courier New"/>
          <w:sz w:val="9"/>
          <w:szCs w:val="9"/>
          <w:color w:val="auto"/>
        </w:rPr>
        <w:t>of the Company shall have approved such change in accordance with the requirements of Section 162(m). No amendment, modification or termination of the Plan may adversely affect in a material manner any right of any Plan Participant with respect to any Performance Share Award theretofore granted without such participant's written consent.</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11.</w:t>
      </w:r>
    </w:p>
    <w:p>
      <w:pPr>
        <w:ind w:left="360"/>
        <w:spacing w:after="0" w:line="233" w:lineRule="auto"/>
        <w:tabs>
          <w:tab w:leader="none" w:pos="2700" w:val="left"/>
        </w:tabs>
        <w:rPr>
          <w:sz w:val="20"/>
          <w:szCs w:val="20"/>
          <w:color w:val="auto"/>
        </w:rPr>
      </w:pPr>
      <w:r>
        <w:rPr>
          <w:rFonts w:ascii="Courier New" w:cs="Courier New" w:eastAsia="Courier New" w:hAnsi="Courier New"/>
          <w:sz w:val="9"/>
          <w:szCs w:val="9"/>
          <w:b w:val="1"/>
          <w:bCs w:val="1"/>
          <w:color w:val="auto"/>
        </w:rPr>
        <w:t>Effective Date of the Plan and Amendments.</w:t>
      </w:r>
      <w:r>
        <w:rPr>
          <w:sz w:val="20"/>
          <w:szCs w:val="20"/>
          <w:color w:val="auto"/>
        </w:rPr>
        <w:tab/>
      </w:r>
      <w:r>
        <w:rPr>
          <w:rFonts w:ascii="Courier New" w:cs="Courier New" w:eastAsia="Courier New" w:hAnsi="Courier New"/>
          <w:sz w:val="9"/>
          <w:szCs w:val="9"/>
          <w:color w:val="auto"/>
        </w:rPr>
        <w:t>The Plan first became effective on November 1, 1995. Any amendment</w:t>
      </w:r>
    </w:p>
    <w:p>
      <w:pPr>
        <w:ind w:left="360"/>
        <w:spacing w:after="0"/>
        <w:rPr>
          <w:sz w:val="20"/>
          <w:szCs w:val="20"/>
          <w:color w:val="auto"/>
        </w:rPr>
      </w:pPr>
      <w:r>
        <w:rPr>
          <w:rFonts w:ascii="Courier New" w:cs="Courier New" w:eastAsia="Courier New" w:hAnsi="Courier New"/>
          <w:sz w:val="9"/>
          <w:szCs w:val="9"/>
          <w:color w:val="auto"/>
        </w:rPr>
        <w:t>to the Plan shall be effective on the date established by the Committee, subject to stockholder approval, if required under the provisions of paragraph 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5240"/>
        <w:spacing w:after="0"/>
        <w:rPr>
          <w:sz w:val="20"/>
          <w:szCs w:val="20"/>
          <w:color w:val="auto"/>
        </w:rPr>
      </w:pPr>
      <w:r>
        <w:rPr>
          <w:rFonts w:ascii="Courier New" w:cs="Courier New" w:eastAsia="Courier New" w:hAnsi="Courier New"/>
          <w:sz w:val="9"/>
          <w:szCs w:val="9"/>
          <w:b w:val="1"/>
          <w:bCs w:val="1"/>
          <w:color w:val="auto"/>
        </w:rPr>
        <w:t>The Toro Company</w:t>
      </w:r>
    </w:p>
    <w:p>
      <w:pPr>
        <w:ind w:left="5020"/>
        <w:spacing w:after="0"/>
        <w:rPr>
          <w:sz w:val="20"/>
          <w:szCs w:val="20"/>
          <w:color w:val="auto"/>
        </w:rPr>
      </w:pPr>
      <w:r>
        <w:rPr>
          <w:rFonts w:ascii="Courier New" w:cs="Courier New" w:eastAsia="Courier New" w:hAnsi="Courier New"/>
          <w:sz w:val="9"/>
          <w:szCs w:val="9"/>
          <w:b w:val="1"/>
          <w:bCs w:val="1"/>
          <w:color w:val="auto"/>
        </w:rPr>
        <w:t>Performance Share Plan</w:t>
      </w:r>
    </w:p>
    <w:p>
      <w:pPr>
        <w:spacing w:after="0" w:line="246"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1.</w:t>
      </w:r>
    </w:p>
    <w:p>
      <w:pPr>
        <w:ind w:left="360"/>
        <w:spacing w:after="0"/>
        <w:tabs>
          <w:tab w:leader="none" w:pos="880" w:val="left"/>
        </w:tabs>
        <w:rPr>
          <w:sz w:val="20"/>
          <w:szCs w:val="20"/>
          <w:color w:val="auto"/>
        </w:rPr>
      </w:pPr>
      <w:r>
        <w:rPr>
          <w:rFonts w:ascii="Courier New" w:cs="Courier New" w:eastAsia="Courier New" w:hAnsi="Courier New"/>
          <w:sz w:val="9"/>
          <w:szCs w:val="9"/>
          <w:b w:val="1"/>
          <w:bCs w:val="1"/>
          <w:color w:val="auto"/>
        </w:rPr>
        <w:t>Purpose.</w:t>
      </w:r>
      <w:r>
        <w:rPr>
          <w:sz w:val="20"/>
          <w:szCs w:val="20"/>
          <w:color w:val="auto"/>
        </w:rPr>
        <w:tab/>
      </w:r>
      <w:r>
        <w:rPr>
          <w:rFonts w:ascii="Courier New" w:cs="Courier New" w:eastAsia="Courier New" w:hAnsi="Courier New"/>
          <w:sz w:val="8"/>
          <w:szCs w:val="8"/>
          <w:color w:val="auto"/>
        </w:rPr>
        <w:t>The purpose of The Toro Company Performance Share Plan (the "Plan") is to enhance long-term</w:t>
      </w:r>
    </w:p>
    <w:p>
      <w:pPr>
        <w:ind w:left="360"/>
        <w:spacing w:after="0" w:line="233" w:lineRule="auto"/>
        <w:rPr>
          <w:sz w:val="20"/>
          <w:szCs w:val="20"/>
          <w:color w:val="auto"/>
        </w:rPr>
      </w:pPr>
      <w:r>
        <w:rPr>
          <w:rFonts w:ascii="Courier New" w:cs="Courier New" w:eastAsia="Courier New" w:hAnsi="Courier New"/>
          <w:sz w:val="9"/>
          <w:szCs w:val="9"/>
          <w:color w:val="auto"/>
        </w:rPr>
        <w:t>stockholder value of The Toro Company (the "Company"), by reinforcing the incentives of key executives to achieve long-term performance goals of the Company; to link a significant portion</w:t>
      </w:r>
    </w:p>
    <w:p>
      <w:pPr>
        <w:ind w:left="360" w:right="320"/>
        <w:spacing w:after="0" w:line="234" w:lineRule="auto"/>
        <w:rPr>
          <w:sz w:val="20"/>
          <w:szCs w:val="20"/>
          <w:color w:val="auto"/>
        </w:rPr>
      </w:pPr>
      <w:r>
        <w:rPr>
          <w:rFonts w:ascii="Courier New" w:cs="Courier New" w:eastAsia="Courier New" w:hAnsi="Courier New"/>
          <w:sz w:val="9"/>
          <w:szCs w:val="9"/>
          <w:color w:val="auto"/>
        </w:rPr>
        <w:t>of a participant's compensation to the achievement by the Company of performance goals and to the value of the Company's Common Stock, par value $1.00 per share, and related Preferred Share Purchase Rights ("Common Stock"); and to attract and motivate executives and to encourage their continued employment on a competitive basis. The purposes of the Plan are to be achieved by the grant of Performance Share Awards.</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2.</w:t>
      </w:r>
    </w:p>
    <w:p>
      <w:pPr>
        <w:ind w:left="360"/>
        <w:spacing w:after="0"/>
        <w:tabs>
          <w:tab w:leader="none" w:pos="2060" w:val="left"/>
        </w:tabs>
        <w:rPr>
          <w:sz w:val="20"/>
          <w:szCs w:val="20"/>
          <w:color w:val="auto"/>
        </w:rPr>
      </w:pPr>
      <w:r>
        <w:rPr>
          <w:rFonts w:ascii="Courier New" w:cs="Courier New" w:eastAsia="Courier New" w:hAnsi="Courier New"/>
          <w:sz w:val="9"/>
          <w:szCs w:val="9"/>
          <w:b w:val="1"/>
          <w:bCs w:val="1"/>
          <w:color w:val="auto"/>
        </w:rPr>
        <w:t>Eligibility and Participation.</w:t>
      </w:r>
      <w:r>
        <w:rPr>
          <w:sz w:val="20"/>
          <w:szCs w:val="20"/>
          <w:color w:val="auto"/>
        </w:rPr>
        <w:tab/>
      </w:r>
      <w:r>
        <w:rPr>
          <w:rFonts w:ascii="Courier New" w:cs="Courier New" w:eastAsia="Courier New" w:hAnsi="Courier New"/>
          <w:sz w:val="8"/>
          <w:szCs w:val="8"/>
          <w:color w:val="auto"/>
        </w:rPr>
        <w:t>Key employees of the Company who, through their position or performance, can have a</w:t>
      </w:r>
    </w:p>
    <w:p>
      <w:pPr>
        <w:ind w:left="360" w:right="540"/>
        <w:spacing w:after="0" w:line="235" w:lineRule="auto"/>
        <w:rPr>
          <w:sz w:val="20"/>
          <w:szCs w:val="20"/>
          <w:color w:val="auto"/>
        </w:rPr>
      </w:pPr>
      <w:r>
        <w:rPr>
          <w:rFonts w:ascii="Courier New" w:cs="Courier New" w:eastAsia="Courier New" w:hAnsi="Courier New"/>
          <w:sz w:val="9"/>
          <w:szCs w:val="9"/>
          <w:color w:val="auto"/>
        </w:rPr>
        <w:t>significant, positive impact on the Company's financial results, shall be eligible to participate in the Plan. The Compensation Committee (the "Committee") shall select recipients of Performance Shares ("Plan Participants"). Newly-hired and newly-promoted executives may be selected as Plan Participants subject to the provisions of subparagraph 3.c.(ii), if applicable.</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3.</w:t>
      </w:r>
    </w:p>
    <w:p>
      <w:pPr>
        <w:ind w:left="360"/>
        <w:spacing w:after="0"/>
        <w:rPr>
          <w:sz w:val="20"/>
          <w:szCs w:val="20"/>
          <w:color w:val="auto"/>
        </w:rPr>
      </w:pPr>
      <w:r>
        <w:rPr>
          <w:rFonts w:ascii="Courier New" w:cs="Courier New" w:eastAsia="Courier New" w:hAnsi="Courier New"/>
          <w:sz w:val="9"/>
          <w:szCs w:val="9"/>
          <w:b w:val="1"/>
          <w:bCs w:val="1"/>
          <w:color w:val="auto"/>
        </w:rPr>
        <w:t>Performance Share Awards.</w:t>
      </w:r>
    </w:p>
    <w:p>
      <w:pPr>
        <w:spacing w:after="0" w:line="200" w:lineRule="exact"/>
        <w:rPr>
          <w:sz w:val="20"/>
          <w:szCs w:val="20"/>
          <w:color w:val="auto"/>
        </w:rPr>
      </w:pPr>
    </w:p>
    <w:p>
      <w:pPr>
        <w:spacing w:after="0" w:line="280"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a.</w:t>
      </w:r>
    </w:p>
    <w:p>
      <w:pPr>
        <w:ind w:left="720"/>
        <w:spacing w:after="0" w:line="233" w:lineRule="auto"/>
        <w:tabs>
          <w:tab w:leader="none" w:pos="2200" w:val="left"/>
        </w:tabs>
        <w:rPr>
          <w:sz w:val="20"/>
          <w:szCs w:val="20"/>
          <w:color w:val="auto"/>
        </w:rPr>
      </w:pPr>
      <w:r>
        <w:rPr>
          <w:rFonts w:ascii="Courier New" w:cs="Courier New" w:eastAsia="Courier New" w:hAnsi="Courier New"/>
          <w:sz w:val="9"/>
          <w:szCs w:val="9"/>
          <w:b w:val="1"/>
          <w:bCs w:val="1"/>
          <w:color w:val="auto"/>
        </w:rPr>
        <w:t>Performance Share Defined.</w:t>
      </w:r>
      <w:r>
        <w:rPr>
          <w:sz w:val="20"/>
          <w:szCs w:val="20"/>
          <w:color w:val="auto"/>
        </w:rPr>
        <w:tab/>
      </w:r>
      <w:r>
        <w:rPr>
          <w:rFonts w:ascii="Courier New" w:cs="Courier New" w:eastAsia="Courier New" w:hAnsi="Courier New"/>
          <w:sz w:val="9"/>
          <w:szCs w:val="9"/>
          <w:color w:val="auto"/>
        </w:rPr>
        <w:t>A Performance Share is a right to receive shares of Common Stock or Common Stock units,</w:t>
      </w:r>
    </w:p>
    <w:p>
      <w:pPr>
        <w:ind w:left="720"/>
        <w:spacing w:after="0" w:line="235" w:lineRule="auto"/>
        <w:rPr>
          <w:sz w:val="20"/>
          <w:szCs w:val="20"/>
          <w:color w:val="auto"/>
        </w:rPr>
      </w:pPr>
      <w:r>
        <w:rPr>
          <w:rFonts w:ascii="Courier New" w:cs="Courier New" w:eastAsia="Courier New" w:hAnsi="Courier New"/>
          <w:sz w:val="9"/>
          <w:szCs w:val="9"/>
          <w:color w:val="auto"/>
        </w:rPr>
        <w:t>contingent on the achievement of performance goals of the Company during a three year period, except that a shorter period may be established for new participants and for awards granted at the time the Plan is adopted (the "Award Term"). A Performance Share Award shall be subject to such conditions, restrictions and contingencies as the Committee shall determine.</w:t>
      </w:r>
    </w:p>
    <w:p>
      <w:pPr>
        <w:sectPr>
          <w:pgSz w:w="11900" w:h="16838" w:orient="portrait"/>
          <w:cols w:equalWidth="0" w:num="1">
            <w:col w:w="11360"/>
          </w:cols>
          <w:pgMar w:left="300" w:top="521" w:right="239" w:bottom="0" w:gutter="0" w:footer="0" w:header="0"/>
        </w:sectPr>
      </w:pPr>
    </w:p>
    <w:p>
      <w:pPr>
        <w:spacing w:after="0" w:line="196" w:lineRule="exact"/>
        <w:rPr>
          <w:sz w:val="20"/>
          <w:szCs w:val="20"/>
          <w:color w:val="auto"/>
        </w:rPr>
      </w:pPr>
    </w:p>
    <w:p>
      <w:pPr>
        <w:ind w:left="360"/>
        <w:spacing w:after="0"/>
        <w:rPr>
          <w:sz w:val="20"/>
          <w:szCs w:val="20"/>
          <w:color w:val="auto"/>
        </w:rPr>
      </w:pPr>
      <w:r>
        <w:rPr>
          <w:rFonts w:ascii="Courier New" w:cs="Courier New" w:eastAsia="Courier New" w:hAnsi="Courier New"/>
          <w:sz w:val="8"/>
          <w:szCs w:val="8"/>
          <w:color w:val="auto"/>
        </w:rPr>
        <w:t>b.</w:t>
      </w:r>
    </w:p>
    <w:p>
      <w:pPr>
        <w:sectPr>
          <w:pgSz w:w="11900" w:h="16838" w:orient="portrait"/>
          <w:cols w:equalWidth="0" w:num="1">
            <w:col w:w="11360"/>
          </w:cols>
          <w:pgMar w:left="300" w:top="521" w:right="239" w:bottom="0" w:gutter="0" w:footer="0" w:header="0"/>
          <w:type w:val="continuous"/>
        </w:sectPr>
      </w:pPr>
    </w:p>
    <w:bookmarkStart w:id="13" w:name="page14"/>
    <w:bookmarkEnd w:id="13"/>
    <w:p>
      <w:pPr>
        <w:spacing w:after="0" w:line="68" w:lineRule="exact"/>
        <w:rPr>
          <w:sz w:val="20"/>
          <w:szCs w:val="20"/>
          <w:color w:val="auto"/>
        </w:rPr>
      </w:pPr>
    </w:p>
    <w:p>
      <w:pPr>
        <w:ind w:left="360"/>
        <w:spacing w:after="0"/>
        <w:tabs>
          <w:tab w:leader="none" w:pos="880" w:val="left"/>
        </w:tabs>
        <w:rPr>
          <w:sz w:val="20"/>
          <w:szCs w:val="20"/>
          <w:color w:val="auto"/>
        </w:rPr>
      </w:pPr>
      <w:r>
        <w:rPr>
          <w:rFonts w:ascii="Courier New" w:cs="Courier New" w:eastAsia="Courier New" w:hAnsi="Courier New"/>
          <w:sz w:val="9"/>
          <w:szCs w:val="9"/>
          <w:b w:val="1"/>
          <w:bCs w:val="1"/>
          <w:color w:val="auto"/>
        </w:rPr>
        <w:t>Vesting.</w:t>
      </w:r>
      <w:r>
        <w:rPr>
          <w:sz w:val="20"/>
          <w:szCs w:val="20"/>
          <w:color w:val="auto"/>
        </w:rPr>
        <w:tab/>
      </w:r>
      <w:r>
        <w:rPr>
          <w:rFonts w:ascii="Courier New" w:cs="Courier New" w:eastAsia="Courier New" w:hAnsi="Courier New"/>
          <w:sz w:val="9"/>
          <w:szCs w:val="9"/>
          <w:color w:val="auto"/>
        </w:rPr>
        <w:t>Performance Shares shall be subject to forfeiture until they vest and shall vest only after the conclusion</w:t>
      </w:r>
    </w:p>
    <w:p>
      <w:pPr>
        <w:ind w:left="360"/>
        <w:spacing w:after="0"/>
        <w:rPr>
          <w:sz w:val="20"/>
          <w:szCs w:val="20"/>
          <w:color w:val="auto"/>
        </w:rPr>
      </w:pPr>
      <w:r>
        <w:rPr>
          <w:rFonts w:ascii="Courier New" w:cs="Courier New" w:eastAsia="Courier New" w:hAnsi="Courier New"/>
          <w:sz w:val="9"/>
          <w:szCs w:val="9"/>
          <w:color w:val="auto"/>
        </w:rPr>
        <w:t>of the Award Term, and only if the Committee makes the certification required by subparagraph 3.c.(iv), except as may otherwise be provided in subparagraph 3.c.(iv).</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c.</w:t>
      </w:r>
    </w:p>
    <w:p>
      <w:pPr>
        <w:ind w:left="360" w:right="4760"/>
        <w:spacing w:after="0" w:line="235" w:lineRule="auto"/>
        <w:rPr>
          <w:sz w:val="20"/>
          <w:szCs w:val="20"/>
          <w:color w:val="auto"/>
        </w:rPr>
      </w:pPr>
      <w:r>
        <w:rPr>
          <w:rFonts w:ascii="Courier New" w:cs="Courier New" w:eastAsia="Courier New" w:hAnsi="Courier New"/>
          <w:sz w:val="9"/>
          <w:szCs w:val="9"/>
          <w:b w:val="1"/>
          <w:bCs w:val="1"/>
          <w:color w:val="auto"/>
        </w:rPr>
        <w:t xml:space="preserve">Section 162(m) Conditions. </w:t>
      </w:r>
      <w:r>
        <w:rPr>
          <w:rFonts w:ascii="Courier New" w:cs="Courier New" w:eastAsia="Courier New" w:hAnsi="Courier New"/>
          <w:sz w:val="9"/>
          <w:szCs w:val="9"/>
          <w:color w:val="auto"/>
        </w:rPr>
        <w:t>Performance Share Awards may be designated as "performance-based compensation" as</w:t>
      </w:r>
      <w:r>
        <w:rPr>
          <w:rFonts w:ascii="Courier New" w:cs="Courier New" w:eastAsia="Courier New" w:hAnsi="Courier New"/>
          <w:sz w:val="9"/>
          <w:szCs w:val="9"/>
          <w:b w:val="1"/>
          <w:bCs w:val="1"/>
          <w:color w:val="auto"/>
        </w:rPr>
        <w:t xml:space="preserve"> </w:t>
      </w:r>
      <w:r>
        <w:rPr>
          <w:rFonts w:ascii="Courier New" w:cs="Courier New" w:eastAsia="Courier New" w:hAnsi="Courier New"/>
          <w:sz w:val="9"/>
          <w:szCs w:val="9"/>
          <w:color w:val="auto"/>
        </w:rPr>
        <w:t>that term is used in Section 162(m) of the Internal Revenue Code of 1986, as amended (the "Code").</w:t>
      </w:r>
    </w:p>
    <w:p>
      <w:pPr>
        <w:spacing w:after="0" w:line="200" w:lineRule="exact"/>
        <w:rPr>
          <w:sz w:val="20"/>
          <w:szCs w:val="20"/>
          <w:color w:val="auto"/>
        </w:rPr>
      </w:pPr>
    </w:p>
    <w:p>
      <w:pPr>
        <w:spacing w:after="0" w:line="380"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(i)</w:t>
      </w:r>
    </w:p>
    <w:p>
      <w:pPr>
        <w:ind w:left="720"/>
        <w:spacing w:after="0"/>
        <w:tabs>
          <w:tab w:leader="none" w:pos="1780" w:val="left"/>
        </w:tabs>
        <w:rPr>
          <w:sz w:val="20"/>
          <w:szCs w:val="20"/>
          <w:color w:val="auto"/>
        </w:rPr>
      </w:pPr>
      <w:r>
        <w:rPr>
          <w:rFonts w:ascii="Courier New" w:cs="Courier New" w:eastAsia="Courier New" w:hAnsi="Courier New"/>
          <w:sz w:val="9"/>
          <w:szCs w:val="9"/>
          <w:b w:val="1"/>
          <w:bCs w:val="1"/>
          <w:i w:val="1"/>
          <w:iCs w:val="1"/>
          <w:color w:val="auto"/>
        </w:rPr>
        <w:t>Performance Goals.</w:t>
      </w:r>
      <w:r>
        <w:rPr>
          <w:sz w:val="20"/>
          <w:szCs w:val="20"/>
          <w:color w:val="auto"/>
        </w:rPr>
        <w:tab/>
      </w:r>
      <w:r>
        <w:rPr>
          <w:rFonts w:ascii="Courier New" w:cs="Courier New" w:eastAsia="Courier New" w:hAnsi="Courier New"/>
          <w:sz w:val="8"/>
          <w:szCs w:val="8"/>
          <w:color w:val="auto"/>
        </w:rPr>
        <w:t>The Performance Goal criteria ("Performance Goals") that may be</w:t>
      </w:r>
    </w:p>
    <w:p>
      <w:pPr>
        <w:ind w:left="720"/>
        <w:spacing w:after="0" w:line="234" w:lineRule="auto"/>
        <w:rPr>
          <w:sz w:val="20"/>
          <w:szCs w:val="20"/>
          <w:color w:val="auto"/>
        </w:rPr>
      </w:pPr>
      <w:r>
        <w:rPr>
          <w:rFonts w:ascii="Courier New" w:cs="Courier New" w:eastAsia="Courier New" w:hAnsi="Courier New"/>
          <w:sz w:val="9"/>
          <w:szCs w:val="9"/>
          <w:color w:val="auto"/>
        </w:rPr>
        <w:t>used by the Committee for Performance Shares shall include one or more of the following, as selected by the Committee: cumulative earnings, cumulative earnings per share, profit after tax, ne return on invested capital, invested capital dollars, earnings per share, average net assets, after-tax interest expense, return on average net assets, average net asset turns, cumulative average net asset turns, return on equity, return on beginning equity, revenue growth, earnings growth, economic value added, fill rate, customer care and customer satisfaction scores.</w:t>
      </w:r>
    </w:p>
    <w:p>
      <w:pPr>
        <w:spacing w:after="0" w:line="194"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(ii)</w:t>
      </w:r>
    </w:p>
    <w:p>
      <w:pPr>
        <w:ind w:left="720"/>
        <w:spacing w:after="0"/>
        <w:tabs>
          <w:tab w:leader="none" w:pos="2700" w:val="left"/>
        </w:tabs>
        <w:rPr>
          <w:sz w:val="20"/>
          <w:szCs w:val="20"/>
          <w:color w:val="auto"/>
        </w:rPr>
      </w:pPr>
      <w:r>
        <w:rPr>
          <w:rFonts w:ascii="Courier New" w:cs="Courier New" w:eastAsia="Courier New" w:hAnsi="Courier New"/>
          <w:sz w:val="9"/>
          <w:szCs w:val="9"/>
          <w:b w:val="1"/>
          <w:bCs w:val="1"/>
          <w:i w:val="1"/>
          <w:iCs w:val="1"/>
          <w:color w:val="auto"/>
        </w:rPr>
        <w:t>Establishment of Performance Goals.</w:t>
      </w:r>
      <w:r>
        <w:rPr>
          <w:sz w:val="20"/>
          <w:szCs w:val="20"/>
          <w:color w:val="auto"/>
        </w:rPr>
        <w:tab/>
      </w:r>
      <w:r>
        <w:rPr>
          <w:rFonts w:ascii="Courier New" w:cs="Courier New" w:eastAsia="Courier New" w:hAnsi="Courier New"/>
          <w:sz w:val="8"/>
          <w:szCs w:val="8"/>
          <w:color w:val="auto"/>
        </w:rPr>
        <w:t>Performance Share Awards designated</w:t>
      </w:r>
    </w:p>
    <w:p>
      <w:pPr>
        <w:ind w:left="720"/>
        <w:spacing w:after="0"/>
        <w:rPr>
          <w:sz w:val="20"/>
          <w:szCs w:val="20"/>
          <w:color w:val="auto"/>
        </w:rPr>
      </w:pPr>
      <w:r>
        <w:rPr>
          <w:rFonts w:ascii="Courier New" w:cs="Courier New" w:eastAsia="Courier New" w:hAnsi="Courier New"/>
          <w:sz w:val="8"/>
          <w:szCs w:val="8"/>
          <w:color w:val="auto"/>
        </w:rPr>
        <w:t>"performance-based compensation" shall be granted, and Performance Goals shall be established, by the Committee in writing not later than 90 days after the commencement of the period of servi</w:t>
      </w:r>
    </w:p>
    <w:p>
      <w:pPr>
        <w:spacing w:after="0" w:line="8" w:lineRule="exact"/>
        <w:rPr>
          <w:sz w:val="20"/>
          <w:szCs w:val="20"/>
          <w:color w:val="auto"/>
        </w:rPr>
      </w:pPr>
    </w:p>
    <w:p>
      <w:pPr>
        <w:ind w:left="720"/>
        <w:spacing w:after="0"/>
        <w:rPr>
          <w:sz w:val="20"/>
          <w:szCs w:val="20"/>
          <w:color w:val="auto"/>
        </w:rPr>
      </w:pPr>
      <w:r>
        <w:rPr>
          <w:rFonts w:ascii="Courier New" w:cs="Courier New" w:eastAsia="Courier New" w:hAnsi="Courier New"/>
          <w:sz w:val="8"/>
          <w:szCs w:val="8"/>
          <w:color w:val="auto"/>
        </w:rPr>
        <w:t>to which the Performance Goal relates, or such other period required under Section 162(m) of the Code, provided that the outcome is substantially uncertain at the time the Committee establish</w:t>
      </w:r>
    </w:p>
    <w:p>
      <w:pPr>
        <w:spacing w:after="0" w:line="5" w:lineRule="exact"/>
        <w:rPr>
          <w:sz w:val="20"/>
          <w:szCs w:val="20"/>
          <w:color w:val="auto"/>
        </w:rPr>
      </w:pPr>
    </w:p>
    <w:p>
      <w:pPr>
        <w:ind w:left="720"/>
        <w:spacing w:after="0"/>
        <w:rPr>
          <w:sz w:val="20"/>
          <w:szCs w:val="20"/>
          <w:color w:val="auto"/>
        </w:rPr>
      </w:pPr>
      <w:r>
        <w:rPr>
          <w:rFonts w:ascii="Courier New" w:cs="Courier New" w:eastAsia="Courier New" w:hAnsi="Courier New"/>
          <w:sz w:val="9"/>
          <w:szCs w:val="9"/>
          <w:color w:val="auto"/>
        </w:rPr>
        <w:t>the Performance Goal; and provided further that in no event will a Performance Goal be considered to be pre-established if it is established after 25% of the period of service (as</w:t>
      </w:r>
    </w:p>
    <w:p>
      <w:pPr>
        <w:ind w:left="720"/>
        <w:spacing w:after="0"/>
        <w:rPr>
          <w:sz w:val="20"/>
          <w:szCs w:val="20"/>
          <w:color w:val="auto"/>
        </w:rPr>
      </w:pPr>
      <w:r>
        <w:rPr>
          <w:rFonts w:ascii="Courier New" w:cs="Courier New" w:eastAsia="Courier New" w:hAnsi="Courier New"/>
          <w:sz w:val="9"/>
          <w:szCs w:val="9"/>
          <w:color w:val="auto"/>
        </w:rPr>
        <w:t>scheduled in good faith at the time the Performance Goal is established) has elapsed.</w:t>
      </w:r>
    </w:p>
    <w:p>
      <w:pPr>
        <w:spacing w:after="0" w:line="192"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(iii)</w:t>
      </w:r>
    </w:p>
    <w:p>
      <w:pPr>
        <w:ind w:left="720"/>
        <w:spacing w:after="0"/>
        <w:tabs>
          <w:tab w:leader="none" w:pos="2800" w:val="left"/>
        </w:tabs>
        <w:rPr>
          <w:sz w:val="20"/>
          <w:szCs w:val="20"/>
          <w:color w:val="auto"/>
        </w:rPr>
      </w:pPr>
      <w:r>
        <w:rPr>
          <w:rFonts w:ascii="Courier New" w:cs="Courier New" w:eastAsia="Courier New" w:hAnsi="Courier New"/>
          <w:sz w:val="9"/>
          <w:szCs w:val="9"/>
          <w:b w:val="1"/>
          <w:bCs w:val="1"/>
          <w:i w:val="1"/>
          <w:iCs w:val="1"/>
          <w:color w:val="auto"/>
        </w:rPr>
        <w:t>Section 162(m) Maximum Award Payment.</w:t>
      </w:r>
      <w:r>
        <w:rPr>
          <w:sz w:val="20"/>
          <w:szCs w:val="20"/>
          <w:color w:val="auto"/>
        </w:rPr>
        <w:tab/>
      </w:r>
      <w:r>
        <w:rPr>
          <w:rFonts w:ascii="Courier New" w:cs="Courier New" w:eastAsia="Courier New" w:hAnsi="Courier New"/>
          <w:sz w:val="8"/>
          <w:szCs w:val="8"/>
          <w:color w:val="auto"/>
        </w:rPr>
        <w:t>With respect to a Performance Share</w:t>
      </w:r>
    </w:p>
    <w:p>
      <w:pPr>
        <w:ind w:left="720"/>
        <w:spacing w:after="0" w:line="235" w:lineRule="auto"/>
        <w:rPr>
          <w:sz w:val="20"/>
          <w:szCs w:val="20"/>
          <w:color w:val="auto"/>
        </w:rPr>
      </w:pPr>
      <w:r>
        <w:rPr>
          <w:rFonts w:ascii="Courier New" w:cs="Courier New" w:eastAsia="Courier New" w:hAnsi="Courier New"/>
          <w:sz w:val="9"/>
          <w:szCs w:val="9"/>
          <w:color w:val="auto"/>
        </w:rPr>
        <w:t>Award that is designated "performance-based compensation" for purposes of Section 162(m), the maximum number of shares that may be issued under the award shall be set at the time the Committe grants the award and establishes Performance Goals under the award. Notwithstanding any other provision of this Plan, the maximum number of Performance Shares that</w:t>
      </w:r>
    </w:p>
    <w:p>
      <w:pPr>
        <w:spacing w:after="0" w:line="96" w:lineRule="exact"/>
        <w:rPr>
          <w:sz w:val="20"/>
          <w:szCs w:val="20"/>
          <w:color w:val="auto"/>
        </w:rPr>
      </w:pPr>
    </w:p>
    <w:p>
      <w:pPr>
        <w:ind w:left="720"/>
        <w:spacing w:after="0"/>
        <w:rPr>
          <w:sz w:val="20"/>
          <w:szCs w:val="20"/>
          <w:color w:val="auto"/>
        </w:rPr>
      </w:pPr>
      <w:r>
        <w:rPr>
          <w:rFonts w:ascii="Courier New" w:cs="Courier New" w:eastAsia="Courier New" w:hAnsi="Courier New"/>
          <w:sz w:val="9"/>
          <w:szCs w:val="9"/>
          <w:color w:val="auto"/>
        </w:rPr>
        <w:t>may be granted to a Plan Participant with respect to any Award Term is 100,000, subject to adjustment as provided in paragraph 4.</w:t>
      </w:r>
    </w:p>
    <w:p>
      <w:pPr>
        <w:spacing w:after="0" w:line="193"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(iv)</w:t>
      </w:r>
    </w:p>
    <w:p>
      <w:pPr>
        <w:ind w:left="720"/>
        <w:spacing w:after="0"/>
        <w:tabs>
          <w:tab w:leader="none" w:pos="2160" w:val="left"/>
        </w:tabs>
        <w:rPr>
          <w:sz w:val="20"/>
          <w:szCs w:val="20"/>
          <w:color w:val="auto"/>
        </w:rPr>
      </w:pPr>
      <w:r>
        <w:rPr>
          <w:rFonts w:ascii="Courier New" w:cs="Courier New" w:eastAsia="Courier New" w:hAnsi="Courier New"/>
          <w:sz w:val="9"/>
          <w:szCs w:val="9"/>
          <w:b w:val="1"/>
          <w:bCs w:val="1"/>
          <w:i w:val="1"/>
          <w:iCs w:val="1"/>
          <w:color w:val="auto"/>
        </w:rPr>
        <w:t>Certification of Payment.</w:t>
      </w:r>
      <w:r>
        <w:rPr>
          <w:sz w:val="20"/>
          <w:szCs w:val="20"/>
          <w:color w:val="auto"/>
        </w:rPr>
        <w:tab/>
      </w:r>
      <w:r>
        <w:rPr>
          <w:rFonts w:ascii="Courier New" w:cs="Courier New" w:eastAsia="Courier New" w:hAnsi="Courier New"/>
          <w:sz w:val="8"/>
          <w:szCs w:val="8"/>
          <w:color w:val="auto"/>
        </w:rPr>
        <w:t>Before any payment or delivery of shares of Common Stock</w:t>
      </w:r>
    </w:p>
    <w:p>
      <w:pPr>
        <w:ind w:left="720"/>
        <w:spacing w:after="0" w:line="233" w:lineRule="auto"/>
        <w:rPr>
          <w:sz w:val="20"/>
          <w:szCs w:val="20"/>
          <w:color w:val="auto"/>
        </w:rPr>
      </w:pPr>
      <w:r>
        <w:rPr>
          <w:rFonts w:ascii="Courier New" w:cs="Courier New" w:eastAsia="Courier New" w:hAnsi="Courier New"/>
          <w:sz w:val="9"/>
          <w:szCs w:val="9"/>
          <w:color w:val="auto"/>
        </w:rPr>
        <w:t>is made under the Plan to any Participant who is a person referred to in Section 162(m), the Committee must certify in writing, as reflected in the minutes, that the Performance Goals established with respect to a Performance Share Award have been achieved. To the extent necessary with respect to any fiscal year, in order to avoid any undue windfall or hardship due to exte causes, the Committee may make the determination as to whether a Performance Goal has been achieved without regard to the effect on the Performance Goal measure, as it may otherwise be presen the financial statements, of any change in accounting standards, any acquisition by the Company not planned for at the time the Performance Goals are established or any Board-approved extraor non-recurring event or item. With respect to any Plan Participant who is a person referred to in Section 162(m), the Committee shall have the discretion to decrease an award payment under a Performance Share Award, but may not under any circumstances increase such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d.</w:t>
      </w:r>
    </w:p>
    <w:p>
      <w:pPr>
        <w:ind w:left="360"/>
        <w:spacing w:after="0" w:line="233" w:lineRule="auto"/>
        <w:tabs>
          <w:tab w:leader="none" w:pos="920" w:val="left"/>
        </w:tabs>
        <w:rPr>
          <w:sz w:val="20"/>
          <w:szCs w:val="20"/>
          <w:color w:val="auto"/>
        </w:rPr>
      </w:pPr>
      <w:r>
        <w:rPr>
          <w:rFonts w:ascii="Courier New" w:cs="Courier New" w:eastAsia="Courier New" w:hAnsi="Courier New"/>
          <w:sz w:val="9"/>
          <w:szCs w:val="9"/>
          <w:b w:val="1"/>
          <w:bCs w:val="1"/>
          <w:color w:val="auto"/>
        </w:rPr>
        <w:t>Delivery.</w:t>
      </w:r>
      <w:r>
        <w:rPr>
          <w:sz w:val="20"/>
          <w:szCs w:val="20"/>
          <w:color w:val="auto"/>
        </w:rPr>
        <w:tab/>
      </w:r>
      <w:r>
        <w:rPr>
          <w:rFonts w:ascii="Courier New" w:cs="Courier New" w:eastAsia="Courier New" w:hAnsi="Courier New"/>
          <w:sz w:val="9"/>
          <w:szCs w:val="9"/>
          <w:color w:val="auto"/>
        </w:rPr>
        <w:t>Certificates for shares of Common Stock in the number of Performance Shares that vest under an award will</w:t>
      </w:r>
    </w:p>
    <w:p>
      <w:pPr>
        <w:jc w:val="both"/>
        <w:ind w:left="360"/>
        <w:spacing w:after="0" w:line="234" w:lineRule="auto"/>
        <w:rPr>
          <w:sz w:val="20"/>
          <w:szCs w:val="20"/>
          <w:color w:val="auto"/>
        </w:rPr>
      </w:pPr>
      <w:r>
        <w:rPr>
          <w:rFonts w:ascii="Courier New" w:cs="Courier New" w:eastAsia="Courier New" w:hAnsi="Courier New"/>
          <w:sz w:val="9"/>
          <w:szCs w:val="9"/>
          <w:color w:val="auto"/>
        </w:rPr>
        <w:t>be delivered as soon as possible after the applicable vesting requirements (including accelerated vesting under subparagraph 3.e.) have been fulfilled, except that if a Plan Participant has properl elected to defer income that may be attributable to an award under a Company deferred compensation plan, Common Stock units will be credited to the Plan Participant's account thereunder. In the eve vesting requirements are not fulfilled, Performance Shares shall be canceled and have no value.</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e.</w:t>
      </w:r>
    </w:p>
    <w:p>
      <w:pPr>
        <w:ind w:left="360"/>
        <w:spacing w:after="0"/>
        <w:rPr>
          <w:sz w:val="20"/>
          <w:szCs w:val="20"/>
          <w:color w:val="auto"/>
        </w:rPr>
      </w:pPr>
      <w:r>
        <w:rPr>
          <w:rFonts w:ascii="Courier New" w:cs="Courier New" w:eastAsia="Courier New" w:hAnsi="Courier New"/>
          <w:sz w:val="9"/>
          <w:szCs w:val="9"/>
          <w:b w:val="1"/>
          <w:bCs w:val="1"/>
          <w:color w:val="auto"/>
        </w:rPr>
        <w:t>Vesting and Cancellation Under Special Circumstances.</w:t>
      </w:r>
    </w:p>
    <w:p>
      <w:pPr>
        <w:spacing w:after="0" w:line="200" w:lineRule="exact"/>
        <w:rPr>
          <w:sz w:val="20"/>
          <w:szCs w:val="20"/>
          <w:color w:val="auto"/>
        </w:rPr>
      </w:pPr>
    </w:p>
    <w:p>
      <w:pPr>
        <w:spacing w:after="0" w:line="280"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(i)</w:t>
      </w:r>
    </w:p>
    <w:p>
      <w:pPr>
        <w:ind w:left="720"/>
        <w:spacing w:after="0" w:line="233" w:lineRule="auto"/>
        <w:tabs>
          <w:tab w:leader="none" w:pos="2520" w:val="left"/>
        </w:tabs>
        <w:rPr>
          <w:sz w:val="20"/>
          <w:szCs w:val="20"/>
          <w:color w:val="auto"/>
        </w:rPr>
      </w:pPr>
      <w:r>
        <w:rPr>
          <w:rFonts w:ascii="Courier New" w:cs="Courier New" w:eastAsia="Courier New" w:hAnsi="Courier New"/>
          <w:sz w:val="9"/>
          <w:szCs w:val="9"/>
          <w:b w:val="1"/>
          <w:bCs w:val="1"/>
          <w:i w:val="1"/>
          <w:iCs w:val="1"/>
          <w:color w:val="auto"/>
        </w:rPr>
        <w:t>Retirement, Death or Disability</w:t>
      </w:r>
      <w:r>
        <w:rPr>
          <w:rFonts w:ascii="Courier New" w:cs="Courier New" w:eastAsia="Courier New" w:hAnsi="Courier New"/>
          <w:sz w:val="9"/>
          <w:szCs w:val="9"/>
          <w:color w:val="auto"/>
        </w:rPr>
        <w:t>.</w:t>
      </w:r>
      <w:r>
        <w:rPr>
          <w:sz w:val="20"/>
          <w:szCs w:val="20"/>
          <w:color w:val="auto"/>
        </w:rPr>
        <w:tab/>
      </w:r>
      <w:r>
        <w:rPr>
          <w:rFonts w:ascii="Courier New" w:cs="Courier New" w:eastAsia="Courier New" w:hAnsi="Courier New"/>
          <w:sz w:val="9"/>
          <w:szCs w:val="9"/>
          <w:color w:val="auto"/>
        </w:rPr>
        <w:t>If a Plan Participant retires on or after age 65 or</w:t>
      </w:r>
    </w:p>
    <w:p>
      <w:pPr>
        <w:jc w:val="both"/>
        <w:ind w:left="720" w:right="20"/>
        <w:spacing w:after="0" w:line="234" w:lineRule="auto"/>
        <w:rPr>
          <w:sz w:val="20"/>
          <w:szCs w:val="20"/>
          <w:color w:val="auto"/>
        </w:rPr>
      </w:pPr>
      <w:r>
        <w:rPr>
          <w:rFonts w:ascii="Courier New" w:cs="Courier New" w:eastAsia="Courier New" w:hAnsi="Courier New"/>
          <w:sz w:val="9"/>
          <w:szCs w:val="9"/>
          <w:color w:val="auto"/>
        </w:rPr>
        <w:t>dies or becomes permanently disabled and unable to work, shares of Common Stock shall be delivered with respect to the participant's Performance Share Award only if otherwise earned and only respect to the portion of the applicable Award Term completed at the date of such event (based on a 360 day year and expressed as a percentage). Such shares shall be delivered only after the conclusion of the Award Term in accordance with the provisions of subparagraphs 3.b., 3.c. and 3.d. of the Plan.</w:t>
      </w:r>
    </w:p>
    <w:p>
      <w:pPr>
        <w:spacing w:after="0" w:line="194"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(ii)</w:t>
      </w:r>
    </w:p>
    <w:p>
      <w:pPr>
        <w:ind w:left="720"/>
        <w:spacing w:after="0"/>
        <w:tabs>
          <w:tab w:leader="none" w:pos="3120" w:val="left"/>
        </w:tabs>
        <w:rPr>
          <w:sz w:val="20"/>
          <w:szCs w:val="20"/>
          <w:color w:val="auto"/>
        </w:rPr>
      </w:pPr>
      <w:r>
        <w:rPr>
          <w:rFonts w:ascii="Courier New" w:cs="Courier New" w:eastAsia="Courier New" w:hAnsi="Courier New"/>
          <w:sz w:val="9"/>
          <w:szCs w:val="9"/>
          <w:b w:val="1"/>
          <w:bCs w:val="1"/>
          <w:i w:val="1"/>
          <w:iCs w:val="1"/>
          <w:color w:val="auto"/>
        </w:rPr>
        <w:t>Voluntary Resignation and Early Retirement</w:t>
      </w:r>
      <w:r>
        <w:rPr>
          <w:rFonts w:ascii="Courier New" w:cs="Courier New" w:eastAsia="Courier New" w:hAnsi="Courier New"/>
          <w:sz w:val="9"/>
          <w:szCs w:val="9"/>
          <w:color w:val="auto"/>
        </w:rPr>
        <w:t>.</w:t>
      </w:r>
      <w:r>
        <w:rPr>
          <w:sz w:val="20"/>
          <w:szCs w:val="20"/>
          <w:color w:val="auto"/>
        </w:rPr>
        <w:tab/>
      </w:r>
      <w:r>
        <w:rPr>
          <w:rFonts w:ascii="Courier New" w:cs="Courier New" w:eastAsia="Courier New" w:hAnsi="Courier New"/>
          <w:sz w:val="8"/>
          <w:szCs w:val="8"/>
          <w:color w:val="auto"/>
        </w:rPr>
        <w:t>In the event that a Participant resigns</w:t>
      </w:r>
    </w:p>
    <w:p>
      <w:pPr>
        <w:ind w:left="720"/>
        <w:spacing w:after="0"/>
        <w:rPr>
          <w:sz w:val="20"/>
          <w:szCs w:val="20"/>
          <w:color w:val="auto"/>
        </w:rPr>
      </w:pPr>
      <w:r>
        <w:rPr>
          <w:rFonts w:ascii="Courier New" w:cs="Courier New" w:eastAsia="Courier New" w:hAnsi="Courier New"/>
          <w:sz w:val="9"/>
          <w:szCs w:val="9"/>
          <w:color w:val="auto"/>
        </w:rPr>
        <w:t>voluntarily or retires before age 65, Performance Shares in such participant's name that have not yet vested shall not vest and shall be canceled.</w:t>
      </w:r>
    </w:p>
    <w:p>
      <w:pPr>
        <w:spacing w:after="0" w:line="192"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(iii)</w:t>
      </w:r>
    </w:p>
    <w:p>
      <w:pPr>
        <w:ind w:left="720"/>
        <w:spacing w:after="0"/>
        <w:tabs>
          <w:tab w:leader="none" w:pos="1780" w:val="left"/>
        </w:tabs>
        <w:rPr>
          <w:sz w:val="20"/>
          <w:szCs w:val="20"/>
          <w:color w:val="auto"/>
        </w:rPr>
      </w:pPr>
      <w:r>
        <w:rPr>
          <w:rFonts w:ascii="Courier New" w:cs="Courier New" w:eastAsia="Courier New" w:hAnsi="Courier New"/>
          <w:sz w:val="9"/>
          <w:szCs w:val="9"/>
          <w:b w:val="1"/>
          <w:bCs w:val="1"/>
          <w:i w:val="1"/>
          <w:iCs w:val="1"/>
          <w:color w:val="auto"/>
        </w:rPr>
        <w:t>Change of Control</w:t>
      </w:r>
      <w:r>
        <w:rPr>
          <w:rFonts w:ascii="Courier New" w:cs="Courier New" w:eastAsia="Courier New" w:hAnsi="Courier New"/>
          <w:sz w:val="9"/>
          <w:szCs w:val="9"/>
          <w:color w:val="auto"/>
        </w:rPr>
        <w:t>.</w:t>
      </w:r>
      <w:r>
        <w:rPr>
          <w:sz w:val="20"/>
          <w:szCs w:val="20"/>
          <w:color w:val="auto"/>
        </w:rPr>
        <w:tab/>
      </w:r>
      <w:r>
        <w:rPr>
          <w:rFonts w:ascii="Courier New" w:cs="Courier New" w:eastAsia="Courier New" w:hAnsi="Courier New"/>
          <w:sz w:val="8"/>
          <w:szCs w:val="8"/>
          <w:color w:val="auto"/>
        </w:rPr>
        <w:t>Notwithstanding the provisions of subparagraphs 3.b. and 3.c.,</w:t>
      </w:r>
    </w:p>
    <w:p>
      <w:pPr>
        <w:ind w:left="720"/>
        <w:spacing w:after="0"/>
        <w:rPr>
          <w:sz w:val="20"/>
          <w:szCs w:val="20"/>
          <w:color w:val="auto"/>
        </w:rPr>
      </w:pPr>
      <w:r>
        <w:rPr>
          <w:rFonts w:ascii="Courier New" w:cs="Courier New" w:eastAsia="Courier New" w:hAnsi="Courier New"/>
          <w:sz w:val="9"/>
          <w:szCs w:val="9"/>
          <w:color w:val="auto"/>
        </w:rPr>
        <w:t>all Performance Shares that have not yet vested shall vest and become immediately payable if there is a change of control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720"/>
        <w:spacing w:after="0"/>
        <w:rPr>
          <w:sz w:val="20"/>
          <w:szCs w:val="20"/>
          <w:color w:val="auto"/>
        </w:rPr>
      </w:pPr>
      <w:r>
        <w:rPr>
          <w:rFonts w:ascii="Courier New" w:cs="Courier New" w:eastAsia="Courier New" w:hAnsi="Courier New"/>
          <w:sz w:val="9"/>
          <w:szCs w:val="9"/>
          <w:color w:val="auto"/>
        </w:rPr>
        <w:t>Change</w:t>
      </w:r>
    </w:p>
    <w:p>
      <w:pPr>
        <w:ind w:left="720"/>
        <w:spacing w:after="0"/>
        <w:rPr>
          <w:sz w:val="20"/>
          <w:szCs w:val="20"/>
          <w:color w:val="auto"/>
        </w:rPr>
      </w:pPr>
      <w:r>
        <w:rPr>
          <w:rFonts w:ascii="Courier New" w:cs="Courier New" w:eastAsia="Courier New" w:hAnsi="Courier New"/>
          <w:sz w:val="9"/>
          <w:szCs w:val="9"/>
          <w:color w:val="auto"/>
        </w:rPr>
        <w:t>of Control means:</w:t>
      </w:r>
    </w:p>
    <w:p>
      <w:pPr>
        <w:spacing w:after="0" w:line="200" w:lineRule="exact"/>
        <w:rPr>
          <w:sz w:val="20"/>
          <w:szCs w:val="20"/>
          <w:color w:val="auto"/>
        </w:rPr>
      </w:pPr>
    </w:p>
    <w:p>
      <w:pPr>
        <w:spacing w:after="0" w:line="298" w:lineRule="exact"/>
        <w:rPr>
          <w:sz w:val="20"/>
          <w:szCs w:val="20"/>
          <w:color w:val="auto"/>
        </w:rPr>
      </w:pPr>
    </w:p>
    <w:p>
      <w:pPr>
        <w:ind w:left="920"/>
        <w:spacing w:after="0"/>
        <w:rPr>
          <w:sz w:val="20"/>
          <w:szCs w:val="20"/>
          <w:color w:val="auto"/>
        </w:rPr>
      </w:pPr>
      <w:r>
        <w:rPr>
          <w:rFonts w:ascii="Courier New" w:cs="Courier New" w:eastAsia="Courier New" w:hAnsi="Courier New"/>
          <w:sz w:val="9"/>
          <w:szCs w:val="9"/>
          <w:color w:val="auto"/>
        </w:rPr>
        <w:t>(A) The</w:t>
      </w:r>
    </w:p>
    <w:p>
      <w:pPr>
        <w:ind w:left="720" w:right="2400"/>
        <w:spacing w:after="0" w:line="233" w:lineRule="auto"/>
        <w:rPr>
          <w:sz w:val="20"/>
          <w:szCs w:val="20"/>
          <w:color w:val="auto"/>
        </w:rPr>
      </w:pPr>
      <w:r>
        <w:rPr>
          <w:rFonts w:ascii="Courier New" w:cs="Courier New" w:eastAsia="Courier New" w:hAnsi="Courier New"/>
          <w:sz w:val="9"/>
          <w:szCs w:val="9"/>
          <w:color w:val="auto"/>
        </w:rPr>
        <w:t>acquisition by any individual, entity or group (within the meaning of Section 13(d)(3) or 14(d)(2) of the Exchange Act) (a "Person") of beneficial ownership (within the meaning of Rule 13d-3</w:t>
      </w:r>
    </w:p>
    <w:p>
      <w:pPr>
        <w:ind w:left="720"/>
        <w:spacing w:after="0" w:line="233" w:lineRule="auto"/>
        <w:rPr>
          <w:sz w:val="20"/>
          <w:szCs w:val="20"/>
          <w:color w:val="auto"/>
        </w:rPr>
      </w:pPr>
      <w:r>
        <w:rPr>
          <w:rFonts w:ascii="Courier New" w:cs="Courier New" w:eastAsia="Courier New" w:hAnsi="Courier New"/>
          <w:sz w:val="9"/>
          <w:szCs w:val="9"/>
          <w:color w:val="auto"/>
        </w:rPr>
        <w:t>under the Exchange Act) of 15% or more of either (a) the then-outstanding shares of Common Stock of the Company (the "Outstanding Company Common Stock") or (b) the combined</w:t>
      </w:r>
    </w:p>
    <w:p>
      <w:pPr>
        <w:ind w:left="720" w:right="460"/>
        <w:spacing w:after="0" w:line="234" w:lineRule="auto"/>
        <w:rPr>
          <w:sz w:val="20"/>
          <w:szCs w:val="20"/>
          <w:color w:val="auto"/>
        </w:rPr>
      </w:pPr>
      <w:r>
        <w:rPr>
          <w:rFonts w:ascii="Courier New" w:cs="Courier New" w:eastAsia="Courier New" w:hAnsi="Courier New"/>
          <w:sz w:val="9"/>
          <w:szCs w:val="9"/>
          <w:color w:val="auto"/>
        </w:rPr>
        <w:t>voting power of the then-outstanding voting securities of the Company entitled to vote generally in the election of directors (the "Outstanding Company Voting Securities"); provided, however, that for purposes of this subparagraph (A), the following acquisitions shall not constitute a Change of Control: (a) any acquisition directly from the Company, (b) any acquisition by the Company, (c) any acquisition by any employee benefit plan (or related trust) sponsored or maintained by the Company or any</w:t>
      </w:r>
    </w:p>
    <w:p>
      <w:pPr>
        <w:spacing w:after="0" w:line="98" w:lineRule="exact"/>
        <w:rPr>
          <w:sz w:val="20"/>
          <w:szCs w:val="20"/>
          <w:color w:val="auto"/>
        </w:rPr>
      </w:pPr>
    </w:p>
    <w:p>
      <w:pPr>
        <w:ind w:left="720" w:right="1320"/>
        <w:spacing w:after="0" w:line="235" w:lineRule="auto"/>
        <w:rPr>
          <w:sz w:val="20"/>
          <w:szCs w:val="20"/>
          <w:color w:val="auto"/>
        </w:rPr>
      </w:pPr>
      <w:r>
        <w:rPr>
          <w:rFonts w:ascii="Courier New" w:cs="Courier New" w:eastAsia="Courier New" w:hAnsi="Courier New"/>
          <w:sz w:val="9"/>
          <w:szCs w:val="9"/>
          <w:color w:val="auto"/>
        </w:rPr>
        <w:t>corporation controlled by the Company, or (d) any acquisition by any corporation pursuant to a transaction that complies with clauses (a), (b) and (c) of subparagraph (C) of this subparagraph 3.e.(iii); or</w:t>
      </w:r>
    </w:p>
    <w:p>
      <w:pPr>
        <w:spacing w:after="0" w:line="200" w:lineRule="exact"/>
        <w:rPr>
          <w:sz w:val="20"/>
          <w:szCs w:val="20"/>
          <w:color w:val="auto"/>
        </w:rPr>
      </w:pPr>
    </w:p>
    <w:p>
      <w:pPr>
        <w:spacing w:after="0" w:line="299" w:lineRule="exact"/>
        <w:rPr>
          <w:sz w:val="20"/>
          <w:szCs w:val="20"/>
          <w:color w:val="auto"/>
        </w:rPr>
      </w:pPr>
    </w:p>
    <w:p>
      <w:pPr>
        <w:ind w:left="920"/>
        <w:spacing w:after="0"/>
        <w:rPr>
          <w:sz w:val="20"/>
          <w:szCs w:val="20"/>
          <w:color w:val="auto"/>
        </w:rPr>
      </w:pPr>
      <w:r>
        <w:rPr>
          <w:rFonts w:ascii="Courier New" w:cs="Courier New" w:eastAsia="Courier New" w:hAnsi="Courier New"/>
          <w:sz w:val="9"/>
          <w:szCs w:val="9"/>
          <w:color w:val="auto"/>
        </w:rPr>
        <w:t>(B) Individuals</w:t>
      </w:r>
    </w:p>
    <w:p>
      <w:pPr>
        <w:ind w:left="720"/>
        <w:spacing w:after="0" w:line="233" w:lineRule="auto"/>
        <w:rPr>
          <w:sz w:val="20"/>
          <w:szCs w:val="20"/>
          <w:color w:val="auto"/>
        </w:rPr>
      </w:pPr>
      <w:r>
        <w:rPr>
          <w:rFonts w:ascii="Courier New" w:cs="Courier New" w:eastAsia="Courier New" w:hAnsi="Courier New"/>
          <w:sz w:val="9"/>
          <w:szCs w:val="9"/>
          <w:color w:val="auto"/>
        </w:rPr>
        <w:t>who, as of the date hereof, constitute the Board of Directors of the Company (the "Incumbent Board") cease for any reason to constitute at least a</w:t>
      </w:r>
    </w:p>
    <w:p>
      <w:pPr>
        <w:jc w:val="both"/>
        <w:ind w:left="720"/>
        <w:spacing w:after="0" w:line="234" w:lineRule="auto"/>
        <w:rPr>
          <w:sz w:val="20"/>
          <w:szCs w:val="20"/>
          <w:color w:val="auto"/>
        </w:rPr>
      </w:pPr>
      <w:r>
        <w:rPr>
          <w:rFonts w:ascii="Courier New" w:cs="Courier New" w:eastAsia="Courier New" w:hAnsi="Courier New"/>
          <w:sz w:val="9"/>
          <w:szCs w:val="9"/>
          <w:color w:val="auto"/>
        </w:rPr>
        <w:t>majority of the Board; provided, however, that any individual becoming a director subsequent to the date hereof whose election, or nomination for election by the Company's stockholders, was a by a vote of at least a majority of the directors then comprising the Incumbent Board shall be considered as though such individual were a member of the Incumbent Board, but excluding, for th purpose, any such individual whose initial assumption of office occurs as a result of an actual or threatened election contest with respect to the election or removal of directors or other ac threatened solicitation of proxies or consents by or on behalf of a Person other than the Board; or</w:t>
      </w:r>
    </w:p>
    <w:p>
      <w:pPr>
        <w:spacing w:after="0" w:line="200" w:lineRule="exact"/>
        <w:rPr>
          <w:sz w:val="20"/>
          <w:szCs w:val="20"/>
          <w:color w:val="auto"/>
        </w:rPr>
      </w:pPr>
    </w:p>
    <w:p>
      <w:pPr>
        <w:spacing w:after="0" w:line="299" w:lineRule="exact"/>
        <w:rPr>
          <w:sz w:val="20"/>
          <w:szCs w:val="20"/>
          <w:color w:val="auto"/>
        </w:rPr>
      </w:pPr>
    </w:p>
    <w:p>
      <w:pPr>
        <w:ind w:left="920"/>
        <w:spacing w:after="0"/>
        <w:rPr>
          <w:sz w:val="20"/>
          <w:szCs w:val="20"/>
          <w:color w:val="auto"/>
        </w:rPr>
      </w:pPr>
      <w:r>
        <w:rPr>
          <w:rFonts w:ascii="Courier New" w:cs="Courier New" w:eastAsia="Courier New" w:hAnsi="Courier New"/>
          <w:sz w:val="9"/>
          <w:szCs w:val="9"/>
          <w:color w:val="auto"/>
        </w:rPr>
        <w:t>(C) Consummation</w:t>
      </w:r>
    </w:p>
    <w:p>
      <w:pPr>
        <w:ind w:left="720"/>
        <w:spacing w:after="0" w:line="233" w:lineRule="auto"/>
        <w:rPr>
          <w:sz w:val="20"/>
          <w:szCs w:val="20"/>
          <w:color w:val="auto"/>
        </w:rPr>
      </w:pPr>
      <w:r>
        <w:rPr>
          <w:rFonts w:ascii="Courier New" w:cs="Courier New" w:eastAsia="Courier New" w:hAnsi="Courier New"/>
          <w:sz w:val="9"/>
          <w:szCs w:val="9"/>
          <w:color w:val="auto"/>
        </w:rPr>
        <w:t>of a reorganization, merger or consolidation of the Company or sale or other disposition of all or substantially all of the assets of the Company or</w:t>
      </w:r>
    </w:p>
    <w:p>
      <w:pPr>
        <w:jc w:val="both"/>
        <w:ind w:left="720"/>
        <w:spacing w:after="0" w:line="233" w:lineRule="auto"/>
        <w:rPr>
          <w:sz w:val="20"/>
          <w:szCs w:val="20"/>
          <w:color w:val="auto"/>
        </w:rPr>
      </w:pPr>
      <w:r>
        <w:rPr>
          <w:rFonts w:ascii="Courier New" w:cs="Courier New" w:eastAsia="Courier New" w:hAnsi="Courier New"/>
          <w:sz w:val="9"/>
          <w:szCs w:val="9"/>
          <w:color w:val="auto"/>
        </w:rPr>
        <w:t>the acquisition by the Company of assets or stock of another entity (a "Business Combination"), in each case, unless, following such Business Combination, (a) all or substantially all of the individuals and entities who were the beneficial owners, respectively, of the Outstanding Company Common Stock and Outstanding Company Voting Securities immediately prior to such Business Com beneficially own, directly or indirectly, more than 50% of, respectively, the then-outstanding shares of common stock and the combined voting power of the then-outstanding</w:t>
      </w:r>
    </w:p>
    <w:p>
      <w:pPr>
        <w:ind w:left="720"/>
        <w:spacing w:after="0" w:line="262" w:lineRule="auto"/>
        <w:rPr>
          <w:sz w:val="20"/>
          <w:szCs w:val="20"/>
          <w:color w:val="auto"/>
        </w:rPr>
      </w:pPr>
      <w:r>
        <w:rPr>
          <w:rFonts w:ascii="Courier New" w:cs="Courier New" w:eastAsia="Courier New" w:hAnsi="Courier New"/>
          <w:sz w:val="8"/>
          <w:szCs w:val="8"/>
          <w:color w:val="auto"/>
        </w:rPr>
        <w:t>voting securities entitled to vote generally in the election of directors, as the case may be, of the corporation resulting from such Business Combination (including, without limitation, a co which as a result of such transaction owns the Company or all or substantially all of the Company's assets either directly or through one or more subsidiaries) in substantially the same propo their ownership, immediately prior to such Business Combination of the Outstanding Company Common Stock and Outstanding Company Voting Securities, as the case may be, (b) no Person (excluding any corporation resulting from such Business Combination or any employee benefit plan (or related trust) of the Company or such corporation resulting from such Business Combination) beneficia directly or indirectly, 15% or more of, respectively, the then-outstanding shares of common stock of the corporation resulting from such Business Combination, or the combined voting power of the then-outstanding voting securities of such corporation except to the extent that such ownership existed prior to the Business Combination and (c) at least a majority of the</w:t>
      </w:r>
    </w:p>
    <w:p>
      <w:pPr>
        <w:ind w:left="720" w:right="20"/>
        <w:spacing w:after="0" w:line="235" w:lineRule="auto"/>
        <w:rPr>
          <w:sz w:val="20"/>
          <w:szCs w:val="20"/>
          <w:color w:val="auto"/>
        </w:rPr>
      </w:pPr>
      <w:r>
        <w:rPr>
          <w:rFonts w:ascii="Courier New" w:cs="Courier New" w:eastAsia="Courier New" w:hAnsi="Courier New"/>
          <w:sz w:val="9"/>
          <w:szCs w:val="9"/>
          <w:color w:val="auto"/>
        </w:rPr>
        <w:t>members of the board of directors of the corporation resulting from such Business Combination were members of the Incumbent Board at the time of the execution of the initial agreement, or of action of the Board, providing for such Business Combination; or</w:t>
      </w:r>
    </w:p>
    <w:p>
      <w:pPr>
        <w:spacing w:after="0" w:line="200" w:lineRule="exact"/>
        <w:rPr>
          <w:sz w:val="20"/>
          <w:szCs w:val="20"/>
          <w:color w:val="auto"/>
        </w:rPr>
      </w:pPr>
    </w:p>
    <w:p>
      <w:pPr>
        <w:spacing w:after="0" w:line="299" w:lineRule="exact"/>
        <w:rPr>
          <w:sz w:val="20"/>
          <w:szCs w:val="20"/>
          <w:color w:val="auto"/>
        </w:rPr>
      </w:pPr>
    </w:p>
    <w:p>
      <w:pPr>
        <w:ind w:left="920"/>
        <w:spacing w:after="0"/>
        <w:rPr>
          <w:sz w:val="20"/>
          <w:szCs w:val="20"/>
          <w:color w:val="auto"/>
        </w:rPr>
      </w:pPr>
      <w:r>
        <w:rPr>
          <w:rFonts w:ascii="Courier New" w:cs="Courier New" w:eastAsia="Courier New" w:hAnsi="Courier New"/>
          <w:sz w:val="9"/>
          <w:szCs w:val="9"/>
          <w:color w:val="auto"/>
        </w:rPr>
        <w:t>(D) Approval</w:t>
      </w:r>
    </w:p>
    <w:p>
      <w:pPr>
        <w:ind w:left="720"/>
        <w:spacing w:after="0"/>
        <w:rPr>
          <w:sz w:val="20"/>
          <w:szCs w:val="20"/>
          <w:color w:val="auto"/>
        </w:rPr>
      </w:pPr>
      <w:r>
        <w:rPr>
          <w:rFonts w:ascii="Courier New" w:cs="Courier New" w:eastAsia="Courier New" w:hAnsi="Courier New"/>
          <w:sz w:val="9"/>
          <w:szCs w:val="9"/>
          <w:color w:val="auto"/>
        </w:rPr>
        <w:t>by the stockholders of the Company of a complete liquidation or dissolution of the Company.</w:t>
      </w:r>
    </w:p>
    <w:p>
      <w:pPr>
        <w:sectPr>
          <w:pgSz w:w="11900" w:h="16907" w:orient="portrait"/>
          <w:cols w:equalWidth="0" w:num="1">
            <w:col w:w="11000"/>
          </w:cols>
          <w:pgMar w:left="660" w:top="134"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Courier New" w:cs="Courier New" w:eastAsia="Courier New" w:hAnsi="Courier New"/>
          <w:sz w:val="8"/>
          <w:szCs w:val="8"/>
          <w:color w:val="auto"/>
        </w:rPr>
        <w:t>f.</w:t>
      </w:r>
    </w:p>
    <w:p>
      <w:pPr>
        <w:sectPr>
          <w:pgSz w:w="11900" w:h="16907" w:orient="portrait"/>
          <w:cols w:equalWidth="0" w:num="1">
            <w:col w:w="11000"/>
          </w:cols>
          <w:pgMar w:left="660" w:top="134" w:right="239" w:bottom="0" w:gutter="0" w:footer="0" w:header="0"/>
          <w:type w:val="continuous"/>
        </w:sectPr>
      </w:pPr>
    </w:p>
    <w:bookmarkStart w:id="14" w:name="page15"/>
    <w:bookmarkEnd w:id="14"/>
    <w:p>
      <w:pPr>
        <w:spacing w:after="0" w:line="60" w:lineRule="exact"/>
        <w:rPr>
          <w:sz w:val="20"/>
          <w:szCs w:val="20"/>
          <w:color w:val="auto"/>
        </w:rPr>
      </w:pPr>
    </w:p>
    <w:p>
      <w:pPr>
        <w:ind w:left="720" w:right="4500"/>
        <w:spacing w:after="0" w:line="234" w:lineRule="auto"/>
        <w:rPr>
          <w:sz w:val="20"/>
          <w:szCs w:val="20"/>
          <w:color w:val="auto"/>
        </w:rPr>
      </w:pPr>
      <w:r>
        <w:rPr>
          <w:rFonts w:ascii="Courier New" w:cs="Courier New" w:eastAsia="Courier New" w:hAnsi="Courier New"/>
          <w:sz w:val="9"/>
          <w:szCs w:val="9"/>
          <w:b w:val="1"/>
          <w:bCs w:val="1"/>
          <w:color w:val="auto"/>
        </w:rPr>
        <w:t xml:space="preserve">Dividends and Voting. </w:t>
      </w:r>
      <w:r>
        <w:rPr>
          <w:rFonts w:ascii="Courier New" w:cs="Courier New" w:eastAsia="Courier New" w:hAnsi="Courier New"/>
          <w:sz w:val="9"/>
          <w:szCs w:val="9"/>
          <w:color w:val="auto"/>
        </w:rPr>
        <w:t>A Plan Participant shall have no rights as a stockholder with respect to Performance Shares</w:t>
      </w:r>
      <w:r>
        <w:rPr>
          <w:rFonts w:ascii="Courier New" w:cs="Courier New" w:eastAsia="Courier New" w:hAnsi="Courier New"/>
          <w:sz w:val="9"/>
          <w:szCs w:val="9"/>
          <w:b w:val="1"/>
          <w:bCs w:val="1"/>
          <w:color w:val="auto"/>
        </w:rPr>
        <w:t xml:space="preserve"> </w:t>
      </w:r>
      <w:r>
        <w:rPr>
          <w:rFonts w:ascii="Courier New" w:cs="Courier New" w:eastAsia="Courier New" w:hAnsi="Courier New"/>
          <w:sz w:val="9"/>
          <w:szCs w:val="9"/>
          <w:color w:val="auto"/>
        </w:rPr>
        <w:t>unless and until Common Stock or Common Stock units are issued in settlement of the award.</w:t>
      </w:r>
    </w:p>
    <w:p>
      <w:pPr>
        <w:spacing w:after="0" w:line="193"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g.</w:t>
      </w:r>
    </w:p>
    <w:p>
      <w:pPr>
        <w:ind w:left="720"/>
        <w:spacing w:after="0"/>
        <w:tabs>
          <w:tab w:leader="none" w:pos="1880" w:val="left"/>
        </w:tabs>
        <w:rPr>
          <w:sz w:val="20"/>
          <w:szCs w:val="20"/>
          <w:color w:val="auto"/>
        </w:rPr>
      </w:pPr>
      <w:r>
        <w:rPr>
          <w:rFonts w:ascii="Courier New" w:cs="Courier New" w:eastAsia="Courier New" w:hAnsi="Courier New"/>
          <w:sz w:val="9"/>
          <w:szCs w:val="9"/>
          <w:b w:val="1"/>
          <w:bCs w:val="1"/>
          <w:color w:val="auto"/>
        </w:rPr>
        <w:t>Non-transferability.</w:t>
      </w:r>
      <w:r>
        <w:rPr>
          <w:sz w:val="20"/>
          <w:szCs w:val="20"/>
          <w:color w:val="auto"/>
        </w:rPr>
        <w:tab/>
      </w:r>
      <w:r>
        <w:rPr>
          <w:rFonts w:ascii="Courier New" w:cs="Courier New" w:eastAsia="Courier New" w:hAnsi="Courier New"/>
          <w:sz w:val="8"/>
          <w:szCs w:val="8"/>
          <w:color w:val="auto"/>
        </w:rPr>
        <w:t>Neither Performance Shares nor Performance Share Awards nor any interest in any one</w:t>
      </w:r>
    </w:p>
    <w:p>
      <w:pPr>
        <w:ind w:left="720" w:right="120"/>
        <w:spacing w:after="0" w:line="235" w:lineRule="auto"/>
        <w:rPr>
          <w:sz w:val="20"/>
          <w:szCs w:val="20"/>
          <w:color w:val="auto"/>
        </w:rPr>
      </w:pPr>
      <w:r>
        <w:rPr>
          <w:rFonts w:ascii="Courier New" w:cs="Courier New" w:eastAsia="Courier New" w:hAnsi="Courier New"/>
          <w:sz w:val="9"/>
          <w:szCs w:val="9"/>
          <w:color w:val="auto"/>
        </w:rPr>
        <w:t>of such awards or shares may be anticipated, alienated, encumbered, sold, pledged, assigned, transferred or subjected to any charge or legal process, other than by will or the laws of descent and distribution, so long as the Performance Shares have not vested and shares of Common Stock have not been distributed in accordance with the Plan, and any sale, pledge,</w:t>
      </w:r>
    </w:p>
    <w:p>
      <w:pPr>
        <w:spacing w:after="0" w:line="97" w:lineRule="exact"/>
        <w:rPr>
          <w:sz w:val="20"/>
          <w:szCs w:val="20"/>
          <w:color w:val="auto"/>
        </w:rPr>
      </w:pPr>
    </w:p>
    <w:p>
      <w:pPr>
        <w:ind w:left="720" w:right="60"/>
        <w:spacing w:after="0" w:line="235" w:lineRule="auto"/>
        <w:rPr>
          <w:sz w:val="20"/>
          <w:szCs w:val="20"/>
          <w:color w:val="auto"/>
        </w:rPr>
      </w:pPr>
      <w:r>
        <w:rPr>
          <w:rFonts w:ascii="Courier New" w:cs="Courier New" w:eastAsia="Courier New" w:hAnsi="Courier New"/>
          <w:sz w:val="9"/>
          <w:szCs w:val="9"/>
          <w:color w:val="auto"/>
        </w:rPr>
        <w:t>assignment or other attempted transfer shall be null and void. A Plan Participant may receive payment under a Performance Share Award only while an employee of the Company and only if continuously employed from the date the award was granted, except as may otherwise be provided in subparagraph 3.e.</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4.</w:t>
      </w:r>
    </w:p>
    <w:p>
      <w:pPr>
        <w:ind w:left="360"/>
        <w:spacing w:after="0"/>
        <w:tabs>
          <w:tab w:leader="none" w:pos="3200" w:val="left"/>
        </w:tabs>
        <w:rPr>
          <w:sz w:val="20"/>
          <w:szCs w:val="20"/>
          <w:color w:val="auto"/>
        </w:rPr>
      </w:pPr>
      <w:r>
        <w:rPr>
          <w:rFonts w:ascii="Courier New" w:cs="Courier New" w:eastAsia="Courier New" w:hAnsi="Courier New"/>
          <w:sz w:val="9"/>
          <w:szCs w:val="9"/>
          <w:b w:val="1"/>
          <w:bCs w:val="1"/>
          <w:color w:val="auto"/>
        </w:rPr>
        <w:t>Maximum Shares Subject to Performance Share Awards.</w:t>
      </w:r>
      <w:r>
        <w:rPr>
          <w:sz w:val="20"/>
          <w:szCs w:val="20"/>
          <w:color w:val="auto"/>
        </w:rPr>
        <w:tab/>
      </w:r>
      <w:r>
        <w:rPr>
          <w:rFonts w:ascii="Courier New" w:cs="Courier New" w:eastAsia="Courier New" w:hAnsi="Courier New"/>
          <w:sz w:val="8"/>
          <w:szCs w:val="8"/>
          <w:color w:val="auto"/>
        </w:rPr>
        <w:t>Subject to the provisions of subparagraph 4.a., the number of</w:t>
      </w:r>
    </w:p>
    <w:p>
      <w:pPr>
        <w:ind w:left="360" w:right="420"/>
        <w:spacing w:after="0" w:line="235" w:lineRule="auto"/>
        <w:rPr>
          <w:sz w:val="20"/>
          <w:szCs w:val="20"/>
          <w:color w:val="auto"/>
        </w:rPr>
      </w:pPr>
      <w:r>
        <w:rPr>
          <w:rFonts w:ascii="Courier New" w:cs="Courier New" w:eastAsia="Courier New" w:hAnsi="Courier New"/>
          <w:sz w:val="9"/>
          <w:szCs w:val="9"/>
          <w:color w:val="auto"/>
        </w:rPr>
        <w:t>shares of Common Stock reserved and available for issuance pursuant to Performance Share Awards under the Plan is 500,000. Shares of Common Stock that may be issued hereunder may be authorized but unissued shares, reacquired or treasury shares or outstanding shares acquired in the market or from private sources or a combination thereof.</w:t>
      </w:r>
    </w:p>
    <w:p>
      <w:pPr>
        <w:spacing w:after="0" w:line="200" w:lineRule="exact"/>
        <w:rPr>
          <w:sz w:val="20"/>
          <w:szCs w:val="20"/>
          <w:color w:val="auto"/>
        </w:rPr>
      </w:pPr>
    </w:p>
    <w:p>
      <w:pPr>
        <w:spacing w:after="0" w:line="380"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a.</w:t>
      </w:r>
    </w:p>
    <w:p>
      <w:pPr>
        <w:ind w:left="720"/>
        <w:spacing w:after="0" w:line="233" w:lineRule="auto"/>
        <w:tabs>
          <w:tab w:leader="none" w:pos="1440" w:val="left"/>
        </w:tabs>
        <w:rPr>
          <w:sz w:val="20"/>
          <w:szCs w:val="20"/>
          <w:color w:val="auto"/>
        </w:rPr>
      </w:pPr>
      <w:r>
        <w:rPr>
          <w:rFonts w:ascii="Courier New" w:cs="Courier New" w:eastAsia="Courier New" w:hAnsi="Courier New"/>
          <w:sz w:val="9"/>
          <w:szCs w:val="9"/>
          <w:b w:val="1"/>
          <w:bCs w:val="1"/>
          <w:color w:val="auto"/>
        </w:rPr>
        <w:t>Adjustments</w:t>
      </w:r>
      <w:r>
        <w:rPr>
          <w:rFonts w:ascii="Courier New" w:cs="Courier New" w:eastAsia="Courier New" w:hAnsi="Courier New"/>
          <w:sz w:val="9"/>
          <w:szCs w:val="9"/>
          <w:color w:val="auto"/>
        </w:rPr>
        <w:t>.</w:t>
      </w:r>
      <w:r>
        <w:rPr>
          <w:sz w:val="20"/>
          <w:szCs w:val="20"/>
          <w:color w:val="auto"/>
        </w:rPr>
        <w:tab/>
      </w:r>
      <w:r>
        <w:rPr>
          <w:rFonts w:ascii="Courier New" w:cs="Courier New" w:eastAsia="Courier New" w:hAnsi="Courier New"/>
          <w:sz w:val="9"/>
          <w:szCs w:val="9"/>
          <w:color w:val="auto"/>
        </w:rPr>
        <w:t>In the event of a corporate transaction involving the Company, the Common Stock or the Company's</w:t>
      </w:r>
    </w:p>
    <w:p>
      <w:pPr>
        <w:ind w:left="720"/>
        <w:spacing w:after="0" w:line="233" w:lineRule="auto"/>
        <w:rPr>
          <w:sz w:val="20"/>
          <w:szCs w:val="20"/>
          <w:color w:val="auto"/>
        </w:rPr>
      </w:pPr>
      <w:r>
        <w:rPr>
          <w:rFonts w:ascii="Courier New" w:cs="Courier New" w:eastAsia="Courier New" w:hAnsi="Courier New"/>
          <w:sz w:val="9"/>
          <w:szCs w:val="9"/>
          <w:color w:val="auto"/>
        </w:rPr>
        <w:t>corporate or capital structure, including but not limited to any stock dividend, stock split, extraordinary cash dividend, recapitalization, reorganization, merger, consolidation, reclassification, split-up, spin-off, combination or exchange of shares, or a sale of the Company or of all or part of its assets or any distribution to stockholders other than a normal cash</w:t>
      </w:r>
    </w:p>
    <w:p>
      <w:pPr>
        <w:ind w:left="720"/>
        <w:spacing w:after="0" w:line="233" w:lineRule="auto"/>
        <w:rPr>
          <w:sz w:val="20"/>
          <w:szCs w:val="20"/>
          <w:color w:val="auto"/>
        </w:rPr>
      </w:pPr>
      <w:r>
        <w:rPr>
          <w:rFonts w:ascii="Courier New" w:cs="Courier New" w:eastAsia="Courier New" w:hAnsi="Courier New"/>
          <w:sz w:val="9"/>
          <w:szCs w:val="9"/>
          <w:color w:val="auto"/>
        </w:rPr>
        <w:t>dividend, the Committee shall make such proportional adjustments as are necessary to preserve the benefits or potential benefits of the Performance Share Awards. Action by the Committee may include all or any of adjustment in (i) the maximum number and kind of securities subject to the Plan as set forth in this paragraph; (ii) the maximum number and kind of securities that may be</w:t>
      </w:r>
    </w:p>
    <w:p>
      <w:pPr>
        <w:ind w:left="720" w:right="1200"/>
        <w:spacing w:after="0" w:line="235" w:lineRule="auto"/>
        <w:rPr>
          <w:sz w:val="20"/>
          <w:szCs w:val="20"/>
          <w:color w:val="auto"/>
        </w:rPr>
      </w:pPr>
      <w:r>
        <w:rPr>
          <w:rFonts w:ascii="Courier New" w:cs="Courier New" w:eastAsia="Courier New" w:hAnsi="Courier New"/>
          <w:sz w:val="9"/>
          <w:szCs w:val="9"/>
          <w:color w:val="auto"/>
        </w:rPr>
        <w:t>made subject to Performance Share Awards for any individual as set forth in paragraph 3.c. (iii); (iii) the number and kind of securities subject to any outstanding Award; and (iv) any other adjustments that the Committee determines to be equitable.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5.</w:t>
      </w:r>
    </w:p>
    <w:p>
      <w:pPr>
        <w:ind w:left="360"/>
        <w:spacing w:after="0" w:line="233" w:lineRule="auto"/>
        <w:tabs>
          <w:tab w:leader="none" w:pos="1260" w:val="left"/>
        </w:tabs>
        <w:rPr>
          <w:sz w:val="20"/>
          <w:szCs w:val="20"/>
          <w:color w:val="auto"/>
        </w:rPr>
      </w:pPr>
      <w:r>
        <w:rPr>
          <w:rFonts w:ascii="Courier New" w:cs="Courier New" w:eastAsia="Courier New" w:hAnsi="Courier New"/>
          <w:sz w:val="9"/>
          <w:szCs w:val="9"/>
          <w:b w:val="1"/>
          <w:bCs w:val="1"/>
          <w:color w:val="auto"/>
        </w:rPr>
        <w:t>Administration.</w:t>
      </w:r>
      <w:r>
        <w:rPr>
          <w:sz w:val="20"/>
          <w:szCs w:val="20"/>
          <w:color w:val="auto"/>
        </w:rPr>
        <w:tab/>
      </w:r>
      <w:r>
        <w:rPr>
          <w:rFonts w:ascii="Courier New" w:cs="Courier New" w:eastAsia="Courier New" w:hAnsi="Courier New"/>
          <w:sz w:val="9"/>
          <w:szCs w:val="9"/>
          <w:color w:val="auto"/>
        </w:rPr>
        <w:t>The Plan shall be administered by the Committee. The Committee shall have the authority to administer</w:t>
      </w:r>
    </w:p>
    <w:p>
      <w:pPr>
        <w:ind w:left="360" w:right="700"/>
        <w:spacing w:after="0" w:line="234" w:lineRule="auto"/>
        <w:rPr>
          <w:sz w:val="20"/>
          <w:szCs w:val="20"/>
          <w:color w:val="auto"/>
        </w:rPr>
      </w:pPr>
      <w:r>
        <w:rPr>
          <w:rFonts w:ascii="Courier New" w:cs="Courier New" w:eastAsia="Courier New" w:hAnsi="Courier New"/>
          <w:sz w:val="9"/>
          <w:szCs w:val="9"/>
          <w:color w:val="auto"/>
        </w:rPr>
        <w:t>the Plan; establish policies under the Plan; amend the Plan, subject to the provisions of paragraph 8; interpret provisions of the Plan; select Plan Participants; establish Performance Goals; make Performance Share Awards; or terminate the Plan, in its sole discretion. The Committee may delegate administrative duties and all decisions not required to be exercised by it under Section 162(m) or Section 16 of the Exchange Act, as it solely determines, including to Company officers. All decisions of the Committee shall be final and binding upon all parties including the Company, its stockholders and Plan Participants.</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6.</w:t>
      </w:r>
    </w:p>
    <w:p>
      <w:pPr>
        <w:ind w:left="360"/>
        <w:spacing w:after="0"/>
        <w:tabs>
          <w:tab w:leader="none" w:pos="1300" w:val="left"/>
        </w:tabs>
        <w:rPr>
          <w:sz w:val="20"/>
          <w:szCs w:val="20"/>
          <w:color w:val="auto"/>
        </w:rPr>
      </w:pPr>
      <w:r>
        <w:rPr>
          <w:rFonts w:ascii="Courier New" w:cs="Courier New" w:eastAsia="Courier New" w:hAnsi="Courier New"/>
          <w:sz w:val="9"/>
          <w:szCs w:val="9"/>
          <w:b w:val="1"/>
          <w:bCs w:val="1"/>
          <w:color w:val="auto"/>
        </w:rPr>
        <w:t>Tax Withholding</w:t>
      </w:r>
      <w:r>
        <w:rPr>
          <w:rFonts w:ascii="Courier New" w:cs="Courier New" w:eastAsia="Courier New" w:hAnsi="Courier New"/>
          <w:sz w:val="9"/>
          <w:szCs w:val="9"/>
          <w:color w:val="auto"/>
        </w:rPr>
        <w:t>.</w:t>
      </w:r>
      <w:r>
        <w:rPr>
          <w:sz w:val="20"/>
          <w:szCs w:val="20"/>
          <w:color w:val="auto"/>
        </w:rPr>
        <w:tab/>
      </w:r>
      <w:r>
        <w:rPr>
          <w:rFonts w:ascii="Courier New" w:cs="Courier New" w:eastAsia="Courier New" w:hAnsi="Courier New"/>
          <w:sz w:val="8"/>
          <w:szCs w:val="8"/>
          <w:color w:val="auto"/>
        </w:rPr>
        <w:t>The Company shall have the right to deduct from any settlement made under the Plan or to require the</w:t>
      </w:r>
    </w:p>
    <w:p>
      <w:pPr>
        <w:ind w:left="360" w:right="260"/>
        <w:spacing w:after="0" w:line="234" w:lineRule="auto"/>
        <w:rPr>
          <w:sz w:val="20"/>
          <w:szCs w:val="20"/>
          <w:color w:val="auto"/>
        </w:rPr>
      </w:pPr>
      <w:r>
        <w:rPr>
          <w:rFonts w:ascii="Courier New" w:cs="Courier New" w:eastAsia="Courier New" w:hAnsi="Courier New"/>
          <w:sz w:val="9"/>
          <w:szCs w:val="9"/>
          <w:color w:val="auto"/>
        </w:rPr>
        <w:t>Participant to pay the amount of any federal, state or local taxes of any kind required by law to be withheld with respect to the grant, vesting, payment or settlement of an award under this Plan, or to take such other action as may be necessary in the opinion of the Company to satisfy all obligations for the payment of such taxes. If Common Stock is withheld or surrendered to satisfy tax withholding, such stock shall be valued at its fair market value as of the date it is withheld or surrendered. The Company may also deduct from any award settlement any other amounts due the Company by the Plan Participant.</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7.</w:t>
      </w:r>
    </w:p>
    <w:p>
      <w:pPr>
        <w:ind w:left="360"/>
        <w:spacing w:after="0"/>
        <w:tabs>
          <w:tab w:leader="none" w:pos="1200" w:val="left"/>
        </w:tabs>
        <w:rPr>
          <w:sz w:val="20"/>
          <w:szCs w:val="20"/>
          <w:color w:val="auto"/>
        </w:rPr>
      </w:pPr>
      <w:r>
        <w:rPr>
          <w:rFonts w:ascii="Courier New" w:cs="Courier New" w:eastAsia="Courier New" w:hAnsi="Courier New"/>
          <w:sz w:val="9"/>
          <w:szCs w:val="9"/>
          <w:b w:val="1"/>
          <w:bCs w:val="1"/>
          <w:color w:val="auto"/>
        </w:rPr>
        <w:t>Governing Law</w:t>
      </w:r>
      <w:r>
        <w:rPr>
          <w:rFonts w:ascii="Courier New" w:cs="Courier New" w:eastAsia="Courier New" w:hAnsi="Courier New"/>
          <w:sz w:val="9"/>
          <w:szCs w:val="9"/>
          <w:color w:val="auto"/>
        </w:rPr>
        <w:t>.</w:t>
      </w:r>
      <w:r>
        <w:rPr>
          <w:sz w:val="20"/>
          <w:szCs w:val="20"/>
          <w:color w:val="auto"/>
        </w:rPr>
        <w:tab/>
      </w:r>
      <w:r>
        <w:rPr>
          <w:rFonts w:ascii="Courier New" w:cs="Courier New" w:eastAsia="Courier New" w:hAnsi="Courier New"/>
          <w:sz w:val="8"/>
          <w:szCs w:val="8"/>
          <w:color w:val="auto"/>
        </w:rPr>
        <w:t>The Plan, awards granted under the Plan, agreements entered into under the Plan and Performance Shares</w:t>
      </w:r>
    </w:p>
    <w:p>
      <w:pPr>
        <w:ind w:left="360" w:right="1080"/>
        <w:spacing w:after="0" w:line="235" w:lineRule="auto"/>
        <w:rPr>
          <w:sz w:val="20"/>
          <w:szCs w:val="20"/>
          <w:color w:val="auto"/>
        </w:rPr>
      </w:pPr>
      <w:r>
        <w:rPr>
          <w:rFonts w:ascii="Courier New" w:cs="Courier New" w:eastAsia="Courier New" w:hAnsi="Courier New"/>
          <w:sz w:val="9"/>
          <w:szCs w:val="9"/>
          <w:color w:val="auto"/>
        </w:rPr>
        <w:t>shall be construed, administered and governed in all respects under and by the applicable laws of the State of Delaware, excluding any conflicts or choice of law rule or principle that might otherwise refer construction or interpretation of the Plan or an award or agreement or Performance Shares to the substantive law of another jurisdiction.</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8.</w:t>
      </w:r>
    </w:p>
    <w:p>
      <w:pPr>
        <w:ind w:left="360"/>
        <w:spacing w:after="0"/>
        <w:tabs>
          <w:tab w:leader="none" w:pos="2120" w:val="left"/>
        </w:tabs>
        <w:rPr>
          <w:sz w:val="20"/>
          <w:szCs w:val="20"/>
          <w:color w:val="auto"/>
        </w:rPr>
      </w:pPr>
      <w:r>
        <w:rPr>
          <w:rFonts w:ascii="Courier New" w:cs="Courier New" w:eastAsia="Courier New" w:hAnsi="Courier New"/>
          <w:sz w:val="9"/>
          <w:szCs w:val="9"/>
          <w:b w:val="1"/>
          <w:bCs w:val="1"/>
          <w:color w:val="auto"/>
        </w:rPr>
        <w:t>Plan Amendment and Termination.</w:t>
      </w:r>
      <w:r>
        <w:rPr>
          <w:sz w:val="20"/>
          <w:szCs w:val="20"/>
          <w:color w:val="auto"/>
        </w:rPr>
        <w:tab/>
      </w:r>
      <w:r>
        <w:rPr>
          <w:rFonts w:ascii="Courier New" w:cs="Courier New" w:eastAsia="Courier New" w:hAnsi="Courier New"/>
          <w:sz w:val="8"/>
          <w:szCs w:val="8"/>
          <w:color w:val="auto"/>
        </w:rPr>
        <w:t>The Committee may, in its sole discretion, amend, suspend or terminate the Plan at</w:t>
      </w:r>
    </w:p>
    <w:p>
      <w:pPr>
        <w:ind w:left="360" w:right="580"/>
        <w:spacing w:after="0" w:line="234" w:lineRule="auto"/>
        <w:rPr>
          <w:sz w:val="20"/>
          <w:szCs w:val="20"/>
          <w:color w:val="auto"/>
        </w:rPr>
      </w:pPr>
      <w:r>
        <w:rPr>
          <w:rFonts w:ascii="Courier New" w:cs="Courier New" w:eastAsia="Courier New" w:hAnsi="Courier New"/>
          <w:sz w:val="9"/>
          <w:szCs w:val="9"/>
          <w:color w:val="auto"/>
        </w:rPr>
        <w:t>any time, with or without advance notice to Plan Participants, provided that no amendment to the Plan shall be effective that would increase the maximum number of Performance Shares that may be granted under subparagraph 3.c.(iii) to a Participant who is a person referred to in Section 162(m); that would change the Performance Goal criteria applicable to a Participant who is a person referred to in Section 162(m) for payment of awards as set forth in subparagraph 3.c.(i); or</w:t>
      </w:r>
    </w:p>
    <w:p>
      <w:pPr>
        <w:spacing w:after="0" w:line="98" w:lineRule="exact"/>
        <w:rPr>
          <w:sz w:val="20"/>
          <w:szCs w:val="20"/>
          <w:color w:val="auto"/>
        </w:rPr>
      </w:pPr>
    </w:p>
    <w:p>
      <w:pPr>
        <w:ind w:left="360" w:right="580"/>
        <w:spacing w:after="0" w:line="234" w:lineRule="auto"/>
        <w:rPr>
          <w:sz w:val="20"/>
          <w:szCs w:val="20"/>
          <w:color w:val="auto"/>
        </w:rPr>
      </w:pPr>
      <w:r>
        <w:rPr>
          <w:rFonts w:ascii="Courier New" w:cs="Courier New" w:eastAsia="Courier New" w:hAnsi="Courier New"/>
          <w:sz w:val="9"/>
          <w:szCs w:val="9"/>
          <w:color w:val="auto"/>
        </w:rPr>
        <w:t>that would modify the requirements as to eligibility for participation under paragraph 2, unless the stockholders of the Company shall have approved such change in accordance with the requirements of Section 162(m). No amendment, modification or termination of the Plan may adversely affect in a material manner any right of any Plan Participant with respect to any Performance Share Award theretofore granted without such participant's written consent.</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9.</w:t>
      </w:r>
    </w:p>
    <w:p>
      <w:pPr>
        <w:ind w:left="360"/>
        <w:spacing w:after="0" w:line="233" w:lineRule="auto"/>
        <w:tabs>
          <w:tab w:leader="none" w:pos="2700" w:val="left"/>
        </w:tabs>
        <w:rPr>
          <w:sz w:val="20"/>
          <w:szCs w:val="20"/>
          <w:color w:val="auto"/>
        </w:rPr>
      </w:pPr>
      <w:r>
        <w:rPr>
          <w:rFonts w:ascii="Courier New" w:cs="Courier New" w:eastAsia="Courier New" w:hAnsi="Courier New"/>
          <w:sz w:val="9"/>
          <w:szCs w:val="9"/>
          <w:b w:val="1"/>
          <w:bCs w:val="1"/>
          <w:color w:val="auto"/>
        </w:rPr>
        <w:t>Effective Date of the Plan and Amendments.</w:t>
      </w:r>
      <w:r>
        <w:rPr>
          <w:sz w:val="20"/>
          <w:szCs w:val="20"/>
          <w:color w:val="auto"/>
        </w:rPr>
        <w:tab/>
      </w:r>
      <w:r>
        <w:rPr>
          <w:rFonts w:ascii="Courier New" w:cs="Courier New" w:eastAsia="Courier New" w:hAnsi="Courier New"/>
          <w:sz w:val="9"/>
          <w:szCs w:val="9"/>
          <w:color w:val="auto"/>
        </w:rPr>
        <w:t>The Plan first became effective on November 18, 1998. Any amendment</w:t>
      </w:r>
    </w:p>
    <w:p>
      <w:pPr>
        <w:ind w:left="360"/>
        <w:spacing w:after="0"/>
        <w:rPr>
          <w:sz w:val="20"/>
          <w:szCs w:val="20"/>
          <w:color w:val="auto"/>
        </w:rPr>
      </w:pPr>
      <w:r>
        <w:rPr>
          <w:rFonts w:ascii="Courier New" w:cs="Courier New" w:eastAsia="Courier New" w:hAnsi="Courier New"/>
          <w:sz w:val="9"/>
          <w:szCs w:val="9"/>
          <w:color w:val="auto"/>
        </w:rPr>
        <w:t>to the Plan shall be effective on the date established by the Committee, subject to stockholder approval, if required under the provisions of paragraph 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5240"/>
        <w:spacing w:after="0"/>
        <w:rPr>
          <w:sz w:val="20"/>
          <w:szCs w:val="20"/>
          <w:color w:val="auto"/>
        </w:rPr>
      </w:pPr>
      <w:r>
        <w:rPr>
          <w:rFonts w:ascii="Courier New" w:cs="Courier New" w:eastAsia="Courier New" w:hAnsi="Courier New"/>
          <w:sz w:val="9"/>
          <w:szCs w:val="9"/>
          <w:b w:val="1"/>
          <w:bCs w:val="1"/>
          <w:color w:val="auto"/>
        </w:rPr>
        <w:t>THE TORO COMPANY</w:t>
      </w:r>
    </w:p>
    <w:p>
      <w:pPr>
        <w:ind w:left="5080"/>
        <w:spacing w:after="0"/>
        <w:rPr>
          <w:sz w:val="20"/>
          <w:szCs w:val="20"/>
          <w:color w:val="auto"/>
        </w:rPr>
      </w:pPr>
      <w:r>
        <w:rPr>
          <w:rFonts w:ascii="Courier New" w:cs="Courier New" w:eastAsia="Courier New" w:hAnsi="Courier New"/>
          <w:sz w:val="9"/>
          <w:szCs w:val="9"/>
          <w:b w:val="1"/>
          <w:bCs w:val="1"/>
          <w:color w:val="auto"/>
        </w:rPr>
        <w:t>DIRECTORS STOCK PLAN</w:t>
      </w:r>
    </w:p>
    <w:p>
      <w:pPr>
        <w:spacing w:after="0" w:line="246"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1.</w:t>
      </w:r>
    </w:p>
    <w:p>
      <w:pPr>
        <w:ind w:left="360"/>
        <w:spacing w:after="0"/>
        <w:tabs>
          <w:tab w:leader="none" w:pos="1520" w:val="left"/>
        </w:tabs>
        <w:rPr>
          <w:sz w:val="20"/>
          <w:szCs w:val="20"/>
          <w:color w:val="auto"/>
        </w:rPr>
      </w:pPr>
      <w:r>
        <w:rPr>
          <w:rFonts w:ascii="Courier New" w:cs="Courier New" w:eastAsia="Courier New" w:hAnsi="Courier New"/>
          <w:sz w:val="9"/>
          <w:szCs w:val="9"/>
          <w:b w:val="1"/>
          <w:bCs w:val="1"/>
          <w:color w:val="auto"/>
        </w:rPr>
        <w:t>Purpose of the Plan.</w:t>
      </w:r>
      <w:r>
        <w:rPr>
          <w:sz w:val="20"/>
          <w:szCs w:val="20"/>
          <w:color w:val="auto"/>
        </w:rPr>
        <w:tab/>
      </w:r>
      <w:r>
        <w:rPr>
          <w:rFonts w:ascii="Courier New" w:cs="Courier New" w:eastAsia="Courier New" w:hAnsi="Courier New"/>
          <w:sz w:val="8"/>
          <w:szCs w:val="8"/>
          <w:color w:val="auto"/>
        </w:rPr>
        <w:t>The purpose of The Toro Company Directors Stock Plan ("Plan") is to enable The Toro Company (the</w:t>
      </w:r>
    </w:p>
    <w:p>
      <w:pPr>
        <w:ind w:left="360" w:right="320"/>
        <w:spacing w:after="0" w:line="234" w:lineRule="auto"/>
        <w:rPr>
          <w:sz w:val="20"/>
          <w:szCs w:val="20"/>
          <w:color w:val="auto"/>
        </w:rPr>
      </w:pPr>
      <w:r>
        <w:rPr>
          <w:rFonts w:ascii="Courier New" w:cs="Courier New" w:eastAsia="Courier New" w:hAnsi="Courier New"/>
          <w:sz w:val="9"/>
          <w:szCs w:val="9"/>
          <w:color w:val="auto"/>
        </w:rPr>
        <w:t>"Company") to attract and retain experienced and knowledgeable directors to serve on the Board of Directors of the Company or its subsidiaries, and to further align their interests with those of the stockholders of the Company by providing for or increasing their stock ownership interests in the Company. It is intended that the Plan be interpreted so that transactions under the Plan are exempt under Rule 16b-3 under the Securities Exchange Act of 1934, as amended (the "Exchange Act"), to the extent applicable.</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2.</w:t>
      </w:r>
    </w:p>
    <w:p>
      <w:pPr>
        <w:ind w:left="360" w:right="4740"/>
        <w:spacing w:after="0" w:line="235" w:lineRule="auto"/>
        <w:rPr>
          <w:sz w:val="20"/>
          <w:szCs w:val="20"/>
          <w:color w:val="auto"/>
        </w:rPr>
      </w:pPr>
      <w:r>
        <w:rPr>
          <w:rFonts w:ascii="Courier New" w:cs="Courier New" w:eastAsia="Courier New" w:hAnsi="Courier New"/>
          <w:sz w:val="9"/>
          <w:szCs w:val="9"/>
          <w:b w:val="1"/>
          <w:bCs w:val="1"/>
          <w:color w:val="auto"/>
        </w:rPr>
        <w:t xml:space="preserve">Eligibility. </w:t>
      </w:r>
      <w:r>
        <w:rPr>
          <w:rFonts w:ascii="Courier New" w:cs="Courier New" w:eastAsia="Courier New" w:hAnsi="Courier New"/>
          <w:sz w:val="9"/>
          <w:szCs w:val="9"/>
          <w:color w:val="auto"/>
        </w:rPr>
        <w:t>All members of the Company's Board of Directors who are not current employees of the Company or any of</w:t>
      </w:r>
      <w:r>
        <w:rPr>
          <w:rFonts w:ascii="Courier New" w:cs="Courier New" w:eastAsia="Courier New" w:hAnsi="Courier New"/>
          <w:sz w:val="9"/>
          <w:szCs w:val="9"/>
          <w:b w:val="1"/>
          <w:bCs w:val="1"/>
          <w:color w:val="auto"/>
        </w:rPr>
        <w:t xml:space="preserve"> </w:t>
      </w:r>
      <w:r>
        <w:rPr>
          <w:rFonts w:ascii="Courier New" w:cs="Courier New" w:eastAsia="Courier New" w:hAnsi="Courier New"/>
          <w:sz w:val="9"/>
          <w:szCs w:val="9"/>
          <w:color w:val="auto"/>
        </w:rPr>
        <w:t>its subsidiaries ("Nonemployee Directors") are eligible to participate in the Plan.</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3.</w:t>
      </w:r>
    </w:p>
    <w:p>
      <w:pPr>
        <w:ind w:left="360"/>
        <w:spacing w:after="0"/>
        <w:rPr>
          <w:sz w:val="20"/>
          <w:szCs w:val="20"/>
          <w:color w:val="auto"/>
        </w:rPr>
      </w:pPr>
      <w:r>
        <w:rPr>
          <w:rFonts w:ascii="Courier New" w:cs="Courier New" w:eastAsia="Courier New" w:hAnsi="Courier New"/>
          <w:sz w:val="9"/>
          <w:szCs w:val="9"/>
          <w:b w:val="1"/>
          <w:bCs w:val="1"/>
          <w:color w:val="auto"/>
        </w:rPr>
        <w:t>Plan Awards.</w:t>
      </w:r>
    </w:p>
    <w:p>
      <w:pPr>
        <w:spacing w:after="0" w:line="200" w:lineRule="exact"/>
        <w:rPr>
          <w:sz w:val="20"/>
          <w:szCs w:val="20"/>
          <w:color w:val="auto"/>
        </w:rPr>
      </w:pPr>
    </w:p>
    <w:p>
      <w:pPr>
        <w:spacing w:after="0" w:line="280"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a.</w:t>
      </w:r>
    </w:p>
    <w:p>
      <w:pPr>
        <w:ind w:left="720"/>
        <w:spacing w:after="0" w:line="233" w:lineRule="auto"/>
        <w:tabs>
          <w:tab w:leader="none" w:pos="1720" w:val="left"/>
        </w:tabs>
        <w:rPr>
          <w:sz w:val="20"/>
          <w:szCs w:val="20"/>
          <w:color w:val="auto"/>
        </w:rPr>
      </w:pPr>
      <w:r>
        <w:rPr>
          <w:rFonts w:ascii="Courier New" w:cs="Courier New" w:eastAsia="Courier New" w:hAnsi="Courier New"/>
          <w:sz w:val="9"/>
          <w:szCs w:val="9"/>
          <w:b w:val="1"/>
          <w:bCs w:val="1"/>
          <w:color w:val="auto"/>
        </w:rPr>
        <w:t>Directors Shares.</w:t>
      </w:r>
      <w:r>
        <w:rPr>
          <w:sz w:val="20"/>
          <w:szCs w:val="20"/>
          <w:color w:val="auto"/>
        </w:rPr>
        <w:tab/>
      </w:r>
      <w:r>
        <w:rPr>
          <w:rFonts w:ascii="Courier New" w:cs="Courier New" w:eastAsia="Courier New" w:hAnsi="Courier New"/>
          <w:sz w:val="9"/>
          <w:szCs w:val="9"/>
          <w:color w:val="auto"/>
        </w:rPr>
        <w:t>To carry out the purposes of the Plan, the Company shall issue shares ("Directors Shares") of the</w:t>
      </w:r>
    </w:p>
    <w:p>
      <w:pPr>
        <w:ind w:left="720" w:right="60"/>
        <w:spacing w:after="0" w:line="234" w:lineRule="auto"/>
        <w:rPr>
          <w:sz w:val="20"/>
          <w:szCs w:val="20"/>
          <w:color w:val="auto"/>
        </w:rPr>
      </w:pPr>
      <w:r>
        <w:rPr>
          <w:rFonts w:ascii="Courier New" w:cs="Courier New" w:eastAsia="Courier New" w:hAnsi="Courier New"/>
          <w:sz w:val="9"/>
          <w:szCs w:val="9"/>
          <w:color w:val="auto"/>
        </w:rPr>
        <w:t>Company's Common Stock, $1.00 par value and related preferred share purchase rights (subject to adjustment as provided in Section 4 hereof) (the "Common Stock"), to each person who is then a Nonemployee Director, on the first day of each fiscal year in an amount equal to $10,000 divided by the fair market value of one share of Common Stock. The fair market value of one share of Common Stock shall be the average of the 4 p.m. Eastern Time closing prices of the Common Stock as reported by the New York Stock Exchange for each of the trading days in the three calendar months immediately prior to the date of issue of the Directors Shares.</w:t>
      </w:r>
    </w:p>
    <w:p>
      <w:pPr>
        <w:spacing w:after="0" w:line="193"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b.</w:t>
      </w:r>
    </w:p>
    <w:p>
      <w:pPr>
        <w:ind w:left="720"/>
        <w:spacing w:after="0"/>
        <w:rPr>
          <w:sz w:val="20"/>
          <w:szCs w:val="20"/>
          <w:color w:val="auto"/>
        </w:rPr>
      </w:pPr>
      <w:r>
        <w:rPr>
          <w:rFonts w:ascii="Courier New" w:cs="Courier New" w:eastAsia="Courier New" w:hAnsi="Courier New"/>
          <w:sz w:val="9"/>
          <w:szCs w:val="9"/>
          <w:b w:val="1"/>
          <w:bCs w:val="1"/>
          <w:color w:val="auto"/>
        </w:rPr>
        <w:t>Directors Options.</w:t>
      </w:r>
    </w:p>
    <w:p>
      <w:pPr>
        <w:spacing w:after="0" w:line="200" w:lineRule="exact"/>
        <w:rPr>
          <w:sz w:val="20"/>
          <w:szCs w:val="20"/>
          <w:color w:val="auto"/>
        </w:rPr>
      </w:pPr>
    </w:p>
    <w:p>
      <w:pPr>
        <w:spacing w:after="0" w:line="280" w:lineRule="exact"/>
        <w:rPr>
          <w:sz w:val="20"/>
          <w:szCs w:val="20"/>
          <w:color w:val="auto"/>
        </w:rPr>
      </w:pPr>
    </w:p>
    <w:p>
      <w:pPr>
        <w:ind w:left="720"/>
        <w:spacing w:after="0"/>
        <w:rPr>
          <w:sz w:val="20"/>
          <w:szCs w:val="20"/>
          <w:color w:val="auto"/>
        </w:rPr>
      </w:pPr>
      <w:r>
        <w:rPr>
          <w:rFonts w:ascii="Courier New" w:cs="Courier New" w:eastAsia="Courier New" w:hAnsi="Courier New"/>
          <w:sz w:val="9"/>
          <w:szCs w:val="9"/>
          <w:color w:val="auto"/>
        </w:rPr>
        <w:t>i.</w:t>
      </w:r>
    </w:p>
    <w:p>
      <w:pPr>
        <w:ind w:left="1080"/>
        <w:spacing w:after="0" w:line="233" w:lineRule="auto"/>
        <w:tabs>
          <w:tab w:leader="none" w:pos="1860" w:val="left"/>
        </w:tabs>
        <w:rPr>
          <w:sz w:val="20"/>
          <w:szCs w:val="20"/>
          <w:color w:val="auto"/>
        </w:rPr>
      </w:pPr>
      <w:r>
        <w:rPr>
          <w:rFonts w:ascii="Courier New" w:cs="Courier New" w:eastAsia="Courier New" w:hAnsi="Courier New"/>
          <w:sz w:val="9"/>
          <w:szCs w:val="9"/>
          <w:i w:val="1"/>
          <w:iCs w:val="1"/>
          <w:color w:val="auto"/>
        </w:rPr>
        <w:t>Annual Grant.</w:t>
      </w:r>
      <w:r>
        <w:rPr>
          <w:sz w:val="20"/>
          <w:szCs w:val="20"/>
          <w:color w:val="auto"/>
        </w:rPr>
        <w:tab/>
      </w:r>
      <w:r>
        <w:rPr>
          <w:rFonts w:ascii="Courier New" w:cs="Courier New" w:eastAsia="Courier New" w:hAnsi="Courier New"/>
          <w:sz w:val="9"/>
          <w:szCs w:val="9"/>
          <w:color w:val="auto"/>
        </w:rPr>
        <w:t>Subject to the terms and conditions of this Section 3.b., the</w:t>
      </w:r>
    </w:p>
    <w:p>
      <w:pPr>
        <w:jc w:val="both"/>
        <w:ind w:left="1080"/>
        <w:spacing w:after="0" w:line="234" w:lineRule="auto"/>
        <w:rPr>
          <w:sz w:val="20"/>
          <w:szCs w:val="20"/>
          <w:color w:val="auto"/>
        </w:rPr>
      </w:pPr>
      <w:r>
        <w:rPr>
          <w:rFonts w:ascii="Courier New" w:cs="Courier New" w:eastAsia="Courier New" w:hAnsi="Courier New"/>
          <w:sz w:val="9"/>
          <w:szCs w:val="9"/>
          <w:color w:val="auto"/>
        </w:rPr>
        <w:t>Company shall grant a nonqualified option ("Directors Options") to purchase 1,000 shares of the Common Stock, to each person who is then a Nonemployee Director, on the first day of each fisca an exercise price per share equal to the fair market value of one share of Common Stock on the date of grant. The fair market value of one share of Common Stock shall be the 4 p.m. Eastern Ti closing price of the Common Stock as reported by the New York Stock Exchange for the first business day of the Company's fiscal year with respect to which the grant is made.</w:t>
      </w:r>
    </w:p>
    <w:p>
      <w:pPr>
        <w:spacing w:after="0" w:line="194" w:lineRule="exact"/>
        <w:rPr>
          <w:sz w:val="20"/>
          <w:szCs w:val="20"/>
          <w:color w:val="auto"/>
        </w:rPr>
      </w:pPr>
    </w:p>
    <w:p>
      <w:pPr>
        <w:ind w:left="720"/>
        <w:spacing w:after="0"/>
        <w:rPr>
          <w:sz w:val="20"/>
          <w:szCs w:val="20"/>
          <w:color w:val="auto"/>
        </w:rPr>
      </w:pPr>
      <w:r>
        <w:rPr>
          <w:rFonts w:ascii="Courier New" w:cs="Courier New" w:eastAsia="Courier New" w:hAnsi="Courier New"/>
          <w:sz w:val="9"/>
          <w:szCs w:val="9"/>
          <w:color w:val="auto"/>
        </w:rPr>
        <w:t>ii.</w:t>
      </w:r>
    </w:p>
    <w:p>
      <w:pPr>
        <w:ind w:left="1080"/>
        <w:spacing w:after="0"/>
        <w:rPr>
          <w:sz w:val="20"/>
          <w:szCs w:val="20"/>
          <w:color w:val="auto"/>
        </w:rPr>
      </w:pPr>
      <w:r>
        <w:rPr>
          <w:rFonts w:ascii="Courier New" w:cs="Courier New" w:eastAsia="Courier New" w:hAnsi="Courier New"/>
          <w:sz w:val="9"/>
          <w:szCs w:val="9"/>
          <w:i w:val="1"/>
          <w:iCs w:val="1"/>
          <w:color w:val="auto"/>
        </w:rPr>
        <w:t>Option Terms.</w:t>
      </w:r>
    </w:p>
    <w:p>
      <w:pPr>
        <w:spacing w:after="0" w:line="200" w:lineRule="exact"/>
        <w:rPr>
          <w:sz w:val="20"/>
          <w:szCs w:val="20"/>
          <w:color w:val="auto"/>
        </w:rPr>
      </w:pPr>
    </w:p>
    <w:p>
      <w:pPr>
        <w:spacing w:after="0" w:line="280" w:lineRule="exact"/>
        <w:rPr>
          <w:sz w:val="20"/>
          <w:szCs w:val="20"/>
          <w:color w:val="auto"/>
        </w:rPr>
      </w:pPr>
    </w:p>
    <w:p>
      <w:pPr>
        <w:ind w:left="1080"/>
        <w:spacing w:after="0"/>
        <w:rPr>
          <w:sz w:val="20"/>
          <w:szCs w:val="20"/>
          <w:color w:val="auto"/>
        </w:rPr>
      </w:pPr>
      <w:r>
        <w:rPr>
          <w:rFonts w:ascii="Courier New" w:cs="Courier New" w:eastAsia="Courier New" w:hAnsi="Courier New"/>
          <w:sz w:val="9"/>
          <w:szCs w:val="9"/>
          <w:color w:val="auto"/>
        </w:rPr>
        <w:t>(a)</w:t>
      </w:r>
    </w:p>
    <w:p>
      <w:pPr>
        <w:ind w:left="1440"/>
        <w:spacing w:after="0" w:line="233" w:lineRule="auto"/>
        <w:rPr>
          <w:sz w:val="20"/>
          <w:szCs w:val="20"/>
          <w:color w:val="auto"/>
        </w:rPr>
      </w:pPr>
      <w:r>
        <w:rPr>
          <w:rFonts w:ascii="Courier New" w:cs="Courier New" w:eastAsia="Courier New" w:hAnsi="Courier New"/>
          <w:sz w:val="9"/>
          <w:szCs w:val="9"/>
          <w:color w:val="auto"/>
        </w:rPr>
        <w:t>Directors</w:t>
      </w:r>
    </w:p>
    <w:p>
      <w:pPr>
        <w:ind w:left="1440" w:right="740"/>
        <w:spacing w:after="0" w:line="235" w:lineRule="auto"/>
        <w:rPr>
          <w:sz w:val="20"/>
          <w:szCs w:val="20"/>
          <w:color w:val="auto"/>
        </w:rPr>
      </w:pPr>
      <w:r>
        <w:rPr>
          <w:rFonts w:ascii="Courier New" w:cs="Courier New" w:eastAsia="Courier New" w:hAnsi="Courier New"/>
          <w:sz w:val="9"/>
          <w:szCs w:val="9"/>
          <w:color w:val="auto"/>
        </w:rPr>
        <w:t>Options shall be exercisable in whole or in part commencing six months following the date of grant and shall remain exercisable for a term of five years after the date of grant.</w:t>
      </w:r>
    </w:p>
    <w:p>
      <w:pPr>
        <w:spacing w:after="0" w:line="193" w:lineRule="exact"/>
        <w:rPr>
          <w:sz w:val="20"/>
          <w:szCs w:val="20"/>
          <w:color w:val="auto"/>
        </w:rPr>
      </w:pPr>
    </w:p>
    <w:p>
      <w:pPr>
        <w:ind w:left="1080"/>
        <w:spacing w:after="0"/>
        <w:rPr>
          <w:sz w:val="20"/>
          <w:szCs w:val="20"/>
          <w:color w:val="auto"/>
        </w:rPr>
      </w:pPr>
      <w:r>
        <w:rPr>
          <w:rFonts w:ascii="Courier New" w:cs="Courier New" w:eastAsia="Courier New" w:hAnsi="Courier New"/>
          <w:sz w:val="9"/>
          <w:szCs w:val="9"/>
          <w:color w:val="auto"/>
        </w:rPr>
        <w:t>(b)</w:t>
      </w:r>
    </w:p>
    <w:p>
      <w:pPr>
        <w:ind w:left="1440"/>
        <w:spacing w:after="0" w:line="233" w:lineRule="auto"/>
        <w:rPr>
          <w:sz w:val="20"/>
          <w:szCs w:val="20"/>
          <w:color w:val="auto"/>
        </w:rPr>
      </w:pPr>
      <w:r>
        <w:rPr>
          <w:rFonts w:ascii="Courier New" w:cs="Courier New" w:eastAsia="Courier New" w:hAnsi="Courier New"/>
          <w:sz w:val="9"/>
          <w:szCs w:val="9"/>
          <w:color w:val="auto"/>
        </w:rPr>
        <w:t>No</w:t>
      </w:r>
    </w:p>
    <w:p>
      <w:pPr>
        <w:ind w:left="1440"/>
        <w:spacing w:after="0" w:line="233" w:lineRule="auto"/>
        <w:rPr>
          <w:sz w:val="20"/>
          <w:szCs w:val="20"/>
          <w:color w:val="auto"/>
        </w:rPr>
      </w:pPr>
      <w:r>
        <w:rPr>
          <w:rFonts w:ascii="Courier New" w:cs="Courier New" w:eastAsia="Courier New" w:hAnsi="Courier New"/>
          <w:sz w:val="9"/>
          <w:szCs w:val="9"/>
          <w:color w:val="auto"/>
        </w:rPr>
        <w:t>Directors Option shall be assigned or transferred, except by will or the laws of descent and distribution. An option so transferred may be exercised after the death of the</w:t>
      </w:r>
    </w:p>
    <w:p>
      <w:pPr>
        <w:ind w:left="1440"/>
        <w:spacing w:after="0" w:line="235" w:lineRule="auto"/>
        <w:rPr>
          <w:sz w:val="20"/>
          <w:szCs w:val="20"/>
          <w:color w:val="auto"/>
        </w:rPr>
      </w:pPr>
      <w:r>
        <w:rPr>
          <w:rFonts w:ascii="Courier New" w:cs="Courier New" w:eastAsia="Courier New" w:hAnsi="Courier New"/>
          <w:sz w:val="9"/>
          <w:szCs w:val="9"/>
          <w:color w:val="auto"/>
        </w:rPr>
        <w:t>individual to whom it is granted only by such individual's legal representatives, heirs or legatees, not later than the earlier of the date the option expires or one year after the dat such individual, and only with respect to an option exercisable at the time of death.</w:t>
      </w:r>
    </w:p>
    <w:p>
      <w:pPr>
        <w:spacing w:after="0" w:line="193" w:lineRule="exact"/>
        <w:rPr>
          <w:sz w:val="20"/>
          <w:szCs w:val="20"/>
          <w:color w:val="auto"/>
        </w:rPr>
      </w:pPr>
    </w:p>
    <w:p>
      <w:pPr>
        <w:ind w:left="1080"/>
        <w:spacing w:after="0"/>
        <w:rPr>
          <w:sz w:val="20"/>
          <w:szCs w:val="20"/>
          <w:color w:val="auto"/>
        </w:rPr>
      </w:pPr>
      <w:r>
        <w:rPr>
          <w:rFonts w:ascii="Courier New" w:cs="Courier New" w:eastAsia="Courier New" w:hAnsi="Courier New"/>
          <w:sz w:val="9"/>
          <w:szCs w:val="9"/>
          <w:color w:val="auto"/>
        </w:rPr>
        <w:t>(c)</w:t>
      </w:r>
    </w:p>
    <w:p>
      <w:pPr>
        <w:ind w:left="1440"/>
        <w:spacing w:after="0" w:line="233" w:lineRule="auto"/>
        <w:rPr>
          <w:sz w:val="20"/>
          <w:szCs w:val="20"/>
          <w:color w:val="auto"/>
        </w:rPr>
      </w:pPr>
      <w:r>
        <w:rPr>
          <w:rFonts w:ascii="Courier New" w:cs="Courier New" w:eastAsia="Courier New" w:hAnsi="Courier New"/>
          <w:sz w:val="9"/>
          <w:szCs w:val="9"/>
          <w:color w:val="auto"/>
        </w:rPr>
        <w:t>During</w:t>
      </w:r>
    </w:p>
    <w:p>
      <w:pPr>
        <w:ind w:left="1440"/>
        <w:spacing w:after="0" w:line="233" w:lineRule="auto"/>
        <w:rPr>
          <w:sz w:val="20"/>
          <w:szCs w:val="20"/>
          <w:color w:val="auto"/>
        </w:rPr>
      </w:pPr>
      <w:r>
        <w:rPr>
          <w:rFonts w:ascii="Courier New" w:cs="Courier New" w:eastAsia="Courier New" w:hAnsi="Courier New"/>
          <w:sz w:val="9"/>
          <w:szCs w:val="9"/>
          <w:color w:val="auto"/>
        </w:rPr>
        <w:t>the lifetime of a Nonemployee Director, options held by such individual may be exercised only by the Nonemployee Director and only while serving as a member of the Board of</w:t>
      </w:r>
    </w:p>
    <w:p>
      <w:pPr>
        <w:ind w:left="1440"/>
        <w:spacing w:after="0" w:line="235" w:lineRule="auto"/>
        <w:rPr>
          <w:sz w:val="20"/>
          <w:szCs w:val="20"/>
          <w:color w:val="auto"/>
        </w:rPr>
      </w:pPr>
      <w:r>
        <w:rPr>
          <w:rFonts w:ascii="Courier New" w:cs="Courier New" w:eastAsia="Courier New" w:hAnsi="Courier New"/>
          <w:sz w:val="9"/>
          <w:szCs w:val="9"/>
          <w:color w:val="auto"/>
        </w:rPr>
        <w:t>Directors of the Company and only if the Nonemployee Director has been continuously so serving since the date such options were granted; provided, however, that in the event of disabil Nonemployee Director, options may be exercised by such individual not later than the earlier of the date the option expires</w:t>
      </w:r>
    </w:p>
    <w:p>
      <w:pPr>
        <w:sectPr>
          <w:pgSz w:w="11900" w:h="16899" w:orient="portrait"/>
          <w:cols w:equalWidth="0" w:num="1">
            <w:col w:w="11360"/>
          </w:cols>
          <w:pgMar w:left="300" w:top="138" w:right="239" w:bottom="0" w:gutter="0" w:footer="0" w:header="0"/>
        </w:sectPr>
      </w:pPr>
    </w:p>
    <w:bookmarkStart w:id="15" w:name="page16"/>
    <w:bookmarkEnd w:id="15"/>
    <w:p>
      <w:pPr>
        <w:jc w:val="right"/>
        <w:spacing w:after="0"/>
        <w:rPr>
          <w:sz w:val="20"/>
          <w:szCs w:val="20"/>
          <w:color w:val="auto"/>
        </w:rPr>
      </w:pPr>
      <w:r>
        <w:rPr>
          <w:rFonts w:ascii="Courier New" w:cs="Courier New" w:eastAsia="Courier New" w:hAnsi="Courier New"/>
          <w:sz w:val="9"/>
          <w:szCs w:val="9"/>
          <w:color w:val="auto"/>
        </w:rPr>
        <w:t>or one year after the date such service as a member of the Board of Directors ceases by reason of disability, but only with respect to an option exercisable at the time such service ce</w:t>
      </w:r>
    </w:p>
    <w:p>
      <w:pPr>
        <w:spacing w:after="0" w:line="292" w:lineRule="exact"/>
        <w:rPr>
          <w:sz w:val="20"/>
          <w:szCs w:val="20"/>
          <w:color w:val="auto"/>
        </w:rPr>
      </w:pPr>
    </w:p>
    <w:p>
      <w:pPr>
        <w:ind w:left="1080"/>
        <w:spacing w:after="0"/>
        <w:rPr>
          <w:sz w:val="20"/>
          <w:szCs w:val="20"/>
          <w:color w:val="auto"/>
        </w:rPr>
      </w:pPr>
      <w:r>
        <w:rPr>
          <w:rFonts w:ascii="Courier New" w:cs="Courier New" w:eastAsia="Courier New" w:hAnsi="Courier New"/>
          <w:sz w:val="9"/>
          <w:szCs w:val="9"/>
          <w:color w:val="auto"/>
        </w:rPr>
        <w:t>(d)</w:t>
      </w:r>
    </w:p>
    <w:p>
      <w:pPr>
        <w:ind w:left="1440"/>
        <w:spacing w:after="0" w:line="233" w:lineRule="auto"/>
        <w:rPr>
          <w:sz w:val="20"/>
          <w:szCs w:val="20"/>
          <w:color w:val="auto"/>
        </w:rPr>
      </w:pPr>
      <w:r>
        <w:rPr>
          <w:rFonts w:ascii="Courier New" w:cs="Courier New" w:eastAsia="Courier New" w:hAnsi="Courier New"/>
          <w:sz w:val="9"/>
          <w:szCs w:val="9"/>
          <w:color w:val="auto"/>
        </w:rPr>
        <w:t>Payment</w:t>
      </w:r>
    </w:p>
    <w:p>
      <w:pPr>
        <w:ind w:left="1440"/>
        <w:spacing w:after="0"/>
        <w:rPr>
          <w:sz w:val="20"/>
          <w:szCs w:val="20"/>
          <w:color w:val="auto"/>
        </w:rPr>
      </w:pPr>
      <w:r>
        <w:rPr>
          <w:rFonts w:ascii="Courier New" w:cs="Courier New" w:eastAsia="Courier New" w:hAnsi="Courier New"/>
          <w:sz w:val="9"/>
          <w:szCs w:val="9"/>
          <w:color w:val="auto"/>
        </w:rPr>
        <w:t>of the exercise price may be made in cash, in shares of Common Stock valued at fair market value on the date of exercise or in a combination of cash and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c.</w:t>
      </w:r>
    </w:p>
    <w:p>
      <w:pPr>
        <w:ind w:left="720"/>
        <w:spacing w:after="0"/>
        <w:tabs>
          <w:tab w:leader="none" w:pos="1660" w:val="left"/>
        </w:tabs>
        <w:rPr>
          <w:sz w:val="20"/>
          <w:szCs w:val="20"/>
          <w:color w:val="auto"/>
        </w:rPr>
      </w:pPr>
      <w:r>
        <w:rPr>
          <w:rFonts w:ascii="Courier New" w:cs="Courier New" w:eastAsia="Courier New" w:hAnsi="Courier New"/>
          <w:sz w:val="9"/>
          <w:szCs w:val="9"/>
          <w:b w:val="1"/>
          <w:bCs w:val="1"/>
          <w:color w:val="auto"/>
        </w:rPr>
        <w:t>Share Proration.</w:t>
      </w:r>
      <w:r>
        <w:rPr>
          <w:sz w:val="20"/>
          <w:szCs w:val="20"/>
          <w:color w:val="auto"/>
        </w:rPr>
        <w:tab/>
      </w:r>
      <w:r>
        <w:rPr>
          <w:rFonts w:ascii="Courier New" w:cs="Courier New" w:eastAsia="Courier New" w:hAnsi="Courier New"/>
          <w:sz w:val="8"/>
          <w:szCs w:val="8"/>
          <w:color w:val="auto"/>
        </w:rPr>
        <w:t>If, on any date on which Directors Shares are to be issued pursuant to Section 3.a. or</w:t>
      </w:r>
    </w:p>
    <w:p>
      <w:pPr>
        <w:ind w:left="720" w:right="340"/>
        <w:spacing w:after="0" w:line="233" w:lineRule="auto"/>
        <w:rPr>
          <w:sz w:val="20"/>
          <w:szCs w:val="20"/>
          <w:color w:val="auto"/>
        </w:rPr>
      </w:pPr>
      <w:r>
        <w:rPr>
          <w:rFonts w:ascii="Courier New" w:cs="Courier New" w:eastAsia="Courier New" w:hAnsi="Courier New"/>
          <w:sz w:val="9"/>
          <w:szCs w:val="9"/>
          <w:color w:val="auto"/>
        </w:rPr>
        <w:t>Directors Options are to be granted pursuant to Section 3.b., the number of shares of Common Stock is insufficient for the issuance of the entire number of shares to be issued or the grant of the entire number of options as calculated in accordance with Section 3.a. or Section 3.b., then the number of shares to be issued to each Nonemployee Director entitled to receive</w:t>
      </w:r>
    </w:p>
    <w:p>
      <w:pPr>
        <w:ind w:left="720"/>
        <w:spacing w:after="0" w:line="234" w:lineRule="auto"/>
        <w:rPr>
          <w:sz w:val="20"/>
          <w:szCs w:val="20"/>
          <w:color w:val="auto"/>
        </w:rPr>
      </w:pPr>
      <w:r>
        <w:rPr>
          <w:rFonts w:ascii="Courier New" w:cs="Courier New" w:eastAsia="Courier New" w:hAnsi="Courier New"/>
          <w:sz w:val="9"/>
          <w:szCs w:val="9"/>
          <w:color w:val="auto"/>
        </w:rPr>
        <w:t>Directors Shares or Directors Options on such date shall be such Nonemployee Director's proportionate share of such available number of shares or options (rounded down to the greatest number of who shares), provided that if a sufficient number of shares of Common Stock is available to issue all of the Directors Shares, then the entire number of Directors Shares shall be issued first and the number of shares to be subjected to options shall be prorated in accordance with this section.</w:t>
      </w:r>
    </w:p>
    <w:p>
      <w:pPr>
        <w:spacing w:after="0" w:line="194"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d.</w:t>
      </w:r>
    </w:p>
    <w:p>
      <w:pPr>
        <w:ind w:left="720"/>
        <w:spacing w:after="0"/>
        <w:tabs>
          <w:tab w:leader="none" w:pos="1940" w:val="left"/>
        </w:tabs>
        <w:rPr>
          <w:sz w:val="20"/>
          <w:szCs w:val="20"/>
          <w:color w:val="auto"/>
        </w:rPr>
      </w:pPr>
      <w:r>
        <w:rPr>
          <w:rFonts w:ascii="Courier New" w:cs="Courier New" w:eastAsia="Courier New" w:hAnsi="Courier New"/>
          <w:sz w:val="9"/>
          <w:szCs w:val="9"/>
          <w:b w:val="1"/>
          <w:bCs w:val="1"/>
          <w:color w:val="auto"/>
        </w:rPr>
        <w:t>Supplemental Benefit.</w:t>
      </w:r>
      <w:r>
        <w:rPr>
          <w:sz w:val="20"/>
          <w:szCs w:val="20"/>
          <w:color w:val="auto"/>
        </w:rPr>
        <w:tab/>
      </w:r>
      <w:r>
        <w:rPr>
          <w:rFonts w:ascii="Courier New" w:cs="Courier New" w:eastAsia="Courier New" w:hAnsi="Courier New"/>
          <w:sz w:val="8"/>
          <w:szCs w:val="8"/>
          <w:color w:val="auto"/>
        </w:rPr>
        <w:t>Directors Shares and Directors Options are a supplemental benefit and are not a component of</w:t>
      </w:r>
    </w:p>
    <w:p>
      <w:pPr>
        <w:ind w:left="720" w:right="280"/>
        <w:spacing w:after="0" w:line="235" w:lineRule="auto"/>
        <w:rPr>
          <w:sz w:val="20"/>
          <w:szCs w:val="20"/>
          <w:color w:val="auto"/>
        </w:rPr>
      </w:pPr>
      <w:r>
        <w:rPr>
          <w:rFonts w:ascii="Courier New" w:cs="Courier New" w:eastAsia="Courier New" w:hAnsi="Courier New"/>
          <w:sz w:val="9"/>
          <w:szCs w:val="9"/>
          <w:color w:val="auto"/>
        </w:rPr>
        <w:t>the annual retainer and meeting fees paid to Nonemployee Directors. The value of Directors Shares and Directors Options shall not be included in the calculation by the Company of the amount of compensation upon which a Nonemployee Director's retirement benefit is calculated for purposes of the Company's Director Retirement Plan or any similar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4.</w:t>
      </w:r>
    </w:p>
    <w:p>
      <w:pPr>
        <w:ind w:left="360"/>
        <w:spacing w:after="0"/>
        <w:tabs>
          <w:tab w:leader="none" w:pos="1680" w:val="left"/>
        </w:tabs>
        <w:rPr>
          <w:sz w:val="20"/>
          <w:szCs w:val="20"/>
          <w:color w:val="auto"/>
        </w:rPr>
      </w:pPr>
      <w:r>
        <w:rPr>
          <w:rFonts w:ascii="Courier New" w:cs="Courier New" w:eastAsia="Courier New" w:hAnsi="Courier New"/>
          <w:sz w:val="9"/>
          <w:szCs w:val="9"/>
          <w:b w:val="1"/>
          <w:bCs w:val="1"/>
          <w:color w:val="auto"/>
        </w:rPr>
        <w:t>Shares in Lieu of Fees.</w:t>
      </w:r>
      <w:r>
        <w:rPr>
          <w:sz w:val="20"/>
          <w:szCs w:val="20"/>
          <w:color w:val="auto"/>
        </w:rPr>
        <w:tab/>
      </w:r>
      <w:r>
        <w:rPr>
          <w:rFonts w:ascii="Courier New" w:cs="Courier New" w:eastAsia="Courier New" w:hAnsi="Courier New"/>
          <w:sz w:val="8"/>
          <w:szCs w:val="8"/>
          <w:color w:val="auto"/>
        </w:rPr>
        <w:t>A Nonemployee Director shall have the right to elect to receive shares of Common Stock in</w:t>
      </w:r>
    </w:p>
    <w:p>
      <w:pPr>
        <w:ind w:left="360" w:right="320"/>
        <w:spacing w:after="0" w:line="234" w:lineRule="auto"/>
        <w:rPr>
          <w:sz w:val="20"/>
          <w:szCs w:val="20"/>
          <w:color w:val="auto"/>
        </w:rPr>
      </w:pPr>
      <w:r>
        <w:rPr>
          <w:rFonts w:ascii="Courier New" w:cs="Courier New" w:eastAsia="Courier New" w:hAnsi="Courier New"/>
          <w:sz w:val="9"/>
          <w:szCs w:val="9"/>
          <w:color w:val="auto"/>
        </w:rPr>
        <w:t>lieu of annual retainer and meeting fees otherwise payable in cash. The election to receive Common Stock shall be made prior to the first day of the calendar year in which the fees are to be earned. Fees that are earned shall be reserved through the year and shares shall be issued in December of that year. The number of shares to be issued shall be determined by dividing the amount of the cash that otherwise would have been paid by the market value of one share of Common Stock on the date that the shares are issued.</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5.</w:t>
      </w:r>
    </w:p>
    <w:p>
      <w:pPr>
        <w:ind w:left="360"/>
        <w:spacing w:after="0" w:line="233" w:lineRule="auto"/>
        <w:tabs>
          <w:tab w:leader="none" w:pos="1620" w:val="left"/>
        </w:tabs>
        <w:rPr>
          <w:sz w:val="20"/>
          <w:szCs w:val="20"/>
          <w:color w:val="auto"/>
        </w:rPr>
      </w:pPr>
      <w:r>
        <w:rPr>
          <w:rFonts w:ascii="Courier New" w:cs="Courier New" w:eastAsia="Courier New" w:hAnsi="Courier New"/>
          <w:sz w:val="9"/>
          <w:szCs w:val="9"/>
          <w:b w:val="1"/>
          <w:bCs w:val="1"/>
          <w:color w:val="auto"/>
        </w:rPr>
        <w:t>Stock Subject to Plan.</w:t>
      </w:r>
      <w:r>
        <w:rPr>
          <w:sz w:val="20"/>
          <w:szCs w:val="20"/>
          <w:color w:val="auto"/>
        </w:rPr>
        <w:tab/>
      </w:r>
      <w:r>
        <w:rPr>
          <w:rFonts w:ascii="Courier New" w:cs="Courier New" w:eastAsia="Courier New" w:hAnsi="Courier New"/>
          <w:sz w:val="9"/>
          <w:szCs w:val="9"/>
          <w:color w:val="auto"/>
        </w:rPr>
        <w:t>Subject to adjustment as provided in this paragraph and subject to increase by amendment of</w:t>
      </w:r>
    </w:p>
    <w:p>
      <w:pPr>
        <w:ind w:left="360" w:right="320"/>
        <w:spacing w:after="0" w:line="233" w:lineRule="auto"/>
        <w:rPr>
          <w:sz w:val="20"/>
          <w:szCs w:val="20"/>
          <w:color w:val="auto"/>
        </w:rPr>
      </w:pPr>
      <w:r>
        <w:rPr>
          <w:rFonts w:ascii="Courier New" w:cs="Courier New" w:eastAsia="Courier New" w:hAnsi="Courier New"/>
          <w:sz w:val="9"/>
          <w:szCs w:val="9"/>
          <w:color w:val="auto"/>
        </w:rPr>
        <w:t>the Plan, the total number of shares of Common Stock that is reserved and available for issuance in connection with the Plan shall be 65,000 shares. If any Directors Option granted hereunder expires unexercised or terminates, the shares of Common Stock reserved for issuance pursuant to such option shall, to the extent of any such termination or to the extent the shares covered by an option are not issued or used, again be available for option grants under the Plan. Any shares issued by the Company in connection with the assumption or substitution of outstanding option grants from any acquired corporation shall not reduce the shares available for stock awards or option grants under the Plan. In the event of a corporate transaction involving the Company, the Common Stock or the Company's corporate or capital structure, including but not limited to any stock dividend, stock split, extraordinary cash dividend, recapitalization, reorganization, merger, consolidation, reclassification, split-up, spin-off, combination or exchange of shares, or a sale of the Company or of all or part of its assets or any distribution to stockholders other than</w:t>
      </w:r>
    </w:p>
    <w:p>
      <w:pPr>
        <w:ind w:left="360" w:right="260"/>
        <w:spacing w:after="0" w:line="234" w:lineRule="auto"/>
        <w:rPr>
          <w:sz w:val="20"/>
          <w:szCs w:val="20"/>
          <w:color w:val="auto"/>
        </w:rPr>
      </w:pPr>
      <w:r>
        <w:rPr>
          <w:rFonts w:ascii="Courier New" w:cs="Courier New" w:eastAsia="Courier New" w:hAnsi="Courier New"/>
          <w:sz w:val="9"/>
          <w:szCs w:val="9"/>
          <w:color w:val="auto"/>
        </w:rPr>
        <w:t>a normal cash dividend, the Committee shall make such proportional adjustments as are necessary to preserve the benefits or potential benefits of the Directors Shares and Directors Options. Action by the Committee may include all or any of adjustment in (a) the maximum number and kind of securities subject to the Plan as set forth in this paragraph; (b) the maximum number and kind of securities that may be made subject to Directors Options and the determination of the number or kind of Directors Shares; (c) the number and kind of securities subject to any outstanding Directors Option; and (d) any other adjustments that the Committee determines to be equitable.</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6.</w:t>
      </w:r>
    </w:p>
    <w:p>
      <w:pPr>
        <w:ind w:left="360" w:right="4640"/>
        <w:spacing w:after="0" w:line="235" w:lineRule="auto"/>
        <w:rPr>
          <w:sz w:val="20"/>
          <w:szCs w:val="20"/>
          <w:color w:val="auto"/>
        </w:rPr>
      </w:pPr>
      <w:r>
        <w:rPr>
          <w:rFonts w:ascii="Courier New" w:cs="Courier New" w:eastAsia="Courier New" w:hAnsi="Courier New"/>
          <w:sz w:val="9"/>
          <w:szCs w:val="9"/>
          <w:b w:val="1"/>
          <w:bCs w:val="1"/>
          <w:color w:val="auto"/>
        </w:rPr>
        <w:t xml:space="preserve">Change of Control. </w:t>
      </w:r>
      <w:r>
        <w:rPr>
          <w:rFonts w:ascii="Courier New" w:cs="Courier New" w:eastAsia="Courier New" w:hAnsi="Courier New"/>
          <w:sz w:val="9"/>
          <w:szCs w:val="9"/>
          <w:color w:val="auto"/>
        </w:rPr>
        <w:t>In the event of a Change of Control of the Company as hereinafter defined, all options shall fully</w:t>
      </w:r>
      <w:r>
        <w:rPr>
          <w:rFonts w:ascii="Courier New" w:cs="Courier New" w:eastAsia="Courier New" w:hAnsi="Courier New"/>
          <w:sz w:val="9"/>
          <w:szCs w:val="9"/>
          <w:b w:val="1"/>
          <w:bCs w:val="1"/>
          <w:color w:val="auto"/>
        </w:rPr>
        <w:t xml:space="preserve"> </w:t>
      </w:r>
      <w:r>
        <w:rPr>
          <w:rFonts w:ascii="Courier New" w:cs="Courier New" w:eastAsia="Courier New" w:hAnsi="Courier New"/>
          <w:sz w:val="9"/>
          <w:szCs w:val="9"/>
          <w:color w:val="auto"/>
        </w:rPr>
        <w:t>vest, unless otherwise limited by the Committee at the time of the option grant, and</w:t>
      </w:r>
    </w:p>
    <w:p>
      <w:pPr>
        <w:spacing w:after="0" w:line="97" w:lineRule="exact"/>
        <w:rPr>
          <w:sz w:val="20"/>
          <w:szCs w:val="20"/>
          <w:color w:val="auto"/>
        </w:rPr>
      </w:pPr>
    </w:p>
    <w:p>
      <w:pPr>
        <w:ind w:left="360" w:right="200"/>
        <w:spacing w:after="0" w:line="235" w:lineRule="auto"/>
        <w:rPr>
          <w:sz w:val="20"/>
          <w:szCs w:val="20"/>
          <w:color w:val="auto"/>
        </w:rPr>
      </w:pPr>
      <w:r>
        <w:rPr>
          <w:rFonts w:ascii="Courier New" w:cs="Courier New" w:eastAsia="Courier New" w:hAnsi="Courier New"/>
          <w:sz w:val="9"/>
          <w:szCs w:val="9"/>
          <w:color w:val="auto"/>
        </w:rPr>
        <w:t>be exercisable in their entirety immediately, and notwithstanding any other provisions of the Plan, shall continue to be exercisable for three years following the Change of Control, but not later than ten years after the date of grant.</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Change</w:t>
      </w:r>
    </w:p>
    <w:p>
      <w:pPr>
        <w:ind w:left="360"/>
        <w:spacing w:after="0"/>
        <w:rPr>
          <w:sz w:val="20"/>
          <w:szCs w:val="20"/>
          <w:color w:val="auto"/>
        </w:rPr>
      </w:pPr>
      <w:r>
        <w:rPr>
          <w:rFonts w:ascii="Courier New" w:cs="Courier New" w:eastAsia="Courier New" w:hAnsi="Courier New"/>
          <w:sz w:val="9"/>
          <w:szCs w:val="9"/>
          <w:color w:val="auto"/>
        </w:rPr>
        <w:t>of Control means: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a.</w:t>
      </w:r>
    </w:p>
    <w:p>
      <w:pPr>
        <w:ind w:left="720"/>
        <w:spacing w:after="0" w:line="233" w:lineRule="auto"/>
        <w:rPr>
          <w:sz w:val="20"/>
          <w:szCs w:val="20"/>
          <w:color w:val="auto"/>
        </w:rPr>
      </w:pPr>
      <w:r>
        <w:rPr>
          <w:rFonts w:ascii="Courier New" w:cs="Courier New" w:eastAsia="Courier New" w:hAnsi="Courier New"/>
          <w:sz w:val="9"/>
          <w:szCs w:val="9"/>
          <w:color w:val="auto"/>
        </w:rPr>
        <w:t>The</w:t>
      </w:r>
    </w:p>
    <w:p>
      <w:pPr>
        <w:ind w:left="720" w:right="1580"/>
        <w:spacing w:after="0" w:line="233" w:lineRule="auto"/>
        <w:rPr>
          <w:sz w:val="20"/>
          <w:szCs w:val="20"/>
          <w:color w:val="auto"/>
        </w:rPr>
      </w:pPr>
      <w:r>
        <w:rPr>
          <w:rFonts w:ascii="Courier New" w:cs="Courier New" w:eastAsia="Courier New" w:hAnsi="Courier New"/>
          <w:sz w:val="9"/>
          <w:szCs w:val="9"/>
          <w:color w:val="auto"/>
        </w:rPr>
        <w:t>acquisition by any individual, entity or group (within the meaning of Section 13(d)(3) or 14(d)(2) of the Exchange Act) (a "Person") of beneficial ownership (within the meaning of Rule 13d-3 under the Exchange Act) of 15% or more of either (i) the then-outstanding shares of Common Stock of the Company (the "Outstanding Company</w:t>
      </w:r>
    </w:p>
    <w:p>
      <w:pPr>
        <w:ind w:left="720"/>
        <w:spacing w:after="0" w:line="233" w:lineRule="auto"/>
        <w:rPr>
          <w:sz w:val="20"/>
          <w:szCs w:val="20"/>
          <w:color w:val="auto"/>
        </w:rPr>
      </w:pPr>
      <w:r>
        <w:rPr>
          <w:rFonts w:ascii="Courier New" w:cs="Courier New" w:eastAsia="Courier New" w:hAnsi="Courier New"/>
          <w:sz w:val="9"/>
          <w:szCs w:val="9"/>
          <w:color w:val="auto"/>
        </w:rPr>
        <w:t>Common Stock") or (ii) the combined voting power of the then-outstanding voting securities of the Company entitled to vote generally in the election of directors (the "Outstanding</w:t>
      </w:r>
    </w:p>
    <w:p>
      <w:pPr>
        <w:ind w:left="720" w:right="340"/>
        <w:spacing w:after="0" w:line="233" w:lineRule="auto"/>
        <w:rPr>
          <w:sz w:val="20"/>
          <w:szCs w:val="20"/>
          <w:color w:val="auto"/>
        </w:rPr>
      </w:pPr>
      <w:r>
        <w:rPr>
          <w:rFonts w:ascii="Courier New" w:cs="Courier New" w:eastAsia="Courier New" w:hAnsi="Courier New"/>
          <w:sz w:val="9"/>
          <w:szCs w:val="9"/>
          <w:color w:val="auto"/>
        </w:rPr>
        <w:t>Company Voting Securities"); provided, however, that for purposes of this subsection a., the following acquisitions shall not constitute a Change of Control: (i) any acquisition directly from the Company, (ii) any acquisition by the Company, (iii) any acquisition by any employee benefit plan (or related trust) sponsored or maintained by the Company or any corporation</w:t>
      </w:r>
    </w:p>
    <w:p>
      <w:pPr>
        <w:ind w:left="720" w:right="1620"/>
        <w:spacing w:after="0" w:line="235" w:lineRule="auto"/>
        <w:rPr>
          <w:sz w:val="20"/>
          <w:szCs w:val="20"/>
          <w:color w:val="auto"/>
        </w:rPr>
      </w:pPr>
      <w:r>
        <w:rPr>
          <w:rFonts w:ascii="Courier New" w:cs="Courier New" w:eastAsia="Courier New" w:hAnsi="Courier New"/>
          <w:sz w:val="9"/>
          <w:szCs w:val="9"/>
          <w:color w:val="auto"/>
        </w:rPr>
        <w:t>controlled by the Company, or (iv) any acquisition by any corporation pursuant to a transaction that complies with clauses (i), (ii) and (iii) of subsection c. of this Section 6; or</w:t>
      </w:r>
    </w:p>
    <w:p>
      <w:pPr>
        <w:spacing w:after="0" w:line="193"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b.</w:t>
      </w:r>
    </w:p>
    <w:p>
      <w:pPr>
        <w:ind w:left="720"/>
        <w:spacing w:after="0" w:line="233" w:lineRule="auto"/>
        <w:rPr>
          <w:sz w:val="20"/>
          <w:szCs w:val="20"/>
          <w:color w:val="auto"/>
        </w:rPr>
      </w:pPr>
      <w:r>
        <w:rPr>
          <w:rFonts w:ascii="Courier New" w:cs="Courier New" w:eastAsia="Courier New" w:hAnsi="Courier New"/>
          <w:sz w:val="9"/>
          <w:szCs w:val="9"/>
          <w:color w:val="auto"/>
        </w:rPr>
        <w:t>Individuals</w:t>
      </w:r>
    </w:p>
    <w:p>
      <w:pPr>
        <w:ind w:left="720"/>
        <w:spacing w:after="0" w:line="233" w:lineRule="auto"/>
        <w:rPr>
          <w:sz w:val="20"/>
          <w:szCs w:val="20"/>
          <w:color w:val="auto"/>
        </w:rPr>
      </w:pPr>
      <w:r>
        <w:rPr>
          <w:rFonts w:ascii="Courier New" w:cs="Courier New" w:eastAsia="Courier New" w:hAnsi="Courier New"/>
          <w:sz w:val="9"/>
          <w:szCs w:val="9"/>
          <w:color w:val="auto"/>
        </w:rPr>
        <w:t>who, as of the date hereof, constitute the Board of Directors of the Company (the "Incumbent Board") cease for any reason to constitute at least a majority of the Board;</w:t>
      </w:r>
    </w:p>
    <w:p>
      <w:pPr>
        <w:ind w:left="720"/>
        <w:spacing w:after="0" w:line="234" w:lineRule="auto"/>
        <w:rPr>
          <w:sz w:val="20"/>
          <w:szCs w:val="20"/>
          <w:color w:val="auto"/>
        </w:rPr>
      </w:pPr>
      <w:r>
        <w:rPr>
          <w:rFonts w:ascii="Courier New" w:cs="Courier New" w:eastAsia="Courier New" w:hAnsi="Courier New"/>
          <w:sz w:val="9"/>
          <w:szCs w:val="9"/>
          <w:color w:val="auto"/>
        </w:rPr>
        <w:t>provided, however, that any individual becoming a director subsequent to the date hereof whose election, or nomination for election by the Company's stockholders, was approved by a vote of at least majority of the directors then comprising the Incumbent Board shall be considered as though such individual were a member of the Incumbent Board, but excluding, for this purpose, any such individua whose initial assumption of office occurs as a result of an actual or threatened election contest with respect to the election or removal of directors or other actual or threatened solicitation of proxies or consents by or on behalf of a Person other than the Board; or</w:t>
      </w:r>
    </w:p>
    <w:p>
      <w:pPr>
        <w:spacing w:after="0" w:line="193"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c.</w:t>
      </w:r>
    </w:p>
    <w:p>
      <w:pPr>
        <w:ind w:left="720"/>
        <w:spacing w:after="0" w:line="233" w:lineRule="auto"/>
        <w:rPr>
          <w:sz w:val="20"/>
          <w:szCs w:val="20"/>
          <w:color w:val="auto"/>
        </w:rPr>
      </w:pPr>
      <w:r>
        <w:rPr>
          <w:rFonts w:ascii="Courier New" w:cs="Courier New" w:eastAsia="Courier New" w:hAnsi="Courier New"/>
          <w:sz w:val="9"/>
          <w:szCs w:val="9"/>
          <w:color w:val="auto"/>
        </w:rPr>
        <w:t>Consummation</w:t>
      </w:r>
    </w:p>
    <w:p>
      <w:pPr>
        <w:ind w:left="720"/>
        <w:spacing w:after="0" w:line="233" w:lineRule="auto"/>
        <w:rPr>
          <w:sz w:val="20"/>
          <w:szCs w:val="20"/>
          <w:color w:val="auto"/>
        </w:rPr>
      </w:pPr>
      <w:r>
        <w:rPr>
          <w:rFonts w:ascii="Courier New" w:cs="Courier New" w:eastAsia="Courier New" w:hAnsi="Courier New"/>
          <w:sz w:val="9"/>
          <w:szCs w:val="9"/>
          <w:color w:val="auto"/>
        </w:rPr>
        <w:t>of a reorganization, merger or consolidation of the Company or sale or other disposition of all or substantially all of the assets of the Company or the acquisition by</w:t>
      </w:r>
    </w:p>
    <w:p>
      <w:pPr>
        <w:ind w:left="720"/>
        <w:spacing w:after="0" w:line="233" w:lineRule="auto"/>
        <w:rPr>
          <w:sz w:val="20"/>
          <w:szCs w:val="20"/>
          <w:color w:val="auto"/>
        </w:rPr>
      </w:pPr>
      <w:r>
        <w:rPr>
          <w:rFonts w:ascii="Courier New" w:cs="Courier New" w:eastAsia="Courier New" w:hAnsi="Courier New"/>
          <w:sz w:val="9"/>
          <w:szCs w:val="9"/>
          <w:color w:val="auto"/>
        </w:rPr>
        <w:t>the Company of assets or stock of another entity (a "Business Combination"), in each case, unless, following such Business Combination, (i) all or substantially all of the individuals and</w:t>
      </w:r>
    </w:p>
    <w:p>
      <w:pPr>
        <w:ind w:left="720" w:right="60"/>
        <w:spacing w:after="0" w:line="233" w:lineRule="auto"/>
        <w:rPr>
          <w:sz w:val="20"/>
          <w:szCs w:val="20"/>
          <w:color w:val="auto"/>
        </w:rPr>
      </w:pPr>
      <w:r>
        <w:rPr>
          <w:rFonts w:ascii="Courier New" w:cs="Courier New" w:eastAsia="Courier New" w:hAnsi="Courier New"/>
          <w:sz w:val="9"/>
          <w:szCs w:val="9"/>
          <w:color w:val="auto"/>
        </w:rPr>
        <w:t>entities who were the beneficial owners, respectively, of the Outstanding Company Common Stock and Outstanding Company Voting Securities immediately prior to such Business Combination beneficially own, directly or indirectly, more than 50% of, respectively, the then-outstanding shares of common stock and the combined voting power of the then-outstanding voting securities</w:t>
      </w:r>
    </w:p>
    <w:p>
      <w:pPr>
        <w:ind w:left="720"/>
        <w:spacing w:after="0" w:line="233" w:lineRule="auto"/>
        <w:rPr>
          <w:sz w:val="20"/>
          <w:szCs w:val="20"/>
          <w:color w:val="auto"/>
        </w:rPr>
      </w:pPr>
      <w:r>
        <w:rPr>
          <w:rFonts w:ascii="Courier New" w:cs="Courier New" w:eastAsia="Courier New" w:hAnsi="Courier New"/>
          <w:sz w:val="9"/>
          <w:szCs w:val="9"/>
          <w:color w:val="auto"/>
        </w:rPr>
        <w:t>entitled to vote generally in the election of directors, as the case may be, of the corporation resulting from such Business Combination (including, without limitation, a corporation which as a res of such transaction owns the Company or all or substantially all of the Company's assets either directly or through one or more subsidiaries) in substantially the same proportions as their ownershi immediately prior to such Business Combination of the Outstanding Company Common Stock and Outstanding Company Voting Securities, as the case may be, (ii) no Person (excluding any corporation resulting from such Business Combination or any employee benefit plan (or related trust) of the Company or such corporation resulting from such Business Combination) beneficially owns, directly or indirectly, 15% or more of, respectively, the then-outstanding shares of common stock of the corporation resulting from such Business Combination, or the combined voting power of the then-outstanding voting securities of such corporation except to the extent that such ownership existed prior to the Business Combination and (iii) at least a majority of the</w:t>
      </w:r>
    </w:p>
    <w:p>
      <w:pPr>
        <w:ind w:left="720" w:right="180"/>
        <w:spacing w:after="0" w:line="235" w:lineRule="auto"/>
        <w:rPr>
          <w:sz w:val="20"/>
          <w:szCs w:val="20"/>
          <w:color w:val="auto"/>
        </w:rPr>
      </w:pPr>
      <w:r>
        <w:rPr>
          <w:rFonts w:ascii="Courier New" w:cs="Courier New" w:eastAsia="Courier New" w:hAnsi="Courier New"/>
          <w:sz w:val="9"/>
          <w:szCs w:val="9"/>
          <w:color w:val="auto"/>
        </w:rPr>
        <w:t>members of the board of directors of the corporation resulting from such Business Combination were members of the Incumbent Board at the time of the execution of the initial agreement, or of the action of the Board, providing for such Business Combination; or</w:t>
      </w:r>
    </w:p>
    <w:p>
      <w:pPr>
        <w:spacing w:after="0" w:line="292"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d.</w:t>
      </w:r>
    </w:p>
    <w:p>
      <w:pPr>
        <w:ind w:left="720"/>
        <w:spacing w:after="0" w:line="233" w:lineRule="auto"/>
        <w:rPr>
          <w:sz w:val="20"/>
          <w:szCs w:val="20"/>
          <w:color w:val="auto"/>
        </w:rPr>
      </w:pPr>
      <w:r>
        <w:rPr>
          <w:rFonts w:ascii="Courier New" w:cs="Courier New" w:eastAsia="Courier New" w:hAnsi="Courier New"/>
          <w:sz w:val="9"/>
          <w:szCs w:val="9"/>
          <w:color w:val="auto"/>
        </w:rPr>
        <w:t>Approval</w:t>
      </w:r>
    </w:p>
    <w:p>
      <w:pPr>
        <w:ind w:left="720"/>
        <w:spacing w:after="0"/>
        <w:rPr>
          <w:sz w:val="20"/>
          <w:szCs w:val="20"/>
          <w:color w:val="auto"/>
        </w:rPr>
      </w:pPr>
      <w:r>
        <w:rPr>
          <w:rFonts w:ascii="Courier New" w:cs="Courier New" w:eastAsia="Courier New" w:hAnsi="Courier New"/>
          <w:sz w:val="9"/>
          <w:szCs w:val="9"/>
          <w:color w:val="auto"/>
        </w:rPr>
        <w:t>by the stockholders of the Company of a complete liquidation or dissolution of the Company.</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7.</w:t>
      </w:r>
    </w:p>
    <w:p>
      <w:pPr>
        <w:ind w:left="360"/>
        <w:spacing w:after="0" w:line="233" w:lineRule="auto"/>
        <w:tabs>
          <w:tab w:leader="none" w:pos="1900" w:val="left"/>
        </w:tabs>
        <w:rPr>
          <w:sz w:val="20"/>
          <w:szCs w:val="20"/>
          <w:color w:val="auto"/>
        </w:rPr>
      </w:pPr>
      <w:r>
        <w:rPr>
          <w:rFonts w:ascii="Courier New" w:cs="Courier New" w:eastAsia="Courier New" w:hAnsi="Courier New"/>
          <w:sz w:val="9"/>
          <w:szCs w:val="9"/>
          <w:b w:val="1"/>
          <w:bCs w:val="1"/>
          <w:color w:val="auto"/>
        </w:rPr>
        <w:t>Administration of the Plan.</w:t>
      </w:r>
      <w:r>
        <w:rPr>
          <w:sz w:val="20"/>
          <w:szCs w:val="20"/>
          <w:color w:val="auto"/>
        </w:rPr>
        <w:tab/>
      </w:r>
      <w:r>
        <w:rPr>
          <w:rFonts w:ascii="Courier New" w:cs="Courier New" w:eastAsia="Courier New" w:hAnsi="Courier New"/>
          <w:sz w:val="9"/>
          <w:szCs w:val="9"/>
          <w:color w:val="auto"/>
        </w:rPr>
        <w:t>The Plan shall be administered by a committee composed of those members of the Board of</w:t>
      </w:r>
    </w:p>
    <w:p>
      <w:pPr>
        <w:ind w:left="360" w:right="260"/>
        <w:spacing w:after="0" w:line="234" w:lineRule="auto"/>
        <w:rPr>
          <w:sz w:val="20"/>
          <w:szCs w:val="20"/>
          <w:color w:val="auto"/>
        </w:rPr>
      </w:pPr>
      <w:r>
        <w:rPr>
          <w:rFonts w:ascii="Courier New" w:cs="Courier New" w:eastAsia="Courier New" w:hAnsi="Courier New"/>
          <w:sz w:val="9"/>
          <w:szCs w:val="9"/>
          <w:color w:val="auto"/>
        </w:rPr>
        <w:t>Directors of the Company who are also employees of the Company (the "Committee"). The Committee shall have the authority to carry out all provisions of the Plan; provided, however, that it shall have no discretion to determine which Nonemployee Directors may receive Directors Shares or Directors Options or to set the value of such Directors Shares or Directors Options, other than to make the calculations required by Section 3.a. and Section 3.b.</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8.</w:t>
      </w:r>
    </w:p>
    <w:p>
      <w:pPr>
        <w:ind w:left="360" w:right="5020"/>
        <w:spacing w:after="0" w:line="235" w:lineRule="auto"/>
        <w:rPr>
          <w:sz w:val="20"/>
          <w:szCs w:val="20"/>
          <w:color w:val="auto"/>
        </w:rPr>
      </w:pPr>
      <w:r>
        <w:rPr>
          <w:rFonts w:ascii="Courier New" w:cs="Courier New" w:eastAsia="Courier New" w:hAnsi="Courier New"/>
          <w:sz w:val="9"/>
          <w:szCs w:val="9"/>
          <w:b w:val="1"/>
          <w:bCs w:val="1"/>
          <w:color w:val="auto"/>
        </w:rPr>
        <w:t xml:space="preserve">Term of Plan. </w:t>
      </w:r>
      <w:r>
        <w:rPr>
          <w:rFonts w:ascii="Courier New" w:cs="Courier New" w:eastAsia="Courier New" w:hAnsi="Courier New"/>
          <w:sz w:val="9"/>
          <w:szCs w:val="9"/>
          <w:color w:val="auto"/>
        </w:rPr>
        <w:t>The Plan became effective on August 20, 1992 and shall be perpetual, unless sooner terminated by</w:t>
      </w:r>
      <w:r>
        <w:rPr>
          <w:rFonts w:ascii="Courier New" w:cs="Courier New" w:eastAsia="Courier New" w:hAnsi="Courier New"/>
          <w:sz w:val="9"/>
          <w:szCs w:val="9"/>
          <w:b w:val="1"/>
          <w:bCs w:val="1"/>
          <w:color w:val="auto"/>
        </w:rPr>
        <w:t xml:space="preserve"> </w:t>
      </w:r>
      <w:r>
        <w:rPr>
          <w:rFonts w:ascii="Courier New" w:cs="Courier New" w:eastAsia="Courier New" w:hAnsi="Courier New"/>
          <w:sz w:val="9"/>
          <w:szCs w:val="9"/>
          <w:color w:val="auto"/>
        </w:rPr>
        <w:t>action of the Board of Directors.</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9.</w:t>
      </w:r>
    </w:p>
    <w:p>
      <w:pPr>
        <w:ind w:left="360"/>
        <w:spacing w:after="0" w:line="233" w:lineRule="auto"/>
        <w:tabs>
          <w:tab w:leader="none" w:pos="980" w:val="left"/>
        </w:tabs>
        <w:rPr>
          <w:sz w:val="20"/>
          <w:szCs w:val="20"/>
          <w:color w:val="auto"/>
        </w:rPr>
      </w:pPr>
      <w:r>
        <w:rPr>
          <w:rFonts w:ascii="Courier New" w:cs="Courier New" w:eastAsia="Courier New" w:hAnsi="Courier New"/>
          <w:sz w:val="9"/>
          <w:szCs w:val="9"/>
          <w:b w:val="1"/>
          <w:bCs w:val="1"/>
          <w:color w:val="auto"/>
        </w:rPr>
        <w:t>Amendment.</w:t>
      </w:r>
      <w:r>
        <w:rPr>
          <w:sz w:val="20"/>
          <w:szCs w:val="20"/>
          <w:color w:val="auto"/>
        </w:rPr>
        <w:tab/>
      </w:r>
      <w:r>
        <w:rPr>
          <w:rFonts w:ascii="Courier New" w:cs="Courier New" w:eastAsia="Courier New" w:hAnsi="Courier New"/>
          <w:sz w:val="9"/>
          <w:szCs w:val="9"/>
          <w:color w:val="auto"/>
        </w:rPr>
        <w:t>The effective date of any amendment to the Plan shall be the date of its adoption by the Board of</w:t>
      </w:r>
    </w:p>
    <w:p>
      <w:pPr>
        <w:ind w:left="360" w:right="540"/>
        <w:spacing w:after="0" w:line="235" w:lineRule="auto"/>
        <w:rPr>
          <w:sz w:val="20"/>
          <w:szCs w:val="20"/>
          <w:color w:val="auto"/>
        </w:rPr>
      </w:pPr>
      <w:r>
        <w:rPr>
          <w:rFonts w:ascii="Courier New" w:cs="Courier New" w:eastAsia="Courier New" w:hAnsi="Courier New"/>
          <w:sz w:val="9"/>
          <w:szCs w:val="9"/>
          <w:color w:val="auto"/>
        </w:rPr>
        <w:t>Directors. No amendment of the Plan shall adversely affect in a material manner any right of any option holder with respect to any option theretofore granted without such option holder's written consent.</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10.</w:t>
      </w:r>
    </w:p>
    <w:p>
      <w:pPr>
        <w:ind w:left="360"/>
        <w:spacing w:after="0"/>
        <w:tabs>
          <w:tab w:leader="none" w:pos="1200" w:val="left"/>
        </w:tabs>
        <w:rPr>
          <w:sz w:val="20"/>
          <w:szCs w:val="20"/>
          <w:color w:val="auto"/>
        </w:rPr>
      </w:pPr>
      <w:r>
        <w:rPr>
          <w:rFonts w:ascii="Courier New" w:cs="Courier New" w:eastAsia="Courier New" w:hAnsi="Courier New"/>
          <w:sz w:val="9"/>
          <w:szCs w:val="9"/>
          <w:b w:val="1"/>
          <w:bCs w:val="1"/>
          <w:color w:val="auto"/>
        </w:rPr>
        <w:t>Governing Law.</w:t>
      </w:r>
      <w:r>
        <w:rPr>
          <w:sz w:val="20"/>
          <w:szCs w:val="20"/>
          <w:color w:val="auto"/>
        </w:rPr>
        <w:tab/>
      </w:r>
      <w:r>
        <w:rPr>
          <w:rFonts w:ascii="Courier New" w:cs="Courier New" w:eastAsia="Courier New" w:hAnsi="Courier New"/>
          <w:sz w:val="8"/>
          <w:szCs w:val="8"/>
          <w:color w:val="auto"/>
        </w:rPr>
        <w:t>The Plan, options and awards granted under the Plan and agreements entered into under the Plan shall</w:t>
      </w:r>
    </w:p>
    <w:p>
      <w:pPr>
        <w:ind w:left="360" w:right="200"/>
        <w:spacing w:after="0" w:line="235" w:lineRule="auto"/>
        <w:rPr>
          <w:sz w:val="20"/>
          <w:szCs w:val="20"/>
          <w:color w:val="auto"/>
        </w:rPr>
      </w:pPr>
      <w:r>
        <w:rPr>
          <w:rFonts w:ascii="Courier New" w:cs="Courier New" w:eastAsia="Courier New" w:hAnsi="Courier New"/>
          <w:sz w:val="9"/>
          <w:szCs w:val="9"/>
          <w:color w:val="auto"/>
        </w:rPr>
        <w:t>be construed, administered and governed in all respects under and by the applicable laws of the State of Delaware, excluding any conflicts or choice of law rule or principle that might otherwise refer construction or interpretation of the Plan or an option or an award or agreement to the substantive law of another jurisdiction.</w:t>
      </w:r>
    </w:p>
    <w:p>
      <w:pPr>
        <w:sectPr>
          <w:pgSz w:w="11900" w:h="16838" w:orient="portrait"/>
          <w:cols w:equalWidth="0" w:num="1">
            <w:col w:w="11360"/>
          </w:cols>
          <w:pgMar w:left="300" w:top="136" w:right="239" w:bottom="151" w:gutter="0" w:footer="0" w:header="0"/>
        </w:sectPr>
      </w:pPr>
    </w:p>
    <w:bookmarkStart w:id="16" w:name="page17"/>
    <w:bookmarkEnd w:id="16"/>
    <w:p>
      <w:pPr>
        <w:ind w:left="5240"/>
        <w:spacing w:after="0"/>
        <w:rPr>
          <w:sz w:val="20"/>
          <w:szCs w:val="20"/>
          <w:color w:val="auto"/>
        </w:rPr>
      </w:pPr>
      <w:r>
        <w:rPr>
          <w:rFonts w:ascii="Courier New" w:cs="Courier New" w:eastAsia="Courier New" w:hAnsi="Courier New"/>
          <w:sz w:val="9"/>
          <w:szCs w:val="9"/>
          <w:b w:val="1"/>
          <w:bCs w:val="1"/>
          <w:color w:val="auto"/>
        </w:rPr>
        <w:t>THE TORO COMPANY</w:t>
      </w:r>
    </w:p>
    <w:p>
      <w:pPr>
        <w:ind w:left="5020"/>
        <w:spacing w:after="0"/>
        <w:rPr>
          <w:sz w:val="20"/>
          <w:szCs w:val="20"/>
          <w:color w:val="auto"/>
        </w:rPr>
      </w:pPr>
      <w:r>
        <w:rPr>
          <w:rFonts w:ascii="Courier New" w:cs="Courier New" w:eastAsia="Courier New" w:hAnsi="Courier New"/>
          <w:sz w:val="9"/>
          <w:szCs w:val="9"/>
          <w:b w:val="1"/>
          <w:bCs w:val="1"/>
          <w:color w:val="auto"/>
        </w:rPr>
        <w:t>2000 STOCK OPTION PLAN</w:t>
      </w:r>
    </w:p>
    <w:p>
      <w:pPr>
        <w:spacing w:after="0" w:line="246"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1.</w:t>
      </w:r>
    </w:p>
    <w:p>
      <w:pPr>
        <w:ind w:left="360"/>
        <w:spacing w:after="0"/>
        <w:tabs>
          <w:tab w:leader="none" w:pos="880" w:val="left"/>
        </w:tabs>
        <w:rPr>
          <w:sz w:val="20"/>
          <w:szCs w:val="20"/>
          <w:color w:val="auto"/>
        </w:rPr>
      </w:pPr>
      <w:r>
        <w:rPr>
          <w:rFonts w:ascii="Courier New" w:cs="Courier New" w:eastAsia="Courier New" w:hAnsi="Courier New"/>
          <w:sz w:val="9"/>
          <w:szCs w:val="9"/>
          <w:b w:val="1"/>
          <w:bCs w:val="1"/>
          <w:color w:val="auto"/>
        </w:rPr>
        <w:t>Purpose</w:t>
      </w:r>
      <w:r>
        <w:rPr>
          <w:rFonts w:ascii="Courier New" w:cs="Courier New" w:eastAsia="Courier New" w:hAnsi="Courier New"/>
          <w:sz w:val="9"/>
          <w:szCs w:val="9"/>
          <w:color w:val="auto"/>
        </w:rPr>
        <w:t>.</w:t>
      </w:r>
      <w:r>
        <w:rPr>
          <w:sz w:val="20"/>
          <w:szCs w:val="20"/>
          <w:color w:val="auto"/>
        </w:rPr>
        <w:tab/>
      </w:r>
      <w:r>
        <w:rPr>
          <w:rFonts w:ascii="Courier New" w:cs="Courier New" w:eastAsia="Courier New" w:hAnsi="Courier New"/>
          <w:sz w:val="8"/>
          <w:szCs w:val="8"/>
          <w:color w:val="auto"/>
        </w:rPr>
        <w:t>The purpose of The Toro Company 2000 Stock Option Plan (the "Plan") is to enhance stockholder value of The</w:t>
      </w:r>
    </w:p>
    <w:p>
      <w:pPr>
        <w:ind w:left="360"/>
        <w:spacing w:after="0" w:line="233" w:lineRule="auto"/>
        <w:rPr>
          <w:sz w:val="20"/>
          <w:szCs w:val="20"/>
          <w:color w:val="auto"/>
        </w:rPr>
      </w:pPr>
      <w:r>
        <w:rPr>
          <w:rFonts w:ascii="Courier New" w:cs="Courier New" w:eastAsia="Courier New" w:hAnsi="Courier New"/>
          <w:sz w:val="9"/>
          <w:szCs w:val="9"/>
          <w:color w:val="auto"/>
        </w:rPr>
        <w:t>Toro Company (the "Company") by providing an incentive to key employees and other key individuals who perform services for the Company, to contribute significantly to the long-term</w:t>
      </w:r>
    </w:p>
    <w:p>
      <w:pPr>
        <w:ind w:left="360" w:right="260"/>
        <w:spacing w:after="0" w:line="234" w:lineRule="auto"/>
        <w:rPr>
          <w:sz w:val="20"/>
          <w:szCs w:val="20"/>
          <w:color w:val="auto"/>
        </w:rPr>
      </w:pPr>
      <w:r>
        <w:rPr>
          <w:rFonts w:ascii="Courier New" w:cs="Courier New" w:eastAsia="Courier New" w:hAnsi="Courier New"/>
          <w:sz w:val="9"/>
          <w:szCs w:val="9"/>
          <w:color w:val="auto"/>
        </w:rPr>
        <w:t>performance and growth of the Company; to link a significant portion of a participant's compensation to the value of the Company's Common Stock, par value $1.00 per share, and related Preferred Share Purchase Rights ("Common Stock"); and to attract and retain experienced and knowledgeable employees on a competitive basis. These purposes are expected to be achieved by granting options to acquire the Common Stock ("options").</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2.</w:t>
      </w:r>
    </w:p>
    <w:p>
      <w:pPr>
        <w:ind w:left="360"/>
        <w:spacing w:after="0" w:line="233" w:lineRule="auto"/>
        <w:tabs>
          <w:tab w:leader="none" w:pos="1080" w:val="left"/>
        </w:tabs>
        <w:rPr>
          <w:sz w:val="20"/>
          <w:szCs w:val="20"/>
          <w:color w:val="auto"/>
        </w:rPr>
      </w:pPr>
      <w:r>
        <w:rPr>
          <w:rFonts w:ascii="Courier New" w:cs="Courier New" w:eastAsia="Courier New" w:hAnsi="Courier New"/>
          <w:sz w:val="9"/>
          <w:szCs w:val="9"/>
          <w:b w:val="1"/>
          <w:bCs w:val="1"/>
          <w:color w:val="auto"/>
        </w:rPr>
        <w:t>Eligibility</w:t>
      </w:r>
      <w:r>
        <w:rPr>
          <w:rFonts w:ascii="Courier New" w:cs="Courier New" w:eastAsia="Courier New" w:hAnsi="Courier New"/>
          <w:sz w:val="9"/>
          <w:szCs w:val="9"/>
          <w:color w:val="auto"/>
        </w:rPr>
        <w:t>.</w:t>
      </w:r>
      <w:r>
        <w:rPr>
          <w:sz w:val="20"/>
          <w:szCs w:val="20"/>
          <w:color w:val="auto"/>
        </w:rPr>
        <w:tab/>
      </w:r>
      <w:r>
        <w:rPr>
          <w:rFonts w:ascii="Courier New" w:cs="Courier New" w:eastAsia="Courier New" w:hAnsi="Courier New"/>
          <w:sz w:val="9"/>
          <w:szCs w:val="9"/>
          <w:color w:val="auto"/>
        </w:rPr>
        <w:t>Any employee of the Company who is regularly employed in an executive, managerial, professional or</w:t>
      </w:r>
    </w:p>
    <w:p>
      <w:pPr>
        <w:ind w:left="360" w:right="900"/>
        <w:spacing w:after="0" w:line="235" w:lineRule="auto"/>
        <w:rPr>
          <w:sz w:val="20"/>
          <w:szCs w:val="20"/>
          <w:color w:val="auto"/>
        </w:rPr>
      </w:pPr>
      <w:r>
        <w:rPr>
          <w:rFonts w:ascii="Courier New" w:cs="Courier New" w:eastAsia="Courier New" w:hAnsi="Courier New"/>
          <w:sz w:val="9"/>
          <w:szCs w:val="9"/>
          <w:color w:val="auto"/>
        </w:rPr>
        <w:t>technical position and any other individual who performs services for the Company and who contributes significantly to the strategic and long-term performance objectives of the Company is eligible to participate in the Plan. Options may be granted to directors of the Company who are also employees of the Company. More than one option may be granted to the same individual.</w:t>
      </w:r>
    </w:p>
    <w:p>
      <w:pPr>
        <w:spacing w:after="0" w:line="200" w:lineRule="exact"/>
        <w:rPr>
          <w:sz w:val="20"/>
          <w:szCs w:val="20"/>
          <w:color w:val="auto"/>
        </w:rPr>
      </w:pPr>
    </w:p>
    <w:p>
      <w:pPr>
        <w:spacing w:after="0" w:line="380"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a.</w:t>
      </w:r>
    </w:p>
    <w:p>
      <w:pPr>
        <w:ind w:left="720"/>
        <w:spacing w:after="0" w:line="233" w:lineRule="auto"/>
        <w:tabs>
          <w:tab w:leader="none" w:pos="1440" w:val="left"/>
        </w:tabs>
        <w:rPr>
          <w:sz w:val="20"/>
          <w:szCs w:val="20"/>
          <w:color w:val="auto"/>
        </w:rPr>
      </w:pPr>
      <w:r>
        <w:rPr>
          <w:rFonts w:ascii="Courier New" w:cs="Courier New" w:eastAsia="Courier New" w:hAnsi="Courier New"/>
          <w:sz w:val="9"/>
          <w:szCs w:val="9"/>
          <w:b w:val="1"/>
          <w:bCs w:val="1"/>
          <w:color w:val="auto"/>
        </w:rPr>
        <w:t>Limitations</w:t>
      </w:r>
      <w:r>
        <w:rPr>
          <w:rFonts w:ascii="Courier New" w:cs="Courier New" w:eastAsia="Courier New" w:hAnsi="Courier New"/>
          <w:sz w:val="9"/>
          <w:szCs w:val="9"/>
          <w:color w:val="auto"/>
        </w:rPr>
        <w:t>.</w:t>
      </w:r>
      <w:r>
        <w:rPr>
          <w:sz w:val="20"/>
          <w:szCs w:val="20"/>
          <w:color w:val="auto"/>
        </w:rPr>
        <w:tab/>
      </w:r>
      <w:r>
        <w:rPr>
          <w:rFonts w:ascii="Courier New" w:cs="Courier New" w:eastAsia="Courier New" w:hAnsi="Courier New"/>
          <w:sz w:val="9"/>
          <w:szCs w:val="9"/>
          <w:color w:val="auto"/>
        </w:rPr>
        <w:t>No option may be granted to an individual who owns, directly or indirectly, Common Stock or other</w:t>
      </w:r>
    </w:p>
    <w:p>
      <w:pPr>
        <w:ind w:left="720"/>
        <w:spacing w:after="0" w:line="234" w:lineRule="auto"/>
        <w:rPr>
          <w:sz w:val="20"/>
          <w:szCs w:val="20"/>
          <w:color w:val="auto"/>
        </w:rPr>
      </w:pPr>
      <w:r>
        <w:rPr>
          <w:rFonts w:ascii="Courier New" w:cs="Courier New" w:eastAsia="Courier New" w:hAnsi="Courier New"/>
          <w:sz w:val="9"/>
          <w:szCs w:val="9"/>
          <w:color w:val="auto"/>
        </w:rPr>
        <w:t>capital stock of the Company possessing more than 5% of the total combined voting power or value of any class of capital stock of the Company or a subsidiary immediately after such option is grante and the maximum number of shares that may be covered by options granted to any individual during any calendar year shall be 100,000 shares. Except for the foregoing limitations, there is no minimum maximum number of shares of Common Stock with respect to which options may be granted to any individual under the Plan. Individuals to whom options are granted are at times referred to as "option 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3.</w:t>
      </w:r>
    </w:p>
    <w:p>
      <w:pPr>
        <w:ind w:left="360"/>
        <w:spacing w:after="0"/>
        <w:rPr>
          <w:sz w:val="20"/>
          <w:szCs w:val="20"/>
          <w:color w:val="auto"/>
        </w:rPr>
      </w:pPr>
      <w:r>
        <w:rPr>
          <w:rFonts w:ascii="Courier New" w:cs="Courier New" w:eastAsia="Courier New" w:hAnsi="Courier New"/>
          <w:sz w:val="9"/>
          <w:szCs w:val="9"/>
          <w:b w:val="1"/>
          <w:bCs w:val="1"/>
          <w:color w:val="auto"/>
        </w:rPr>
        <w:t>Stock Options</w:t>
      </w:r>
      <w:r>
        <w:rPr>
          <w:rFonts w:ascii="Courier New" w:cs="Courier New" w:eastAsia="Courier New" w:hAnsi="Courier New"/>
          <w:sz w:val="9"/>
          <w:szCs w:val="9"/>
          <w:color w:val="auto"/>
        </w:rPr>
        <w:t>.</w:t>
      </w:r>
    </w:p>
    <w:p>
      <w:pPr>
        <w:spacing w:after="0" w:line="200" w:lineRule="exact"/>
        <w:rPr>
          <w:sz w:val="20"/>
          <w:szCs w:val="20"/>
          <w:color w:val="auto"/>
        </w:rPr>
      </w:pPr>
    </w:p>
    <w:p>
      <w:pPr>
        <w:spacing w:after="0" w:line="379"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a.</w:t>
      </w:r>
    </w:p>
    <w:p>
      <w:pPr>
        <w:ind w:left="720"/>
        <w:spacing w:after="0"/>
        <w:tabs>
          <w:tab w:leader="none" w:pos="2420" w:val="left"/>
        </w:tabs>
        <w:rPr>
          <w:sz w:val="20"/>
          <w:szCs w:val="20"/>
          <w:color w:val="auto"/>
        </w:rPr>
      </w:pPr>
      <w:r>
        <w:rPr>
          <w:rFonts w:ascii="Courier New" w:cs="Courier New" w:eastAsia="Courier New" w:hAnsi="Courier New"/>
          <w:sz w:val="9"/>
          <w:szCs w:val="9"/>
          <w:b w:val="1"/>
          <w:bCs w:val="1"/>
          <w:color w:val="auto"/>
        </w:rPr>
        <w:t>ISOs and Nonqualified Options</w:t>
      </w:r>
      <w:r>
        <w:rPr>
          <w:rFonts w:ascii="Courier New" w:cs="Courier New" w:eastAsia="Courier New" w:hAnsi="Courier New"/>
          <w:sz w:val="9"/>
          <w:szCs w:val="9"/>
          <w:color w:val="auto"/>
        </w:rPr>
        <w:t>.</w:t>
      </w:r>
      <w:r>
        <w:rPr>
          <w:sz w:val="20"/>
          <w:szCs w:val="20"/>
          <w:color w:val="auto"/>
        </w:rPr>
        <w:tab/>
      </w:r>
      <w:r>
        <w:rPr>
          <w:rFonts w:ascii="Courier New" w:cs="Courier New" w:eastAsia="Courier New" w:hAnsi="Courier New"/>
          <w:sz w:val="8"/>
          <w:szCs w:val="8"/>
          <w:color w:val="auto"/>
        </w:rPr>
        <w:t>Options granted under the Plan may be either nonqualified stock options ("nonqualified</w:t>
      </w:r>
    </w:p>
    <w:p>
      <w:pPr>
        <w:ind w:left="720"/>
        <w:spacing w:after="0"/>
        <w:rPr>
          <w:sz w:val="20"/>
          <w:szCs w:val="20"/>
          <w:color w:val="auto"/>
        </w:rPr>
      </w:pPr>
      <w:r>
        <w:rPr>
          <w:rFonts w:ascii="Courier New" w:cs="Courier New" w:eastAsia="Courier New" w:hAnsi="Courier New"/>
          <w:sz w:val="9"/>
          <w:szCs w:val="9"/>
          <w:color w:val="auto"/>
        </w:rPr>
        <w:t>options") or incentive stock options ("Incentive Stock Options") as defined in Section 422 of the Internal Revenue Code of 1986, as amended (the "Code").</w:t>
      </w:r>
    </w:p>
    <w:p>
      <w:pPr>
        <w:spacing w:after="0" w:line="200" w:lineRule="exact"/>
        <w:rPr>
          <w:sz w:val="20"/>
          <w:szCs w:val="20"/>
          <w:color w:val="auto"/>
        </w:rPr>
      </w:pPr>
    </w:p>
    <w:p>
      <w:pPr>
        <w:spacing w:after="0" w:line="379" w:lineRule="exact"/>
        <w:rPr>
          <w:sz w:val="20"/>
          <w:szCs w:val="20"/>
          <w:color w:val="auto"/>
        </w:rPr>
      </w:pPr>
    </w:p>
    <w:p>
      <w:pPr>
        <w:ind w:left="720"/>
        <w:spacing w:after="0"/>
        <w:rPr>
          <w:sz w:val="20"/>
          <w:szCs w:val="20"/>
          <w:color w:val="auto"/>
        </w:rPr>
      </w:pPr>
      <w:r>
        <w:rPr>
          <w:rFonts w:ascii="Courier New" w:cs="Courier New" w:eastAsia="Courier New" w:hAnsi="Courier New"/>
          <w:sz w:val="9"/>
          <w:szCs w:val="9"/>
          <w:color w:val="auto"/>
        </w:rPr>
        <w:t>i.</w:t>
      </w:r>
    </w:p>
    <w:p>
      <w:pPr>
        <w:ind w:left="1080"/>
        <w:spacing w:after="0"/>
        <w:tabs>
          <w:tab w:leader="none" w:pos="2460" w:val="left"/>
        </w:tabs>
        <w:rPr>
          <w:sz w:val="20"/>
          <w:szCs w:val="20"/>
          <w:color w:val="auto"/>
        </w:rPr>
      </w:pPr>
      <w:r>
        <w:rPr>
          <w:rFonts w:ascii="Courier New" w:cs="Courier New" w:eastAsia="Courier New" w:hAnsi="Courier New"/>
          <w:sz w:val="9"/>
          <w:szCs w:val="9"/>
          <w:b w:val="1"/>
          <w:bCs w:val="1"/>
          <w:i w:val="1"/>
          <w:iCs w:val="1"/>
          <w:color w:val="auto"/>
        </w:rPr>
        <w:t>Incentive Stock Options</w:t>
      </w:r>
      <w:r>
        <w:rPr>
          <w:rFonts w:ascii="Courier New" w:cs="Courier New" w:eastAsia="Courier New" w:hAnsi="Courier New"/>
          <w:sz w:val="9"/>
          <w:szCs w:val="9"/>
          <w:color w:val="auto"/>
        </w:rPr>
        <w:t>.</w:t>
      </w:r>
      <w:r>
        <w:rPr>
          <w:sz w:val="20"/>
          <w:szCs w:val="20"/>
          <w:color w:val="auto"/>
        </w:rPr>
        <w:tab/>
      </w:r>
      <w:r>
        <w:rPr>
          <w:rFonts w:ascii="Courier New" w:cs="Courier New" w:eastAsia="Courier New" w:hAnsi="Courier New"/>
          <w:sz w:val="8"/>
          <w:szCs w:val="8"/>
          <w:color w:val="auto"/>
        </w:rPr>
        <w:t>Incentive Stock Options shall meet the applicable</w:t>
      </w:r>
    </w:p>
    <w:p>
      <w:pPr>
        <w:jc w:val="both"/>
        <w:ind w:left="1080"/>
        <w:spacing w:after="0" w:line="233" w:lineRule="auto"/>
        <w:rPr>
          <w:sz w:val="20"/>
          <w:szCs w:val="20"/>
          <w:color w:val="auto"/>
        </w:rPr>
      </w:pPr>
      <w:r>
        <w:rPr>
          <w:rFonts w:ascii="Courier New" w:cs="Courier New" w:eastAsia="Courier New" w:hAnsi="Courier New"/>
          <w:sz w:val="9"/>
          <w:szCs w:val="9"/>
          <w:color w:val="auto"/>
        </w:rPr>
        <w:t>requirements of, and contain or be deemed to contain all provisions required by, the Code or corresponding provisions of subsequent revenue laws and regulations in effect at the time such opt granted. Any ambiguities in construction shall be interpreted in order to effectuate such intent. To the extent that the aggregate fair market value of Common Stock (determined at the time of the Incentive Stock Option) with respect to which Incentive Stock Options are exercisable for the first time by an option holder during any calendar year (under all such plans of the Company parent and subsidiary corporations) exceeds $100,000 or such other limit as may be imposed by the Code, such options to the extent they exceed such limit shall be treated as options which are Incentive Stock Options. In applying the foregoing limitation, options shall be taken into account in the order in which they were granted.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b.</w:t>
      </w:r>
    </w:p>
    <w:p>
      <w:pPr>
        <w:ind w:left="720" w:right="4320"/>
        <w:spacing w:after="0" w:line="235" w:lineRule="auto"/>
        <w:rPr>
          <w:sz w:val="20"/>
          <w:szCs w:val="20"/>
          <w:color w:val="auto"/>
        </w:rPr>
      </w:pPr>
      <w:r>
        <w:rPr>
          <w:rFonts w:ascii="Courier New" w:cs="Courier New" w:eastAsia="Courier New" w:hAnsi="Courier New"/>
          <w:sz w:val="9"/>
          <w:szCs w:val="9"/>
          <w:b w:val="1"/>
          <w:bCs w:val="1"/>
          <w:color w:val="auto"/>
        </w:rPr>
        <w:t>Agreements</w:t>
      </w:r>
      <w:r>
        <w:rPr>
          <w:rFonts w:ascii="Courier New" w:cs="Courier New" w:eastAsia="Courier New" w:hAnsi="Courier New"/>
          <w:sz w:val="9"/>
          <w:szCs w:val="9"/>
          <w:color w:val="auto"/>
        </w:rPr>
        <w:t>. Options shall be evidenced by stock option agreements in such form and not inconsistent with the Plan as</w:t>
      </w:r>
      <w:r>
        <w:rPr>
          <w:rFonts w:ascii="Courier New" w:cs="Courier New" w:eastAsia="Courier New" w:hAnsi="Courier New"/>
          <w:sz w:val="9"/>
          <w:szCs w:val="9"/>
          <w:b w:val="1"/>
          <w:bCs w:val="1"/>
          <w:color w:val="auto"/>
        </w:rPr>
        <w:t xml:space="preserve"> </w:t>
      </w:r>
      <w:r>
        <w:rPr>
          <w:rFonts w:ascii="Courier New" w:cs="Courier New" w:eastAsia="Courier New" w:hAnsi="Courier New"/>
          <w:sz w:val="9"/>
          <w:szCs w:val="9"/>
          <w:color w:val="auto"/>
        </w:rPr>
        <w:t>the Compensation Committee (the "Committee") of the Board of Directors shall approve from time to time.</w:t>
      </w:r>
    </w:p>
    <w:p>
      <w:pPr>
        <w:spacing w:after="0" w:line="193"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c.</w:t>
      </w:r>
    </w:p>
    <w:p>
      <w:pPr>
        <w:ind w:left="720"/>
        <w:spacing w:after="0"/>
        <w:tabs>
          <w:tab w:leader="none" w:pos="3020" w:val="left"/>
        </w:tabs>
        <w:rPr>
          <w:sz w:val="20"/>
          <w:szCs w:val="20"/>
          <w:color w:val="auto"/>
        </w:rPr>
      </w:pPr>
      <w:r>
        <w:rPr>
          <w:rFonts w:ascii="Courier New" w:cs="Courier New" w:eastAsia="Courier New" w:hAnsi="Courier New"/>
          <w:sz w:val="9"/>
          <w:szCs w:val="9"/>
          <w:b w:val="1"/>
          <w:bCs w:val="1"/>
          <w:color w:val="auto"/>
        </w:rPr>
        <w:t>Number of Shares, Date of Grant and Term</w:t>
      </w:r>
      <w:r>
        <w:rPr>
          <w:rFonts w:ascii="Courier New" w:cs="Courier New" w:eastAsia="Courier New" w:hAnsi="Courier New"/>
          <w:sz w:val="9"/>
          <w:szCs w:val="9"/>
          <w:color w:val="auto"/>
        </w:rPr>
        <w:t>.</w:t>
      </w:r>
      <w:r>
        <w:rPr>
          <w:sz w:val="20"/>
          <w:szCs w:val="20"/>
          <w:color w:val="auto"/>
        </w:rPr>
        <w:tab/>
      </w:r>
      <w:r>
        <w:rPr>
          <w:rFonts w:ascii="Courier New" w:cs="Courier New" w:eastAsia="Courier New" w:hAnsi="Courier New"/>
          <w:sz w:val="8"/>
          <w:szCs w:val="8"/>
          <w:color w:val="auto"/>
        </w:rPr>
        <w:t>An option agreement shall specify the number of shares of Common Stock to</w:t>
      </w:r>
    </w:p>
    <w:p>
      <w:pPr>
        <w:ind w:left="720" w:right="1360"/>
        <w:spacing w:after="0" w:line="235" w:lineRule="auto"/>
        <w:rPr>
          <w:sz w:val="20"/>
          <w:szCs w:val="20"/>
          <w:color w:val="auto"/>
        </w:rPr>
      </w:pPr>
      <w:r>
        <w:rPr>
          <w:rFonts w:ascii="Courier New" w:cs="Courier New" w:eastAsia="Courier New" w:hAnsi="Courier New"/>
          <w:sz w:val="9"/>
          <w:szCs w:val="9"/>
          <w:color w:val="auto"/>
        </w:rPr>
        <w:t>which it pertains; the date of grant, which shall be the date on which the Committee grants an option or any later date which the Committee specifically designates, and the term of the option, which shall not exceed ten years.</w:t>
      </w:r>
    </w:p>
    <w:p>
      <w:pPr>
        <w:spacing w:after="0" w:line="292"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d.</w:t>
      </w:r>
    </w:p>
    <w:p>
      <w:pPr>
        <w:ind w:left="720"/>
        <w:spacing w:after="0"/>
        <w:tabs>
          <w:tab w:leader="none" w:pos="1620" w:val="left"/>
        </w:tabs>
        <w:rPr>
          <w:sz w:val="20"/>
          <w:szCs w:val="20"/>
          <w:color w:val="auto"/>
        </w:rPr>
      </w:pPr>
      <w:r>
        <w:rPr>
          <w:rFonts w:ascii="Courier New" w:cs="Courier New" w:eastAsia="Courier New" w:hAnsi="Courier New"/>
          <w:sz w:val="9"/>
          <w:szCs w:val="9"/>
          <w:b w:val="1"/>
          <w:bCs w:val="1"/>
          <w:color w:val="auto"/>
        </w:rPr>
        <w:t>Exercise Price</w:t>
      </w:r>
      <w:r>
        <w:rPr>
          <w:rFonts w:ascii="Courier New" w:cs="Courier New" w:eastAsia="Courier New" w:hAnsi="Courier New"/>
          <w:sz w:val="9"/>
          <w:szCs w:val="9"/>
          <w:color w:val="auto"/>
        </w:rPr>
        <w:t>.</w:t>
      </w:r>
      <w:r>
        <w:rPr>
          <w:sz w:val="20"/>
          <w:szCs w:val="20"/>
          <w:color w:val="auto"/>
        </w:rPr>
        <w:tab/>
      </w:r>
      <w:r>
        <w:rPr>
          <w:rFonts w:ascii="Courier New" w:cs="Courier New" w:eastAsia="Courier New" w:hAnsi="Courier New"/>
          <w:sz w:val="8"/>
          <w:szCs w:val="8"/>
          <w:color w:val="auto"/>
        </w:rPr>
        <w:t>The exercise price of an option shall be not less than 100% of fair market value of the Common Stock</w:t>
      </w:r>
    </w:p>
    <w:p>
      <w:pPr>
        <w:ind w:left="720"/>
        <w:spacing w:after="0"/>
        <w:rPr>
          <w:sz w:val="20"/>
          <w:szCs w:val="20"/>
          <w:color w:val="auto"/>
        </w:rPr>
      </w:pPr>
      <w:r>
        <w:rPr>
          <w:rFonts w:ascii="Courier New" w:cs="Courier New" w:eastAsia="Courier New" w:hAnsi="Courier New"/>
          <w:sz w:val="9"/>
          <w:szCs w:val="9"/>
          <w:color w:val="auto"/>
        </w:rPr>
        <w:t>on the date of grant. Fair market value is the 4 p.m. Eastern Time closing price for the Common Stock as reported by the New York Stock Exchange.</w:t>
      </w:r>
    </w:p>
    <w:p>
      <w:pPr>
        <w:spacing w:after="0" w:line="192"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e.</w:t>
      </w:r>
    </w:p>
    <w:p>
      <w:pPr>
        <w:ind w:left="720"/>
        <w:spacing w:after="0"/>
        <w:rPr>
          <w:sz w:val="20"/>
          <w:szCs w:val="20"/>
          <w:color w:val="auto"/>
        </w:rPr>
      </w:pPr>
      <w:r>
        <w:rPr>
          <w:rFonts w:ascii="Courier New" w:cs="Courier New" w:eastAsia="Courier New" w:hAnsi="Courier New"/>
          <w:sz w:val="9"/>
          <w:szCs w:val="9"/>
          <w:b w:val="1"/>
          <w:bCs w:val="1"/>
          <w:color w:val="auto"/>
        </w:rPr>
        <w:t>Vesting, Transferability and Exercisability</w:t>
      </w:r>
      <w:r>
        <w:rPr>
          <w:rFonts w:ascii="Courier New" w:cs="Courier New" w:eastAsia="Courier New" w:hAnsi="Courier New"/>
          <w:sz w:val="9"/>
          <w:szCs w:val="9"/>
          <w:color w:val="auto"/>
        </w:rPr>
        <w:t>.</w:t>
      </w:r>
    </w:p>
    <w:p>
      <w:pPr>
        <w:spacing w:after="0" w:line="200" w:lineRule="exact"/>
        <w:rPr>
          <w:sz w:val="20"/>
          <w:szCs w:val="20"/>
          <w:color w:val="auto"/>
        </w:rPr>
      </w:pPr>
    </w:p>
    <w:p>
      <w:pPr>
        <w:spacing w:after="0" w:line="379" w:lineRule="exact"/>
        <w:rPr>
          <w:sz w:val="20"/>
          <w:szCs w:val="20"/>
          <w:color w:val="auto"/>
        </w:rPr>
      </w:pPr>
    </w:p>
    <w:p>
      <w:pPr>
        <w:ind w:left="720"/>
        <w:spacing w:after="0"/>
        <w:rPr>
          <w:sz w:val="20"/>
          <w:szCs w:val="20"/>
          <w:color w:val="auto"/>
        </w:rPr>
      </w:pPr>
      <w:r>
        <w:rPr>
          <w:rFonts w:ascii="Courier New" w:cs="Courier New" w:eastAsia="Courier New" w:hAnsi="Courier New"/>
          <w:sz w:val="9"/>
          <w:szCs w:val="9"/>
          <w:color w:val="auto"/>
        </w:rPr>
        <w:t>(i)</w:t>
      </w:r>
    </w:p>
    <w:p>
      <w:pPr>
        <w:ind w:left="1080"/>
        <w:spacing w:after="0"/>
        <w:tabs>
          <w:tab w:leader="none" w:pos="1600" w:val="left"/>
        </w:tabs>
        <w:rPr>
          <w:sz w:val="20"/>
          <w:szCs w:val="20"/>
          <w:color w:val="auto"/>
        </w:rPr>
      </w:pPr>
      <w:r>
        <w:rPr>
          <w:rFonts w:ascii="Courier New" w:cs="Courier New" w:eastAsia="Courier New" w:hAnsi="Courier New"/>
          <w:sz w:val="9"/>
          <w:szCs w:val="9"/>
          <w:b w:val="1"/>
          <w:bCs w:val="1"/>
          <w:i w:val="1"/>
          <w:iCs w:val="1"/>
          <w:color w:val="auto"/>
        </w:rPr>
        <w:t>Vesting</w:t>
      </w:r>
      <w:r>
        <w:rPr>
          <w:rFonts w:ascii="Courier New" w:cs="Courier New" w:eastAsia="Courier New" w:hAnsi="Courier New"/>
          <w:sz w:val="9"/>
          <w:szCs w:val="9"/>
          <w:color w:val="auto"/>
        </w:rPr>
        <w:t>.</w:t>
      </w:r>
      <w:r>
        <w:rPr>
          <w:sz w:val="20"/>
          <w:szCs w:val="20"/>
          <w:color w:val="auto"/>
        </w:rPr>
        <w:tab/>
      </w:r>
      <w:r>
        <w:rPr>
          <w:rFonts w:ascii="Courier New" w:cs="Courier New" w:eastAsia="Courier New" w:hAnsi="Courier New"/>
          <w:sz w:val="8"/>
          <w:szCs w:val="8"/>
          <w:color w:val="auto"/>
        </w:rPr>
        <w:t>The Committee shall have the authority to determine whether an option</w:t>
      </w:r>
    </w:p>
    <w:p>
      <w:pPr>
        <w:ind w:left="1080"/>
        <w:spacing w:after="0"/>
        <w:rPr>
          <w:sz w:val="20"/>
          <w:szCs w:val="20"/>
          <w:color w:val="auto"/>
        </w:rPr>
      </w:pPr>
      <w:r>
        <w:rPr>
          <w:rFonts w:ascii="Courier New" w:cs="Courier New" w:eastAsia="Courier New" w:hAnsi="Courier New"/>
          <w:sz w:val="9"/>
          <w:szCs w:val="9"/>
          <w:color w:val="auto"/>
        </w:rPr>
        <w:t>agreement shall specify periods after the date of grant of an option during which the option or any portion thereof may not yet be exercisable.</w:t>
      </w:r>
    </w:p>
    <w:p>
      <w:pPr>
        <w:spacing w:after="0" w:line="192" w:lineRule="exact"/>
        <w:rPr>
          <w:sz w:val="20"/>
          <w:szCs w:val="20"/>
          <w:color w:val="auto"/>
        </w:rPr>
      </w:pPr>
    </w:p>
    <w:p>
      <w:pPr>
        <w:ind w:left="720"/>
        <w:spacing w:after="0"/>
        <w:rPr>
          <w:sz w:val="20"/>
          <w:szCs w:val="20"/>
          <w:color w:val="auto"/>
        </w:rPr>
      </w:pPr>
      <w:r>
        <w:rPr>
          <w:rFonts w:ascii="Courier New" w:cs="Courier New" w:eastAsia="Courier New" w:hAnsi="Courier New"/>
          <w:sz w:val="9"/>
          <w:szCs w:val="9"/>
          <w:color w:val="auto"/>
        </w:rPr>
        <w:t>(ii)</w:t>
      </w:r>
    </w:p>
    <w:p>
      <w:pPr>
        <w:ind w:left="1080"/>
        <w:spacing w:after="0" w:line="233" w:lineRule="auto"/>
        <w:tabs>
          <w:tab w:leader="none" w:pos="1800" w:val="left"/>
        </w:tabs>
        <w:rPr>
          <w:sz w:val="20"/>
          <w:szCs w:val="20"/>
          <w:color w:val="auto"/>
        </w:rPr>
      </w:pPr>
      <w:r>
        <w:rPr>
          <w:rFonts w:ascii="Courier New" w:cs="Courier New" w:eastAsia="Courier New" w:hAnsi="Courier New"/>
          <w:sz w:val="9"/>
          <w:szCs w:val="9"/>
          <w:b w:val="1"/>
          <w:bCs w:val="1"/>
          <w:i w:val="1"/>
          <w:iCs w:val="1"/>
          <w:color w:val="auto"/>
        </w:rPr>
        <w:t>No Transfer</w:t>
      </w:r>
      <w:r>
        <w:rPr>
          <w:rFonts w:ascii="Courier New" w:cs="Courier New" w:eastAsia="Courier New" w:hAnsi="Courier New"/>
          <w:sz w:val="9"/>
          <w:szCs w:val="9"/>
          <w:color w:val="auto"/>
        </w:rPr>
        <w:t>.</w:t>
      </w:r>
      <w:r>
        <w:rPr>
          <w:sz w:val="20"/>
          <w:szCs w:val="20"/>
          <w:color w:val="auto"/>
        </w:rPr>
        <w:tab/>
      </w:r>
      <w:r>
        <w:rPr>
          <w:rFonts w:ascii="Courier New" w:cs="Courier New" w:eastAsia="Courier New" w:hAnsi="Courier New"/>
          <w:sz w:val="9"/>
          <w:szCs w:val="9"/>
          <w:color w:val="auto"/>
        </w:rPr>
        <w:t>Options shall not be transferable by the option holder except by will</w:t>
      </w:r>
    </w:p>
    <w:p>
      <w:pPr>
        <w:ind w:left="1080"/>
        <w:spacing w:after="0"/>
        <w:rPr>
          <w:sz w:val="20"/>
          <w:szCs w:val="20"/>
          <w:color w:val="auto"/>
        </w:rPr>
      </w:pPr>
      <w:r>
        <w:rPr>
          <w:rFonts w:ascii="Courier New" w:cs="Courier New" w:eastAsia="Courier New" w:hAnsi="Courier New"/>
          <w:sz w:val="9"/>
          <w:szCs w:val="9"/>
          <w:color w:val="auto"/>
        </w:rPr>
        <w:t>or applicable laws of descent and distribution.</w:t>
      </w:r>
    </w:p>
    <w:p>
      <w:pPr>
        <w:spacing w:after="0" w:line="192" w:lineRule="exact"/>
        <w:rPr>
          <w:sz w:val="20"/>
          <w:szCs w:val="20"/>
          <w:color w:val="auto"/>
        </w:rPr>
      </w:pPr>
    </w:p>
    <w:p>
      <w:pPr>
        <w:ind w:left="720"/>
        <w:spacing w:after="0"/>
        <w:rPr>
          <w:sz w:val="20"/>
          <w:szCs w:val="20"/>
          <w:color w:val="auto"/>
        </w:rPr>
      </w:pPr>
      <w:r>
        <w:rPr>
          <w:rFonts w:ascii="Courier New" w:cs="Courier New" w:eastAsia="Courier New" w:hAnsi="Courier New"/>
          <w:sz w:val="9"/>
          <w:szCs w:val="9"/>
          <w:color w:val="auto"/>
        </w:rPr>
        <w:t>(iii)</w:t>
      </w:r>
    </w:p>
    <w:p>
      <w:pPr>
        <w:ind w:left="1080"/>
        <w:spacing w:after="0"/>
        <w:tabs>
          <w:tab w:leader="none" w:pos="1640" w:val="left"/>
        </w:tabs>
        <w:rPr>
          <w:sz w:val="20"/>
          <w:szCs w:val="20"/>
          <w:color w:val="auto"/>
        </w:rPr>
      </w:pPr>
      <w:r>
        <w:rPr>
          <w:rFonts w:ascii="Courier New" w:cs="Courier New" w:eastAsia="Courier New" w:hAnsi="Courier New"/>
          <w:sz w:val="9"/>
          <w:szCs w:val="9"/>
          <w:b w:val="1"/>
          <w:bCs w:val="1"/>
          <w:i w:val="1"/>
          <w:iCs w:val="1"/>
          <w:color w:val="auto"/>
        </w:rPr>
        <w:t>Exercise</w:t>
      </w:r>
      <w:r>
        <w:rPr>
          <w:rFonts w:ascii="Courier New" w:cs="Courier New" w:eastAsia="Courier New" w:hAnsi="Courier New"/>
          <w:sz w:val="9"/>
          <w:szCs w:val="9"/>
          <w:color w:val="auto"/>
        </w:rPr>
        <w:t>.</w:t>
      </w:r>
      <w:r>
        <w:rPr>
          <w:sz w:val="20"/>
          <w:szCs w:val="20"/>
          <w:color w:val="auto"/>
        </w:rPr>
        <w:tab/>
      </w:r>
      <w:r>
        <w:rPr>
          <w:rFonts w:ascii="Courier New" w:cs="Courier New" w:eastAsia="Courier New" w:hAnsi="Courier New"/>
          <w:sz w:val="8"/>
          <w:szCs w:val="8"/>
          <w:color w:val="auto"/>
        </w:rPr>
        <w:t>During the lifetime of an option holder, options may be exercised only</w:t>
      </w:r>
    </w:p>
    <w:p>
      <w:pPr>
        <w:jc w:val="both"/>
        <w:ind w:left="1080" w:right="20"/>
        <w:spacing w:after="0" w:line="234" w:lineRule="auto"/>
        <w:rPr>
          <w:sz w:val="20"/>
          <w:szCs w:val="20"/>
          <w:color w:val="auto"/>
        </w:rPr>
      </w:pPr>
      <w:r>
        <w:rPr>
          <w:rFonts w:ascii="Courier New" w:cs="Courier New" w:eastAsia="Courier New" w:hAnsi="Courier New"/>
          <w:sz w:val="9"/>
          <w:szCs w:val="9"/>
          <w:color w:val="auto"/>
        </w:rPr>
        <w:t>by the option holder and only while an employee of the Company or a parent or subsidiary of the Company or otherwise performing services for the Company or a parent or subsidiary and only if option holder has been continuously so employed or engaged since the date such options were granted, except as the Committee may otherwise determine and provide for in an option agreement at of grant or, if the Committee does not so provide,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1280"/>
        <w:spacing w:after="0"/>
        <w:tabs>
          <w:tab w:leader="none" w:pos="2180" w:val="left"/>
        </w:tabs>
        <w:rPr>
          <w:sz w:val="20"/>
          <w:szCs w:val="20"/>
          <w:color w:val="auto"/>
        </w:rPr>
      </w:pPr>
      <w:r>
        <w:rPr>
          <w:rFonts w:ascii="Courier New" w:cs="Courier New" w:eastAsia="Courier New" w:hAnsi="Courier New"/>
          <w:sz w:val="9"/>
          <w:szCs w:val="9"/>
          <w:color w:val="auto"/>
        </w:rPr>
        <w:t xml:space="preserve">(a) </w:t>
      </w:r>
      <w:r>
        <w:rPr>
          <w:rFonts w:ascii="Courier New" w:cs="Courier New" w:eastAsia="Courier New" w:hAnsi="Courier New"/>
          <w:sz w:val="9"/>
          <w:szCs w:val="9"/>
          <w:i w:val="1"/>
          <w:iCs w:val="1"/>
          <w:color w:val="auto"/>
        </w:rPr>
        <w:t>Disability</w:t>
      </w:r>
      <w:r>
        <w:rPr>
          <w:rFonts w:ascii="Courier New" w:cs="Courier New" w:eastAsia="Courier New" w:hAnsi="Courier New"/>
          <w:sz w:val="9"/>
          <w:szCs w:val="9"/>
          <w:color w:val="auto"/>
        </w:rPr>
        <w:t>.</w:t>
      </w:r>
      <w:r>
        <w:rPr>
          <w:sz w:val="20"/>
          <w:szCs w:val="20"/>
          <w:color w:val="auto"/>
        </w:rPr>
        <w:tab/>
      </w:r>
      <w:r>
        <w:rPr>
          <w:rFonts w:ascii="Courier New" w:cs="Courier New" w:eastAsia="Courier New" w:hAnsi="Courier New"/>
          <w:sz w:val="8"/>
          <w:szCs w:val="8"/>
          <w:color w:val="auto"/>
        </w:rPr>
        <w:t>In the event of disability of an option holder, options may be exercised by such</w:t>
      </w:r>
    </w:p>
    <w:p>
      <w:pPr>
        <w:ind w:left="1080"/>
        <w:spacing w:after="0" w:line="235" w:lineRule="auto"/>
        <w:rPr>
          <w:sz w:val="20"/>
          <w:szCs w:val="20"/>
          <w:color w:val="auto"/>
        </w:rPr>
      </w:pPr>
      <w:r>
        <w:rPr>
          <w:rFonts w:ascii="Courier New" w:cs="Courier New" w:eastAsia="Courier New" w:hAnsi="Courier New"/>
          <w:sz w:val="9"/>
          <w:szCs w:val="9"/>
          <w:color w:val="auto"/>
        </w:rPr>
        <w:t>individual or his or her guardian or legal representative, not later than the earlier of the date the option expires or one year after the date such employment or performance of services ceas reason of disability, but only with respect to an option exercisable at the time such employment or performance of services ceases.</w:t>
      </w:r>
    </w:p>
    <w:p>
      <w:pPr>
        <w:spacing w:after="0" w:line="200" w:lineRule="exact"/>
        <w:rPr>
          <w:sz w:val="20"/>
          <w:szCs w:val="20"/>
          <w:color w:val="auto"/>
        </w:rPr>
      </w:pPr>
    </w:p>
    <w:p>
      <w:pPr>
        <w:spacing w:after="0" w:line="299" w:lineRule="exact"/>
        <w:rPr>
          <w:sz w:val="20"/>
          <w:szCs w:val="20"/>
          <w:color w:val="auto"/>
        </w:rPr>
      </w:pPr>
    </w:p>
    <w:p>
      <w:pPr>
        <w:ind w:left="1280"/>
        <w:spacing w:after="0"/>
        <w:tabs>
          <w:tab w:leader="none" w:pos="1920" w:val="left"/>
        </w:tabs>
        <w:rPr>
          <w:sz w:val="20"/>
          <w:szCs w:val="20"/>
          <w:color w:val="auto"/>
        </w:rPr>
      </w:pPr>
      <w:r>
        <w:rPr>
          <w:rFonts w:ascii="Courier New" w:cs="Courier New" w:eastAsia="Courier New" w:hAnsi="Courier New"/>
          <w:sz w:val="9"/>
          <w:szCs w:val="9"/>
          <w:color w:val="auto"/>
        </w:rPr>
        <w:t xml:space="preserve">(b) </w:t>
      </w:r>
      <w:r>
        <w:rPr>
          <w:rFonts w:ascii="Courier New" w:cs="Courier New" w:eastAsia="Courier New" w:hAnsi="Courier New"/>
          <w:sz w:val="9"/>
          <w:szCs w:val="9"/>
          <w:i w:val="1"/>
          <w:iCs w:val="1"/>
          <w:color w:val="auto"/>
        </w:rPr>
        <w:t>Death</w:t>
      </w:r>
      <w:r>
        <w:rPr>
          <w:rFonts w:ascii="Courier New" w:cs="Courier New" w:eastAsia="Courier New" w:hAnsi="Courier New"/>
          <w:sz w:val="9"/>
          <w:szCs w:val="9"/>
          <w:color w:val="auto"/>
        </w:rPr>
        <w:t>.</w:t>
      </w:r>
      <w:r>
        <w:rPr>
          <w:sz w:val="20"/>
          <w:szCs w:val="20"/>
          <w:color w:val="auto"/>
        </w:rPr>
        <w:tab/>
      </w:r>
      <w:r>
        <w:rPr>
          <w:rFonts w:ascii="Courier New" w:cs="Courier New" w:eastAsia="Courier New" w:hAnsi="Courier New"/>
          <w:sz w:val="8"/>
          <w:szCs w:val="8"/>
          <w:color w:val="auto"/>
        </w:rPr>
        <w:t>An option may be exercised after the death of an option holder only by such individual's</w:t>
      </w:r>
    </w:p>
    <w:p>
      <w:pPr>
        <w:jc w:val="both"/>
        <w:ind w:left="1080" w:right="20"/>
        <w:spacing w:after="0" w:line="235" w:lineRule="auto"/>
        <w:rPr>
          <w:sz w:val="20"/>
          <w:szCs w:val="20"/>
          <w:color w:val="auto"/>
        </w:rPr>
      </w:pPr>
      <w:r>
        <w:rPr>
          <w:rFonts w:ascii="Courier New" w:cs="Courier New" w:eastAsia="Courier New" w:hAnsi="Courier New"/>
          <w:sz w:val="9"/>
          <w:szCs w:val="9"/>
          <w:color w:val="auto"/>
        </w:rPr>
        <w:t>legal representatives, heirs or legatees, not later than the earlier of the date the option expires or one year after the date of death of such individual, and only with respect to an option exercisable at the time of death.</w:t>
      </w:r>
    </w:p>
    <w:p>
      <w:pPr>
        <w:spacing w:after="0" w:line="200" w:lineRule="exact"/>
        <w:rPr>
          <w:sz w:val="20"/>
          <w:szCs w:val="20"/>
          <w:color w:val="auto"/>
        </w:rPr>
      </w:pPr>
    </w:p>
    <w:p>
      <w:pPr>
        <w:spacing w:after="0" w:line="299" w:lineRule="exact"/>
        <w:rPr>
          <w:sz w:val="20"/>
          <w:szCs w:val="20"/>
          <w:color w:val="auto"/>
        </w:rPr>
      </w:pPr>
    </w:p>
    <w:p>
      <w:pPr>
        <w:ind w:left="1280"/>
        <w:spacing w:after="0"/>
        <w:tabs>
          <w:tab w:leader="none" w:pos="2180" w:val="left"/>
        </w:tabs>
        <w:rPr>
          <w:sz w:val="20"/>
          <w:szCs w:val="20"/>
          <w:color w:val="auto"/>
        </w:rPr>
      </w:pPr>
      <w:r>
        <w:rPr>
          <w:rFonts w:ascii="Courier New" w:cs="Courier New" w:eastAsia="Courier New" w:hAnsi="Courier New"/>
          <w:sz w:val="9"/>
          <w:szCs w:val="9"/>
          <w:color w:val="auto"/>
        </w:rPr>
        <w:t xml:space="preserve">(c) </w:t>
      </w:r>
      <w:r>
        <w:rPr>
          <w:rFonts w:ascii="Courier New" w:cs="Courier New" w:eastAsia="Courier New" w:hAnsi="Courier New"/>
          <w:sz w:val="9"/>
          <w:szCs w:val="9"/>
          <w:i w:val="1"/>
          <w:iCs w:val="1"/>
          <w:color w:val="auto"/>
        </w:rPr>
        <w:t>Retirement</w:t>
      </w:r>
      <w:r>
        <w:rPr>
          <w:rFonts w:ascii="Courier New" w:cs="Courier New" w:eastAsia="Courier New" w:hAnsi="Courier New"/>
          <w:sz w:val="9"/>
          <w:szCs w:val="9"/>
          <w:color w:val="auto"/>
        </w:rPr>
        <w:t>.</w:t>
        <w:tab/>
        <w:t>A nonqualified option may be exercised by an option holder after such individual ceases</w:t>
      </w:r>
    </w:p>
    <w:p>
      <w:pPr>
        <w:jc w:val="both"/>
        <w:ind w:left="1080" w:right="20"/>
        <w:spacing w:after="0" w:line="234" w:lineRule="auto"/>
        <w:rPr>
          <w:sz w:val="20"/>
          <w:szCs w:val="20"/>
          <w:color w:val="auto"/>
        </w:rPr>
      </w:pPr>
      <w:r>
        <w:rPr>
          <w:rFonts w:ascii="Courier New" w:cs="Courier New" w:eastAsia="Courier New" w:hAnsi="Courier New"/>
          <w:sz w:val="9"/>
          <w:szCs w:val="9"/>
          <w:color w:val="auto"/>
        </w:rPr>
        <w:t>to be an employee by reason of retirement for up to four years after the date of retirement but not later than the date the option expires. "Retirement" shall have the meaning established by Committee from time to time or, if no such meaning is established, shall mean termination of employment with the Company at an age and with a number of years of service to the Company which, added together, equal at least 65.</w:t>
      </w:r>
    </w:p>
    <w:p>
      <w:pPr>
        <w:sectPr>
          <w:pgSz w:w="11900" w:h="16838" w:orient="portrait"/>
          <w:cols w:equalWidth="0" w:num="1">
            <w:col w:w="11360"/>
          </w:cols>
          <w:pgMar w:left="300" w:top="1079" w:right="239" w:bottom="0" w:gutter="0" w:footer="0" w:header="0"/>
        </w:sectPr>
      </w:pPr>
    </w:p>
    <w:bookmarkStart w:id="17" w:name="page18"/>
    <w:bookmarkEnd w:id="17"/>
    <w:p>
      <w:pPr>
        <w:ind w:left="1280"/>
        <w:spacing w:after="0"/>
        <w:tabs>
          <w:tab w:leader="none" w:pos="3320" w:val="left"/>
        </w:tabs>
        <w:rPr>
          <w:sz w:val="20"/>
          <w:szCs w:val="20"/>
          <w:color w:val="auto"/>
        </w:rPr>
      </w:pPr>
      <w:r>
        <w:rPr>
          <w:rFonts w:ascii="Courier New" w:cs="Courier New" w:eastAsia="Courier New" w:hAnsi="Courier New"/>
          <w:sz w:val="9"/>
          <w:szCs w:val="9"/>
          <w:color w:val="auto"/>
        </w:rPr>
        <w:t xml:space="preserve">(d) </w:t>
      </w:r>
      <w:r>
        <w:rPr>
          <w:rFonts w:ascii="Courier New" w:cs="Courier New" w:eastAsia="Courier New" w:hAnsi="Courier New"/>
          <w:sz w:val="9"/>
          <w:szCs w:val="9"/>
          <w:i w:val="1"/>
          <w:iCs w:val="1"/>
          <w:color w:val="auto"/>
        </w:rPr>
        <w:t>Other Termination of Employment</w:t>
      </w:r>
      <w:r>
        <w:rPr>
          <w:rFonts w:ascii="Courier New" w:cs="Courier New" w:eastAsia="Courier New" w:hAnsi="Courier New"/>
          <w:sz w:val="9"/>
          <w:szCs w:val="9"/>
          <w:color w:val="auto"/>
        </w:rPr>
        <w:t>.</w:t>
        <w:tab/>
        <w:t>An option may be exercised by an option holder after such</w:t>
      </w:r>
    </w:p>
    <w:p>
      <w:pPr>
        <w:ind w:left="1080"/>
        <w:spacing w:after="0" w:line="235" w:lineRule="auto"/>
        <w:rPr>
          <w:sz w:val="20"/>
          <w:szCs w:val="20"/>
          <w:color w:val="auto"/>
        </w:rPr>
      </w:pPr>
      <w:r>
        <w:rPr>
          <w:rFonts w:ascii="Courier New" w:cs="Courier New" w:eastAsia="Courier New" w:hAnsi="Courier New"/>
          <w:sz w:val="9"/>
          <w:szCs w:val="9"/>
          <w:color w:val="auto"/>
        </w:rPr>
        <w:t>individual ceases to be an employee (for reasons other than disability, death or retirement) for up to three months after the date of termination of employment but not later than the date the expires.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720"/>
        <w:spacing w:after="0"/>
        <w:rPr>
          <w:sz w:val="20"/>
          <w:szCs w:val="20"/>
          <w:color w:val="auto"/>
        </w:rPr>
      </w:pPr>
      <w:r>
        <w:rPr>
          <w:rFonts w:ascii="Courier New" w:cs="Courier New" w:eastAsia="Courier New" w:hAnsi="Courier New"/>
          <w:sz w:val="9"/>
          <w:szCs w:val="9"/>
          <w:color w:val="auto"/>
        </w:rPr>
        <w:t>(iv)</w:t>
      </w:r>
    </w:p>
    <w:p>
      <w:pPr>
        <w:ind w:left="1080"/>
        <w:spacing w:after="0" w:line="233" w:lineRule="auto"/>
        <w:tabs>
          <w:tab w:leader="none" w:pos="1800" w:val="left"/>
        </w:tabs>
        <w:rPr>
          <w:sz w:val="20"/>
          <w:szCs w:val="20"/>
          <w:color w:val="auto"/>
        </w:rPr>
      </w:pPr>
      <w:r>
        <w:rPr>
          <w:rFonts w:ascii="Courier New" w:cs="Courier New" w:eastAsia="Courier New" w:hAnsi="Courier New"/>
          <w:sz w:val="9"/>
          <w:szCs w:val="9"/>
          <w:b w:val="1"/>
          <w:bCs w:val="1"/>
          <w:i w:val="1"/>
          <w:iCs w:val="1"/>
          <w:color w:val="auto"/>
        </w:rPr>
        <w:t>Non-compete</w:t>
      </w:r>
      <w:r>
        <w:rPr>
          <w:rFonts w:ascii="Courier New" w:cs="Courier New" w:eastAsia="Courier New" w:hAnsi="Courier New"/>
          <w:sz w:val="9"/>
          <w:szCs w:val="9"/>
          <w:color w:val="auto"/>
        </w:rPr>
        <w:t>.</w:t>
      </w:r>
      <w:r>
        <w:rPr>
          <w:sz w:val="20"/>
          <w:szCs w:val="20"/>
          <w:color w:val="auto"/>
        </w:rPr>
        <w:tab/>
      </w:r>
      <w:r>
        <w:rPr>
          <w:rFonts w:ascii="Courier New" w:cs="Courier New" w:eastAsia="Courier New" w:hAnsi="Courier New"/>
          <w:sz w:val="9"/>
          <w:szCs w:val="9"/>
          <w:color w:val="auto"/>
        </w:rPr>
        <w:t>Notwithstanding any other provision of</w:t>
      </w:r>
    </w:p>
    <w:p>
      <w:pPr>
        <w:ind w:left="1080"/>
        <w:spacing w:after="0" w:line="233" w:lineRule="auto"/>
        <w:rPr>
          <w:sz w:val="20"/>
          <w:szCs w:val="20"/>
          <w:color w:val="auto"/>
        </w:rPr>
      </w:pPr>
      <w:r>
        <w:rPr>
          <w:rFonts w:ascii="Courier New" w:cs="Courier New" w:eastAsia="Courier New" w:hAnsi="Courier New"/>
          <w:sz w:val="9"/>
          <w:szCs w:val="9"/>
          <w:color w:val="auto"/>
        </w:rPr>
        <w:t>paragraph 3.e., if within one year after the termination of employment with or performance of services for the Company, an option holder is (a) employed or retained by or renders service</w:t>
      </w:r>
    </w:p>
    <w:p>
      <w:pPr>
        <w:ind w:left="1080" w:right="20"/>
        <w:spacing w:after="0" w:line="233" w:lineRule="auto"/>
        <w:rPr>
          <w:sz w:val="20"/>
          <w:szCs w:val="20"/>
          <w:color w:val="auto"/>
        </w:rPr>
      </w:pPr>
      <w:r>
        <w:rPr>
          <w:rFonts w:ascii="Courier New" w:cs="Courier New" w:eastAsia="Courier New" w:hAnsi="Courier New"/>
          <w:sz w:val="9"/>
          <w:szCs w:val="9"/>
          <w:color w:val="auto"/>
        </w:rPr>
        <w:t>to any organization that, directly or indirectly, competes with or becomes competitive with the Company, or if the rendering of such services is prejudicial or in conflict with the interests Company, or (b) violates any confidentiality agreement or agreement governing the ownership or assignment of intellectual property rights with the Company, or (c) engages</w:t>
      </w:r>
    </w:p>
    <w:p>
      <w:pPr>
        <w:ind w:left="1080"/>
        <w:spacing w:after="0" w:line="289" w:lineRule="auto"/>
        <w:rPr>
          <w:sz w:val="20"/>
          <w:szCs w:val="20"/>
          <w:color w:val="auto"/>
        </w:rPr>
      </w:pPr>
      <w:r>
        <w:rPr>
          <w:rFonts w:ascii="Courier New" w:cs="Courier New" w:eastAsia="Courier New" w:hAnsi="Courier New"/>
          <w:sz w:val="8"/>
          <w:szCs w:val="8"/>
          <w:color w:val="auto"/>
        </w:rPr>
        <w:t>in any other conduct or act determined to be injurious, detrimental or prejudicial to any interest of the Company, the Company may cancel or rescind or restrict all options held by such indiv shall have the right to the return of the economic value of any option which was realized or obtained (measured at the date of exercise) by such individual at any time during the period</w:t>
      </w:r>
    </w:p>
    <w:p>
      <w:pPr>
        <w:spacing w:after="0" w:line="79" w:lineRule="exact"/>
        <w:rPr>
          <w:sz w:val="20"/>
          <w:szCs w:val="20"/>
          <w:color w:val="auto"/>
        </w:rPr>
      </w:pPr>
    </w:p>
    <w:p>
      <w:pPr>
        <w:ind w:left="1080"/>
        <w:spacing w:after="0" w:line="235" w:lineRule="auto"/>
        <w:rPr>
          <w:sz w:val="20"/>
          <w:szCs w:val="20"/>
          <w:color w:val="auto"/>
        </w:rPr>
      </w:pPr>
      <w:r>
        <w:rPr>
          <w:rFonts w:ascii="Courier New" w:cs="Courier New" w:eastAsia="Courier New" w:hAnsi="Courier New"/>
          <w:sz w:val="9"/>
          <w:szCs w:val="9"/>
          <w:color w:val="auto"/>
        </w:rPr>
        <w:t>beginning on the date which is twelve months prior to the date of termination to the date of the last exercise, provided however, that this provision shall not be applicable in the event of a of Control.</w:t>
      </w:r>
    </w:p>
    <w:p>
      <w:pPr>
        <w:spacing w:after="0" w:line="193" w:lineRule="exact"/>
        <w:rPr>
          <w:sz w:val="20"/>
          <w:szCs w:val="20"/>
          <w:color w:val="auto"/>
        </w:rPr>
      </w:pPr>
    </w:p>
    <w:p>
      <w:pPr>
        <w:ind w:left="720"/>
        <w:spacing w:after="0"/>
        <w:rPr>
          <w:sz w:val="20"/>
          <w:szCs w:val="20"/>
          <w:color w:val="auto"/>
        </w:rPr>
      </w:pPr>
      <w:r>
        <w:rPr>
          <w:rFonts w:ascii="Courier New" w:cs="Courier New" w:eastAsia="Courier New" w:hAnsi="Courier New"/>
          <w:sz w:val="9"/>
          <w:szCs w:val="9"/>
          <w:color w:val="auto"/>
        </w:rPr>
        <w:t>(v)</w:t>
      </w:r>
    </w:p>
    <w:p>
      <w:pPr>
        <w:ind w:left="1080"/>
        <w:spacing w:after="0"/>
        <w:tabs>
          <w:tab w:leader="none" w:pos="2460" w:val="left"/>
        </w:tabs>
        <w:rPr>
          <w:sz w:val="20"/>
          <w:szCs w:val="20"/>
          <w:color w:val="auto"/>
        </w:rPr>
      </w:pPr>
      <w:r>
        <w:rPr>
          <w:rFonts w:ascii="Courier New" w:cs="Courier New" w:eastAsia="Courier New" w:hAnsi="Courier New"/>
          <w:sz w:val="9"/>
          <w:szCs w:val="9"/>
          <w:b w:val="1"/>
          <w:bCs w:val="1"/>
          <w:i w:val="1"/>
          <w:iCs w:val="1"/>
          <w:color w:val="auto"/>
        </w:rPr>
        <w:t>Interruption in Service</w:t>
      </w:r>
      <w:r>
        <w:rPr>
          <w:rFonts w:ascii="Courier New" w:cs="Courier New" w:eastAsia="Courier New" w:hAnsi="Courier New"/>
          <w:sz w:val="9"/>
          <w:szCs w:val="9"/>
          <w:color w:val="auto"/>
        </w:rPr>
        <w:t>.</w:t>
      </w:r>
      <w:r>
        <w:rPr>
          <w:sz w:val="20"/>
          <w:szCs w:val="20"/>
          <w:color w:val="auto"/>
        </w:rPr>
        <w:tab/>
      </w:r>
      <w:r>
        <w:rPr>
          <w:rFonts w:ascii="Courier New" w:cs="Courier New" w:eastAsia="Courier New" w:hAnsi="Courier New"/>
          <w:sz w:val="8"/>
          <w:szCs w:val="8"/>
          <w:color w:val="auto"/>
        </w:rPr>
        <w:t>Absence on leave from the Company, or other interruption in</w:t>
      </w:r>
    </w:p>
    <w:p>
      <w:pPr>
        <w:ind w:left="1080"/>
        <w:spacing w:after="0"/>
        <w:rPr>
          <w:sz w:val="20"/>
          <w:szCs w:val="20"/>
          <w:color w:val="auto"/>
        </w:rPr>
      </w:pPr>
      <w:r>
        <w:rPr>
          <w:rFonts w:ascii="Courier New" w:cs="Courier New" w:eastAsia="Courier New" w:hAnsi="Courier New"/>
          <w:sz w:val="9"/>
          <w:szCs w:val="9"/>
          <w:color w:val="auto"/>
        </w:rPr>
        <w:t>the performance of services, by an option holder shall, if approved by the Committee, not be deemed a cessation or interruption of employment or services for the purposes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f.</w:t>
      </w:r>
    </w:p>
    <w:p>
      <w:pPr>
        <w:ind w:left="720"/>
        <w:spacing w:after="0" w:line="233" w:lineRule="auto"/>
        <w:rPr>
          <w:sz w:val="20"/>
          <w:szCs w:val="20"/>
          <w:color w:val="auto"/>
        </w:rPr>
      </w:pPr>
      <w:r>
        <w:rPr>
          <w:rFonts w:ascii="Courier New" w:cs="Courier New" w:eastAsia="Courier New" w:hAnsi="Courier New"/>
          <w:sz w:val="9"/>
          <w:szCs w:val="9"/>
          <w:b w:val="1"/>
          <w:bCs w:val="1"/>
          <w:color w:val="auto"/>
        </w:rPr>
        <w:t>Methods of Exercise and Payment of Exercise Price</w:t>
      </w:r>
      <w:r>
        <w:rPr>
          <w:rFonts w:ascii="Courier New" w:cs="Courier New" w:eastAsia="Courier New" w:hAnsi="Courier New"/>
          <w:sz w:val="9"/>
          <w:szCs w:val="9"/>
          <w:color w:val="auto"/>
        </w:rPr>
        <w:t>. Subject to the terms and conditions of the Plan and the terms and conditions of</w:t>
      </w:r>
    </w:p>
    <w:p>
      <w:pPr>
        <w:ind w:left="720"/>
        <w:spacing w:after="0" w:line="233" w:lineRule="auto"/>
        <w:rPr>
          <w:sz w:val="20"/>
          <w:szCs w:val="20"/>
          <w:color w:val="auto"/>
        </w:rPr>
      </w:pPr>
      <w:r>
        <w:rPr>
          <w:rFonts w:ascii="Courier New" w:cs="Courier New" w:eastAsia="Courier New" w:hAnsi="Courier New"/>
          <w:sz w:val="9"/>
          <w:szCs w:val="9"/>
          <w:color w:val="auto"/>
        </w:rPr>
        <w:t>the option agreement, an option may be exercised in whole at any time or in part from time to time, by delivery to the Company at its principal office of a written notice of exercise specifying the number of shares with respect to which the option is being exercised, accompanied by payment in full of the exercise price for shares to be purchased at that time. Payment may be made (i) in cash, (ii) by tendering (either actually or by attestation) shares of Common Stock already owned for at least six months (or shorter period necessary to avoid a charge to the Company's earnings for financial statement purposes) valued at the fair market value of the Common Stock on the date of exercise or (iii) in a combination of cash and Common Stock; or the Committee may also, in</w:t>
      </w:r>
    </w:p>
    <w:p>
      <w:pPr>
        <w:ind w:left="720" w:right="280"/>
        <w:spacing w:after="0" w:line="233" w:lineRule="auto"/>
        <w:rPr>
          <w:sz w:val="20"/>
          <w:szCs w:val="20"/>
          <w:color w:val="auto"/>
        </w:rPr>
      </w:pPr>
      <w:r>
        <w:rPr>
          <w:rFonts w:ascii="Courier New" w:cs="Courier New" w:eastAsia="Courier New" w:hAnsi="Courier New"/>
          <w:sz w:val="9"/>
          <w:szCs w:val="9"/>
          <w:color w:val="auto"/>
        </w:rPr>
        <w:t>its sole discretion exercised either at the time the option is granted or at any time before an option is exercised, (iv) permit option holders to deliver a notice of exercise of options, together with irrevocable instructions, approved in advance by proper officers of the Company, (A) to a brokerage firm designated by the Company, to deliver promptly to the Company the aggregate amount of sale or loan proceeds to pay the exercise price and any related tax withholding obligations and (B) to the Company, to deliver certificates for such purchased shares directly to such brokerage firm, all in accordance with regulations of the Federal Reserve Board; or (v) authorize such other methods as it deems appropriate and as comply with requirements of the Code, the Securities Exchange Act of 1934 (the "Exchange Act") and other applicable laws and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720"/>
        <w:spacing w:after="0"/>
        <w:rPr>
          <w:sz w:val="20"/>
          <w:szCs w:val="20"/>
          <w:color w:val="auto"/>
        </w:rPr>
      </w:pPr>
      <w:r>
        <w:rPr>
          <w:rFonts w:ascii="Courier New" w:cs="Courier New" w:eastAsia="Courier New" w:hAnsi="Courier New"/>
          <w:sz w:val="9"/>
          <w:szCs w:val="9"/>
          <w:color w:val="auto"/>
        </w:rPr>
        <w:t>No</w:t>
      </w:r>
    </w:p>
    <w:p>
      <w:pPr>
        <w:ind w:left="720"/>
        <w:spacing w:after="0"/>
        <w:rPr>
          <w:sz w:val="20"/>
          <w:szCs w:val="20"/>
          <w:color w:val="auto"/>
        </w:rPr>
      </w:pPr>
      <w:r>
        <w:rPr>
          <w:rFonts w:ascii="Courier New" w:cs="Courier New" w:eastAsia="Courier New" w:hAnsi="Courier New"/>
          <w:sz w:val="9"/>
          <w:szCs w:val="9"/>
          <w:color w:val="auto"/>
        </w:rPr>
        <w:t>shares of Common Stock shall be issued until full payment has been made.</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g.</w:t>
      </w:r>
    </w:p>
    <w:p>
      <w:pPr>
        <w:ind w:left="720"/>
        <w:spacing w:after="0"/>
        <w:tabs>
          <w:tab w:leader="none" w:pos="2420" w:val="left"/>
        </w:tabs>
        <w:rPr>
          <w:sz w:val="20"/>
          <w:szCs w:val="20"/>
          <w:color w:val="auto"/>
        </w:rPr>
      </w:pPr>
      <w:r>
        <w:rPr>
          <w:rFonts w:ascii="Courier New" w:cs="Courier New" w:eastAsia="Courier New" w:hAnsi="Courier New"/>
          <w:sz w:val="9"/>
          <w:szCs w:val="9"/>
          <w:b w:val="1"/>
          <w:bCs w:val="1"/>
          <w:color w:val="auto"/>
        </w:rPr>
        <w:t>Accelerated Ownership Feature.</w:t>
      </w:r>
      <w:r>
        <w:rPr>
          <w:sz w:val="20"/>
          <w:szCs w:val="20"/>
          <w:color w:val="auto"/>
        </w:rPr>
        <w:tab/>
      </w:r>
      <w:r>
        <w:rPr>
          <w:rFonts w:ascii="Courier New" w:cs="Courier New" w:eastAsia="Courier New" w:hAnsi="Courier New"/>
          <w:sz w:val="8"/>
          <w:szCs w:val="8"/>
          <w:color w:val="auto"/>
        </w:rPr>
        <w:t>An option may, in the discretion of the Committee, include the right to acquire an</w:t>
      </w:r>
    </w:p>
    <w:p>
      <w:pPr>
        <w:ind w:left="720"/>
        <w:spacing w:after="0" w:line="233" w:lineRule="auto"/>
        <w:rPr>
          <w:sz w:val="20"/>
          <w:szCs w:val="20"/>
          <w:color w:val="auto"/>
        </w:rPr>
      </w:pPr>
      <w:r>
        <w:rPr>
          <w:rFonts w:ascii="Courier New" w:cs="Courier New" w:eastAsia="Courier New" w:hAnsi="Courier New"/>
          <w:sz w:val="9"/>
          <w:szCs w:val="9"/>
          <w:color w:val="auto"/>
        </w:rPr>
        <w:t>accelerated ownership nonqualified stock option ("AO Option"). An option which provides for the grant of an AO Option shall entitle the option holder, upon exercise of that option and payment of th appropriate exercise price in shares of Common Stock that have been owned by such option holder for not less than six months prior to the date of exercise, to receive an AO Option. An AO Option is option to purchase, at fair market value at the date of grant of the AO Option, a number of shares of Common Stock equal to the sum of the number of whole shares delivered by the option holder in payment of the exercise price of the original option and the number of whole shares, if any, withheld by the Company as payment for withholding taxes. An AO Option shall expire on the same date tha the original option would have expired had it not been exercised. All AO Options shall be nonqualified options.</w:t>
      </w:r>
    </w:p>
    <w:p>
      <w:pPr>
        <w:spacing w:after="0" w:line="195"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h.</w:t>
      </w:r>
    </w:p>
    <w:p>
      <w:pPr>
        <w:ind w:left="720"/>
        <w:spacing w:after="0" w:line="233" w:lineRule="auto"/>
        <w:tabs>
          <w:tab w:leader="none" w:pos="2100" w:val="left"/>
        </w:tabs>
        <w:rPr>
          <w:sz w:val="20"/>
          <w:szCs w:val="20"/>
          <w:color w:val="auto"/>
        </w:rPr>
      </w:pPr>
      <w:r>
        <w:rPr>
          <w:rFonts w:ascii="Courier New" w:cs="Courier New" w:eastAsia="Courier New" w:hAnsi="Courier New"/>
          <w:sz w:val="9"/>
          <w:szCs w:val="9"/>
          <w:b w:val="1"/>
          <w:bCs w:val="1"/>
          <w:color w:val="auto"/>
        </w:rPr>
        <w:t>Rights as a Stockholder</w:t>
      </w:r>
      <w:r>
        <w:rPr>
          <w:rFonts w:ascii="Courier New" w:cs="Courier New" w:eastAsia="Courier New" w:hAnsi="Courier New"/>
          <w:sz w:val="9"/>
          <w:szCs w:val="9"/>
          <w:color w:val="auto"/>
        </w:rPr>
        <w:t>.</w:t>
      </w:r>
      <w:r>
        <w:rPr>
          <w:sz w:val="20"/>
          <w:szCs w:val="20"/>
          <w:color w:val="auto"/>
        </w:rPr>
        <w:tab/>
      </w:r>
      <w:r>
        <w:rPr>
          <w:rFonts w:ascii="Courier New" w:cs="Courier New" w:eastAsia="Courier New" w:hAnsi="Courier New"/>
          <w:sz w:val="9"/>
          <w:szCs w:val="9"/>
          <w:color w:val="auto"/>
        </w:rPr>
        <w:t>An option holder shall have no rights as a stockholder with respect to any Common Stock</w:t>
      </w:r>
    </w:p>
    <w:p>
      <w:pPr>
        <w:ind w:left="720"/>
        <w:spacing w:after="0" w:line="235" w:lineRule="auto"/>
        <w:rPr>
          <w:sz w:val="20"/>
          <w:szCs w:val="20"/>
          <w:color w:val="auto"/>
        </w:rPr>
      </w:pPr>
      <w:r>
        <w:rPr>
          <w:rFonts w:ascii="Courier New" w:cs="Courier New" w:eastAsia="Courier New" w:hAnsi="Courier New"/>
          <w:sz w:val="9"/>
          <w:szCs w:val="9"/>
          <w:color w:val="auto"/>
        </w:rPr>
        <w:t>covered by an option until the option is exercised and shares of Common Stock are issued. Except as otherwise expressly provided in the Plan, no adjustments shall be made for dividends or other rig for which the record date is prior to issuance of the Common Stock.</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4.</w:t>
      </w:r>
    </w:p>
    <w:p>
      <w:pPr>
        <w:ind w:left="360"/>
        <w:spacing w:after="0" w:line="233" w:lineRule="auto"/>
        <w:tabs>
          <w:tab w:leader="none" w:pos="2220" w:val="left"/>
        </w:tabs>
        <w:rPr>
          <w:sz w:val="20"/>
          <w:szCs w:val="20"/>
          <w:color w:val="auto"/>
        </w:rPr>
      </w:pPr>
      <w:r>
        <w:rPr>
          <w:rFonts w:ascii="Courier New" w:cs="Courier New" w:eastAsia="Courier New" w:hAnsi="Courier New"/>
          <w:sz w:val="9"/>
          <w:szCs w:val="9"/>
          <w:b w:val="1"/>
          <w:bCs w:val="1"/>
          <w:color w:val="auto"/>
        </w:rPr>
        <w:t>Common Stock Subject to the Plan</w:t>
      </w:r>
      <w:r>
        <w:rPr>
          <w:rFonts w:ascii="Courier New" w:cs="Courier New" w:eastAsia="Courier New" w:hAnsi="Courier New"/>
          <w:sz w:val="9"/>
          <w:szCs w:val="9"/>
          <w:color w:val="auto"/>
        </w:rPr>
        <w:t>.</w:t>
      </w:r>
      <w:r>
        <w:rPr>
          <w:sz w:val="20"/>
          <w:szCs w:val="20"/>
          <w:color w:val="auto"/>
        </w:rPr>
        <w:tab/>
      </w:r>
      <w:r>
        <w:rPr>
          <w:rFonts w:ascii="Courier New" w:cs="Courier New" w:eastAsia="Courier New" w:hAnsi="Courier New"/>
          <w:sz w:val="9"/>
          <w:szCs w:val="9"/>
          <w:color w:val="auto"/>
        </w:rPr>
        <w:t>Subject to adjustment to reflect corporate transactions provided for in</w:t>
      </w:r>
    </w:p>
    <w:p>
      <w:pPr>
        <w:ind w:left="360"/>
        <w:spacing w:after="0" w:line="233" w:lineRule="auto"/>
        <w:rPr>
          <w:sz w:val="20"/>
          <w:szCs w:val="20"/>
          <w:color w:val="auto"/>
        </w:rPr>
      </w:pPr>
      <w:r>
        <w:rPr>
          <w:rFonts w:ascii="Courier New" w:cs="Courier New" w:eastAsia="Courier New" w:hAnsi="Courier New"/>
          <w:sz w:val="9"/>
          <w:szCs w:val="9"/>
          <w:color w:val="auto"/>
        </w:rPr>
        <w:t>paragraph 4.a. and subject to increase by amendment of the Plan, the total number of shares of Common Stock that is reserved and available for issuance pursuant to options granted under the</w:t>
      </w:r>
    </w:p>
    <w:p>
      <w:pPr>
        <w:ind w:left="360" w:right="480"/>
        <w:spacing w:after="0" w:line="235" w:lineRule="auto"/>
        <w:rPr>
          <w:sz w:val="20"/>
          <w:szCs w:val="20"/>
          <w:color w:val="auto"/>
        </w:rPr>
      </w:pPr>
      <w:r>
        <w:rPr>
          <w:rFonts w:ascii="Courier New" w:cs="Courier New" w:eastAsia="Courier New" w:hAnsi="Courier New"/>
          <w:sz w:val="9"/>
          <w:szCs w:val="9"/>
          <w:color w:val="auto"/>
        </w:rPr>
        <w:t>Plan shall be 1,000,000. If any option granted under the Plan terminates, expires unexercised, is exchanged for other options without the issuance of shares of Common Stock or is exercised by the delivery or constructive delivery of shares of Common Stock already owned by the option holder, the shares of</w:t>
      </w:r>
    </w:p>
    <w:p>
      <w:pPr>
        <w:spacing w:after="0" w:line="97" w:lineRule="exact"/>
        <w:rPr>
          <w:sz w:val="20"/>
          <w:szCs w:val="20"/>
          <w:color w:val="auto"/>
        </w:rPr>
      </w:pPr>
    </w:p>
    <w:p>
      <w:pPr>
        <w:ind w:left="360" w:right="480"/>
        <w:spacing w:after="0" w:line="234" w:lineRule="auto"/>
        <w:rPr>
          <w:sz w:val="20"/>
          <w:szCs w:val="20"/>
          <w:color w:val="auto"/>
        </w:rPr>
      </w:pPr>
      <w:r>
        <w:rPr>
          <w:rFonts w:ascii="Courier New" w:cs="Courier New" w:eastAsia="Courier New" w:hAnsi="Courier New"/>
          <w:sz w:val="9"/>
          <w:szCs w:val="9"/>
          <w:color w:val="auto"/>
        </w:rPr>
        <w:t>Common Stock reserved for issuance pursuant to such option shall, to the extent of any such termination or to the extent shares covered by an option are not issued or used, again be available for option grants under the Plan. Any shares issued by the Company in connection with the assumption or substitution of outstanding grants from any acquired corporation shall not reduce the shares available for option grants under the Plan. Shares of Common Stock that may be issued under the Plan may be authorized but unissued shares, reacquired or treasury shares, or outstanding shares acquired in the market or from private sources, or a combination thereof.</w:t>
      </w:r>
    </w:p>
    <w:p>
      <w:pPr>
        <w:spacing w:after="0" w:line="200" w:lineRule="exact"/>
        <w:rPr>
          <w:sz w:val="20"/>
          <w:szCs w:val="20"/>
          <w:color w:val="auto"/>
        </w:rPr>
      </w:pPr>
    </w:p>
    <w:p>
      <w:pPr>
        <w:spacing w:after="0" w:line="380"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a.</w:t>
      </w:r>
    </w:p>
    <w:p>
      <w:pPr>
        <w:ind w:left="720"/>
        <w:spacing w:after="0"/>
        <w:tabs>
          <w:tab w:leader="none" w:pos="2900" w:val="left"/>
        </w:tabs>
        <w:rPr>
          <w:sz w:val="20"/>
          <w:szCs w:val="20"/>
          <w:color w:val="auto"/>
        </w:rPr>
      </w:pPr>
      <w:r>
        <w:rPr>
          <w:rFonts w:ascii="Courier New" w:cs="Courier New" w:eastAsia="Courier New" w:hAnsi="Courier New"/>
          <w:sz w:val="9"/>
          <w:szCs w:val="9"/>
          <w:b w:val="1"/>
          <w:bCs w:val="1"/>
          <w:color w:val="auto"/>
        </w:rPr>
        <w:t>Adjustments for Corporate Transactions</w:t>
      </w:r>
      <w:r>
        <w:rPr>
          <w:rFonts w:ascii="Courier New" w:cs="Courier New" w:eastAsia="Courier New" w:hAnsi="Courier New"/>
          <w:sz w:val="9"/>
          <w:szCs w:val="9"/>
          <w:color w:val="auto"/>
        </w:rPr>
        <w:t>.</w:t>
      </w:r>
      <w:r>
        <w:rPr>
          <w:sz w:val="20"/>
          <w:szCs w:val="20"/>
          <w:color w:val="auto"/>
        </w:rPr>
        <w:tab/>
      </w:r>
      <w:r>
        <w:rPr>
          <w:rFonts w:ascii="Courier New" w:cs="Courier New" w:eastAsia="Courier New" w:hAnsi="Courier New"/>
          <w:sz w:val="8"/>
          <w:szCs w:val="8"/>
          <w:color w:val="auto"/>
        </w:rPr>
        <w:t>In the event of a corporate transaction involving the Company (including,</w:t>
      </w:r>
    </w:p>
    <w:p>
      <w:pPr>
        <w:ind w:left="720"/>
        <w:spacing w:after="0" w:line="233" w:lineRule="auto"/>
        <w:rPr>
          <w:sz w:val="20"/>
          <w:szCs w:val="20"/>
          <w:color w:val="auto"/>
        </w:rPr>
      </w:pPr>
      <w:r>
        <w:rPr>
          <w:rFonts w:ascii="Courier New" w:cs="Courier New" w:eastAsia="Courier New" w:hAnsi="Courier New"/>
          <w:sz w:val="9"/>
          <w:szCs w:val="9"/>
          <w:color w:val="auto"/>
        </w:rPr>
        <w:t>without limitation, any merger, consolidation, recapitalization, reorganization, split off, spin off, reclassification, combination, stock dividend, stock split, reverse stock split, repurchase, exchange, extraordinary cash dividend, issuance of warrants or other rights to purchase Common Stock or other securities of the Company, or other similar corporate transaction or change in the corporate structure of the Company affecting the Common Stock, or a sale by the Company of all or part of its assets or any distribution to stockholders other than a normal cash dividend), the Committee shall make such proportional adjustments as are necessary to preserve the benefits or potential benefits of the options. Action by the Committee may include appropriate adjustments in all any of (i) the number of shares of the Common Stock or other new or different securities that may be available for option grants under the Plan; (ii) the number of shares of Common Stock</w:t>
      </w:r>
    </w:p>
    <w:p>
      <w:pPr>
        <w:ind w:left="720" w:right="600"/>
        <w:spacing w:after="0" w:line="275" w:lineRule="auto"/>
        <w:rPr>
          <w:sz w:val="20"/>
          <w:szCs w:val="20"/>
          <w:color w:val="auto"/>
        </w:rPr>
      </w:pPr>
      <w:r>
        <w:rPr>
          <w:rFonts w:ascii="Courier New" w:cs="Courier New" w:eastAsia="Courier New" w:hAnsi="Courier New"/>
          <w:sz w:val="8"/>
          <w:szCs w:val="8"/>
          <w:color w:val="auto"/>
        </w:rPr>
        <w:t>or other new or different securities subject to outstanding options; (iii) the option price per share of outstanding options and, if deemed appropriate, cash payments; (iv) the maximum number and kind of securities that may be made subject to options for any individual as set forth in paragraph 2.a.; or (v) any other adjustment the Committee determines to be equitable. The Committee may also, in its sole discretion, make provisions in any option agreement for the protection of outstanding options in the event of such a corporate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5.</w:t>
      </w:r>
    </w:p>
    <w:p>
      <w:pPr>
        <w:ind w:left="360"/>
        <w:spacing w:after="0" w:line="233" w:lineRule="auto"/>
        <w:tabs>
          <w:tab w:leader="none" w:pos="1900" w:val="left"/>
        </w:tabs>
        <w:rPr>
          <w:sz w:val="20"/>
          <w:szCs w:val="20"/>
          <w:color w:val="auto"/>
        </w:rPr>
      </w:pPr>
      <w:r>
        <w:rPr>
          <w:rFonts w:ascii="Courier New" w:cs="Courier New" w:eastAsia="Courier New" w:hAnsi="Courier New"/>
          <w:sz w:val="9"/>
          <w:szCs w:val="9"/>
          <w:b w:val="1"/>
          <w:bCs w:val="1"/>
          <w:color w:val="auto"/>
        </w:rPr>
        <w:t>Administration of the Plan</w:t>
      </w:r>
      <w:r>
        <w:rPr>
          <w:rFonts w:ascii="Courier New" w:cs="Courier New" w:eastAsia="Courier New" w:hAnsi="Courier New"/>
          <w:sz w:val="9"/>
          <w:szCs w:val="9"/>
          <w:color w:val="auto"/>
        </w:rPr>
        <w:t>.</w:t>
      </w:r>
      <w:r>
        <w:rPr>
          <w:sz w:val="20"/>
          <w:szCs w:val="20"/>
          <w:color w:val="auto"/>
        </w:rPr>
        <w:tab/>
      </w:r>
      <w:r>
        <w:rPr>
          <w:rFonts w:ascii="Courier New" w:cs="Courier New" w:eastAsia="Courier New" w:hAnsi="Courier New"/>
          <w:sz w:val="9"/>
          <w:szCs w:val="9"/>
          <w:color w:val="auto"/>
        </w:rPr>
        <w:t>The Plan shall be administered by the Committee, provided that members of the Committee</w:t>
      </w:r>
    </w:p>
    <w:p>
      <w:pPr>
        <w:ind w:left="360"/>
        <w:spacing w:after="0" w:line="233" w:lineRule="auto"/>
        <w:rPr>
          <w:sz w:val="20"/>
          <w:szCs w:val="20"/>
          <w:color w:val="auto"/>
        </w:rPr>
      </w:pPr>
      <w:r>
        <w:rPr>
          <w:rFonts w:ascii="Courier New" w:cs="Courier New" w:eastAsia="Courier New" w:hAnsi="Courier New"/>
          <w:sz w:val="9"/>
          <w:szCs w:val="9"/>
          <w:color w:val="auto"/>
        </w:rPr>
        <w:t>shall be "non-employee directors" as contemplated by Rule 16b-3 under the Exchange Act or any successor rule and shall qualify to administer the Plan as "outside</w:t>
      </w:r>
    </w:p>
    <w:p>
      <w:pPr>
        <w:ind w:left="360" w:right="1020"/>
        <w:spacing w:after="0" w:line="262" w:lineRule="auto"/>
        <w:rPr>
          <w:sz w:val="20"/>
          <w:szCs w:val="20"/>
          <w:color w:val="auto"/>
        </w:rPr>
      </w:pPr>
      <w:r>
        <w:rPr>
          <w:rFonts w:ascii="Courier New" w:cs="Courier New" w:eastAsia="Courier New" w:hAnsi="Courier New"/>
          <w:sz w:val="8"/>
          <w:szCs w:val="8"/>
          <w:color w:val="auto"/>
        </w:rPr>
        <w:t>directors" as contemplated by Section 162(m) of the Code and the regulations thereunder ("Section 162(m)"). The Committee may delegate administrative duties and all decisions not required to be exercised by it under Section 162(m) of the Code, Section 16 of the Exchange Act or the rules of the New York Stock Exchange to an officer of the Company. The decision of</w:t>
      </w:r>
    </w:p>
    <w:p>
      <w:pPr>
        <w:ind w:left="360" w:right="360"/>
        <w:spacing w:after="0" w:line="234" w:lineRule="auto"/>
        <w:rPr>
          <w:sz w:val="20"/>
          <w:szCs w:val="20"/>
          <w:color w:val="auto"/>
        </w:rPr>
      </w:pPr>
      <w:r>
        <w:rPr>
          <w:rFonts w:ascii="Courier New" w:cs="Courier New" w:eastAsia="Courier New" w:hAnsi="Courier New"/>
          <w:sz w:val="9"/>
          <w:szCs w:val="9"/>
          <w:color w:val="auto"/>
        </w:rPr>
        <w:t>the Committee on any matter affecting the Plan and obligations arising under the Plan or any option granted thereunder shall be deemed final and binding upon all persons, including the company, its stockholders and option holders. No member of the Board or of the Committee shall be liable for any action taken or determination made in good faith with respect to the Plan or any option granted under the Plan.</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Subject</w:t>
      </w:r>
    </w:p>
    <w:p>
      <w:pPr>
        <w:ind w:left="360"/>
        <w:spacing w:after="0" w:line="233" w:lineRule="auto"/>
        <w:rPr>
          <w:sz w:val="20"/>
          <w:szCs w:val="20"/>
          <w:color w:val="auto"/>
        </w:rPr>
      </w:pPr>
      <w:r>
        <w:rPr>
          <w:rFonts w:ascii="Courier New" w:cs="Courier New" w:eastAsia="Courier New" w:hAnsi="Courier New"/>
          <w:sz w:val="9"/>
          <w:szCs w:val="9"/>
          <w:color w:val="auto"/>
        </w:rPr>
        <w:t>to the express provisions of the Plan, the Committee shall have authority, in its discretion, to grant options; to interpret the Plan; to prescribe, amend and rescind rules and regulations</w:t>
      </w:r>
    </w:p>
    <w:p>
      <w:pPr>
        <w:jc w:val="both"/>
        <w:ind w:left="360" w:right="200"/>
        <w:spacing w:after="0" w:line="233" w:lineRule="auto"/>
        <w:rPr>
          <w:sz w:val="20"/>
          <w:szCs w:val="20"/>
          <w:color w:val="auto"/>
        </w:rPr>
      </w:pPr>
      <w:r>
        <w:rPr>
          <w:rFonts w:ascii="Courier New" w:cs="Courier New" w:eastAsia="Courier New" w:hAnsi="Courier New"/>
          <w:sz w:val="9"/>
          <w:szCs w:val="9"/>
          <w:color w:val="auto"/>
        </w:rPr>
        <w:t>relating to the Plan; to determine the exercise price of each option to purchase Common Stock, the individuals to whom and the time or times at which options shall be granted, the number of shares to be subject to each option, when an option may be exercisable and the other terms and provisions (and amendments thereto) of the respective option agreements (which need not be identical); to determine whether a</w:t>
      </w:r>
    </w:p>
    <w:p>
      <w:pPr>
        <w:ind w:left="360"/>
        <w:spacing w:after="0"/>
        <w:rPr>
          <w:sz w:val="20"/>
          <w:szCs w:val="20"/>
          <w:color w:val="auto"/>
        </w:rPr>
      </w:pPr>
      <w:r>
        <w:rPr>
          <w:rFonts w:ascii="Courier New" w:cs="Courier New" w:eastAsia="Courier New" w:hAnsi="Courier New"/>
          <w:sz w:val="9"/>
          <w:szCs w:val="9"/>
          <w:color w:val="auto"/>
        </w:rPr>
        <w:t>particular option is to be an Incentive Stock Option; and to make all other determinations deemed necessary or advisable for the administration of the Plan.</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6.</w:t>
      </w:r>
    </w:p>
    <w:p>
      <w:pPr>
        <w:ind w:left="360"/>
        <w:spacing w:after="0"/>
        <w:rPr>
          <w:sz w:val="20"/>
          <w:szCs w:val="20"/>
          <w:color w:val="auto"/>
        </w:rPr>
      </w:pPr>
      <w:r>
        <w:rPr>
          <w:rFonts w:ascii="Courier New" w:cs="Courier New" w:eastAsia="Courier New" w:hAnsi="Courier New"/>
          <w:sz w:val="9"/>
          <w:szCs w:val="9"/>
          <w:b w:val="1"/>
          <w:bCs w:val="1"/>
          <w:color w:val="auto"/>
        </w:rPr>
        <w:t>Foreign Nationals and Residents of California</w:t>
      </w:r>
      <w:r>
        <w:rPr>
          <w:rFonts w:ascii="Courier New" w:cs="Courier New" w:eastAsia="Courier New" w:hAnsi="Courier New"/>
          <w:sz w:val="9"/>
          <w:szCs w:val="9"/>
          <w:color w:val="auto"/>
        </w:rPr>
        <w:t>.</w:t>
      </w:r>
    </w:p>
    <w:p>
      <w:pPr>
        <w:spacing w:after="0" w:line="200" w:lineRule="exact"/>
        <w:rPr>
          <w:sz w:val="20"/>
          <w:szCs w:val="20"/>
          <w:color w:val="auto"/>
        </w:rPr>
      </w:pPr>
    </w:p>
    <w:p>
      <w:pPr>
        <w:spacing w:after="0" w:line="379"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a.</w:t>
      </w:r>
    </w:p>
    <w:p>
      <w:pPr>
        <w:ind w:left="720"/>
        <w:spacing w:after="0" w:line="233" w:lineRule="auto"/>
        <w:tabs>
          <w:tab w:leader="none" w:pos="1780" w:val="left"/>
        </w:tabs>
        <w:rPr>
          <w:sz w:val="20"/>
          <w:szCs w:val="20"/>
          <w:color w:val="auto"/>
        </w:rPr>
      </w:pPr>
      <w:r>
        <w:rPr>
          <w:rFonts w:ascii="Courier New" w:cs="Courier New" w:eastAsia="Courier New" w:hAnsi="Courier New"/>
          <w:sz w:val="9"/>
          <w:szCs w:val="9"/>
          <w:b w:val="1"/>
          <w:bCs w:val="1"/>
          <w:color w:val="auto"/>
        </w:rPr>
        <w:t>Foreign Nationals</w:t>
      </w:r>
      <w:r>
        <w:rPr>
          <w:rFonts w:ascii="Courier New" w:cs="Courier New" w:eastAsia="Courier New" w:hAnsi="Courier New"/>
          <w:sz w:val="9"/>
          <w:szCs w:val="9"/>
          <w:color w:val="auto"/>
        </w:rPr>
        <w:t>.</w:t>
      </w:r>
      <w:r>
        <w:rPr>
          <w:sz w:val="20"/>
          <w:szCs w:val="20"/>
          <w:color w:val="auto"/>
        </w:rPr>
        <w:tab/>
      </w:r>
      <w:r>
        <w:rPr>
          <w:rFonts w:ascii="Courier New" w:cs="Courier New" w:eastAsia="Courier New" w:hAnsi="Courier New"/>
          <w:sz w:val="9"/>
          <w:szCs w:val="9"/>
          <w:color w:val="auto"/>
        </w:rPr>
        <w:t>Without amending the Plan, options may be granted to individuals who are foreign nationals or are</w:t>
      </w:r>
    </w:p>
    <w:p>
      <w:pPr>
        <w:ind w:left="720"/>
        <w:spacing w:after="0"/>
        <w:rPr>
          <w:sz w:val="20"/>
          <w:szCs w:val="20"/>
          <w:color w:val="auto"/>
        </w:rPr>
      </w:pPr>
      <w:r>
        <w:rPr>
          <w:rFonts w:ascii="Courier New" w:cs="Courier New" w:eastAsia="Courier New" w:hAnsi="Courier New"/>
          <w:sz w:val="9"/>
          <w:szCs w:val="9"/>
          <w:color w:val="auto"/>
        </w:rPr>
        <w:t>employed or otherwise performing services for the Company or any subsidiary outside the United States or both, on such terms and conditions different from those</w:t>
      </w:r>
    </w:p>
    <w:p>
      <w:pPr>
        <w:spacing w:after="0" w:line="95" w:lineRule="exact"/>
        <w:rPr>
          <w:sz w:val="20"/>
          <w:szCs w:val="20"/>
          <w:color w:val="auto"/>
        </w:rPr>
      </w:pPr>
    </w:p>
    <w:p>
      <w:pPr>
        <w:ind w:left="720"/>
        <w:spacing w:after="0"/>
        <w:rPr>
          <w:sz w:val="20"/>
          <w:szCs w:val="20"/>
          <w:color w:val="auto"/>
        </w:rPr>
      </w:pPr>
      <w:r>
        <w:rPr>
          <w:rFonts w:ascii="Courier New" w:cs="Courier New" w:eastAsia="Courier New" w:hAnsi="Courier New"/>
          <w:sz w:val="9"/>
          <w:szCs w:val="9"/>
          <w:color w:val="auto"/>
        </w:rPr>
        <w:t>specified in the Plan as may, in the judgment of the Committee, be necessary or desirable to further the purposes of the Plan.</w:t>
      </w:r>
    </w:p>
    <w:p>
      <w:pPr>
        <w:sectPr>
          <w:pgSz w:w="11900" w:h="16838" w:orient="portrait"/>
          <w:cols w:equalWidth="0" w:num="1">
            <w:col w:w="11360"/>
          </w:cols>
          <w:pgMar w:left="300" w:top="134" w:right="239" w:bottom="0" w:gutter="0" w:footer="0" w:header="0"/>
        </w:sectPr>
      </w:pPr>
    </w:p>
    <w:p>
      <w:pPr>
        <w:spacing w:after="0" w:line="196" w:lineRule="exact"/>
        <w:rPr>
          <w:sz w:val="20"/>
          <w:szCs w:val="20"/>
          <w:color w:val="auto"/>
        </w:rPr>
      </w:pPr>
    </w:p>
    <w:p>
      <w:pPr>
        <w:ind w:left="360"/>
        <w:spacing w:after="0"/>
        <w:rPr>
          <w:sz w:val="20"/>
          <w:szCs w:val="20"/>
          <w:color w:val="auto"/>
        </w:rPr>
      </w:pPr>
      <w:r>
        <w:rPr>
          <w:rFonts w:ascii="Courier New" w:cs="Courier New" w:eastAsia="Courier New" w:hAnsi="Courier New"/>
          <w:sz w:val="8"/>
          <w:szCs w:val="8"/>
          <w:color w:val="auto"/>
        </w:rPr>
        <w:t>b.</w:t>
      </w:r>
    </w:p>
    <w:p>
      <w:pPr>
        <w:sectPr>
          <w:pgSz w:w="11900" w:h="16838" w:orient="portrait"/>
          <w:cols w:equalWidth="0" w:num="1">
            <w:col w:w="11360"/>
          </w:cols>
          <w:pgMar w:left="300" w:top="134" w:right="239" w:bottom="0" w:gutter="0" w:footer="0" w:header="0"/>
          <w:type w:val="continuous"/>
        </w:sectPr>
      </w:pPr>
    </w:p>
    <w:bookmarkStart w:id="18" w:name="page19"/>
    <w:bookmarkEnd w:id="18"/>
    <w:p>
      <w:pPr>
        <w:ind w:left="720"/>
        <w:spacing w:after="0"/>
        <w:tabs>
          <w:tab w:leader="none" w:pos="1940" w:val="left"/>
        </w:tabs>
        <w:rPr>
          <w:sz w:val="20"/>
          <w:szCs w:val="20"/>
          <w:color w:val="auto"/>
        </w:rPr>
      </w:pPr>
      <w:r>
        <w:rPr>
          <w:rFonts w:ascii="Courier New" w:cs="Courier New" w:eastAsia="Courier New" w:hAnsi="Courier New"/>
          <w:sz w:val="9"/>
          <w:szCs w:val="9"/>
          <w:b w:val="1"/>
          <w:bCs w:val="1"/>
          <w:color w:val="auto"/>
        </w:rPr>
        <w:t>California Residents</w:t>
      </w:r>
      <w:r>
        <w:rPr>
          <w:rFonts w:ascii="Courier New" w:cs="Courier New" w:eastAsia="Courier New" w:hAnsi="Courier New"/>
          <w:sz w:val="9"/>
          <w:szCs w:val="9"/>
          <w:color w:val="auto"/>
        </w:rPr>
        <w:t>.</w:t>
      </w:r>
      <w:r>
        <w:rPr>
          <w:sz w:val="20"/>
          <w:szCs w:val="20"/>
          <w:color w:val="auto"/>
        </w:rPr>
        <w:tab/>
      </w:r>
      <w:r>
        <w:rPr>
          <w:rFonts w:ascii="Courier New" w:cs="Courier New" w:eastAsia="Courier New" w:hAnsi="Courier New"/>
          <w:sz w:val="8"/>
          <w:szCs w:val="8"/>
          <w:color w:val="auto"/>
        </w:rPr>
        <w:t>Without amending the Plan, and notwithstanding any provision of the Plan to the contrary,</w:t>
      </w:r>
    </w:p>
    <w:p>
      <w:pPr>
        <w:ind w:left="720"/>
        <w:spacing w:after="0"/>
        <w:rPr>
          <w:sz w:val="20"/>
          <w:szCs w:val="20"/>
          <w:color w:val="auto"/>
        </w:rPr>
      </w:pPr>
      <w:r>
        <w:rPr>
          <w:rFonts w:ascii="Courier New" w:cs="Courier New" w:eastAsia="Courier New" w:hAnsi="Courier New"/>
          <w:sz w:val="9"/>
          <w:szCs w:val="9"/>
          <w:color w:val="auto"/>
        </w:rPr>
        <w:t>options granted to individuals who are residents of the State of California may contain such terms and conditions as may be required by applicable California statutes governing stock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7.</w:t>
      </w:r>
    </w:p>
    <w:p>
      <w:pPr>
        <w:ind w:left="360"/>
        <w:spacing w:after="0"/>
        <w:tabs>
          <w:tab w:leader="none" w:pos="1420" w:val="left"/>
        </w:tabs>
        <w:rPr>
          <w:sz w:val="20"/>
          <w:szCs w:val="20"/>
          <w:color w:val="auto"/>
        </w:rPr>
      </w:pPr>
      <w:r>
        <w:rPr>
          <w:rFonts w:ascii="Courier New" w:cs="Courier New" w:eastAsia="Courier New" w:hAnsi="Courier New"/>
          <w:sz w:val="9"/>
          <w:szCs w:val="9"/>
          <w:b w:val="1"/>
          <w:bCs w:val="1"/>
          <w:color w:val="auto"/>
        </w:rPr>
        <w:t>Change of Control</w:t>
      </w:r>
      <w:r>
        <w:rPr>
          <w:rFonts w:ascii="Courier New" w:cs="Courier New" w:eastAsia="Courier New" w:hAnsi="Courier New"/>
          <w:sz w:val="9"/>
          <w:szCs w:val="9"/>
          <w:color w:val="auto"/>
        </w:rPr>
        <w:t>.</w:t>
      </w:r>
      <w:r>
        <w:rPr>
          <w:sz w:val="20"/>
          <w:szCs w:val="20"/>
          <w:color w:val="auto"/>
        </w:rPr>
        <w:tab/>
      </w:r>
      <w:r>
        <w:rPr>
          <w:rFonts w:ascii="Courier New" w:cs="Courier New" w:eastAsia="Courier New" w:hAnsi="Courier New"/>
          <w:sz w:val="8"/>
          <w:szCs w:val="8"/>
          <w:color w:val="auto"/>
        </w:rPr>
        <w:t>In the event of a Change of Control of the Company as hereinafter defined, whether or not approved</w:t>
      </w:r>
    </w:p>
    <w:p>
      <w:pPr>
        <w:ind w:left="360" w:right="320"/>
        <w:spacing w:after="0" w:line="235" w:lineRule="auto"/>
        <w:rPr>
          <w:sz w:val="20"/>
          <w:szCs w:val="20"/>
          <w:color w:val="auto"/>
        </w:rPr>
      </w:pPr>
      <w:r>
        <w:rPr>
          <w:rFonts w:ascii="Courier New" w:cs="Courier New" w:eastAsia="Courier New" w:hAnsi="Courier New"/>
          <w:sz w:val="9"/>
          <w:szCs w:val="9"/>
          <w:color w:val="auto"/>
        </w:rPr>
        <w:t>by the Board, all options shall fully vest, unless otherwise limited by the Committee at the time of the option grant, and be exercisable in their entirety immediately, and notwithstanding any other provisions of the Plan, shall continue to be exercisable for three years following the Change of Control, but not later than ten years after the date of grant.</w:t>
      </w:r>
    </w:p>
    <w:p>
      <w:pPr>
        <w:spacing w:after="0" w:line="200" w:lineRule="exact"/>
        <w:rPr>
          <w:sz w:val="20"/>
          <w:szCs w:val="20"/>
          <w:color w:val="auto"/>
        </w:rPr>
      </w:pPr>
    </w:p>
    <w:p>
      <w:pPr>
        <w:spacing w:after="0" w:line="380"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a.</w:t>
      </w:r>
    </w:p>
    <w:p>
      <w:pPr>
        <w:ind w:left="720"/>
        <w:spacing w:after="0"/>
        <w:tabs>
          <w:tab w:leader="none" w:pos="1400" w:val="left"/>
        </w:tabs>
        <w:rPr>
          <w:sz w:val="20"/>
          <w:szCs w:val="20"/>
          <w:color w:val="auto"/>
        </w:rPr>
      </w:pPr>
      <w:r>
        <w:rPr>
          <w:rFonts w:ascii="Courier New" w:cs="Courier New" w:eastAsia="Courier New" w:hAnsi="Courier New"/>
          <w:sz w:val="9"/>
          <w:szCs w:val="9"/>
          <w:b w:val="1"/>
          <w:bCs w:val="1"/>
          <w:color w:val="auto"/>
        </w:rPr>
        <w:t>Definition</w:t>
      </w:r>
      <w:r>
        <w:rPr>
          <w:rFonts w:ascii="Courier New" w:cs="Courier New" w:eastAsia="Courier New" w:hAnsi="Courier New"/>
          <w:sz w:val="9"/>
          <w:szCs w:val="9"/>
          <w:color w:val="auto"/>
        </w:rPr>
        <w:t>.</w:t>
      </w:r>
      <w:r>
        <w:rPr>
          <w:sz w:val="20"/>
          <w:szCs w:val="20"/>
          <w:color w:val="auto"/>
        </w:rPr>
        <w:tab/>
      </w:r>
      <w:r>
        <w:rPr>
          <w:rFonts w:ascii="Courier New" w:cs="Courier New" w:eastAsia="Courier New" w:hAnsi="Courier New"/>
          <w:sz w:val="8"/>
          <w:szCs w:val="8"/>
          <w:color w:val="auto"/>
        </w:rPr>
        <w:t>For the purpose of this paragraph 7, a "Change of Control" shall mean:</w:t>
      </w:r>
    </w:p>
    <w:p>
      <w:pPr>
        <w:spacing w:after="0" w:line="200" w:lineRule="exact"/>
        <w:rPr>
          <w:sz w:val="20"/>
          <w:szCs w:val="20"/>
          <w:color w:val="auto"/>
        </w:rPr>
      </w:pPr>
    </w:p>
    <w:p>
      <w:pPr>
        <w:spacing w:after="0" w:line="379" w:lineRule="exact"/>
        <w:rPr>
          <w:sz w:val="20"/>
          <w:szCs w:val="20"/>
          <w:color w:val="auto"/>
        </w:rPr>
      </w:pPr>
    </w:p>
    <w:p>
      <w:pPr>
        <w:ind w:left="720"/>
        <w:spacing w:after="0"/>
        <w:rPr>
          <w:sz w:val="20"/>
          <w:szCs w:val="20"/>
          <w:color w:val="auto"/>
        </w:rPr>
      </w:pPr>
      <w:r>
        <w:rPr>
          <w:rFonts w:ascii="Courier New" w:cs="Courier New" w:eastAsia="Courier New" w:hAnsi="Courier New"/>
          <w:sz w:val="9"/>
          <w:szCs w:val="9"/>
          <w:color w:val="auto"/>
        </w:rPr>
        <w:t>(i)</w:t>
      </w:r>
    </w:p>
    <w:p>
      <w:pPr>
        <w:ind w:left="1080"/>
        <w:spacing w:after="0" w:line="233" w:lineRule="auto"/>
        <w:rPr>
          <w:sz w:val="20"/>
          <w:szCs w:val="20"/>
          <w:color w:val="auto"/>
        </w:rPr>
      </w:pPr>
      <w:r>
        <w:rPr>
          <w:rFonts w:ascii="Courier New" w:cs="Courier New" w:eastAsia="Courier New" w:hAnsi="Courier New"/>
          <w:sz w:val="9"/>
          <w:szCs w:val="9"/>
          <w:color w:val="auto"/>
        </w:rPr>
        <w:t>The</w:t>
      </w:r>
    </w:p>
    <w:p>
      <w:pPr>
        <w:ind w:left="1080"/>
        <w:spacing w:after="0" w:line="233" w:lineRule="auto"/>
        <w:rPr>
          <w:sz w:val="20"/>
          <w:szCs w:val="20"/>
          <w:color w:val="auto"/>
        </w:rPr>
      </w:pPr>
      <w:r>
        <w:rPr>
          <w:rFonts w:ascii="Courier New" w:cs="Courier New" w:eastAsia="Courier New" w:hAnsi="Courier New"/>
          <w:sz w:val="9"/>
          <w:szCs w:val="9"/>
          <w:color w:val="auto"/>
        </w:rPr>
        <w:t>acquisition by any individual, entity or group (within the meaning of Section 13(d)(3) or 14(d)(2) of the Exchange Act) (a "Person") of</w:t>
      </w:r>
    </w:p>
    <w:p>
      <w:pPr>
        <w:ind w:left="1080"/>
        <w:spacing w:after="0" w:line="233" w:lineRule="auto"/>
        <w:rPr>
          <w:sz w:val="20"/>
          <w:szCs w:val="20"/>
          <w:color w:val="auto"/>
        </w:rPr>
      </w:pPr>
      <w:r>
        <w:rPr>
          <w:rFonts w:ascii="Courier New" w:cs="Courier New" w:eastAsia="Courier New" w:hAnsi="Courier New"/>
          <w:sz w:val="9"/>
          <w:szCs w:val="9"/>
          <w:color w:val="auto"/>
        </w:rPr>
        <w:t>beneficial ownership (within the meaning of Rule 13d-3 under the Exchange Act) of 15% or more of either (A) the then-outstanding shares of Common Stock of the</w:t>
      </w:r>
    </w:p>
    <w:p>
      <w:pPr>
        <w:ind w:left="1080"/>
        <w:spacing w:after="0" w:line="233" w:lineRule="auto"/>
        <w:rPr>
          <w:sz w:val="20"/>
          <w:szCs w:val="20"/>
          <w:color w:val="auto"/>
        </w:rPr>
      </w:pPr>
      <w:r>
        <w:rPr>
          <w:rFonts w:ascii="Courier New" w:cs="Courier New" w:eastAsia="Courier New" w:hAnsi="Courier New"/>
          <w:sz w:val="9"/>
          <w:szCs w:val="9"/>
          <w:color w:val="auto"/>
        </w:rPr>
        <w:t>Company (the "Outstanding Company Common Stock") or (B) the combined voting power of the then-outstanding voting securities of the Company entitled to vote generally in the election</w:t>
      </w:r>
    </w:p>
    <w:p>
      <w:pPr>
        <w:ind w:left="1080"/>
        <w:spacing w:after="0" w:line="233" w:lineRule="auto"/>
        <w:rPr>
          <w:sz w:val="20"/>
          <w:szCs w:val="20"/>
          <w:color w:val="auto"/>
        </w:rPr>
      </w:pPr>
      <w:r>
        <w:rPr>
          <w:rFonts w:ascii="Courier New" w:cs="Courier New" w:eastAsia="Courier New" w:hAnsi="Courier New"/>
          <w:sz w:val="9"/>
          <w:szCs w:val="9"/>
          <w:color w:val="auto"/>
        </w:rPr>
        <w:t>of directors (the "Outstanding Company Voting Securities"); provided, however, that for purposes of this subsection (i), the following acquisitions shall not constitute a Change of Control:</w:t>
      </w:r>
    </w:p>
    <w:p>
      <w:pPr>
        <w:ind w:left="1080" w:right="720" w:hanging="8"/>
        <w:spacing w:after="0" w:line="234" w:lineRule="auto"/>
        <w:tabs>
          <w:tab w:leader="none" w:pos="1296" w:val="left"/>
        </w:tabs>
        <w:numPr>
          <w:ilvl w:val="0"/>
          <w:numId w:val="5"/>
        </w:numPr>
        <w:rPr>
          <w:rFonts w:ascii="Courier New" w:cs="Courier New" w:eastAsia="Courier New" w:hAnsi="Courier New"/>
          <w:sz w:val="9"/>
          <w:szCs w:val="9"/>
          <w:color w:val="auto"/>
        </w:rPr>
      </w:pPr>
      <w:r>
        <w:rPr>
          <w:rFonts w:ascii="Courier New" w:cs="Courier New" w:eastAsia="Courier New" w:hAnsi="Courier New"/>
          <w:sz w:val="9"/>
          <w:szCs w:val="9"/>
          <w:color w:val="auto"/>
        </w:rPr>
        <w:t>any acquisition directly from the Company, (B) any acquisition by the Company, (C) any acquisition by any employee benefit plan (or related trust) sponsored or maintained by the Company or any corporation controlled by the Company, or (D) any acquisition by any corporation pursuant to a transaction that complies with clauses (A), (B) and (C) of subsection (iii) of this paragraph 7; or</w:t>
      </w:r>
    </w:p>
    <w:p>
      <w:pPr>
        <w:spacing w:after="0" w:line="194" w:lineRule="exact"/>
        <w:rPr>
          <w:sz w:val="20"/>
          <w:szCs w:val="20"/>
          <w:color w:val="auto"/>
        </w:rPr>
      </w:pPr>
    </w:p>
    <w:p>
      <w:pPr>
        <w:ind w:left="720"/>
        <w:spacing w:after="0"/>
        <w:rPr>
          <w:sz w:val="20"/>
          <w:szCs w:val="20"/>
          <w:color w:val="auto"/>
        </w:rPr>
      </w:pPr>
      <w:r>
        <w:rPr>
          <w:rFonts w:ascii="Courier New" w:cs="Courier New" w:eastAsia="Courier New" w:hAnsi="Courier New"/>
          <w:sz w:val="9"/>
          <w:szCs w:val="9"/>
          <w:color w:val="auto"/>
        </w:rPr>
        <w:t>(ii)</w:t>
      </w:r>
    </w:p>
    <w:p>
      <w:pPr>
        <w:ind w:left="1080"/>
        <w:spacing w:after="0" w:line="233" w:lineRule="auto"/>
        <w:rPr>
          <w:sz w:val="20"/>
          <w:szCs w:val="20"/>
          <w:color w:val="auto"/>
        </w:rPr>
      </w:pPr>
      <w:r>
        <w:rPr>
          <w:rFonts w:ascii="Courier New" w:cs="Courier New" w:eastAsia="Courier New" w:hAnsi="Courier New"/>
          <w:sz w:val="9"/>
          <w:szCs w:val="9"/>
          <w:color w:val="auto"/>
        </w:rPr>
        <w:t>Individuals</w:t>
      </w:r>
    </w:p>
    <w:p>
      <w:pPr>
        <w:ind w:left="1080"/>
        <w:spacing w:after="0" w:line="233" w:lineRule="auto"/>
        <w:rPr>
          <w:sz w:val="20"/>
          <w:szCs w:val="20"/>
          <w:color w:val="auto"/>
        </w:rPr>
      </w:pPr>
      <w:r>
        <w:rPr>
          <w:rFonts w:ascii="Courier New" w:cs="Courier New" w:eastAsia="Courier New" w:hAnsi="Courier New"/>
          <w:sz w:val="9"/>
          <w:szCs w:val="9"/>
          <w:color w:val="auto"/>
        </w:rPr>
        <w:t>who, as of the date hereof, constitute the Board of Directors of the Company (the "Incumbent Board") cease for any reason to constitute</w:t>
      </w:r>
    </w:p>
    <w:p>
      <w:pPr>
        <w:jc w:val="both"/>
        <w:ind w:left="1080"/>
        <w:spacing w:after="0" w:line="234" w:lineRule="auto"/>
        <w:rPr>
          <w:sz w:val="20"/>
          <w:szCs w:val="20"/>
          <w:color w:val="auto"/>
        </w:rPr>
      </w:pPr>
      <w:r>
        <w:rPr>
          <w:rFonts w:ascii="Courier New" w:cs="Courier New" w:eastAsia="Courier New" w:hAnsi="Courier New"/>
          <w:sz w:val="9"/>
          <w:szCs w:val="9"/>
          <w:color w:val="auto"/>
        </w:rPr>
        <w:t>at least a majority of the Board; provided, however, that any individual becoming a director subsequent to the date hereof whose election, or nomination for election by the Company's stockhol approved by a vote of at least a majority of the directors then comprising the Incumbent Board shall be considered as though such individual were a member of the Incumbent Board, but excludin this purpose, any such individual whose initial assumption of office occurs as a result of an actual or threatened election contest with respect to the election or removal of directors or oth or threatened solicitation of proxies or consents by or on behalf of a Person other than the Board; or</w:t>
      </w:r>
    </w:p>
    <w:p>
      <w:pPr>
        <w:spacing w:after="0" w:line="193" w:lineRule="exact"/>
        <w:rPr>
          <w:sz w:val="20"/>
          <w:szCs w:val="20"/>
          <w:color w:val="auto"/>
        </w:rPr>
      </w:pPr>
    </w:p>
    <w:p>
      <w:pPr>
        <w:ind w:left="720"/>
        <w:spacing w:after="0"/>
        <w:rPr>
          <w:sz w:val="20"/>
          <w:szCs w:val="20"/>
          <w:color w:val="auto"/>
        </w:rPr>
      </w:pPr>
      <w:r>
        <w:rPr>
          <w:rFonts w:ascii="Courier New" w:cs="Courier New" w:eastAsia="Courier New" w:hAnsi="Courier New"/>
          <w:sz w:val="9"/>
          <w:szCs w:val="9"/>
          <w:color w:val="auto"/>
        </w:rPr>
        <w:t>(iii)</w:t>
      </w:r>
    </w:p>
    <w:p>
      <w:pPr>
        <w:ind w:left="1080"/>
        <w:spacing w:after="0" w:line="233" w:lineRule="auto"/>
        <w:rPr>
          <w:sz w:val="20"/>
          <w:szCs w:val="20"/>
          <w:color w:val="auto"/>
        </w:rPr>
      </w:pPr>
      <w:r>
        <w:rPr>
          <w:rFonts w:ascii="Courier New" w:cs="Courier New" w:eastAsia="Courier New" w:hAnsi="Courier New"/>
          <w:sz w:val="9"/>
          <w:szCs w:val="9"/>
          <w:color w:val="auto"/>
        </w:rPr>
        <w:t>Consummation</w:t>
      </w:r>
    </w:p>
    <w:p>
      <w:pPr>
        <w:ind w:left="1080"/>
        <w:spacing w:after="0" w:line="233" w:lineRule="auto"/>
        <w:rPr>
          <w:sz w:val="20"/>
          <w:szCs w:val="20"/>
          <w:color w:val="auto"/>
        </w:rPr>
      </w:pPr>
      <w:r>
        <w:rPr>
          <w:rFonts w:ascii="Courier New" w:cs="Courier New" w:eastAsia="Courier New" w:hAnsi="Courier New"/>
          <w:sz w:val="9"/>
          <w:szCs w:val="9"/>
          <w:color w:val="auto"/>
        </w:rPr>
        <w:t>of a reorganization, merger or consolidation of the Company or sale or other disposition of all or substantially all of the assets of</w:t>
      </w:r>
    </w:p>
    <w:p>
      <w:pPr>
        <w:ind w:left="1080" w:right="560"/>
        <w:spacing w:after="0" w:line="233" w:lineRule="auto"/>
        <w:rPr>
          <w:sz w:val="20"/>
          <w:szCs w:val="20"/>
          <w:color w:val="auto"/>
        </w:rPr>
      </w:pPr>
      <w:r>
        <w:rPr>
          <w:rFonts w:ascii="Courier New" w:cs="Courier New" w:eastAsia="Courier New" w:hAnsi="Courier New"/>
          <w:sz w:val="9"/>
          <w:szCs w:val="9"/>
          <w:color w:val="auto"/>
        </w:rPr>
        <w:t>the Company or the acquisition by the Company of assets or stock of another entity (a "Business Combination"), in each case, unless, following such Business Combination, (A) all or substantially all of the individuals and entities who were the beneficial owners, respectively, of the Outstanding Company Common Stock and Outstanding Company Voting</w:t>
      </w:r>
    </w:p>
    <w:p>
      <w:pPr>
        <w:ind w:left="1080"/>
        <w:spacing w:after="0" w:line="234" w:lineRule="auto"/>
        <w:rPr>
          <w:sz w:val="20"/>
          <w:szCs w:val="20"/>
          <w:color w:val="auto"/>
        </w:rPr>
      </w:pPr>
      <w:r>
        <w:rPr>
          <w:rFonts w:ascii="Courier New" w:cs="Courier New" w:eastAsia="Courier New" w:hAnsi="Courier New"/>
          <w:sz w:val="9"/>
          <w:szCs w:val="9"/>
          <w:color w:val="auto"/>
        </w:rPr>
        <w:t>Securities immediately prior to such Business Combination beneficially own, directly or indirectly, more than 50% of, respectively, the then-outstanding shares of common stock and the combined voting power of the then-outstanding voting securities entitled to vote generally in the election of directors, as the case may be, of the corporation resulting from such Business Combination (including, without limitation, a corporation which as a result of such transaction owns the Company or all or substantially all of the Company's assets either directly or through more subsidiaries) in substantially the same proportions as their ownership, immediately prior to</w:t>
      </w:r>
    </w:p>
    <w:p>
      <w:pPr>
        <w:spacing w:after="0" w:line="97" w:lineRule="exact"/>
        <w:rPr>
          <w:sz w:val="20"/>
          <w:szCs w:val="20"/>
          <w:color w:val="auto"/>
        </w:rPr>
      </w:pPr>
    </w:p>
    <w:p>
      <w:pPr>
        <w:ind w:left="1080"/>
        <w:spacing w:after="0" w:line="233" w:lineRule="auto"/>
        <w:rPr>
          <w:sz w:val="20"/>
          <w:szCs w:val="20"/>
          <w:color w:val="auto"/>
        </w:rPr>
      </w:pPr>
      <w:r>
        <w:rPr>
          <w:rFonts w:ascii="Courier New" w:cs="Courier New" w:eastAsia="Courier New" w:hAnsi="Courier New"/>
          <w:sz w:val="9"/>
          <w:szCs w:val="9"/>
          <w:color w:val="auto"/>
        </w:rPr>
        <w:t>such Business Combination of the Outstanding Company Common Stock and Outstanding Company Voting Securities, as the case may be, (B) no Person (excluding any corporation resulting from such Business Combination or any employee benefit plan (or related trust) of the Company or such corporation resulting from such Business Combination) beneficially owns, directly or indirectly, 15 of, respectively, the then-outstanding shares of common stock of the corporation resulting from such Business Combination, or the combined voting power of the then-outstanding</w:t>
      </w:r>
    </w:p>
    <w:p>
      <w:pPr>
        <w:jc w:val="both"/>
        <w:ind w:left="1080"/>
        <w:spacing w:after="0" w:line="234" w:lineRule="auto"/>
        <w:rPr>
          <w:sz w:val="20"/>
          <w:szCs w:val="20"/>
          <w:color w:val="auto"/>
        </w:rPr>
      </w:pPr>
      <w:r>
        <w:rPr>
          <w:rFonts w:ascii="Courier New" w:cs="Courier New" w:eastAsia="Courier New" w:hAnsi="Courier New"/>
          <w:sz w:val="9"/>
          <w:szCs w:val="9"/>
          <w:color w:val="auto"/>
        </w:rPr>
        <w:t>voting securities of such corporation except to the extent that such ownership existed prior to the Business Combination and (C) at least a majority of the members of the board of directors o the corporation resulting from such Business Combination were members of the Incumbent Board at the time of the execution of the initial agreement, or of the action of the Board, providing fo Business Combination; or</w:t>
      </w:r>
    </w:p>
    <w:p>
      <w:pPr>
        <w:spacing w:after="0" w:line="194" w:lineRule="exact"/>
        <w:rPr>
          <w:sz w:val="20"/>
          <w:szCs w:val="20"/>
          <w:color w:val="auto"/>
        </w:rPr>
      </w:pPr>
    </w:p>
    <w:p>
      <w:pPr>
        <w:ind w:left="720"/>
        <w:spacing w:after="0"/>
        <w:rPr>
          <w:sz w:val="20"/>
          <w:szCs w:val="20"/>
          <w:color w:val="auto"/>
        </w:rPr>
      </w:pPr>
      <w:r>
        <w:rPr>
          <w:rFonts w:ascii="Courier New" w:cs="Courier New" w:eastAsia="Courier New" w:hAnsi="Courier New"/>
          <w:sz w:val="9"/>
          <w:szCs w:val="9"/>
          <w:color w:val="auto"/>
        </w:rPr>
        <w:t>(iv)</w:t>
      </w:r>
    </w:p>
    <w:p>
      <w:pPr>
        <w:ind w:left="1080"/>
        <w:spacing w:after="0" w:line="233" w:lineRule="auto"/>
        <w:rPr>
          <w:sz w:val="20"/>
          <w:szCs w:val="20"/>
          <w:color w:val="auto"/>
        </w:rPr>
      </w:pPr>
      <w:r>
        <w:rPr>
          <w:rFonts w:ascii="Courier New" w:cs="Courier New" w:eastAsia="Courier New" w:hAnsi="Courier New"/>
          <w:sz w:val="9"/>
          <w:szCs w:val="9"/>
          <w:color w:val="auto"/>
        </w:rPr>
        <w:t>Approval</w:t>
      </w:r>
    </w:p>
    <w:p>
      <w:pPr>
        <w:ind w:left="1080"/>
        <w:spacing w:after="0"/>
        <w:rPr>
          <w:sz w:val="20"/>
          <w:szCs w:val="20"/>
          <w:color w:val="auto"/>
        </w:rPr>
      </w:pPr>
      <w:r>
        <w:rPr>
          <w:rFonts w:ascii="Courier New" w:cs="Courier New" w:eastAsia="Courier New" w:hAnsi="Courier New"/>
          <w:sz w:val="9"/>
          <w:szCs w:val="9"/>
          <w:color w:val="auto"/>
        </w:rPr>
        <w:t>by the stockholders of the Company of a complete liquidation or dissolution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8.</w:t>
      </w:r>
    </w:p>
    <w:p>
      <w:pPr>
        <w:ind w:left="360"/>
        <w:spacing w:after="0" w:line="233" w:lineRule="auto"/>
        <w:tabs>
          <w:tab w:leader="none" w:pos="1300" w:val="left"/>
        </w:tabs>
        <w:rPr>
          <w:sz w:val="20"/>
          <w:szCs w:val="20"/>
          <w:color w:val="auto"/>
        </w:rPr>
      </w:pPr>
      <w:r>
        <w:rPr>
          <w:rFonts w:ascii="Courier New" w:cs="Courier New" w:eastAsia="Courier New" w:hAnsi="Courier New"/>
          <w:sz w:val="9"/>
          <w:szCs w:val="9"/>
          <w:b w:val="1"/>
          <w:bCs w:val="1"/>
          <w:color w:val="auto"/>
        </w:rPr>
        <w:t>Tax Withholding</w:t>
      </w:r>
      <w:r>
        <w:rPr>
          <w:rFonts w:ascii="Courier New" w:cs="Courier New" w:eastAsia="Courier New" w:hAnsi="Courier New"/>
          <w:sz w:val="9"/>
          <w:szCs w:val="9"/>
          <w:color w:val="auto"/>
        </w:rPr>
        <w:t>.</w:t>
      </w:r>
      <w:r>
        <w:rPr>
          <w:sz w:val="20"/>
          <w:szCs w:val="20"/>
          <w:color w:val="auto"/>
        </w:rPr>
        <w:tab/>
      </w:r>
      <w:r>
        <w:rPr>
          <w:rFonts w:ascii="Courier New" w:cs="Courier New" w:eastAsia="Courier New" w:hAnsi="Courier New"/>
          <w:sz w:val="9"/>
          <w:szCs w:val="9"/>
          <w:color w:val="auto"/>
        </w:rPr>
        <w:t>The Company shall have the right to deduct from any settlement made under the Plan, including the</w:t>
      </w:r>
    </w:p>
    <w:p>
      <w:pPr>
        <w:ind w:left="360" w:right="200"/>
        <w:spacing w:after="0" w:line="234" w:lineRule="auto"/>
        <w:rPr>
          <w:sz w:val="20"/>
          <w:szCs w:val="20"/>
          <w:color w:val="auto"/>
        </w:rPr>
      </w:pPr>
      <w:r>
        <w:rPr>
          <w:rFonts w:ascii="Courier New" w:cs="Courier New" w:eastAsia="Courier New" w:hAnsi="Courier New"/>
          <w:sz w:val="9"/>
          <w:szCs w:val="9"/>
          <w:color w:val="auto"/>
        </w:rPr>
        <w:t>exercise of an option or the sale of shares of Common Stock, any federal, state or local taxes of any kind required by law to be withheld with respect to such payments or to require the option holder to pay the amount of any such taxes or to take such other action as may be necessary in the opinion of the Company to satisfy all obligations for the payment of such taxes. If Common Stock is withheld or surrendered to satisfy tax withholding, such stock shall be valued at its fair market value as of the date such Common Stock is withheld or surrendered. The Company may also deduct from any such settlement any other amounts due the Company by the option holder.</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9.</w:t>
      </w:r>
    </w:p>
    <w:p>
      <w:pPr>
        <w:ind w:left="360"/>
        <w:spacing w:after="0"/>
        <w:tabs>
          <w:tab w:leader="none" w:pos="1200" w:val="left"/>
        </w:tabs>
        <w:rPr>
          <w:sz w:val="20"/>
          <w:szCs w:val="20"/>
          <w:color w:val="auto"/>
        </w:rPr>
      </w:pPr>
      <w:r>
        <w:rPr>
          <w:rFonts w:ascii="Courier New" w:cs="Courier New" w:eastAsia="Courier New" w:hAnsi="Courier New"/>
          <w:sz w:val="9"/>
          <w:szCs w:val="9"/>
          <w:b w:val="1"/>
          <w:bCs w:val="1"/>
          <w:color w:val="auto"/>
        </w:rPr>
        <w:t>Governing Law</w:t>
      </w:r>
      <w:r>
        <w:rPr>
          <w:rFonts w:ascii="Courier New" w:cs="Courier New" w:eastAsia="Courier New" w:hAnsi="Courier New"/>
          <w:sz w:val="9"/>
          <w:szCs w:val="9"/>
          <w:color w:val="auto"/>
        </w:rPr>
        <w:t>.</w:t>
      </w:r>
      <w:r>
        <w:rPr>
          <w:sz w:val="20"/>
          <w:szCs w:val="20"/>
          <w:color w:val="auto"/>
        </w:rPr>
        <w:tab/>
      </w:r>
      <w:r>
        <w:rPr>
          <w:rFonts w:ascii="Courier New" w:cs="Courier New" w:eastAsia="Courier New" w:hAnsi="Courier New"/>
          <w:sz w:val="8"/>
          <w:szCs w:val="8"/>
          <w:color w:val="auto"/>
        </w:rPr>
        <w:t>The Plan, options granted under the Plan and agreements entered into under the Plan shall be</w:t>
      </w:r>
    </w:p>
    <w:p>
      <w:pPr>
        <w:ind w:left="360" w:right="360"/>
        <w:spacing w:after="0" w:line="235" w:lineRule="auto"/>
        <w:rPr>
          <w:sz w:val="20"/>
          <w:szCs w:val="20"/>
          <w:color w:val="auto"/>
        </w:rPr>
      </w:pPr>
      <w:r>
        <w:rPr>
          <w:rFonts w:ascii="Courier New" w:cs="Courier New" w:eastAsia="Courier New" w:hAnsi="Courier New"/>
          <w:sz w:val="9"/>
          <w:szCs w:val="9"/>
          <w:color w:val="auto"/>
        </w:rPr>
        <w:t>construed, administered and governed in all respects under and by the applicable laws of the State of Delaware, excluding any conflicts or choice of law rule or principle that might otherwise refer construction or interpretation of the Plan or an agreement to the substantive law of another jurisdiction.</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10.</w:t>
      </w:r>
    </w:p>
    <w:p>
      <w:pPr>
        <w:ind w:left="360"/>
        <w:spacing w:after="0"/>
        <w:tabs>
          <w:tab w:leader="none" w:pos="2120" w:val="left"/>
        </w:tabs>
        <w:rPr>
          <w:sz w:val="20"/>
          <w:szCs w:val="20"/>
          <w:color w:val="auto"/>
        </w:rPr>
      </w:pPr>
      <w:r>
        <w:rPr>
          <w:rFonts w:ascii="Courier New" w:cs="Courier New" w:eastAsia="Courier New" w:hAnsi="Courier New"/>
          <w:sz w:val="9"/>
          <w:szCs w:val="9"/>
          <w:b w:val="1"/>
          <w:bCs w:val="1"/>
          <w:color w:val="auto"/>
        </w:rPr>
        <w:t>Plan Amendment and Termination</w:t>
      </w:r>
      <w:r>
        <w:rPr>
          <w:rFonts w:ascii="Courier New" w:cs="Courier New" w:eastAsia="Courier New" w:hAnsi="Courier New"/>
          <w:sz w:val="9"/>
          <w:szCs w:val="9"/>
          <w:color w:val="auto"/>
        </w:rPr>
        <w:t>.</w:t>
      </w:r>
      <w:r>
        <w:rPr>
          <w:sz w:val="20"/>
          <w:szCs w:val="20"/>
          <w:color w:val="auto"/>
        </w:rPr>
        <w:tab/>
      </w:r>
      <w:r>
        <w:rPr>
          <w:rFonts w:ascii="Courier New" w:cs="Courier New" w:eastAsia="Courier New" w:hAnsi="Courier New"/>
          <w:sz w:val="8"/>
          <w:szCs w:val="8"/>
          <w:color w:val="auto"/>
        </w:rPr>
        <w:t>The Board may amend, suspend or terminate the Plan at any time, with or without</w:t>
      </w:r>
    </w:p>
    <w:p>
      <w:pPr>
        <w:ind w:left="360" w:right="260"/>
        <w:spacing w:after="0" w:line="233" w:lineRule="auto"/>
        <w:rPr>
          <w:sz w:val="20"/>
          <w:szCs w:val="20"/>
          <w:color w:val="auto"/>
        </w:rPr>
      </w:pPr>
      <w:r>
        <w:rPr>
          <w:rFonts w:ascii="Courier New" w:cs="Courier New" w:eastAsia="Courier New" w:hAnsi="Courier New"/>
          <w:sz w:val="9"/>
          <w:szCs w:val="9"/>
          <w:color w:val="auto"/>
        </w:rPr>
        <w:t>advance notice to option holders, including an amendment to increase the number of shares of Common Stock with respect to which options may be granted; provided however that no amendment that would increase the maximum number of shares that may be subjected to options or that may be granted to any person referred to in Section 162(m) of the Code or that would modify requirements as to eligibility for participation in the Plan shall be effective unless the stockholders of the Company shall have approved the amendment in accordance with applicable provisions of the Code. No amendment, modification or termination of the Plan may adversely affect in a material manner any right of any option holder with respect to any option theretofore granted without such option holder's written consent.</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11.</w:t>
      </w:r>
    </w:p>
    <w:p>
      <w:pPr>
        <w:ind w:left="360"/>
        <w:spacing w:after="0" w:line="233" w:lineRule="auto"/>
        <w:tabs>
          <w:tab w:leader="none" w:pos="2600" w:val="left"/>
        </w:tabs>
        <w:rPr>
          <w:sz w:val="20"/>
          <w:szCs w:val="20"/>
          <w:color w:val="auto"/>
        </w:rPr>
      </w:pPr>
      <w:r>
        <w:rPr>
          <w:rFonts w:ascii="Courier New" w:cs="Courier New" w:eastAsia="Courier New" w:hAnsi="Courier New"/>
          <w:sz w:val="9"/>
          <w:szCs w:val="9"/>
          <w:b w:val="1"/>
          <w:bCs w:val="1"/>
          <w:color w:val="auto"/>
        </w:rPr>
        <w:t>Effective Date and Duration of the Plan</w:t>
      </w:r>
      <w:r>
        <w:rPr>
          <w:rFonts w:ascii="Courier New" w:cs="Courier New" w:eastAsia="Courier New" w:hAnsi="Courier New"/>
          <w:sz w:val="9"/>
          <w:szCs w:val="9"/>
          <w:color w:val="auto"/>
        </w:rPr>
        <w:t>.</w:t>
      </w:r>
      <w:r>
        <w:rPr>
          <w:sz w:val="20"/>
          <w:szCs w:val="20"/>
          <w:color w:val="auto"/>
        </w:rPr>
        <w:tab/>
      </w:r>
      <w:r>
        <w:rPr>
          <w:rFonts w:ascii="Courier New" w:cs="Courier New" w:eastAsia="Courier New" w:hAnsi="Courier New"/>
          <w:sz w:val="9"/>
          <w:szCs w:val="9"/>
          <w:color w:val="auto"/>
        </w:rPr>
        <w:t>The effective date of the Plan shall be March 29, 2000 subject to</w:t>
      </w:r>
    </w:p>
    <w:p>
      <w:pPr>
        <w:ind w:left="360" w:right="480"/>
        <w:spacing w:after="0" w:line="234" w:lineRule="auto"/>
        <w:rPr>
          <w:sz w:val="20"/>
          <w:szCs w:val="20"/>
          <w:color w:val="auto"/>
        </w:rPr>
      </w:pPr>
      <w:r>
        <w:rPr>
          <w:rFonts w:ascii="Courier New" w:cs="Courier New" w:eastAsia="Courier New" w:hAnsi="Courier New"/>
          <w:sz w:val="9"/>
          <w:szCs w:val="9"/>
          <w:color w:val="auto"/>
        </w:rPr>
        <w:t>approval by stockholders. Any amendment to the Plan shall be effective on the date established by the Committee, subject to stockholder approval, if required. The Plan shall remain in effect until all shares reserved for issuance pursuant to the Plan have been purchased pursuant to options granted under the Plan, provided that options under the Plan must be granted not later than ten years after the effective date of the Plan or any future amendment approved by stockholders.</w:t>
      </w: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Dated: February 9, 2000</w:t>
      </w:r>
    </w:p>
    <w:p>
      <w:pPr>
        <w:spacing w:after="0" w:line="96" w:lineRule="exact"/>
        <w:rPr>
          <w:sz w:val="20"/>
          <w:szCs w:val="20"/>
          <w:color w:val="auto"/>
        </w:rPr>
      </w:pPr>
    </w:p>
    <w:p>
      <w:pPr>
        <w:ind w:left="7300"/>
        <w:spacing w:after="0"/>
        <w:rPr>
          <w:sz w:val="20"/>
          <w:szCs w:val="20"/>
          <w:color w:val="auto"/>
        </w:rPr>
      </w:pPr>
      <w:r>
        <w:rPr>
          <w:rFonts w:ascii="Courier New" w:cs="Courier New" w:eastAsia="Courier New" w:hAnsi="Courier New"/>
          <w:sz w:val="9"/>
          <w:szCs w:val="9"/>
          <w:b w:val="1"/>
          <w:bCs w:val="1"/>
          <w:color w:val="auto"/>
        </w:rPr>
        <w:t>BY ORDER OF THE BOARD OF DIRECTORS</w:t>
      </w:r>
    </w:p>
    <w:p>
      <w:pPr>
        <w:spacing w:after="0" w:line="294" w:lineRule="exact"/>
        <w:rPr>
          <w:sz w:val="20"/>
          <w:szCs w:val="20"/>
          <w:color w:val="auto"/>
        </w:rPr>
      </w:pPr>
    </w:p>
    <w:p>
      <w:pPr>
        <w:jc w:val="center"/>
        <w:ind w:left="5120"/>
        <w:spacing w:after="0"/>
        <w:rPr>
          <w:sz w:val="20"/>
          <w:szCs w:val="20"/>
          <w:color w:val="auto"/>
        </w:rPr>
      </w:pPr>
      <w:r>
        <w:rPr>
          <w:rFonts w:ascii="Courier New" w:cs="Courier New" w:eastAsia="Courier New" w:hAnsi="Courier New"/>
          <w:sz w:val="9"/>
          <w:szCs w:val="9"/>
          <w:b w:val="1"/>
          <w:bCs w:val="1"/>
          <w:color w:val="auto"/>
        </w:rPr>
        <w:t>[SIG]</w:t>
      </w:r>
    </w:p>
    <w:p>
      <w:pPr>
        <w:spacing w:after="0" w:line="94" w:lineRule="exact"/>
        <w:rPr>
          <w:sz w:val="20"/>
          <w:szCs w:val="20"/>
          <w:color w:val="auto"/>
        </w:rPr>
      </w:pPr>
    </w:p>
    <w:p>
      <w:pPr>
        <w:jc w:val="center"/>
        <w:ind w:left="5120"/>
        <w:spacing w:after="0"/>
        <w:rPr>
          <w:sz w:val="20"/>
          <w:szCs w:val="20"/>
          <w:color w:val="auto"/>
        </w:rPr>
      </w:pPr>
      <w:r>
        <w:rPr>
          <w:rFonts w:ascii="Courier New" w:cs="Courier New" w:eastAsia="Courier New" w:hAnsi="Courier New"/>
          <w:sz w:val="9"/>
          <w:szCs w:val="9"/>
          <w:b w:val="1"/>
          <w:bCs w:val="1"/>
          <w:color w:val="auto"/>
        </w:rPr>
        <w:t>J. LAWRENCE MCINTYRE</w:t>
      </w:r>
    </w:p>
    <w:p>
      <w:pPr>
        <w:jc w:val="center"/>
        <w:ind w:left="5120"/>
        <w:spacing w:after="0" w:line="233" w:lineRule="auto"/>
        <w:rPr>
          <w:sz w:val="20"/>
          <w:szCs w:val="20"/>
          <w:color w:val="auto"/>
        </w:rPr>
      </w:pPr>
      <w:r>
        <w:rPr>
          <w:rFonts w:ascii="Courier New" w:cs="Courier New" w:eastAsia="Courier New" w:hAnsi="Courier New"/>
          <w:sz w:val="9"/>
          <w:szCs w:val="9"/>
          <w:color w:val="auto"/>
        </w:rPr>
        <w:t>Vice President, Secretary and</w:t>
      </w:r>
    </w:p>
    <w:p>
      <w:pPr>
        <w:jc w:val="center"/>
        <w:ind w:left="5120"/>
        <w:spacing w:after="0"/>
        <w:rPr>
          <w:sz w:val="20"/>
          <w:szCs w:val="20"/>
          <w:color w:val="auto"/>
        </w:rPr>
      </w:pPr>
      <w:r>
        <w:rPr>
          <w:rFonts w:ascii="Courier New" w:cs="Courier New" w:eastAsia="Courier New" w:hAnsi="Courier New"/>
          <w:sz w:val="9"/>
          <w:szCs w:val="9"/>
          <w:color w:val="auto"/>
        </w:rPr>
        <w:t>General Counsel</w:t>
      </w:r>
    </w:p>
    <w:p>
      <w:pPr>
        <w:spacing w:after="0" w:line="392" w:lineRule="exact"/>
        <w:rPr>
          <w:sz w:val="20"/>
          <w:szCs w:val="20"/>
          <w:color w:val="auto"/>
        </w:rPr>
      </w:pPr>
    </w:p>
    <w:p>
      <w:pPr>
        <w:jc w:val="center"/>
        <w:ind w:left="7680"/>
        <w:spacing w:after="0"/>
        <w:rPr>
          <w:sz w:val="20"/>
          <w:szCs w:val="20"/>
          <w:color w:val="auto"/>
        </w:rPr>
      </w:pPr>
      <w:r>
        <w:rPr>
          <w:rFonts w:ascii="Courier New" w:cs="Courier New" w:eastAsia="Courier New" w:hAnsi="Courier New"/>
          <w:sz w:val="9"/>
          <w:szCs w:val="9"/>
          <w:b w:val="1"/>
          <w:bCs w:val="1"/>
          <w:color w:val="auto"/>
        </w:rPr>
        <w:t>[LOGO]</w:t>
      </w:r>
    </w:p>
    <w:p>
      <w:pPr>
        <w:spacing w:after="0" w:line="97" w:lineRule="exact"/>
        <w:rPr>
          <w:sz w:val="20"/>
          <w:szCs w:val="20"/>
          <w:color w:val="auto"/>
        </w:rPr>
      </w:pPr>
    </w:p>
    <w:p>
      <w:pPr>
        <w:ind w:left="8920"/>
        <w:spacing w:after="0"/>
        <w:rPr>
          <w:sz w:val="20"/>
          <w:szCs w:val="20"/>
          <w:color w:val="auto"/>
        </w:rPr>
      </w:pPr>
      <w:r>
        <w:rPr>
          <w:rFonts w:ascii="Courier New" w:cs="Courier New" w:eastAsia="Courier New" w:hAnsi="Courier New"/>
          <w:sz w:val="12"/>
          <w:szCs w:val="12"/>
          <w:b w:val="1"/>
          <w:bCs w:val="1"/>
          <w:color w:val="auto"/>
        </w:rPr>
        <w:t>THE TORO COMPANY</w:t>
      </w:r>
    </w:p>
    <w:p>
      <w:pPr>
        <w:spacing w:after="0" w:line="133" w:lineRule="exact"/>
        <w:rPr>
          <w:sz w:val="20"/>
          <w:szCs w:val="20"/>
          <w:color w:val="auto"/>
        </w:rPr>
      </w:pPr>
    </w:p>
    <w:p>
      <w:pPr>
        <w:ind w:left="8680"/>
        <w:spacing w:after="0"/>
        <w:rPr>
          <w:sz w:val="20"/>
          <w:szCs w:val="20"/>
          <w:color w:val="auto"/>
        </w:rPr>
      </w:pPr>
      <w:r>
        <w:rPr>
          <w:rFonts w:ascii="Courier New" w:cs="Courier New" w:eastAsia="Courier New" w:hAnsi="Courier New"/>
          <w:sz w:val="9"/>
          <w:szCs w:val="9"/>
          <w:b w:val="1"/>
          <w:bCs w:val="1"/>
          <w:color w:val="auto"/>
        </w:rPr>
        <w:t>ANNUAL MEETING OF STOCKHOLDERS</w:t>
      </w:r>
    </w:p>
    <w:p>
      <w:pPr>
        <w:spacing w:after="0" w:line="130" w:lineRule="exact"/>
        <w:rPr>
          <w:sz w:val="20"/>
          <w:szCs w:val="20"/>
          <w:color w:val="auto"/>
        </w:rPr>
      </w:pPr>
    </w:p>
    <w:p>
      <w:pPr>
        <w:jc w:val="center"/>
        <w:ind w:left="7680"/>
        <w:spacing w:after="0"/>
        <w:rPr>
          <w:sz w:val="20"/>
          <w:szCs w:val="20"/>
          <w:color w:val="auto"/>
        </w:rPr>
      </w:pPr>
      <w:r>
        <w:rPr>
          <w:rFonts w:ascii="Courier New" w:cs="Courier New" w:eastAsia="Courier New" w:hAnsi="Courier New"/>
          <w:sz w:val="9"/>
          <w:szCs w:val="9"/>
          <w:b w:val="1"/>
          <w:bCs w:val="1"/>
          <w:color w:val="auto"/>
        </w:rPr>
        <w:t>Wednesday, March 29, 2000</w:t>
      </w:r>
    </w:p>
    <w:p>
      <w:pPr>
        <w:jc w:val="center"/>
        <w:ind w:left="7680"/>
        <w:spacing w:after="0"/>
        <w:rPr>
          <w:sz w:val="20"/>
          <w:szCs w:val="20"/>
          <w:color w:val="auto"/>
        </w:rPr>
      </w:pPr>
      <w:r>
        <w:rPr>
          <w:rFonts w:ascii="Courier New" w:cs="Courier New" w:eastAsia="Courier New" w:hAnsi="Courier New"/>
          <w:sz w:val="9"/>
          <w:szCs w:val="9"/>
          <w:b w:val="1"/>
          <w:bCs w:val="1"/>
          <w:color w:val="auto"/>
        </w:rPr>
        <w:t>3:00 p.m. C.S.T.</w:t>
      </w:r>
    </w:p>
    <w:p>
      <w:pPr>
        <w:spacing w:after="0" w:line="93" w:lineRule="exact"/>
        <w:rPr>
          <w:sz w:val="20"/>
          <w:szCs w:val="20"/>
          <w:color w:val="auto"/>
        </w:rPr>
      </w:pPr>
    </w:p>
    <w:p>
      <w:pPr>
        <w:jc w:val="center"/>
        <w:ind w:left="7680"/>
        <w:spacing w:after="0"/>
        <w:rPr>
          <w:sz w:val="20"/>
          <w:szCs w:val="20"/>
          <w:color w:val="auto"/>
        </w:rPr>
      </w:pPr>
      <w:r>
        <w:rPr>
          <w:rFonts w:ascii="Courier New" w:cs="Courier New" w:eastAsia="Courier New" w:hAnsi="Courier New"/>
          <w:sz w:val="9"/>
          <w:szCs w:val="9"/>
          <w:b w:val="1"/>
          <w:bCs w:val="1"/>
          <w:color w:val="auto"/>
        </w:rPr>
        <w:t>The Toro Company</w:t>
      </w:r>
    </w:p>
    <w:p>
      <w:pPr>
        <w:jc w:val="center"/>
        <w:ind w:left="7680"/>
        <w:spacing w:after="0" w:line="233" w:lineRule="auto"/>
        <w:rPr>
          <w:sz w:val="20"/>
          <w:szCs w:val="20"/>
          <w:color w:val="auto"/>
        </w:rPr>
      </w:pPr>
      <w:r>
        <w:rPr>
          <w:rFonts w:ascii="Courier New" w:cs="Courier New" w:eastAsia="Courier New" w:hAnsi="Courier New"/>
          <w:sz w:val="9"/>
          <w:szCs w:val="9"/>
          <w:b w:val="1"/>
          <w:bCs w:val="1"/>
          <w:color w:val="auto"/>
        </w:rPr>
        <w:t>8111 Lyndale Avenue South</w:t>
      </w:r>
    </w:p>
    <w:p>
      <w:pPr>
        <w:jc w:val="center"/>
        <w:ind w:left="7680"/>
        <w:spacing w:after="0"/>
        <w:rPr>
          <w:sz w:val="20"/>
          <w:szCs w:val="20"/>
          <w:color w:val="auto"/>
        </w:rPr>
      </w:pPr>
      <w:r>
        <w:rPr>
          <w:rFonts w:ascii="Courier New" w:cs="Courier New" w:eastAsia="Courier New" w:hAnsi="Courier New"/>
          <w:sz w:val="9"/>
          <w:szCs w:val="9"/>
          <w:b w:val="1"/>
          <w:bCs w:val="1"/>
          <w:color w:val="auto"/>
        </w:rPr>
        <w:t>Bloomington, MN 55420</w:t>
      </w:r>
    </w:p>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9"/>
          <w:szCs w:val="9"/>
          <w:b w:val="1"/>
          <w:bCs w:val="1"/>
          <w:color w:val="auto"/>
        </w:rPr>
        <w:t>This Proxy is Solicited on Behalf of the Board of Directors for use at the Annual Meeting on March 29, 2000.</w:t>
      </w:r>
    </w:p>
    <w:p>
      <w:pPr>
        <w:spacing w:after="0" w:line="115" w:lineRule="exact"/>
        <w:rPr>
          <w:sz w:val="20"/>
          <w:szCs w:val="20"/>
          <w:color w:val="auto"/>
        </w:rPr>
      </w:pPr>
    </w:p>
    <w:p>
      <w:pPr>
        <w:ind w:right="1980"/>
        <w:spacing w:after="0" w:line="235" w:lineRule="auto"/>
        <w:rPr>
          <w:sz w:val="20"/>
          <w:szCs w:val="20"/>
          <w:color w:val="auto"/>
        </w:rPr>
      </w:pPr>
      <w:r>
        <w:rPr>
          <w:rFonts w:ascii="Courier New" w:cs="Courier New" w:eastAsia="Courier New" w:hAnsi="Courier New"/>
          <w:sz w:val="9"/>
          <w:szCs w:val="9"/>
          <w:color w:val="auto"/>
        </w:rPr>
        <w:t>The shares of stock held in your account or in a dividend reinvestment account will be voted as you specify below or by telephone or Internet. Shares held in employee benefit plans for which a proxy is not received will be voted by the trustee in the same proportion as votes actually cast by plan participants.</w:t>
      </w:r>
    </w:p>
    <w:p>
      <w:pPr>
        <w:spacing w:after="0" w:line="114" w:lineRule="exact"/>
        <w:rPr>
          <w:sz w:val="20"/>
          <w:szCs w:val="20"/>
          <w:color w:val="auto"/>
        </w:rPr>
      </w:pPr>
    </w:p>
    <w:p>
      <w:pPr>
        <w:spacing w:after="0"/>
        <w:rPr>
          <w:sz w:val="20"/>
          <w:szCs w:val="20"/>
          <w:color w:val="auto"/>
        </w:rPr>
      </w:pPr>
      <w:r>
        <w:rPr>
          <w:rFonts w:ascii="Courier New" w:cs="Courier New" w:eastAsia="Courier New" w:hAnsi="Courier New"/>
          <w:sz w:val="9"/>
          <w:szCs w:val="9"/>
          <w:b w:val="1"/>
          <w:bCs w:val="1"/>
          <w:color w:val="auto"/>
        </w:rPr>
        <w:t>If no choice is specified, the proxy will be voted FOR Items 1, 2, 3, 4, 5 and 6.</w:t>
      </w:r>
    </w:p>
    <w:p>
      <w:pPr>
        <w:spacing w:after="0" w:line="112"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By signing, dating and mailing this proxy card, you revoke all prior proxies, including any proxy previously given by telephone or Internet, and appoint K. B. Melrose and J. L.</w:t>
      </w:r>
    </w:p>
    <w:p>
      <w:pPr>
        <w:ind w:right="720"/>
        <w:spacing w:after="0" w:line="235" w:lineRule="auto"/>
        <w:rPr>
          <w:sz w:val="20"/>
          <w:szCs w:val="20"/>
          <w:color w:val="auto"/>
        </w:rPr>
      </w:pPr>
      <w:r>
        <w:rPr>
          <w:rFonts w:ascii="Courier New" w:cs="Courier New" w:eastAsia="Courier New" w:hAnsi="Courier New"/>
          <w:sz w:val="9"/>
          <w:szCs w:val="9"/>
          <w:color w:val="auto"/>
        </w:rPr>
        <w:t>McIntyre, or either of them, with full power of substitution to vote your shares on the matters shown on the reverse side and any other matters which may properly come before the Annual meeting and all adjournments.</w:t>
      </w:r>
    </w:p>
    <w:p>
      <w:pPr>
        <w:spacing w:after="0" w:line="115" w:lineRule="exact"/>
        <w:rPr>
          <w:sz w:val="20"/>
          <w:szCs w:val="20"/>
          <w:color w:val="auto"/>
        </w:rPr>
      </w:pPr>
    </w:p>
    <w:p>
      <w:pPr>
        <w:jc w:val="center"/>
        <w:ind w:right="60"/>
        <w:spacing w:after="0"/>
        <w:rPr>
          <w:sz w:val="20"/>
          <w:szCs w:val="20"/>
          <w:color w:val="auto"/>
        </w:rPr>
      </w:pPr>
      <w:r>
        <w:rPr>
          <w:rFonts w:ascii="Courier New" w:cs="Courier New" w:eastAsia="Courier New" w:hAnsi="Courier New"/>
          <w:sz w:val="12"/>
          <w:szCs w:val="12"/>
          <w:i w:val="1"/>
          <w:iCs w:val="1"/>
          <w:color w:val="auto"/>
        </w:rPr>
        <w:t>See reverse for voting instructions.</w:t>
      </w:r>
    </w:p>
    <w:p>
      <w:pPr>
        <w:sectPr>
          <w:pgSz w:w="11900" w:h="16838" w:orient="portrait"/>
          <w:cols w:equalWidth="0" w:num="1">
            <w:col w:w="11360"/>
          </w:cols>
          <w:pgMar w:left="300" w:top="134" w:right="239" w:bottom="0" w:gutter="0" w:footer="0" w:header="0"/>
        </w:sectPr>
      </w:pP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02"/>
        </w:trPr>
        <w:tc>
          <w:tcPr>
            <w:tcW w:w="7040" w:type="dxa"/>
            <w:vAlign w:val="bottom"/>
          </w:tcPr>
          <w:p>
            <w:pPr>
              <w:spacing w:after="0"/>
              <w:rPr>
                <w:sz w:val="20"/>
                <w:szCs w:val="20"/>
                <w:color w:val="auto"/>
              </w:rPr>
            </w:pPr>
            <w:r>
              <w:rPr>
                <w:rFonts w:ascii="Courier New" w:cs="Courier New" w:eastAsia="Courier New" w:hAnsi="Courier New"/>
                <w:sz w:val="9"/>
                <w:szCs w:val="9"/>
                <w:b w:val="1"/>
                <w:bCs w:val="1"/>
                <w:color w:val="auto"/>
              </w:rPr>
              <w:t>THE TORO COMPANY</w:t>
            </w:r>
          </w:p>
        </w:tc>
        <w:tc>
          <w:tcPr>
            <w:tcW w:w="4260" w:type="dxa"/>
            <w:vAlign w:val="bottom"/>
            <w:vMerge w:val="restart"/>
          </w:tcPr>
          <w:p>
            <w:pPr>
              <w:ind w:left="3820"/>
              <w:spacing w:after="0"/>
              <w:rPr>
                <w:sz w:val="20"/>
                <w:szCs w:val="20"/>
                <w:color w:val="auto"/>
              </w:rPr>
            </w:pPr>
            <w:r>
              <w:rPr>
                <w:rFonts w:ascii="Courier New" w:cs="Courier New" w:eastAsia="Courier New" w:hAnsi="Courier New"/>
                <w:sz w:val="14"/>
                <w:szCs w:val="14"/>
                <w:b w:val="1"/>
                <w:bCs w:val="1"/>
                <w:color w:val="auto"/>
                <w:w w:val="99"/>
              </w:rPr>
              <w:t>Proxy</w:t>
            </w:r>
          </w:p>
        </w:tc>
        <w:tc>
          <w:tcPr>
            <w:tcW w:w="0" w:type="dxa"/>
            <w:vAlign w:val="bottom"/>
          </w:tcPr>
          <w:p>
            <w:pPr>
              <w:spacing w:after="0"/>
              <w:rPr>
                <w:sz w:val="1"/>
                <w:szCs w:val="1"/>
                <w:color w:val="auto"/>
              </w:rPr>
            </w:pPr>
          </w:p>
        </w:tc>
      </w:tr>
      <w:tr>
        <w:trPr>
          <w:trHeight w:val="101"/>
        </w:trPr>
        <w:tc>
          <w:tcPr>
            <w:tcW w:w="7040" w:type="dxa"/>
            <w:vAlign w:val="bottom"/>
          </w:tcPr>
          <w:p>
            <w:pPr>
              <w:spacing w:after="0"/>
              <w:rPr>
                <w:sz w:val="20"/>
                <w:szCs w:val="20"/>
                <w:color w:val="auto"/>
              </w:rPr>
            </w:pPr>
            <w:r>
              <w:rPr>
                <w:rFonts w:ascii="Courier New" w:cs="Courier New" w:eastAsia="Courier New" w:hAnsi="Courier New"/>
                <w:sz w:val="9"/>
                <w:szCs w:val="9"/>
                <w:b w:val="1"/>
                <w:bCs w:val="1"/>
                <w:color w:val="auto"/>
              </w:rPr>
              <w:t>8111 LYNDALE AVENUE SOUTH, BLOOMINGTON, MINNESOTA 55420-1196</w:t>
            </w:r>
          </w:p>
        </w:tc>
        <w:tc>
          <w:tcPr>
            <w:tcW w:w="42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36830</wp:posOffset>
            </wp:positionV>
            <wp:extent cx="7185025" cy="184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5025" cy="18415"/>
                    </a:xfrm>
                    <a:prstGeom prst="rect">
                      <a:avLst/>
                    </a:prstGeom>
                    <a:noFill/>
                  </pic:spPr>
                </pic:pic>
              </a:graphicData>
            </a:graphic>
          </wp:anchor>
        </w:drawing>
      </w:r>
    </w:p>
    <w:p>
      <w:pPr>
        <w:sectPr>
          <w:pgSz w:w="11900" w:h="16838" w:orient="portrait"/>
          <w:cols w:equalWidth="0" w:num="1">
            <w:col w:w="11360"/>
          </w:cols>
          <w:pgMar w:left="300" w:top="134" w:right="239" w:bottom="0" w:gutter="0" w:footer="0" w:header="0"/>
          <w:type w:val="continuous"/>
        </w:sectPr>
      </w:pPr>
    </w:p>
    <w:bookmarkStart w:id="19" w:name="page20"/>
    <w:bookmarkEnd w:id="19"/>
    <w:p>
      <w:pPr>
        <w:ind w:right="3780"/>
        <w:spacing w:after="0" w:line="234" w:lineRule="auto"/>
        <w:rPr>
          <w:sz w:val="20"/>
          <w:szCs w:val="20"/>
          <w:color w:val="auto"/>
        </w:rPr>
      </w:pPr>
      <w:r>
        <w:rPr>
          <w:rFonts w:ascii="Courier New" w:cs="Courier New" w:eastAsia="Courier New" w:hAnsi="Courier New"/>
          <w:sz w:val="9"/>
          <w:szCs w:val="9"/>
          <w:b w:val="1"/>
          <w:bCs w:val="1"/>
          <w:color w:val="auto"/>
        </w:rPr>
        <w:t>Your telephone or Internet vote authorizes K.B. Melrose and J.L. McIntyre or either of them, the Named Proxies to vote your shares in the same manner as if you marked, signed, dated and returned your proxy card.</w:t>
      </w:r>
    </w:p>
    <w:p>
      <w:pPr>
        <w:spacing w:after="0" w:line="114" w:lineRule="exact"/>
        <w:rPr>
          <w:sz w:val="20"/>
          <w:szCs w:val="20"/>
          <w:color w:val="auto"/>
        </w:rPr>
      </w:pPr>
    </w:p>
    <w:p>
      <w:pPr>
        <w:spacing w:after="0"/>
        <w:rPr>
          <w:sz w:val="20"/>
          <w:szCs w:val="20"/>
          <w:color w:val="auto"/>
        </w:rPr>
      </w:pPr>
      <w:r>
        <w:rPr>
          <w:rFonts w:ascii="Courier New" w:cs="Courier New" w:eastAsia="Courier New" w:hAnsi="Courier New"/>
          <w:sz w:val="9"/>
          <w:szCs w:val="9"/>
          <w:b w:val="1"/>
          <w:bCs w:val="1"/>
          <w:color w:val="auto"/>
        </w:rPr>
        <w:t>VOTE BY TELEPHONE — TOLL FREE — 1-800-240-6326 — QUICK *** EASY *** IMMEDIATE</w:t>
      </w:r>
    </w:p>
    <w:p>
      <w:pPr>
        <w:spacing w:after="0" w:line="200" w:lineRule="exact"/>
        <w:rPr>
          <w:sz w:val="20"/>
          <w:szCs w:val="20"/>
          <w:color w:val="auto"/>
        </w:rPr>
      </w:pPr>
    </w:p>
    <w:p>
      <w:pPr>
        <w:spacing w:after="0" w:line="299"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w:t>
      </w:r>
    </w:p>
    <w:p>
      <w:pPr>
        <w:ind w:left="720"/>
        <w:spacing w:after="0" w:line="233" w:lineRule="auto"/>
        <w:rPr>
          <w:sz w:val="20"/>
          <w:szCs w:val="20"/>
          <w:color w:val="auto"/>
        </w:rPr>
      </w:pPr>
      <w:r>
        <w:rPr>
          <w:rFonts w:ascii="Courier New" w:cs="Courier New" w:eastAsia="Courier New" w:hAnsi="Courier New"/>
          <w:sz w:val="9"/>
          <w:szCs w:val="9"/>
          <w:color w:val="auto"/>
        </w:rPr>
        <w:t>Use</w:t>
      </w:r>
    </w:p>
    <w:p>
      <w:pPr>
        <w:ind w:left="720"/>
        <w:spacing w:after="0"/>
        <w:rPr>
          <w:sz w:val="20"/>
          <w:szCs w:val="20"/>
          <w:color w:val="auto"/>
        </w:rPr>
      </w:pPr>
      <w:r>
        <w:rPr>
          <w:rFonts w:ascii="Courier New" w:cs="Courier New" w:eastAsia="Courier New" w:hAnsi="Courier New"/>
          <w:sz w:val="9"/>
          <w:szCs w:val="9"/>
          <w:color w:val="auto"/>
        </w:rPr>
        <w:t>any touch-tone telephone to vote your proxy 24 hours a day, 7 days a week.</w:t>
      </w:r>
    </w:p>
    <w:p>
      <w:pPr>
        <w:spacing w:after="0" w:line="192"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w:t>
      </w:r>
    </w:p>
    <w:p>
      <w:pPr>
        <w:ind w:left="720"/>
        <w:spacing w:after="0" w:line="233" w:lineRule="auto"/>
        <w:rPr>
          <w:sz w:val="20"/>
          <w:szCs w:val="20"/>
          <w:color w:val="auto"/>
        </w:rPr>
      </w:pPr>
      <w:r>
        <w:rPr>
          <w:rFonts w:ascii="Courier New" w:cs="Courier New" w:eastAsia="Courier New" w:hAnsi="Courier New"/>
          <w:sz w:val="9"/>
          <w:szCs w:val="9"/>
          <w:color w:val="auto"/>
        </w:rPr>
        <w:t>You</w:t>
      </w:r>
    </w:p>
    <w:p>
      <w:pPr>
        <w:ind w:left="720"/>
        <w:spacing w:after="0"/>
        <w:rPr>
          <w:sz w:val="20"/>
          <w:szCs w:val="20"/>
          <w:color w:val="auto"/>
        </w:rPr>
      </w:pPr>
      <w:r>
        <w:rPr>
          <w:rFonts w:ascii="Courier New" w:cs="Courier New" w:eastAsia="Courier New" w:hAnsi="Courier New"/>
          <w:sz w:val="9"/>
          <w:szCs w:val="9"/>
          <w:color w:val="auto"/>
        </w:rPr>
        <w:t>will be prompted to enter your 3-digit Company Number and your 7-digit Control Number which are located above.</w:t>
      </w:r>
    </w:p>
    <w:p>
      <w:pPr>
        <w:spacing w:after="0" w:line="192"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w:t>
      </w:r>
    </w:p>
    <w:p>
      <w:pPr>
        <w:ind w:left="720"/>
        <w:spacing w:after="0" w:line="233" w:lineRule="auto"/>
        <w:rPr>
          <w:sz w:val="20"/>
          <w:szCs w:val="20"/>
          <w:color w:val="auto"/>
        </w:rPr>
      </w:pPr>
      <w:r>
        <w:rPr>
          <w:rFonts w:ascii="Courier New" w:cs="Courier New" w:eastAsia="Courier New" w:hAnsi="Courier New"/>
          <w:sz w:val="9"/>
          <w:szCs w:val="9"/>
          <w:color w:val="auto"/>
        </w:rPr>
        <w:t>Follow</w:t>
      </w:r>
    </w:p>
    <w:p>
      <w:pPr>
        <w:ind w:left="720"/>
        <w:spacing w:after="0"/>
        <w:rPr>
          <w:sz w:val="20"/>
          <w:szCs w:val="20"/>
          <w:color w:val="auto"/>
        </w:rPr>
      </w:pPr>
      <w:r>
        <w:rPr>
          <w:rFonts w:ascii="Courier New" w:cs="Courier New" w:eastAsia="Courier New" w:hAnsi="Courier New"/>
          <w:sz w:val="9"/>
          <w:szCs w:val="9"/>
          <w:color w:val="auto"/>
        </w:rPr>
        <w:t>the simple instructions the voice provides you.</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9"/>
          <w:szCs w:val="9"/>
          <w:b w:val="1"/>
          <w:bCs w:val="1"/>
          <w:color w:val="auto"/>
        </w:rPr>
        <w:t>VOTE BY INTERNET — http://www.eproxy.com/ttc/ — QUICK *** EASY *** IMMEDIATE</w:t>
      </w:r>
    </w:p>
    <w:p>
      <w:pPr>
        <w:spacing w:after="0" w:line="200" w:lineRule="exact"/>
        <w:rPr>
          <w:sz w:val="20"/>
          <w:szCs w:val="20"/>
          <w:color w:val="auto"/>
        </w:rPr>
      </w:pPr>
    </w:p>
    <w:p>
      <w:pPr>
        <w:spacing w:after="0" w:line="299"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w:t>
      </w:r>
    </w:p>
    <w:p>
      <w:pPr>
        <w:ind w:left="720"/>
        <w:spacing w:after="0" w:line="233" w:lineRule="auto"/>
        <w:rPr>
          <w:sz w:val="20"/>
          <w:szCs w:val="20"/>
          <w:color w:val="auto"/>
        </w:rPr>
      </w:pPr>
      <w:r>
        <w:rPr>
          <w:rFonts w:ascii="Courier New" w:cs="Courier New" w:eastAsia="Courier New" w:hAnsi="Courier New"/>
          <w:sz w:val="9"/>
          <w:szCs w:val="9"/>
          <w:color w:val="auto"/>
        </w:rPr>
        <w:t>Use</w:t>
      </w:r>
    </w:p>
    <w:p>
      <w:pPr>
        <w:ind w:left="720"/>
        <w:spacing w:after="0"/>
        <w:rPr>
          <w:sz w:val="20"/>
          <w:szCs w:val="20"/>
          <w:color w:val="auto"/>
        </w:rPr>
      </w:pPr>
      <w:r>
        <w:rPr>
          <w:rFonts w:ascii="Courier New" w:cs="Courier New" w:eastAsia="Courier New" w:hAnsi="Courier New"/>
          <w:sz w:val="9"/>
          <w:szCs w:val="9"/>
          <w:color w:val="auto"/>
        </w:rPr>
        <w:t>the Internet to vote your proxy 24 hours a day, 7 days a week.</w:t>
      </w:r>
    </w:p>
    <w:p>
      <w:pPr>
        <w:spacing w:after="0" w:line="192"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w:t>
      </w:r>
    </w:p>
    <w:p>
      <w:pPr>
        <w:ind w:left="720"/>
        <w:spacing w:after="0" w:line="233" w:lineRule="auto"/>
        <w:rPr>
          <w:sz w:val="20"/>
          <w:szCs w:val="20"/>
          <w:color w:val="auto"/>
        </w:rPr>
      </w:pPr>
      <w:r>
        <w:rPr>
          <w:rFonts w:ascii="Courier New" w:cs="Courier New" w:eastAsia="Courier New" w:hAnsi="Courier New"/>
          <w:sz w:val="9"/>
          <w:szCs w:val="9"/>
          <w:color w:val="auto"/>
        </w:rPr>
        <w:t>You</w:t>
      </w:r>
    </w:p>
    <w:p>
      <w:pPr>
        <w:ind w:left="720" w:right="2260"/>
        <w:spacing w:after="0" w:line="235" w:lineRule="auto"/>
        <w:rPr>
          <w:sz w:val="20"/>
          <w:szCs w:val="20"/>
          <w:color w:val="auto"/>
        </w:rPr>
      </w:pPr>
      <w:r>
        <w:rPr>
          <w:rFonts w:ascii="Courier New" w:cs="Courier New" w:eastAsia="Courier New" w:hAnsi="Courier New"/>
          <w:sz w:val="9"/>
          <w:szCs w:val="9"/>
          <w:color w:val="auto"/>
        </w:rPr>
        <w:t>will be prompted to enter your 3-digit Company Number and your 7-digit Control Number, which are located above, to obtain your records and create an electronic ballot.</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9"/>
          <w:szCs w:val="9"/>
          <w:b w:val="1"/>
          <w:bCs w:val="1"/>
          <w:color w:val="auto"/>
        </w:rPr>
        <w:t>VOTE BY MAIL</w:t>
      </w:r>
    </w:p>
    <w:p>
      <w:pPr>
        <w:spacing w:after="0" w:line="114"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Mark,</w:t>
      </w:r>
    </w:p>
    <w:p>
      <w:pPr>
        <w:spacing w:after="0" w:line="2" w:lineRule="exact"/>
        <w:rPr>
          <w:sz w:val="20"/>
          <w:szCs w:val="20"/>
          <w:color w:val="auto"/>
        </w:rPr>
      </w:pPr>
    </w:p>
    <w:p>
      <w:pPr>
        <w:ind w:right="1420"/>
        <w:spacing w:after="0" w:line="205" w:lineRule="auto"/>
        <w:rPr>
          <w:sz w:val="20"/>
          <w:szCs w:val="20"/>
          <w:color w:val="auto"/>
        </w:rPr>
      </w:pPr>
      <w:r>
        <w:rPr>
          <w:rFonts w:ascii="Courier New" w:cs="Courier New" w:eastAsia="Courier New" w:hAnsi="Courier New"/>
          <w:sz w:val="9"/>
          <w:szCs w:val="9"/>
          <w:color w:val="auto"/>
        </w:rPr>
        <w:t>sign and date your proxy card and return it in the postage-paid envelope we've provided or return it to The Toro Company, c/o Shareowner Services,</w:t>
      </w:r>
      <w:r>
        <w:rPr>
          <w:rFonts w:ascii="Courier New" w:cs="Courier New" w:eastAsia="Courier New" w:hAnsi="Courier New"/>
          <w:sz w:val="14"/>
          <w:szCs w:val="14"/>
          <w:color w:val="auto"/>
          <w:vertAlign w:val="superscript"/>
        </w:rPr>
        <w:t>SM</w:t>
      </w:r>
      <w:r>
        <w:rPr>
          <w:rFonts w:ascii="Courier New" w:cs="Courier New" w:eastAsia="Courier New" w:hAnsi="Courier New"/>
          <w:sz w:val="9"/>
          <w:szCs w:val="9"/>
          <w:color w:val="auto"/>
        </w:rPr>
        <w:t xml:space="preserve"> P.O. Box 64873, St. Paul, MN 55164-0873.</w:t>
      </w:r>
    </w:p>
    <w:p>
      <w:pPr>
        <w:spacing w:after="0" w:line="115" w:lineRule="exact"/>
        <w:rPr>
          <w:sz w:val="20"/>
          <w:szCs w:val="20"/>
          <w:color w:val="auto"/>
        </w:rPr>
      </w:pPr>
    </w:p>
    <w:p>
      <w:pPr>
        <w:jc w:val="center"/>
        <w:ind w:right="-319"/>
        <w:spacing w:after="0"/>
        <w:rPr>
          <w:sz w:val="20"/>
          <w:szCs w:val="20"/>
          <w:color w:val="auto"/>
        </w:rPr>
      </w:pPr>
      <w:r>
        <w:rPr>
          <w:rFonts w:ascii="Courier New" w:cs="Courier New" w:eastAsia="Courier New" w:hAnsi="Courier New"/>
          <w:sz w:val="9"/>
          <w:szCs w:val="9"/>
          <w:b w:val="1"/>
          <w:bCs w:val="1"/>
          <w:color w:val="auto"/>
        </w:rPr>
        <w:t>If you vote by telephone or Internet, please do not mail your proxy card</w:t>
      </w:r>
    </w:p>
    <w:p>
      <w:pPr>
        <w:spacing w:after="0" w:line="114" w:lineRule="exact"/>
        <w:rPr>
          <w:sz w:val="20"/>
          <w:szCs w:val="20"/>
          <w:color w:val="auto"/>
        </w:rPr>
      </w:pPr>
    </w:p>
    <w:p>
      <w:pPr>
        <w:jc w:val="center"/>
        <w:ind w:right="-319"/>
        <w:spacing w:after="0"/>
        <w:rPr>
          <w:sz w:val="20"/>
          <w:szCs w:val="20"/>
          <w:color w:val="auto"/>
        </w:rPr>
      </w:pPr>
      <w:r>
        <w:rPr>
          <w:rFonts w:ascii="Courier New" w:cs="Courier New" w:eastAsia="Courier New" w:hAnsi="Courier New"/>
          <w:sz w:val="9"/>
          <w:szCs w:val="9"/>
          <w:b w:val="1"/>
          <w:bCs w:val="1"/>
          <w:color w:val="auto"/>
        </w:rPr>
        <w:t>The Board of Directors Recommends a Vote FOR Items 1, 2, 3, 4, 5 and 6.</w:t>
      </w: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color w:val="auto"/>
        </w:rPr>
        <w:t>There are three ways to vote your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3700145</wp:posOffset>
            </wp:positionH>
            <wp:positionV relativeFrom="paragraph">
              <wp:posOffset>-45720</wp:posOffset>
            </wp:positionV>
            <wp:extent cx="1750060" cy="184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750060" cy="1841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90"/>
        </w:trPr>
        <w:tc>
          <w:tcPr>
            <w:tcW w:w="24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8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gridSpan w:val="2"/>
          </w:tcPr>
          <w:p>
            <w:pPr>
              <w:spacing w:after="0"/>
              <w:rPr>
                <w:sz w:val="20"/>
                <w:szCs w:val="20"/>
                <w:color w:val="auto"/>
              </w:rPr>
            </w:pPr>
            <w:r>
              <w:rPr>
                <w:rFonts w:ascii="Courier New" w:cs="Courier New" w:eastAsia="Courier New" w:hAnsi="Courier New"/>
                <w:sz w:val="8"/>
                <w:szCs w:val="8"/>
                <w:b w:val="1"/>
                <w:bCs w:val="1"/>
                <w:color w:val="auto"/>
              </w:rPr>
              <w:t>Company #</w:t>
            </w:r>
          </w:p>
        </w:tc>
        <w:tc>
          <w:tcPr>
            <w:tcW w:w="340" w:type="dxa"/>
            <w:vAlign w:val="bottom"/>
          </w:tcPr>
          <w:p>
            <w:pPr>
              <w:spacing w:after="0"/>
              <w:rPr>
                <w:sz w:val="7"/>
                <w:szCs w:val="7"/>
                <w:color w:val="auto"/>
              </w:rPr>
            </w:pPr>
          </w:p>
        </w:tc>
        <w:tc>
          <w:tcPr>
            <w:tcW w:w="920" w:type="dxa"/>
            <w:vAlign w:val="bottom"/>
          </w:tcPr>
          <w:p>
            <w:pPr>
              <w:spacing w:after="0"/>
              <w:rPr>
                <w:sz w:val="7"/>
                <w:szCs w:val="7"/>
                <w:color w:val="auto"/>
              </w:rPr>
            </w:pPr>
          </w:p>
        </w:tc>
        <w:tc>
          <w:tcPr>
            <w:tcW w:w="32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r>
      <w:tr>
        <w:trPr>
          <w:trHeight w:val="91"/>
        </w:trPr>
        <w:tc>
          <w:tcPr>
            <w:tcW w:w="24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8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gridSpan w:val="2"/>
          </w:tcPr>
          <w:p>
            <w:pPr>
              <w:spacing w:after="0"/>
              <w:rPr>
                <w:sz w:val="20"/>
                <w:szCs w:val="20"/>
                <w:color w:val="auto"/>
              </w:rPr>
            </w:pPr>
            <w:r>
              <w:rPr>
                <w:rFonts w:ascii="Courier New" w:cs="Courier New" w:eastAsia="Courier New" w:hAnsi="Courier New"/>
                <w:sz w:val="8"/>
                <w:szCs w:val="8"/>
                <w:b w:val="1"/>
                <w:bCs w:val="1"/>
                <w:color w:val="auto"/>
              </w:rPr>
              <w:t>Control #</w:t>
            </w:r>
          </w:p>
        </w:tc>
        <w:tc>
          <w:tcPr>
            <w:tcW w:w="340" w:type="dxa"/>
            <w:vAlign w:val="bottom"/>
          </w:tcPr>
          <w:p>
            <w:pPr>
              <w:spacing w:after="0"/>
              <w:rPr>
                <w:sz w:val="7"/>
                <w:szCs w:val="7"/>
                <w:color w:val="auto"/>
              </w:rPr>
            </w:pPr>
          </w:p>
        </w:tc>
        <w:tc>
          <w:tcPr>
            <w:tcW w:w="920" w:type="dxa"/>
            <w:vAlign w:val="bottom"/>
          </w:tcPr>
          <w:p>
            <w:pPr>
              <w:spacing w:after="0"/>
              <w:rPr>
                <w:sz w:val="7"/>
                <w:szCs w:val="7"/>
                <w:color w:val="auto"/>
              </w:rPr>
            </w:pPr>
          </w:p>
        </w:tc>
        <w:tc>
          <w:tcPr>
            <w:tcW w:w="32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r>
      <w:tr>
        <w:trPr>
          <w:trHeight w:val="69"/>
        </w:trPr>
        <w:tc>
          <w:tcPr>
            <w:tcW w:w="2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8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gridSpan w:val="2"/>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Borders>
              <w:bottom w:val="single" w:sz="8" w:color="808080"/>
            </w:tcBorders>
            <w:gridSpan w:val="2"/>
          </w:tcPr>
          <w:p>
            <w:pPr>
              <w:spacing w:after="0"/>
              <w:rPr>
                <w:sz w:val="6"/>
                <w:szCs w:val="6"/>
                <w:color w:val="auto"/>
              </w:rPr>
            </w:pPr>
          </w:p>
        </w:tc>
        <w:tc>
          <w:tcPr>
            <w:tcW w:w="340" w:type="dxa"/>
            <w:vAlign w:val="bottom"/>
            <w:tcBorders>
              <w:bottom w:val="single" w:sz="8" w:color="808080"/>
            </w:tcBorders>
          </w:tcPr>
          <w:p>
            <w:pPr>
              <w:spacing w:after="0"/>
              <w:rPr>
                <w:sz w:val="6"/>
                <w:szCs w:val="6"/>
                <w:color w:val="auto"/>
              </w:rPr>
            </w:pPr>
          </w:p>
        </w:tc>
        <w:tc>
          <w:tcPr>
            <w:tcW w:w="920" w:type="dxa"/>
            <w:vAlign w:val="bottom"/>
            <w:tcBorders>
              <w:bottom w:val="single" w:sz="8" w:color="808080"/>
            </w:tcBorders>
          </w:tcPr>
          <w:p>
            <w:pPr>
              <w:spacing w:after="0"/>
              <w:rPr>
                <w:sz w:val="6"/>
                <w:szCs w:val="6"/>
                <w:color w:val="auto"/>
              </w:rPr>
            </w:pPr>
          </w:p>
        </w:tc>
        <w:tc>
          <w:tcPr>
            <w:tcW w:w="320" w:type="dxa"/>
            <w:vAlign w:val="bottom"/>
            <w:tcBorders>
              <w:bottom w:val="single" w:sz="8" w:color="808080"/>
            </w:tcBorders>
          </w:tcPr>
          <w:p>
            <w:pPr>
              <w:spacing w:after="0"/>
              <w:rPr>
                <w:sz w:val="6"/>
                <w:szCs w:val="6"/>
                <w:color w:val="auto"/>
              </w:rPr>
            </w:pPr>
          </w:p>
        </w:tc>
        <w:tc>
          <w:tcPr>
            <w:tcW w:w="380" w:type="dxa"/>
            <w:vAlign w:val="bottom"/>
            <w:tcBorders>
              <w:bottom w:val="single" w:sz="8" w:color="808080"/>
            </w:tcBorders>
          </w:tcPr>
          <w:p>
            <w:pPr>
              <w:spacing w:after="0"/>
              <w:rPr>
                <w:sz w:val="6"/>
                <w:szCs w:val="6"/>
                <w:color w:val="auto"/>
              </w:rPr>
            </w:pPr>
          </w:p>
        </w:tc>
        <w:tc>
          <w:tcPr>
            <w:tcW w:w="60" w:type="dxa"/>
            <w:vAlign w:val="bottom"/>
          </w:tcPr>
          <w:p>
            <w:pPr>
              <w:spacing w:after="0"/>
              <w:rPr>
                <w:sz w:val="6"/>
                <w:szCs w:val="6"/>
                <w:color w:val="auto"/>
              </w:rPr>
            </w:pPr>
          </w:p>
        </w:tc>
      </w:tr>
      <w:tr>
        <w:trPr>
          <w:trHeight w:val="263"/>
        </w:trPr>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20" w:type="dxa"/>
            <w:vAlign w:val="bottom"/>
            <w:gridSpan w:val="6"/>
          </w:tcPr>
          <w:p>
            <w:pPr>
              <w:ind w:left="220"/>
              <w:spacing w:after="0"/>
              <w:rPr>
                <w:sz w:val="20"/>
                <w:szCs w:val="20"/>
                <w:color w:val="auto"/>
              </w:rPr>
            </w:pPr>
            <w:r>
              <w:rPr>
                <w:rFonts w:ascii="Courier New" w:cs="Courier New" w:eastAsia="Courier New" w:hAnsi="Courier New"/>
                <w:sz w:val="9"/>
                <w:szCs w:val="9"/>
                <w:i w:val="1"/>
                <w:iCs w:val="1"/>
                <w:color w:val="auto"/>
              </w:rPr>
              <w:t>Please fold here</w:t>
            </w:r>
          </w:p>
        </w:tc>
        <w:tc>
          <w:tcPr>
            <w:tcW w:w="3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94"/>
        </w:trPr>
        <w:tc>
          <w:tcPr>
            <w:tcW w:w="240" w:type="dxa"/>
            <w:vAlign w:val="bottom"/>
          </w:tcPr>
          <w:p>
            <w:pPr>
              <w:spacing w:after="0"/>
              <w:rPr>
                <w:sz w:val="20"/>
                <w:szCs w:val="20"/>
                <w:color w:val="auto"/>
              </w:rPr>
            </w:pPr>
            <w:r>
              <w:rPr>
                <w:rFonts w:ascii="Courier New" w:cs="Courier New" w:eastAsia="Courier New" w:hAnsi="Courier New"/>
                <w:sz w:val="8"/>
                <w:szCs w:val="8"/>
                <w:b w:val="1"/>
                <w:bCs w:val="1"/>
                <w:color w:val="auto"/>
              </w:rPr>
              <w:t>1.</w:t>
            </w:r>
          </w:p>
        </w:tc>
        <w:tc>
          <w:tcPr>
            <w:tcW w:w="1240" w:type="dxa"/>
            <w:vAlign w:val="bottom"/>
          </w:tcPr>
          <w:p>
            <w:pPr>
              <w:ind w:left="20"/>
              <w:spacing w:after="0"/>
              <w:rPr>
                <w:sz w:val="20"/>
                <w:szCs w:val="20"/>
                <w:color w:val="auto"/>
              </w:rPr>
            </w:pPr>
            <w:r>
              <w:rPr>
                <w:rFonts w:ascii="Courier New" w:cs="Courier New" w:eastAsia="Courier New" w:hAnsi="Courier New"/>
                <w:sz w:val="8"/>
                <w:szCs w:val="8"/>
                <w:color w:val="auto"/>
              </w:rPr>
              <w:t>Election of Directors:</w:t>
            </w:r>
          </w:p>
        </w:tc>
        <w:tc>
          <w:tcPr>
            <w:tcW w:w="1480" w:type="dxa"/>
            <w:vAlign w:val="bottom"/>
          </w:tcPr>
          <w:p>
            <w:pPr>
              <w:ind w:left="180"/>
              <w:spacing w:after="0"/>
              <w:rPr>
                <w:sz w:val="20"/>
                <w:szCs w:val="20"/>
                <w:color w:val="auto"/>
              </w:rPr>
            </w:pPr>
            <w:r>
              <w:rPr>
                <w:rFonts w:ascii="Courier New" w:cs="Courier New" w:eastAsia="Courier New" w:hAnsi="Courier New"/>
                <w:sz w:val="8"/>
                <w:szCs w:val="8"/>
                <w:color w:val="auto"/>
              </w:rPr>
              <w:t>01 J. K. Cooper</w:t>
            </w:r>
          </w:p>
        </w:tc>
        <w:tc>
          <w:tcPr>
            <w:tcW w:w="1820" w:type="dxa"/>
            <w:vAlign w:val="bottom"/>
          </w:tcPr>
          <w:p>
            <w:pPr>
              <w:ind w:left="260"/>
              <w:spacing w:after="0"/>
              <w:rPr>
                <w:sz w:val="20"/>
                <w:szCs w:val="20"/>
                <w:color w:val="auto"/>
              </w:rPr>
            </w:pPr>
            <w:r>
              <w:rPr>
                <w:rFonts w:ascii="Courier New" w:cs="Courier New" w:eastAsia="Courier New" w:hAnsi="Courier New"/>
                <w:sz w:val="8"/>
                <w:szCs w:val="8"/>
                <w:color w:val="auto"/>
              </w:rPr>
              <w:t>02 K. B. Melrose</w:t>
            </w:r>
          </w:p>
        </w:tc>
        <w:tc>
          <w:tcPr>
            <w:tcW w:w="220" w:type="dxa"/>
            <w:vAlign w:val="bottom"/>
          </w:tcPr>
          <w:p>
            <w:pPr>
              <w:jc w:val="right"/>
              <w:ind w:right="40"/>
              <w:spacing w:after="0"/>
              <w:rPr>
                <w:sz w:val="20"/>
                <w:szCs w:val="20"/>
                <w:color w:val="auto"/>
              </w:rPr>
            </w:pPr>
            <w:r>
              <w:rPr>
                <w:rFonts w:ascii="Courier New" w:cs="Courier New" w:eastAsia="Courier New" w:hAnsi="Courier New"/>
                <w:sz w:val="8"/>
                <w:szCs w:val="8"/>
                <w:color w:val="auto"/>
                <w:w w:val="82"/>
              </w:rPr>
              <w:t>/ /</w:t>
            </w:r>
          </w:p>
        </w:tc>
        <w:tc>
          <w:tcPr>
            <w:tcW w:w="680" w:type="dxa"/>
            <w:vAlign w:val="bottom"/>
            <w:gridSpan w:val="2"/>
          </w:tcPr>
          <w:p>
            <w:pPr>
              <w:ind w:left="100"/>
              <w:spacing w:after="0"/>
              <w:rPr>
                <w:sz w:val="20"/>
                <w:szCs w:val="20"/>
                <w:color w:val="auto"/>
              </w:rPr>
            </w:pPr>
            <w:r>
              <w:rPr>
                <w:rFonts w:ascii="Courier New" w:cs="Courier New" w:eastAsia="Courier New" w:hAnsi="Courier New"/>
                <w:sz w:val="8"/>
                <w:szCs w:val="8"/>
                <w:color w:val="auto"/>
              </w:rPr>
              <w:t>Vote FOR</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60" w:type="dxa"/>
            <w:vAlign w:val="bottom"/>
            <w:gridSpan w:val="2"/>
          </w:tcPr>
          <w:p>
            <w:pPr>
              <w:ind w:left="40"/>
              <w:spacing w:after="0"/>
              <w:rPr>
                <w:sz w:val="20"/>
                <w:szCs w:val="20"/>
                <w:color w:val="auto"/>
              </w:rPr>
            </w:pPr>
            <w:r>
              <w:rPr>
                <w:rFonts w:ascii="Courier New" w:cs="Courier New" w:eastAsia="Courier New" w:hAnsi="Courier New"/>
                <w:sz w:val="8"/>
                <w:szCs w:val="8"/>
                <w:color w:val="auto"/>
              </w:rPr>
              <w:t>/ /  Vote WITHHELD</w:t>
            </w: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91"/>
        </w:trPr>
        <w:tc>
          <w:tcPr>
            <w:tcW w:w="24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480" w:type="dxa"/>
            <w:vAlign w:val="bottom"/>
          </w:tcPr>
          <w:p>
            <w:pPr>
              <w:ind w:left="180"/>
              <w:spacing w:after="0"/>
              <w:rPr>
                <w:sz w:val="20"/>
                <w:szCs w:val="20"/>
                <w:color w:val="auto"/>
              </w:rPr>
            </w:pPr>
            <w:r>
              <w:rPr>
                <w:rFonts w:ascii="Courier New" w:cs="Courier New" w:eastAsia="Courier New" w:hAnsi="Courier New"/>
                <w:sz w:val="8"/>
                <w:szCs w:val="8"/>
                <w:color w:val="auto"/>
              </w:rPr>
              <w:t>03 G. W. Steinhafel</w:t>
            </w:r>
          </w:p>
        </w:tc>
        <w:tc>
          <w:tcPr>
            <w:tcW w:w="1820" w:type="dxa"/>
            <w:vAlign w:val="bottom"/>
          </w:tcPr>
          <w:p>
            <w:pPr>
              <w:ind w:left="260"/>
              <w:spacing w:after="0"/>
              <w:rPr>
                <w:sz w:val="20"/>
                <w:szCs w:val="20"/>
                <w:color w:val="auto"/>
              </w:rPr>
            </w:pPr>
            <w:r>
              <w:rPr>
                <w:rFonts w:ascii="Courier New" w:cs="Courier New" w:eastAsia="Courier New" w:hAnsi="Courier New"/>
                <w:sz w:val="8"/>
                <w:szCs w:val="8"/>
                <w:color w:val="auto"/>
              </w:rPr>
              <w:t>04 E. H. Wingate</w:t>
            </w:r>
          </w:p>
        </w:tc>
        <w:tc>
          <w:tcPr>
            <w:tcW w:w="220" w:type="dxa"/>
            <w:vAlign w:val="bottom"/>
          </w:tcPr>
          <w:p>
            <w:pPr>
              <w:spacing w:after="0"/>
              <w:rPr>
                <w:sz w:val="7"/>
                <w:szCs w:val="7"/>
                <w:color w:val="auto"/>
              </w:rPr>
            </w:pPr>
          </w:p>
        </w:tc>
        <w:tc>
          <w:tcPr>
            <w:tcW w:w="680" w:type="dxa"/>
            <w:vAlign w:val="bottom"/>
            <w:gridSpan w:val="2"/>
          </w:tcPr>
          <w:p>
            <w:pPr>
              <w:ind w:left="100"/>
              <w:spacing w:after="0"/>
              <w:rPr>
                <w:sz w:val="20"/>
                <w:szCs w:val="20"/>
                <w:color w:val="auto"/>
              </w:rPr>
            </w:pPr>
            <w:r>
              <w:rPr>
                <w:rFonts w:ascii="Courier New" w:cs="Courier New" w:eastAsia="Courier New" w:hAnsi="Courier New"/>
                <w:sz w:val="8"/>
                <w:szCs w:val="8"/>
                <w:color w:val="auto"/>
                <w:w w:val="97"/>
              </w:rPr>
              <w:t>all nominees</w:t>
            </w: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60" w:type="dxa"/>
            <w:vAlign w:val="bottom"/>
            <w:gridSpan w:val="2"/>
          </w:tcPr>
          <w:p>
            <w:pPr>
              <w:ind w:left="280"/>
              <w:spacing w:after="0"/>
              <w:rPr>
                <w:sz w:val="20"/>
                <w:szCs w:val="20"/>
                <w:color w:val="auto"/>
              </w:rPr>
            </w:pPr>
            <w:r>
              <w:rPr>
                <w:rFonts w:ascii="Courier New" w:cs="Courier New" w:eastAsia="Courier New" w:hAnsi="Courier New"/>
                <w:sz w:val="8"/>
                <w:szCs w:val="8"/>
                <w:color w:val="auto"/>
              </w:rPr>
              <w:t>from all nominees</w:t>
            </w:r>
          </w:p>
        </w:tc>
        <w:tc>
          <w:tcPr>
            <w:tcW w:w="32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r>
      <w:tr>
        <w:trPr>
          <w:trHeight w:val="159"/>
        </w:trPr>
        <w:tc>
          <w:tcPr>
            <w:tcW w:w="4780" w:type="dxa"/>
            <w:vAlign w:val="bottom"/>
            <w:gridSpan w:val="4"/>
          </w:tcPr>
          <w:p>
            <w:pPr>
              <w:spacing w:after="0"/>
              <w:rPr>
                <w:sz w:val="20"/>
                <w:szCs w:val="20"/>
                <w:color w:val="auto"/>
              </w:rPr>
            </w:pPr>
            <w:r>
              <w:rPr>
                <w:rFonts w:ascii="Courier New" w:cs="Courier New" w:eastAsia="Courier New" w:hAnsi="Courier New"/>
                <w:sz w:val="8"/>
                <w:szCs w:val="8"/>
                <w:b w:val="1"/>
                <w:bCs w:val="1"/>
                <w:color w:val="auto"/>
              </w:rPr>
              <w:t>(Instructions: To withhold authority to vote for one or more nominees</w:t>
            </w:r>
          </w:p>
        </w:tc>
        <w:tc>
          <w:tcPr>
            <w:tcW w:w="220" w:type="dxa"/>
            <w:vAlign w:val="bottom"/>
            <w:tcBorders>
              <w:bottom w:val="single" w:sz="8" w:color="808080"/>
            </w:tcBorders>
          </w:tcPr>
          <w:p>
            <w:pPr>
              <w:spacing w:after="0"/>
              <w:rPr>
                <w:sz w:val="13"/>
                <w:szCs w:val="13"/>
                <w:color w:val="auto"/>
              </w:rPr>
            </w:pPr>
          </w:p>
        </w:tc>
        <w:tc>
          <w:tcPr>
            <w:tcW w:w="60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720" w:type="dxa"/>
            <w:vAlign w:val="bottom"/>
            <w:tcBorders>
              <w:bottom w:val="single" w:sz="8" w:color="808080"/>
            </w:tcBorders>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920" w:type="dxa"/>
            <w:vAlign w:val="bottom"/>
            <w:tcBorders>
              <w:bottom w:val="single" w:sz="8" w:color="808080"/>
            </w:tcBorders>
          </w:tcPr>
          <w:p>
            <w:pPr>
              <w:spacing w:after="0"/>
              <w:rPr>
                <w:sz w:val="13"/>
                <w:szCs w:val="13"/>
                <w:color w:val="auto"/>
              </w:rPr>
            </w:pPr>
          </w:p>
        </w:tc>
        <w:tc>
          <w:tcPr>
            <w:tcW w:w="320" w:type="dxa"/>
            <w:vAlign w:val="bottom"/>
            <w:tcBorders>
              <w:bottom w:val="single" w:sz="8" w:color="808080"/>
            </w:tcBorders>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91"/>
        </w:trPr>
        <w:tc>
          <w:tcPr>
            <w:tcW w:w="4780" w:type="dxa"/>
            <w:vAlign w:val="bottom"/>
            <w:gridSpan w:val="4"/>
          </w:tcPr>
          <w:p>
            <w:pPr>
              <w:spacing w:after="0"/>
              <w:rPr>
                <w:sz w:val="20"/>
                <w:szCs w:val="20"/>
                <w:color w:val="auto"/>
              </w:rPr>
            </w:pPr>
            <w:r>
              <w:rPr>
                <w:rFonts w:ascii="Courier New" w:cs="Courier New" w:eastAsia="Courier New" w:hAnsi="Courier New"/>
                <w:sz w:val="8"/>
                <w:szCs w:val="8"/>
                <w:b w:val="1"/>
                <w:bCs w:val="1"/>
                <w:color w:val="auto"/>
              </w:rPr>
              <w:t>write the number(s) of the nominee(s) in the box provided to the right.)</w:t>
            </w:r>
          </w:p>
        </w:tc>
        <w:tc>
          <w:tcPr>
            <w:tcW w:w="22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340" w:type="dxa"/>
            <w:vAlign w:val="bottom"/>
          </w:tcPr>
          <w:p>
            <w:pPr>
              <w:spacing w:after="0"/>
              <w:rPr>
                <w:sz w:val="7"/>
                <w:szCs w:val="7"/>
                <w:color w:val="auto"/>
              </w:rPr>
            </w:pPr>
          </w:p>
        </w:tc>
        <w:tc>
          <w:tcPr>
            <w:tcW w:w="920" w:type="dxa"/>
            <w:vAlign w:val="bottom"/>
          </w:tcPr>
          <w:p>
            <w:pPr>
              <w:spacing w:after="0"/>
              <w:rPr>
                <w:sz w:val="7"/>
                <w:szCs w:val="7"/>
                <w:color w:val="auto"/>
              </w:rPr>
            </w:pPr>
          </w:p>
        </w:tc>
        <w:tc>
          <w:tcPr>
            <w:tcW w:w="32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r>
      <w:tr>
        <w:trPr>
          <w:trHeight w:val="69"/>
        </w:trPr>
        <w:tc>
          <w:tcPr>
            <w:tcW w:w="240" w:type="dxa"/>
            <w:vAlign w:val="bottom"/>
          </w:tcPr>
          <w:p>
            <w:pPr>
              <w:spacing w:after="0"/>
              <w:rPr>
                <w:sz w:val="6"/>
                <w:szCs w:val="6"/>
                <w:color w:val="auto"/>
              </w:rPr>
            </w:pPr>
          </w:p>
        </w:tc>
        <w:tc>
          <w:tcPr>
            <w:tcW w:w="4540" w:type="dxa"/>
            <w:vAlign w:val="bottom"/>
            <w:gridSpan w:val="3"/>
          </w:tcPr>
          <w:p>
            <w:pPr>
              <w:spacing w:after="0"/>
              <w:rPr>
                <w:sz w:val="6"/>
                <w:szCs w:val="6"/>
                <w:color w:val="auto"/>
              </w:rPr>
            </w:pPr>
          </w:p>
        </w:tc>
        <w:tc>
          <w:tcPr>
            <w:tcW w:w="820" w:type="dxa"/>
            <w:vAlign w:val="bottom"/>
            <w:tcBorders>
              <w:bottom w:val="single" w:sz="8" w:color="808080"/>
            </w:tcBorders>
            <w:gridSpan w:val="2"/>
          </w:tcPr>
          <w:p>
            <w:pPr>
              <w:spacing w:after="0"/>
              <w:rPr>
                <w:sz w:val="6"/>
                <w:szCs w:val="6"/>
                <w:color w:val="auto"/>
              </w:rPr>
            </w:pPr>
          </w:p>
        </w:tc>
        <w:tc>
          <w:tcPr>
            <w:tcW w:w="180" w:type="dxa"/>
            <w:vAlign w:val="bottom"/>
            <w:tcBorders>
              <w:bottom w:val="single" w:sz="8" w:color="808080"/>
            </w:tcBorders>
            <w:gridSpan w:val="2"/>
          </w:tcPr>
          <w:p>
            <w:pPr>
              <w:spacing w:after="0"/>
              <w:rPr>
                <w:sz w:val="6"/>
                <w:szCs w:val="6"/>
                <w:color w:val="auto"/>
              </w:rPr>
            </w:pPr>
          </w:p>
        </w:tc>
        <w:tc>
          <w:tcPr>
            <w:tcW w:w="840" w:type="dxa"/>
            <w:vAlign w:val="bottom"/>
            <w:tcBorders>
              <w:bottom w:val="single" w:sz="8" w:color="808080"/>
            </w:tcBorders>
            <w:gridSpan w:val="3"/>
          </w:tcPr>
          <w:p>
            <w:pPr>
              <w:spacing w:after="0"/>
              <w:rPr>
                <w:sz w:val="6"/>
                <w:szCs w:val="6"/>
                <w:color w:val="auto"/>
              </w:rPr>
            </w:pPr>
          </w:p>
        </w:tc>
        <w:tc>
          <w:tcPr>
            <w:tcW w:w="340" w:type="dxa"/>
            <w:vAlign w:val="bottom"/>
            <w:tcBorders>
              <w:bottom w:val="single" w:sz="8" w:color="808080"/>
            </w:tcBorders>
          </w:tcPr>
          <w:p>
            <w:pPr>
              <w:spacing w:after="0"/>
              <w:rPr>
                <w:sz w:val="6"/>
                <w:szCs w:val="6"/>
                <w:color w:val="auto"/>
              </w:rPr>
            </w:pPr>
          </w:p>
        </w:tc>
        <w:tc>
          <w:tcPr>
            <w:tcW w:w="920" w:type="dxa"/>
            <w:vAlign w:val="bottom"/>
            <w:tcBorders>
              <w:bottom w:val="single" w:sz="8" w:color="808080"/>
            </w:tcBorders>
          </w:tcPr>
          <w:p>
            <w:pPr>
              <w:spacing w:after="0"/>
              <w:rPr>
                <w:sz w:val="6"/>
                <w:szCs w:val="6"/>
                <w:color w:val="auto"/>
              </w:rPr>
            </w:pPr>
          </w:p>
        </w:tc>
        <w:tc>
          <w:tcPr>
            <w:tcW w:w="320" w:type="dxa"/>
            <w:vAlign w:val="bottom"/>
            <w:tcBorders>
              <w:bottom w:val="single" w:sz="8" w:color="808080"/>
            </w:tcBorders>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r>
      <w:tr>
        <w:trPr>
          <w:trHeight w:val="247"/>
        </w:trPr>
        <w:tc>
          <w:tcPr>
            <w:tcW w:w="240" w:type="dxa"/>
            <w:vAlign w:val="bottom"/>
          </w:tcPr>
          <w:p>
            <w:pPr>
              <w:spacing w:after="0"/>
              <w:rPr>
                <w:sz w:val="20"/>
                <w:szCs w:val="20"/>
                <w:color w:val="auto"/>
              </w:rPr>
            </w:pPr>
            <w:r>
              <w:rPr>
                <w:rFonts w:ascii="Courier New" w:cs="Courier New" w:eastAsia="Courier New" w:hAnsi="Courier New"/>
                <w:sz w:val="9"/>
                <w:szCs w:val="9"/>
                <w:b w:val="1"/>
                <w:bCs w:val="1"/>
                <w:color w:val="auto"/>
              </w:rPr>
              <w:t>THIS</w:t>
            </w:r>
          </w:p>
        </w:tc>
        <w:tc>
          <w:tcPr>
            <w:tcW w:w="6380" w:type="dxa"/>
            <w:vAlign w:val="bottom"/>
            <w:gridSpan w:val="10"/>
          </w:tcPr>
          <w:p>
            <w:pPr>
              <w:ind w:left="20"/>
              <w:spacing w:after="0"/>
              <w:rPr>
                <w:sz w:val="20"/>
                <w:szCs w:val="20"/>
                <w:color w:val="auto"/>
              </w:rPr>
            </w:pPr>
            <w:r>
              <w:rPr>
                <w:rFonts w:ascii="Courier New" w:cs="Courier New" w:eastAsia="Courier New" w:hAnsi="Courier New"/>
                <w:sz w:val="9"/>
                <w:szCs w:val="9"/>
                <w:b w:val="1"/>
                <w:bCs w:val="1"/>
                <w:color w:val="auto"/>
              </w:rPr>
              <w:t>PROXY WHEN PROPERLY EXECUTED WILL BE VOTED AS DIRECTED OR, IF NO DIRECTION IS GIVEN, WILL BE VOTED FOR EACH PROPOSAL.</w:t>
            </w: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0"/>
        </w:trPr>
        <w:tc>
          <w:tcPr>
            <w:tcW w:w="240" w:type="dxa"/>
            <w:vAlign w:val="bottom"/>
          </w:tcPr>
          <w:p>
            <w:pPr>
              <w:spacing w:after="0" w:line="20" w:lineRule="exact"/>
              <w:rPr>
                <w:sz w:val="1"/>
                <w:szCs w:val="1"/>
                <w:color w:val="auto"/>
              </w:rPr>
            </w:pPr>
          </w:p>
        </w:tc>
        <w:tc>
          <w:tcPr>
            <w:tcW w:w="45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r>
      <w:tr>
        <w:trPr>
          <w:trHeight w:val="201"/>
        </w:trPr>
        <w:tc>
          <w:tcPr>
            <w:tcW w:w="240" w:type="dxa"/>
            <w:vAlign w:val="bottom"/>
          </w:tcPr>
          <w:p>
            <w:pPr>
              <w:spacing w:after="0"/>
              <w:rPr>
                <w:sz w:val="20"/>
                <w:szCs w:val="20"/>
                <w:color w:val="auto"/>
              </w:rPr>
            </w:pPr>
            <w:r>
              <w:rPr>
                <w:rFonts w:ascii="Courier New" w:cs="Courier New" w:eastAsia="Courier New" w:hAnsi="Courier New"/>
                <w:sz w:val="8"/>
                <w:szCs w:val="8"/>
                <w:b w:val="1"/>
                <w:bCs w:val="1"/>
                <w:color w:val="auto"/>
              </w:rPr>
              <w:t>2.</w:t>
            </w:r>
          </w:p>
        </w:tc>
        <w:tc>
          <w:tcPr>
            <w:tcW w:w="4540" w:type="dxa"/>
            <w:vAlign w:val="bottom"/>
            <w:gridSpan w:val="3"/>
          </w:tcPr>
          <w:p>
            <w:pPr>
              <w:ind w:left="20"/>
              <w:spacing w:after="0"/>
              <w:rPr>
                <w:sz w:val="20"/>
                <w:szCs w:val="20"/>
                <w:color w:val="auto"/>
              </w:rPr>
            </w:pPr>
            <w:r>
              <w:rPr>
                <w:rFonts w:ascii="Courier New" w:cs="Courier New" w:eastAsia="Courier New" w:hAnsi="Courier New"/>
                <w:sz w:val="8"/>
                <w:szCs w:val="8"/>
                <w:color w:val="auto"/>
              </w:rPr>
              <w:t>Approve amendment of the Annual Management Incentive Plan II.</w:t>
            </w: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gridSpan w:val="3"/>
          </w:tcPr>
          <w:p>
            <w:pPr>
              <w:jc w:val="right"/>
              <w:ind w:right="20"/>
              <w:spacing w:after="0"/>
              <w:rPr>
                <w:sz w:val="20"/>
                <w:szCs w:val="20"/>
                <w:color w:val="auto"/>
              </w:rPr>
            </w:pPr>
            <w:r>
              <w:rPr>
                <w:rFonts w:ascii="Courier New" w:cs="Courier New" w:eastAsia="Courier New" w:hAnsi="Courier New"/>
                <w:sz w:val="8"/>
                <w:szCs w:val="8"/>
                <w:color w:val="auto"/>
                <w:w w:val="96"/>
              </w:rPr>
              <w:t>/ /</w:t>
            </w:r>
          </w:p>
        </w:tc>
        <w:tc>
          <w:tcPr>
            <w:tcW w:w="720" w:type="dxa"/>
            <w:vAlign w:val="bottom"/>
          </w:tcPr>
          <w:p>
            <w:pPr>
              <w:ind w:left="60"/>
              <w:spacing w:after="0"/>
              <w:rPr>
                <w:sz w:val="20"/>
                <w:szCs w:val="20"/>
                <w:color w:val="auto"/>
              </w:rPr>
            </w:pPr>
            <w:r>
              <w:rPr>
                <w:rFonts w:ascii="Courier New" w:cs="Courier New" w:eastAsia="Courier New" w:hAnsi="Courier New"/>
                <w:sz w:val="8"/>
                <w:szCs w:val="8"/>
                <w:color w:val="auto"/>
              </w:rPr>
              <w:t>For</w:t>
            </w:r>
          </w:p>
        </w:tc>
        <w:tc>
          <w:tcPr>
            <w:tcW w:w="340" w:type="dxa"/>
            <w:vAlign w:val="bottom"/>
          </w:tcPr>
          <w:p>
            <w:pPr>
              <w:jc w:val="right"/>
              <w:ind w:right="20"/>
              <w:spacing w:after="0"/>
              <w:rPr>
                <w:sz w:val="20"/>
                <w:szCs w:val="20"/>
                <w:color w:val="auto"/>
              </w:rPr>
            </w:pPr>
            <w:r>
              <w:rPr>
                <w:rFonts w:ascii="Courier New" w:cs="Courier New" w:eastAsia="Courier New" w:hAnsi="Courier New"/>
                <w:sz w:val="8"/>
                <w:szCs w:val="8"/>
                <w:color w:val="auto"/>
              </w:rPr>
              <w:t>/ /</w:t>
            </w:r>
          </w:p>
        </w:tc>
        <w:tc>
          <w:tcPr>
            <w:tcW w:w="920" w:type="dxa"/>
            <w:vAlign w:val="bottom"/>
          </w:tcPr>
          <w:p>
            <w:pPr>
              <w:ind w:left="60"/>
              <w:spacing w:after="0"/>
              <w:rPr>
                <w:sz w:val="20"/>
                <w:szCs w:val="20"/>
                <w:color w:val="auto"/>
              </w:rPr>
            </w:pPr>
            <w:r>
              <w:rPr>
                <w:rFonts w:ascii="Courier New" w:cs="Courier New" w:eastAsia="Courier New" w:hAnsi="Courier New"/>
                <w:sz w:val="8"/>
                <w:szCs w:val="8"/>
                <w:color w:val="auto"/>
              </w:rPr>
              <w:t>Against</w:t>
            </w:r>
          </w:p>
        </w:tc>
        <w:tc>
          <w:tcPr>
            <w:tcW w:w="320" w:type="dxa"/>
            <w:vAlign w:val="bottom"/>
          </w:tcPr>
          <w:p>
            <w:pPr>
              <w:jc w:val="right"/>
              <w:spacing w:after="0"/>
              <w:rPr>
                <w:sz w:val="20"/>
                <w:szCs w:val="20"/>
                <w:color w:val="auto"/>
              </w:rPr>
            </w:pPr>
            <w:r>
              <w:rPr>
                <w:rFonts w:ascii="Courier New" w:cs="Courier New" w:eastAsia="Courier New" w:hAnsi="Courier New"/>
                <w:sz w:val="8"/>
                <w:szCs w:val="8"/>
                <w:color w:val="auto"/>
              </w:rPr>
              <w:t>/ /</w:t>
            </w:r>
          </w:p>
        </w:tc>
        <w:tc>
          <w:tcPr>
            <w:tcW w:w="440" w:type="dxa"/>
            <w:vAlign w:val="bottom"/>
            <w:gridSpan w:val="2"/>
          </w:tcPr>
          <w:p>
            <w:pPr>
              <w:ind w:left="100"/>
              <w:spacing w:after="0"/>
              <w:rPr>
                <w:sz w:val="20"/>
                <w:szCs w:val="20"/>
                <w:color w:val="auto"/>
              </w:rPr>
            </w:pPr>
            <w:r>
              <w:rPr>
                <w:rFonts w:ascii="Courier New" w:cs="Courier New" w:eastAsia="Courier New" w:hAnsi="Courier New"/>
                <w:sz w:val="8"/>
                <w:szCs w:val="8"/>
                <w:color w:val="auto"/>
                <w:w w:val="95"/>
              </w:rPr>
              <w:t>Abstain</w:t>
            </w:r>
          </w:p>
        </w:tc>
      </w:tr>
      <w:tr>
        <w:trPr>
          <w:trHeight w:val="90"/>
        </w:trPr>
        <w:tc>
          <w:tcPr>
            <w:tcW w:w="240" w:type="dxa"/>
            <w:vAlign w:val="bottom"/>
          </w:tcPr>
          <w:p>
            <w:pPr>
              <w:spacing w:after="0"/>
              <w:rPr>
                <w:sz w:val="20"/>
                <w:szCs w:val="20"/>
                <w:color w:val="auto"/>
              </w:rPr>
            </w:pPr>
            <w:r>
              <w:rPr>
                <w:rFonts w:ascii="Courier New" w:cs="Courier New" w:eastAsia="Courier New" w:hAnsi="Courier New"/>
                <w:sz w:val="8"/>
                <w:szCs w:val="8"/>
                <w:b w:val="1"/>
                <w:bCs w:val="1"/>
                <w:color w:val="auto"/>
              </w:rPr>
              <w:t>3.</w:t>
            </w:r>
          </w:p>
        </w:tc>
        <w:tc>
          <w:tcPr>
            <w:tcW w:w="2720" w:type="dxa"/>
            <w:vAlign w:val="bottom"/>
            <w:gridSpan w:val="2"/>
          </w:tcPr>
          <w:p>
            <w:pPr>
              <w:ind w:left="20"/>
              <w:spacing w:after="0"/>
              <w:rPr>
                <w:sz w:val="20"/>
                <w:szCs w:val="20"/>
                <w:color w:val="auto"/>
              </w:rPr>
            </w:pPr>
            <w:r>
              <w:rPr>
                <w:rFonts w:ascii="Courier New" w:cs="Courier New" w:eastAsia="Courier New" w:hAnsi="Courier New"/>
                <w:sz w:val="8"/>
                <w:szCs w:val="8"/>
                <w:color w:val="auto"/>
              </w:rPr>
              <w:t>Approve amendment of the Performance Share Plan.</w:t>
            </w:r>
          </w:p>
        </w:tc>
        <w:tc>
          <w:tcPr>
            <w:tcW w:w="18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gridSpan w:val="3"/>
          </w:tcPr>
          <w:p>
            <w:pPr>
              <w:jc w:val="right"/>
              <w:ind w:right="20"/>
              <w:spacing w:after="0"/>
              <w:rPr>
                <w:sz w:val="20"/>
                <w:szCs w:val="20"/>
                <w:color w:val="auto"/>
              </w:rPr>
            </w:pPr>
            <w:r>
              <w:rPr>
                <w:rFonts w:ascii="Courier New" w:cs="Courier New" w:eastAsia="Courier New" w:hAnsi="Courier New"/>
                <w:sz w:val="8"/>
                <w:szCs w:val="8"/>
                <w:color w:val="auto"/>
                <w:w w:val="96"/>
              </w:rPr>
              <w:t>/ /</w:t>
            </w:r>
          </w:p>
        </w:tc>
        <w:tc>
          <w:tcPr>
            <w:tcW w:w="720" w:type="dxa"/>
            <w:vAlign w:val="bottom"/>
          </w:tcPr>
          <w:p>
            <w:pPr>
              <w:ind w:left="60"/>
              <w:spacing w:after="0"/>
              <w:rPr>
                <w:sz w:val="20"/>
                <w:szCs w:val="20"/>
                <w:color w:val="auto"/>
              </w:rPr>
            </w:pPr>
            <w:r>
              <w:rPr>
                <w:rFonts w:ascii="Courier New" w:cs="Courier New" w:eastAsia="Courier New" w:hAnsi="Courier New"/>
                <w:sz w:val="8"/>
                <w:szCs w:val="8"/>
                <w:color w:val="auto"/>
              </w:rPr>
              <w:t>For</w:t>
            </w:r>
          </w:p>
        </w:tc>
        <w:tc>
          <w:tcPr>
            <w:tcW w:w="340" w:type="dxa"/>
            <w:vAlign w:val="bottom"/>
          </w:tcPr>
          <w:p>
            <w:pPr>
              <w:jc w:val="right"/>
              <w:ind w:right="20"/>
              <w:spacing w:after="0"/>
              <w:rPr>
                <w:sz w:val="20"/>
                <w:szCs w:val="20"/>
                <w:color w:val="auto"/>
              </w:rPr>
            </w:pPr>
            <w:r>
              <w:rPr>
                <w:rFonts w:ascii="Courier New" w:cs="Courier New" w:eastAsia="Courier New" w:hAnsi="Courier New"/>
                <w:sz w:val="8"/>
                <w:szCs w:val="8"/>
                <w:color w:val="auto"/>
              </w:rPr>
              <w:t>/ /</w:t>
            </w:r>
          </w:p>
        </w:tc>
        <w:tc>
          <w:tcPr>
            <w:tcW w:w="920" w:type="dxa"/>
            <w:vAlign w:val="bottom"/>
          </w:tcPr>
          <w:p>
            <w:pPr>
              <w:ind w:left="60"/>
              <w:spacing w:after="0"/>
              <w:rPr>
                <w:sz w:val="20"/>
                <w:szCs w:val="20"/>
                <w:color w:val="auto"/>
              </w:rPr>
            </w:pPr>
            <w:r>
              <w:rPr>
                <w:rFonts w:ascii="Courier New" w:cs="Courier New" w:eastAsia="Courier New" w:hAnsi="Courier New"/>
                <w:sz w:val="8"/>
                <w:szCs w:val="8"/>
                <w:color w:val="auto"/>
              </w:rPr>
              <w:t>Against</w:t>
            </w:r>
          </w:p>
        </w:tc>
        <w:tc>
          <w:tcPr>
            <w:tcW w:w="320" w:type="dxa"/>
            <w:vAlign w:val="bottom"/>
          </w:tcPr>
          <w:p>
            <w:pPr>
              <w:jc w:val="right"/>
              <w:spacing w:after="0"/>
              <w:rPr>
                <w:sz w:val="20"/>
                <w:szCs w:val="20"/>
                <w:color w:val="auto"/>
              </w:rPr>
            </w:pPr>
            <w:r>
              <w:rPr>
                <w:rFonts w:ascii="Courier New" w:cs="Courier New" w:eastAsia="Courier New" w:hAnsi="Courier New"/>
                <w:sz w:val="8"/>
                <w:szCs w:val="8"/>
                <w:color w:val="auto"/>
              </w:rPr>
              <w:t>/ /</w:t>
            </w:r>
          </w:p>
        </w:tc>
        <w:tc>
          <w:tcPr>
            <w:tcW w:w="440" w:type="dxa"/>
            <w:vAlign w:val="bottom"/>
            <w:gridSpan w:val="2"/>
          </w:tcPr>
          <w:p>
            <w:pPr>
              <w:ind w:left="100"/>
              <w:spacing w:after="0"/>
              <w:rPr>
                <w:sz w:val="20"/>
                <w:szCs w:val="20"/>
                <w:color w:val="auto"/>
              </w:rPr>
            </w:pPr>
            <w:r>
              <w:rPr>
                <w:rFonts w:ascii="Courier New" w:cs="Courier New" w:eastAsia="Courier New" w:hAnsi="Courier New"/>
                <w:sz w:val="8"/>
                <w:szCs w:val="8"/>
                <w:color w:val="auto"/>
                <w:w w:val="95"/>
              </w:rPr>
              <w:t>Abstain</w:t>
            </w:r>
          </w:p>
        </w:tc>
      </w:tr>
      <w:tr>
        <w:trPr>
          <w:trHeight w:val="90"/>
        </w:trPr>
        <w:tc>
          <w:tcPr>
            <w:tcW w:w="240" w:type="dxa"/>
            <w:vAlign w:val="bottom"/>
          </w:tcPr>
          <w:p>
            <w:pPr>
              <w:spacing w:after="0"/>
              <w:rPr>
                <w:sz w:val="20"/>
                <w:szCs w:val="20"/>
                <w:color w:val="auto"/>
              </w:rPr>
            </w:pPr>
            <w:r>
              <w:rPr>
                <w:rFonts w:ascii="Courier New" w:cs="Courier New" w:eastAsia="Courier New" w:hAnsi="Courier New"/>
                <w:sz w:val="8"/>
                <w:szCs w:val="8"/>
                <w:b w:val="1"/>
                <w:bCs w:val="1"/>
                <w:color w:val="auto"/>
              </w:rPr>
              <w:t>4.</w:t>
            </w:r>
          </w:p>
        </w:tc>
        <w:tc>
          <w:tcPr>
            <w:tcW w:w="2720" w:type="dxa"/>
            <w:vAlign w:val="bottom"/>
            <w:gridSpan w:val="2"/>
          </w:tcPr>
          <w:p>
            <w:pPr>
              <w:ind w:left="20"/>
              <w:spacing w:after="0"/>
              <w:rPr>
                <w:sz w:val="20"/>
                <w:szCs w:val="20"/>
                <w:color w:val="auto"/>
              </w:rPr>
            </w:pPr>
            <w:r>
              <w:rPr>
                <w:rFonts w:ascii="Courier New" w:cs="Courier New" w:eastAsia="Courier New" w:hAnsi="Courier New"/>
                <w:sz w:val="8"/>
                <w:szCs w:val="8"/>
                <w:color w:val="auto"/>
              </w:rPr>
              <w:t>Approve amendment of the Directors Stock Plan.</w:t>
            </w:r>
          </w:p>
        </w:tc>
        <w:tc>
          <w:tcPr>
            <w:tcW w:w="18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gridSpan w:val="3"/>
          </w:tcPr>
          <w:p>
            <w:pPr>
              <w:jc w:val="right"/>
              <w:ind w:right="20"/>
              <w:spacing w:after="0"/>
              <w:rPr>
                <w:sz w:val="20"/>
                <w:szCs w:val="20"/>
                <w:color w:val="auto"/>
              </w:rPr>
            </w:pPr>
            <w:r>
              <w:rPr>
                <w:rFonts w:ascii="Courier New" w:cs="Courier New" w:eastAsia="Courier New" w:hAnsi="Courier New"/>
                <w:sz w:val="8"/>
                <w:szCs w:val="8"/>
                <w:color w:val="auto"/>
                <w:w w:val="96"/>
              </w:rPr>
              <w:t>/ /</w:t>
            </w:r>
          </w:p>
        </w:tc>
        <w:tc>
          <w:tcPr>
            <w:tcW w:w="720" w:type="dxa"/>
            <w:vAlign w:val="bottom"/>
          </w:tcPr>
          <w:p>
            <w:pPr>
              <w:ind w:left="60"/>
              <w:spacing w:after="0"/>
              <w:rPr>
                <w:sz w:val="20"/>
                <w:szCs w:val="20"/>
                <w:color w:val="auto"/>
              </w:rPr>
            </w:pPr>
            <w:r>
              <w:rPr>
                <w:rFonts w:ascii="Courier New" w:cs="Courier New" w:eastAsia="Courier New" w:hAnsi="Courier New"/>
                <w:sz w:val="8"/>
                <w:szCs w:val="8"/>
                <w:color w:val="auto"/>
              </w:rPr>
              <w:t>For</w:t>
            </w:r>
          </w:p>
        </w:tc>
        <w:tc>
          <w:tcPr>
            <w:tcW w:w="340" w:type="dxa"/>
            <w:vAlign w:val="bottom"/>
          </w:tcPr>
          <w:p>
            <w:pPr>
              <w:jc w:val="right"/>
              <w:ind w:right="20"/>
              <w:spacing w:after="0"/>
              <w:rPr>
                <w:sz w:val="20"/>
                <w:szCs w:val="20"/>
                <w:color w:val="auto"/>
              </w:rPr>
            </w:pPr>
            <w:r>
              <w:rPr>
                <w:rFonts w:ascii="Courier New" w:cs="Courier New" w:eastAsia="Courier New" w:hAnsi="Courier New"/>
                <w:sz w:val="8"/>
                <w:szCs w:val="8"/>
                <w:color w:val="auto"/>
              </w:rPr>
              <w:t>/ /</w:t>
            </w:r>
          </w:p>
        </w:tc>
        <w:tc>
          <w:tcPr>
            <w:tcW w:w="920" w:type="dxa"/>
            <w:vAlign w:val="bottom"/>
          </w:tcPr>
          <w:p>
            <w:pPr>
              <w:ind w:left="60"/>
              <w:spacing w:after="0"/>
              <w:rPr>
                <w:sz w:val="20"/>
                <w:szCs w:val="20"/>
                <w:color w:val="auto"/>
              </w:rPr>
            </w:pPr>
            <w:r>
              <w:rPr>
                <w:rFonts w:ascii="Courier New" w:cs="Courier New" w:eastAsia="Courier New" w:hAnsi="Courier New"/>
                <w:sz w:val="8"/>
                <w:szCs w:val="8"/>
                <w:color w:val="auto"/>
              </w:rPr>
              <w:t>Against</w:t>
            </w:r>
          </w:p>
        </w:tc>
        <w:tc>
          <w:tcPr>
            <w:tcW w:w="320" w:type="dxa"/>
            <w:vAlign w:val="bottom"/>
          </w:tcPr>
          <w:p>
            <w:pPr>
              <w:jc w:val="right"/>
              <w:spacing w:after="0"/>
              <w:rPr>
                <w:sz w:val="20"/>
                <w:szCs w:val="20"/>
                <w:color w:val="auto"/>
              </w:rPr>
            </w:pPr>
            <w:r>
              <w:rPr>
                <w:rFonts w:ascii="Courier New" w:cs="Courier New" w:eastAsia="Courier New" w:hAnsi="Courier New"/>
                <w:sz w:val="8"/>
                <w:szCs w:val="8"/>
                <w:color w:val="auto"/>
              </w:rPr>
              <w:t>/ /</w:t>
            </w:r>
          </w:p>
        </w:tc>
        <w:tc>
          <w:tcPr>
            <w:tcW w:w="440" w:type="dxa"/>
            <w:vAlign w:val="bottom"/>
            <w:gridSpan w:val="2"/>
          </w:tcPr>
          <w:p>
            <w:pPr>
              <w:ind w:left="100"/>
              <w:spacing w:after="0"/>
              <w:rPr>
                <w:sz w:val="20"/>
                <w:szCs w:val="20"/>
                <w:color w:val="auto"/>
              </w:rPr>
            </w:pPr>
            <w:r>
              <w:rPr>
                <w:rFonts w:ascii="Courier New" w:cs="Courier New" w:eastAsia="Courier New" w:hAnsi="Courier New"/>
                <w:sz w:val="8"/>
                <w:szCs w:val="8"/>
                <w:color w:val="auto"/>
                <w:w w:val="95"/>
              </w:rPr>
              <w:t>Abstain</w:t>
            </w:r>
          </w:p>
        </w:tc>
      </w:tr>
      <w:tr>
        <w:trPr>
          <w:trHeight w:val="90"/>
        </w:trPr>
        <w:tc>
          <w:tcPr>
            <w:tcW w:w="240" w:type="dxa"/>
            <w:vAlign w:val="bottom"/>
          </w:tcPr>
          <w:p>
            <w:pPr>
              <w:spacing w:after="0"/>
              <w:rPr>
                <w:sz w:val="20"/>
                <w:szCs w:val="20"/>
                <w:color w:val="auto"/>
              </w:rPr>
            </w:pPr>
            <w:r>
              <w:rPr>
                <w:rFonts w:ascii="Courier New" w:cs="Courier New" w:eastAsia="Courier New" w:hAnsi="Courier New"/>
                <w:sz w:val="8"/>
                <w:szCs w:val="8"/>
                <w:b w:val="1"/>
                <w:bCs w:val="1"/>
                <w:color w:val="auto"/>
              </w:rPr>
              <w:t>5.</w:t>
            </w:r>
          </w:p>
        </w:tc>
        <w:tc>
          <w:tcPr>
            <w:tcW w:w="2720" w:type="dxa"/>
            <w:vAlign w:val="bottom"/>
            <w:gridSpan w:val="2"/>
          </w:tcPr>
          <w:p>
            <w:pPr>
              <w:ind w:left="20"/>
              <w:spacing w:after="0"/>
              <w:rPr>
                <w:sz w:val="20"/>
                <w:szCs w:val="20"/>
                <w:color w:val="auto"/>
              </w:rPr>
            </w:pPr>
            <w:r>
              <w:rPr>
                <w:rFonts w:ascii="Courier New" w:cs="Courier New" w:eastAsia="Courier New" w:hAnsi="Courier New"/>
                <w:sz w:val="8"/>
                <w:szCs w:val="8"/>
                <w:color w:val="auto"/>
              </w:rPr>
              <w:t>Approve adoption of the 2000 Stock Option Plan.</w:t>
            </w:r>
          </w:p>
        </w:tc>
        <w:tc>
          <w:tcPr>
            <w:tcW w:w="18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gridSpan w:val="3"/>
          </w:tcPr>
          <w:p>
            <w:pPr>
              <w:jc w:val="right"/>
              <w:ind w:right="20"/>
              <w:spacing w:after="0"/>
              <w:rPr>
                <w:sz w:val="20"/>
                <w:szCs w:val="20"/>
                <w:color w:val="auto"/>
              </w:rPr>
            </w:pPr>
            <w:r>
              <w:rPr>
                <w:rFonts w:ascii="Courier New" w:cs="Courier New" w:eastAsia="Courier New" w:hAnsi="Courier New"/>
                <w:sz w:val="8"/>
                <w:szCs w:val="8"/>
                <w:color w:val="auto"/>
                <w:w w:val="96"/>
              </w:rPr>
              <w:t>/ /</w:t>
            </w:r>
          </w:p>
        </w:tc>
        <w:tc>
          <w:tcPr>
            <w:tcW w:w="720" w:type="dxa"/>
            <w:vAlign w:val="bottom"/>
          </w:tcPr>
          <w:p>
            <w:pPr>
              <w:ind w:left="60"/>
              <w:spacing w:after="0"/>
              <w:rPr>
                <w:sz w:val="20"/>
                <w:szCs w:val="20"/>
                <w:color w:val="auto"/>
              </w:rPr>
            </w:pPr>
            <w:r>
              <w:rPr>
                <w:rFonts w:ascii="Courier New" w:cs="Courier New" w:eastAsia="Courier New" w:hAnsi="Courier New"/>
                <w:sz w:val="8"/>
                <w:szCs w:val="8"/>
                <w:color w:val="auto"/>
              </w:rPr>
              <w:t>For</w:t>
            </w:r>
          </w:p>
        </w:tc>
        <w:tc>
          <w:tcPr>
            <w:tcW w:w="340" w:type="dxa"/>
            <w:vAlign w:val="bottom"/>
          </w:tcPr>
          <w:p>
            <w:pPr>
              <w:jc w:val="right"/>
              <w:ind w:right="20"/>
              <w:spacing w:after="0"/>
              <w:rPr>
                <w:sz w:val="20"/>
                <w:szCs w:val="20"/>
                <w:color w:val="auto"/>
              </w:rPr>
            </w:pPr>
            <w:r>
              <w:rPr>
                <w:rFonts w:ascii="Courier New" w:cs="Courier New" w:eastAsia="Courier New" w:hAnsi="Courier New"/>
                <w:sz w:val="8"/>
                <w:szCs w:val="8"/>
                <w:color w:val="auto"/>
              </w:rPr>
              <w:t>/ /</w:t>
            </w:r>
          </w:p>
        </w:tc>
        <w:tc>
          <w:tcPr>
            <w:tcW w:w="920" w:type="dxa"/>
            <w:vAlign w:val="bottom"/>
          </w:tcPr>
          <w:p>
            <w:pPr>
              <w:ind w:left="60"/>
              <w:spacing w:after="0"/>
              <w:rPr>
                <w:sz w:val="20"/>
                <w:szCs w:val="20"/>
                <w:color w:val="auto"/>
              </w:rPr>
            </w:pPr>
            <w:r>
              <w:rPr>
                <w:rFonts w:ascii="Courier New" w:cs="Courier New" w:eastAsia="Courier New" w:hAnsi="Courier New"/>
                <w:sz w:val="8"/>
                <w:szCs w:val="8"/>
                <w:color w:val="auto"/>
              </w:rPr>
              <w:t>Against</w:t>
            </w:r>
          </w:p>
        </w:tc>
        <w:tc>
          <w:tcPr>
            <w:tcW w:w="320" w:type="dxa"/>
            <w:vAlign w:val="bottom"/>
          </w:tcPr>
          <w:p>
            <w:pPr>
              <w:jc w:val="right"/>
              <w:spacing w:after="0"/>
              <w:rPr>
                <w:sz w:val="20"/>
                <w:szCs w:val="20"/>
                <w:color w:val="auto"/>
              </w:rPr>
            </w:pPr>
            <w:r>
              <w:rPr>
                <w:rFonts w:ascii="Courier New" w:cs="Courier New" w:eastAsia="Courier New" w:hAnsi="Courier New"/>
                <w:sz w:val="8"/>
                <w:szCs w:val="8"/>
                <w:color w:val="auto"/>
              </w:rPr>
              <w:t>/ /</w:t>
            </w:r>
          </w:p>
        </w:tc>
        <w:tc>
          <w:tcPr>
            <w:tcW w:w="440" w:type="dxa"/>
            <w:vAlign w:val="bottom"/>
            <w:gridSpan w:val="2"/>
          </w:tcPr>
          <w:p>
            <w:pPr>
              <w:ind w:left="100"/>
              <w:spacing w:after="0"/>
              <w:rPr>
                <w:sz w:val="20"/>
                <w:szCs w:val="20"/>
                <w:color w:val="auto"/>
              </w:rPr>
            </w:pPr>
            <w:r>
              <w:rPr>
                <w:rFonts w:ascii="Courier New" w:cs="Courier New" w:eastAsia="Courier New" w:hAnsi="Courier New"/>
                <w:sz w:val="8"/>
                <w:szCs w:val="8"/>
                <w:color w:val="auto"/>
                <w:w w:val="95"/>
              </w:rPr>
              <w:t>Abstain</w:t>
            </w:r>
          </w:p>
        </w:tc>
      </w:tr>
      <w:tr>
        <w:trPr>
          <w:trHeight w:val="90"/>
        </w:trPr>
        <w:tc>
          <w:tcPr>
            <w:tcW w:w="240" w:type="dxa"/>
            <w:vAlign w:val="bottom"/>
          </w:tcPr>
          <w:p>
            <w:pPr>
              <w:spacing w:after="0"/>
              <w:rPr>
                <w:sz w:val="20"/>
                <w:szCs w:val="20"/>
                <w:color w:val="auto"/>
              </w:rPr>
            </w:pPr>
            <w:r>
              <w:rPr>
                <w:rFonts w:ascii="Courier New" w:cs="Courier New" w:eastAsia="Courier New" w:hAnsi="Courier New"/>
                <w:sz w:val="8"/>
                <w:szCs w:val="8"/>
                <w:b w:val="1"/>
                <w:bCs w:val="1"/>
                <w:color w:val="auto"/>
              </w:rPr>
              <w:t>6.</w:t>
            </w:r>
          </w:p>
        </w:tc>
        <w:tc>
          <w:tcPr>
            <w:tcW w:w="2720" w:type="dxa"/>
            <w:vAlign w:val="bottom"/>
            <w:gridSpan w:val="2"/>
          </w:tcPr>
          <w:p>
            <w:pPr>
              <w:ind w:left="20"/>
              <w:spacing w:after="0"/>
              <w:rPr>
                <w:sz w:val="20"/>
                <w:szCs w:val="20"/>
                <w:color w:val="auto"/>
              </w:rPr>
            </w:pPr>
            <w:r>
              <w:rPr>
                <w:rFonts w:ascii="Courier New" w:cs="Courier New" w:eastAsia="Courier New" w:hAnsi="Courier New"/>
                <w:sz w:val="8"/>
                <w:szCs w:val="8"/>
                <w:color w:val="auto"/>
              </w:rPr>
              <w:t>Approve the selection of auditors for Fiscal 2000.</w:t>
            </w:r>
          </w:p>
        </w:tc>
        <w:tc>
          <w:tcPr>
            <w:tcW w:w="18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gridSpan w:val="3"/>
          </w:tcPr>
          <w:p>
            <w:pPr>
              <w:jc w:val="right"/>
              <w:ind w:right="20"/>
              <w:spacing w:after="0"/>
              <w:rPr>
                <w:sz w:val="20"/>
                <w:szCs w:val="20"/>
                <w:color w:val="auto"/>
              </w:rPr>
            </w:pPr>
            <w:r>
              <w:rPr>
                <w:rFonts w:ascii="Courier New" w:cs="Courier New" w:eastAsia="Courier New" w:hAnsi="Courier New"/>
                <w:sz w:val="8"/>
                <w:szCs w:val="8"/>
                <w:color w:val="auto"/>
                <w:w w:val="96"/>
              </w:rPr>
              <w:t>/ /</w:t>
            </w:r>
          </w:p>
        </w:tc>
        <w:tc>
          <w:tcPr>
            <w:tcW w:w="720" w:type="dxa"/>
            <w:vAlign w:val="bottom"/>
          </w:tcPr>
          <w:p>
            <w:pPr>
              <w:ind w:left="60"/>
              <w:spacing w:after="0"/>
              <w:rPr>
                <w:sz w:val="20"/>
                <w:szCs w:val="20"/>
                <w:color w:val="auto"/>
              </w:rPr>
            </w:pPr>
            <w:r>
              <w:rPr>
                <w:rFonts w:ascii="Courier New" w:cs="Courier New" w:eastAsia="Courier New" w:hAnsi="Courier New"/>
                <w:sz w:val="8"/>
                <w:szCs w:val="8"/>
                <w:color w:val="auto"/>
              </w:rPr>
              <w:t>For</w:t>
            </w:r>
          </w:p>
        </w:tc>
        <w:tc>
          <w:tcPr>
            <w:tcW w:w="340" w:type="dxa"/>
            <w:vAlign w:val="bottom"/>
          </w:tcPr>
          <w:p>
            <w:pPr>
              <w:jc w:val="right"/>
              <w:ind w:right="20"/>
              <w:spacing w:after="0"/>
              <w:rPr>
                <w:sz w:val="20"/>
                <w:szCs w:val="20"/>
                <w:color w:val="auto"/>
              </w:rPr>
            </w:pPr>
            <w:r>
              <w:rPr>
                <w:rFonts w:ascii="Courier New" w:cs="Courier New" w:eastAsia="Courier New" w:hAnsi="Courier New"/>
                <w:sz w:val="8"/>
                <w:szCs w:val="8"/>
                <w:color w:val="auto"/>
              </w:rPr>
              <w:t>/ /</w:t>
            </w:r>
          </w:p>
        </w:tc>
        <w:tc>
          <w:tcPr>
            <w:tcW w:w="920" w:type="dxa"/>
            <w:vAlign w:val="bottom"/>
          </w:tcPr>
          <w:p>
            <w:pPr>
              <w:ind w:left="60"/>
              <w:spacing w:after="0"/>
              <w:rPr>
                <w:sz w:val="20"/>
                <w:szCs w:val="20"/>
                <w:color w:val="auto"/>
              </w:rPr>
            </w:pPr>
            <w:r>
              <w:rPr>
                <w:rFonts w:ascii="Courier New" w:cs="Courier New" w:eastAsia="Courier New" w:hAnsi="Courier New"/>
                <w:sz w:val="8"/>
                <w:szCs w:val="8"/>
                <w:color w:val="auto"/>
              </w:rPr>
              <w:t>Against</w:t>
            </w:r>
          </w:p>
        </w:tc>
        <w:tc>
          <w:tcPr>
            <w:tcW w:w="320" w:type="dxa"/>
            <w:vAlign w:val="bottom"/>
          </w:tcPr>
          <w:p>
            <w:pPr>
              <w:jc w:val="right"/>
              <w:spacing w:after="0"/>
              <w:rPr>
                <w:sz w:val="20"/>
                <w:szCs w:val="20"/>
                <w:color w:val="auto"/>
              </w:rPr>
            </w:pPr>
            <w:r>
              <w:rPr>
                <w:rFonts w:ascii="Courier New" w:cs="Courier New" w:eastAsia="Courier New" w:hAnsi="Courier New"/>
                <w:sz w:val="8"/>
                <w:szCs w:val="8"/>
                <w:color w:val="auto"/>
              </w:rPr>
              <w:t>/ /</w:t>
            </w:r>
          </w:p>
        </w:tc>
        <w:tc>
          <w:tcPr>
            <w:tcW w:w="440" w:type="dxa"/>
            <w:vAlign w:val="bottom"/>
            <w:gridSpan w:val="2"/>
          </w:tcPr>
          <w:p>
            <w:pPr>
              <w:ind w:left="100"/>
              <w:spacing w:after="0"/>
              <w:rPr>
                <w:sz w:val="20"/>
                <w:szCs w:val="20"/>
                <w:color w:val="auto"/>
              </w:rPr>
            </w:pPr>
            <w:r>
              <w:rPr>
                <w:rFonts w:ascii="Courier New" w:cs="Courier New" w:eastAsia="Courier New" w:hAnsi="Courier New"/>
                <w:sz w:val="8"/>
                <w:szCs w:val="8"/>
                <w:color w:val="auto"/>
                <w:w w:val="95"/>
              </w:rPr>
              <w:t>Abstain</w:t>
            </w:r>
          </w:p>
        </w:tc>
      </w:tr>
      <w:tr>
        <w:trPr>
          <w:trHeight w:val="91"/>
        </w:trPr>
        <w:tc>
          <w:tcPr>
            <w:tcW w:w="240" w:type="dxa"/>
            <w:vAlign w:val="bottom"/>
          </w:tcPr>
          <w:p>
            <w:pPr>
              <w:spacing w:after="0"/>
              <w:rPr>
                <w:sz w:val="20"/>
                <w:szCs w:val="20"/>
                <w:color w:val="auto"/>
              </w:rPr>
            </w:pPr>
            <w:r>
              <w:rPr>
                <w:rFonts w:ascii="Courier New" w:cs="Courier New" w:eastAsia="Courier New" w:hAnsi="Courier New"/>
                <w:sz w:val="8"/>
                <w:szCs w:val="8"/>
                <w:b w:val="1"/>
                <w:bCs w:val="1"/>
                <w:color w:val="auto"/>
              </w:rPr>
              <w:t>7.</w:t>
            </w:r>
          </w:p>
        </w:tc>
        <w:tc>
          <w:tcPr>
            <w:tcW w:w="5440" w:type="dxa"/>
            <w:vAlign w:val="bottom"/>
            <w:gridSpan w:val="6"/>
          </w:tcPr>
          <w:p>
            <w:pPr>
              <w:ind w:left="20"/>
              <w:spacing w:after="0"/>
              <w:rPr>
                <w:sz w:val="20"/>
                <w:szCs w:val="20"/>
                <w:color w:val="auto"/>
              </w:rPr>
            </w:pPr>
            <w:r>
              <w:rPr>
                <w:rFonts w:ascii="Courier New" w:cs="Courier New" w:eastAsia="Courier New" w:hAnsi="Courier New"/>
                <w:sz w:val="8"/>
                <w:szCs w:val="8"/>
                <w:color w:val="auto"/>
              </w:rPr>
              <w:t>To transact any other business properly brought before the Annual Meeting or any adjournment of the meeting.</w:t>
            </w:r>
          </w:p>
        </w:tc>
        <w:tc>
          <w:tcPr>
            <w:tcW w:w="220" w:type="dxa"/>
            <w:vAlign w:val="bottom"/>
            <w:gridSpan w:val="3"/>
          </w:tcPr>
          <w:p>
            <w:pPr>
              <w:jc w:val="right"/>
              <w:ind w:right="20"/>
              <w:spacing w:after="0"/>
              <w:rPr>
                <w:sz w:val="20"/>
                <w:szCs w:val="20"/>
                <w:color w:val="auto"/>
              </w:rPr>
            </w:pPr>
            <w:r>
              <w:rPr>
                <w:rFonts w:ascii="Courier New" w:cs="Courier New" w:eastAsia="Courier New" w:hAnsi="Courier New"/>
                <w:sz w:val="8"/>
                <w:szCs w:val="8"/>
                <w:color w:val="auto"/>
                <w:w w:val="96"/>
              </w:rPr>
              <w:t>/ /</w:t>
            </w:r>
          </w:p>
        </w:tc>
        <w:tc>
          <w:tcPr>
            <w:tcW w:w="720" w:type="dxa"/>
            <w:vAlign w:val="bottom"/>
          </w:tcPr>
          <w:p>
            <w:pPr>
              <w:ind w:left="60"/>
              <w:spacing w:after="0"/>
              <w:rPr>
                <w:sz w:val="20"/>
                <w:szCs w:val="20"/>
                <w:color w:val="auto"/>
              </w:rPr>
            </w:pPr>
            <w:r>
              <w:rPr>
                <w:rFonts w:ascii="Courier New" w:cs="Courier New" w:eastAsia="Courier New" w:hAnsi="Courier New"/>
                <w:sz w:val="8"/>
                <w:szCs w:val="8"/>
                <w:color w:val="auto"/>
              </w:rPr>
              <w:t>For</w:t>
            </w:r>
          </w:p>
        </w:tc>
        <w:tc>
          <w:tcPr>
            <w:tcW w:w="340" w:type="dxa"/>
            <w:vAlign w:val="bottom"/>
          </w:tcPr>
          <w:p>
            <w:pPr>
              <w:jc w:val="right"/>
              <w:ind w:right="20"/>
              <w:spacing w:after="0"/>
              <w:rPr>
                <w:sz w:val="20"/>
                <w:szCs w:val="20"/>
                <w:color w:val="auto"/>
              </w:rPr>
            </w:pPr>
            <w:r>
              <w:rPr>
                <w:rFonts w:ascii="Courier New" w:cs="Courier New" w:eastAsia="Courier New" w:hAnsi="Courier New"/>
                <w:sz w:val="8"/>
                <w:szCs w:val="8"/>
                <w:color w:val="auto"/>
              </w:rPr>
              <w:t>/ /</w:t>
            </w:r>
          </w:p>
        </w:tc>
        <w:tc>
          <w:tcPr>
            <w:tcW w:w="920" w:type="dxa"/>
            <w:vAlign w:val="bottom"/>
          </w:tcPr>
          <w:p>
            <w:pPr>
              <w:ind w:left="60"/>
              <w:spacing w:after="0"/>
              <w:rPr>
                <w:sz w:val="20"/>
                <w:szCs w:val="20"/>
                <w:color w:val="auto"/>
              </w:rPr>
            </w:pPr>
            <w:r>
              <w:rPr>
                <w:rFonts w:ascii="Courier New" w:cs="Courier New" w:eastAsia="Courier New" w:hAnsi="Courier New"/>
                <w:sz w:val="8"/>
                <w:szCs w:val="8"/>
                <w:color w:val="auto"/>
              </w:rPr>
              <w:t>Against</w:t>
            </w:r>
          </w:p>
        </w:tc>
        <w:tc>
          <w:tcPr>
            <w:tcW w:w="320" w:type="dxa"/>
            <w:vAlign w:val="bottom"/>
          </w:tcPr>
          <w:p>
            <w:pPr>
              <w:jc w:val="right"/>
              <w:spacing w:after="0"/>
              <w:rPr>
                <w:sz w:val="20"/>
                <w:szCs w:val="20"/>
                <w:color w:val="auto"/>
              </w:rPr>
            </w:pPr>
            <w:r>
              <w:rPr>
                <w:rFonts w:ascii="Courier New" w:cs="Courier New" w:eastAsia="Courier New" w:hAnsi="Courier New"/>
                <w:sz w:val="8"/>
                <w:szCs w:val="8"/>
                <w:color w:val="auto"/>
              </w:rPr>
              <w:t>/ /</w:t>
            </w:r>
          </w:p>
        </w:tc>
        <w:tc>
          <w:tcPr>
            <w:tcW w:w="440" w:type="dxa"/>
            <w:vAlign w:val="bottom"/>
            <w:gridSpan w:val="2"/>
          </w:tcPr>
          <w:p>
            <w:pPr>
              <w:ind w:left="100"/>
              <w:spacing w:after="0"/>
              <w:rPr>
                <w:sz w:val="20"/>
                <w:szCs w:val="20"/>
                <w:color w:val="auto"/>
              </w:rPr>
            </w:pPr>
            <w:r>
              <w:rPr>
                <w:rFonts w:ascii="Courier New" w:cs="Courier New" w:eastAsia="Courier New" w:hAnsi="Courier New"/>
                <w:sz w:val="8"/>
                <w:szCs w:val="8"/>
                <w:color w:val="auto"/>
                <w:w w:val="95"/>
              </w:rPr>
              <w:t>Abstain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5437505</wp:posOffset>
            </wp:positionH>
            <wp:positionV relativeFrom="paragraph">
              <wp:posOffset>-1235075</wp:posOffset>
            </wp:positionV>
            <wp:extent cx="12700" cy="57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3700145</wp:posOffset>
            </wp:positionH>
            <wp:positionV relativeFrom="paragraph">
              <wp:posOffset>-1235075</wp:posOffset>
            </wp:positionV>
            <wp:extent cx="12700" cy="57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5203190</wp:posOffset>
            </wp:positionH>
            <wp:positionV relativeFrom="paragraph">
              <wp:posOffset>-708660</wp:posOffset>
            </wp:positionV>
            <wp:extent cx="12700" cy="57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3025775</wp:posOffset>
            </wp:positionH>
            <wp:positionV relativeFrom="paragraph">
              <wp:posOffset>-708660</wp:posOffset>
            </wp:positionV>
            <wp:extent cx="12700" cy="57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5203190</wp:posOffset>
            </wp:positionH>
            <wp:positionV relativeFrom="paragraph">
              <wp:posOffset>-594360</wp:posOffset>
            </wp:positionV>
            <wp:extent cx="12700" cy="57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3025775</wp:posOffset>
            </wp:positionH>
            <wp:positionV relativeFrom="paragraph">
              <wp:posOffset>-594360</wp:posOffset>
            </wp:positionV>
            <wp:extent cx="12700" cy="57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color w:val="auto"/>
        </w:rPr>
        <w:t>QuickLinks</w:t>
      </w:r>
    </w:p>
    <w:p>
      <w:pPr>
        <w:spacing w:after="0" w:line="142" w:lineRule="exact"/>
        <w:rPr>
          <w:sz w:val="20"/>
          <w:szCs w:val="20"/>
          <w:color w:val="auto"/>
        </w:rPr>
      </w:pPr>
    </w:p>
    <w:p>
      <w:pPr>
        <w:spacing w:after="0"/>
        <w:rPr>
          <w:rFonts w:ascii="Courier New" w:cs="Courier New" w:eastAsia="Courier New" w:hAnsi="Courier New"/>
          <w:sz w:val="9"/>
          <w:szCs w:val="9"/>
          <w:u w:val="single" w:color="auto"/>
          <w:color w:val="0000EE"/>
        </w:rPr>
      </w:pPr>
      <w:hyperlink w:anchor="page2">
        <w:r>
          <w:rPr>
            <w:rFonts w:ascii="Courier New" w:cs="Courier New" w:eastAsia="Courier New" w:hAnsi="Courier New"/>
            <w:sz w:val="9"/>
            <w:szCs w:val="9"/>
            <w:u w:val="single" w:color="auto"/>
            <w:color w:val="0000EE"/>
          </w:rPr>
          <w:t>PROXY STATEMENT</w:t>
        </w:r>
      </w:hyperlink>
    </w:p>
    <w:p>
      <w:pPr>
        <w:spacing w:after="0" w:line="132" w:lineRule="exact"/>
        <w:rPr>
          <w:sz w:val="20"/>
          <w:szCs w:val="20"/>
          <w:color w:val="auto"/>
        </w:rPr>
      </w:pPr>
    </w:p>
    <w:p>
      <w:pPr>
        <w:spacing w:after="0"/>
        <w:rPr>
          <w:rFonts w:ascii="Courier New" w:cs="Courier New" w:eastAsia="Courier New" w:hAnsi="Courier New"/>
          <w:sz w:val="9"/>
          <w:szCs w:val="9"/>
          <w:u w:val="single" w:color="auto"/>
          <w:color w:val="0000EE"/>
        </w:rPr>
      </w:pPr>
      <w:hyperlink w:anchor="page2">
        <w:r>
          <w:rPr>
            <w:rFonts w:ascii="Courier New" w:cs="Courier New" w:eastAsia="Courier New" w:hAnsi="Courier New"/>
            <w:sz w:val="9"/>
            <w:szCs w:val="9"/>
            <w:u w:val="single" w:color="auto"/>
            <w:color w:val="0000EE"/>
          </w:rPr>
          <w:t>VOTING</w:t>
        </w:r>
      </w:hyperlink>
    </w:p>
    <w:p>
      <w:pPr>
        <w:spacing w:after="0" w:line="132" w:lineRule="exact"/>
        <w:rPr>
          <w:sz w:val="20"/>
          <w:szCs w:val="20"/>
          <w:color w:val="auto"/>
        </w:rPr>
      </w:pPr>
    </w:p>
    <w:p>
      <w:pPr>
        <w:spacing w:after="0"/>
        <w:rPr>
          <w:rFonts w:ascii="Courier New" w:cs="Courier New" w:eastAsia="Courier New" w:hAnsi="Courier New"/>
          <w:sz w:val="9"/>
          <w:szCs w:val="9"/>
          <w:u w:val="single" w:color="auto"/>
          <w:color w:val="0000EE"/>
        </w:rPr>
      </w:pPr>
      <w:hyperlink w:anchor="page3">
        <w:r>
          <w:rPr>
            <w:rFonts w:ascii="Courier New" w:cs="Courier New" w:eastAsia="Courier New" w:hAnsi="Courier New"/>
            <w:sz w:val="9"/>
            <w:szCs w:val="9"/>
            <w:u w:val="single" w:color="auto"/>
            <w:color w:val="0000EE"/>
          </w:rPr>
          <w:t>STOCK OWNERSHIP</w:t>
        </w:r>
      </w:hyperlink>
    </w:p>
    <w:p>
      <w:pPr>
        <w:spacing w:after="0" w:line="132" w:lineRule="exact"/>
        <w:rPr>
          <w:sz w:val="20"/>
          <w:szCs w:val="20"/>
          <w:color w:val="auto"/>
        </w:rPr>
      </w:pPr>
    </w:p>
    <w:p>
      <w:pPr>
        <w:spacing w:after="0"/>
        <w:rPr>
          <w:rFonts w:ascii="Courier New" w:cs="Courier New" w:eastAsia="Courier New" w:hAnsi="Courier New"/>
          <w:sz w:val="9"/>
          <w:szCs w:val="9"/>
          <w:u w:val="single" w:color="auto"/>
          <w:color w:val="0000EE"/>
        </w:rPr>
      </w:pPr>
      <w:hyperlink w:anchor="page3">
        <w:r>
          <w:rPr>
            <w:rFonts w:ascii="Courier New" w:cs="Courier New" w:eastAsia="Courier New" w:hAnsi="Courier New"/>
            <w:sz w:val="9"/>
            <w:szCs w:val="9"/>
            <w:u w:val="single" w:color="auto"/>
            <w:color w:val="0000EE"/>
          </w:rPr>
          <w:t>SECTION 16(b) BENEFICIAL OWNERSHIP REPORTING COMPLIANCE</w:t>
        </w:r>
      </w:hyperlink>
    </w:p>
    <w:p>
      <w:pPr>
        <w:spacing w:after="0" w:line="249" w:lineRule="exact"/>
        <w:rPr>
          <w:sz w:val="20"/>
          <w:szCs w:val="20"/>
          <w:color w:val="auto"/>
        </w:rPr>
      </w:pPr>
    </w:p>
    <w:p>
      <w:pPr>
        <w:spacing w:after="0"/>
        <w:rPr>
          <w:rFonts w:ascii="Courier New" w:cs="Courier New" w:eastAsia="Courier New" w:hAnsi="Courier New"/>
          <w:sz w:val="9"/>
          <w:szCs w:val="9"/>
          <w:u w:val="single" w:color="auto"/>
          <w:color w:val="0000EE"/>
        </w:rPr>
      </w:pPr>
      <w:hyperlink w:anchor="page3">
        <w:r>
          <w:rPr>
            <w:rFonts w:ascii="Courier New" w:cs="Courier New" w:eastAsia="Courier New" w:hAnsi="Courier New"/>
            <w:sz w:val="9"/>
            <w:szCs w:val="9"/>
            <w:u w:val="single" w:color="auto"/>
            <w:color w:val="0000EE"/>
          </w:rPr>
          <w:t>PROPOSAL ONE ELECTION OF DIRECTORS</w:t>
        </w:r>
      </w:hyperlink>
    </w:p>
    <w:p>
      <w:pPr>
        <w:spacing w:after="0" w:line="249" w:lineRule="exact"/>
        <w:rPr>
          <w:sz w:val="20"/>
          <w:szCs w:val="20"/>
          <w:color w:val="auto"/>
        </w:rPr>
      </w:pPr>
    </w:p>
    <w:p>
      <w:pPr>
        <w:spacing w:after="0"/>
        <w:rPr>
          <w:rFonts w:ascii="Courier New" w:cs="Courier New" w:eastAsia="Courier New" w:hAnsi="Courier New"/>
          <w:sz w:val="9"/>
          <w:szCs w:val="9"/>
          <w:u w:val="single" w:color="auto"/>
          <w:color w:val="0000EE"/>
        </w:rPr>
      </w:pPr>
      <w:hyperlink w:anchor="page4">
        <w:r>
          <w:rPr>
            <w:rFonts w:ascii="Courier New" w:cs="Courier New" w:eastAsia="Courier New" w:hAnsi="Courier New"/>
            <w:sz w:val="9"/>
            <w:szCs w:val="9"/>
            <w:u w:val="single" w:color="auto"/>
            <w:color w:val="0000EE"/>
          </w:rPr>
          <w:t>EXECUTIVE COMPENSATION SUMMARY COMPENSATION TABLE</w:t>
        </w:r>
      </w:hyperlink>
    </w:p>
    <w:p>
      <w:pPr>
        <w:spacing w:after="0" w:line="249" w:lineRule="exact"/>
        <w:rPr>
          <w:sz w:val="20"/>
          <w:szCs w:val="20"/>
          <w:color w:val="auto"/>
        </w:rPr>
      </w:pPr>
    </w:p>
    <w:p>
      <w:pPr>
        <w:spacing w:after="0"/>
        <w:rPr>
          <w:rFonts w:ascii="Courier New" w:cs="Courier New" w:eastAsia="Courier New" w:hAnsi="Courier New"/>
          <w:sz w:val="9"/>
          <w:szCs w:val="9"/>
          <w:u w:val="single" w:color="auto"/>
          <w:color w:val="0000EE"/>
        </w:rPr>
      </w:pPr>
      <w:hyperlink w:anchor="page5">
        <w:r>
          <w:rPr>
            <w:rFonts w:ascii="Courier New" w:cs="Courier New" w:eastAsia="Courier New" w:hAnsi="Courier New"/>
            <w:sz w:val="9"/>
            <w:szCs w:val="9"/>
            <w:u w:val="single" w:color="auto"/>
            <w:color w:val="0000EE"/>
          </w:rPr>
          <w:t>STOCK OPTIONS</w:t>
        </w:r>
      </w:hyperlink>
    </w:p>
    <w:p>
      <w:pPr>
        <w:spacing w:after="0" w:line="132" w:lineRule="exact"/>
        <w:rPr>
          <w:sz w:val="20"/>
          <w:szCs w:val="20"/>
          <w:color w:val="auto"/>
        </w:rPr>
      </w:pPr>
    </w:p>
    <w:p>
      <w:pPr>
        <w:spacing w:after="0"/>
        <w:rPr>
          <w:rFonts w:ascii="Courier New" w:cs="Courier New" w:eastAsia="Courier New" w:hAnsi="Courier New"/>
          <w:sz w:val="9"/>
          <w:szCs w:val="9"/>
          <w:u w:val="single" w:color="auto"/>
          <w:color w:val="0000EE"/>
        </w:rPr>
      </w:pPr>
      <w:hyperlink w:anchor="page5">
        <w:r>
          <w:rPr>
            <w:rFonts w:ascii="Courier New" w:cs="Courier New" w:eastAsia="Courier New" w:hAnsi="Courier New"/>
            <w:sz w:val="9"/>
            <w:szCs w:val="9"/>
            <w:u w:val="single" w:color="auto"/>
            <w:color w:val="0000EE"/>
          </w:rPr>
          <w:t>AGGREGATED OPTION EXERCISES IN FISCAL 1999 AND FISCAL YEAR-END OPTION VALUES</w:t>
        </w:r>
      </w:hyperlink>
    </w:p>
    <w:p>
      <w:pPr>
        <w:spacing w:after="0" w:line="249" w:lineRule="exact"/>
        <w:rPr>
          <w:sz w:val="20"/>
          <w:szCs w:val="20"/>
          <w:color w:val="auto"/>
        </w:rPr>
      </w:pPr>
    </w:p>
    <w:p>
      <w:pPr>
        <w:spacing w:after="0"/>
        <w:rPr>
          <w:rFonts w:ascii="Courier New" w:cs="Courier New" w:eastAsia="Courier New" w:hAnsi="Courier New"/>
          <w:sz w:val="9"/>
          <w:szCs w:val="9"/>
          <w:u w:val="single" w:color="auto"/>
          <w:color w:val="0000EE"/>
        </w:rPr>
      </w:pPr>
      <w:hyperlink w:anchor="page6">
        <w:r>
          <w:rPr>
            <w:rFonts w:ascii="Courier New" w:cs="Courier New" w:eastAsia="Courier New" w:hAnsi="Courier New"/>
            <w:sz w:val="9"/>
            <w:szCs w:val="9"/>
            <w:u w:val="single" w:color="auto"/>
            <w:color w:val="0000EE"/>
          </w:rPr>
          <w:t>LONG TERM INCENTIVE COMPENSATION</w:t>
        </w:r>
      </w:hyperlink>
    </w:p>
    <w:p>
      <w:pPr>
        <w:spacing w:after="0" w:line="249" w:lineRule="exact"/>
        <w:rPr>
          <w:sz w:val="20"/>
          <w:szCs w:val="20"/>
          <w:color w:val="auto"/>
        </w:rPr>
      </w:pPr>
    </w:p>
    <w:p>
      <w:pPr>
        <w:spacing w:after="0"/>
        <w:rPr>
          <w:rFonts w:ascii="Courier New" w:cs="Courier New" w:eastAsia="Courier New" w:hAnsi="Courier New"/>
          <w:sz w:val="9"/>
          <w:szCs w:val="9"/>
          <w:u w:val="single" w:color="auto"/>
          <w:color w:val="0000EE"/>
        </w:rPr>
      </w:pPr>
      <w:hyperlink w:anchor="page6">
        <w:r>
          <w:rPr>
            <w:rFonts w:ascii="Courier New" w:cs="Courier New" w:eastAsia="Courier New" w:hAnsi="Courier New"/>
            <w:sz w:val="9"/>
            <w:szCs w:val="9"/>
            <w:u w:val="single" w:color="auto"/>
            <w:color w:val="0000EE"/>
          </w:rPr>
          <w:t>COMPENSATION COMMITTEE REPORT ON EXECUTIVE COMPENSATION</w:t>
        </w:r>
      </w:hyperlink>
    </w:p>
    <w:p>
      <w:pPr>
        <w:spacing w:after="0" w:line="249" w:lineRule="exact"/>
        <w:rPr>
          <w:sz w:val="20"/>
          <w:szCs w:val="20"/>
          <w:color w:val="auto"/>
        </w:rPr>
      </w:pPr>
    </w:p>
    <w:p>
      <w:pPr>
        <w:spacing w:after="0"/>
        <w:rPr>
          <w:rFonts w:ascii="Courier New" w:cs="Courier New" w:eastAsia="Courier New" w:hAnsi="Courier New"/>
          <w:sz w:val="9"/>
          <w:szCs w:val="9"/>
          <w:u w:val="single" w:color="auto"/>
          <w:color w:val="0000EE"/>
        </w:rPr>
      </w:pPr>
      <w:hyperlink w:anchor="page7">
        <w:r>
          <w:rPr>
            <w:rFonts w:ascii="Courier New" w:cs="Courier New" w:eastAsia="Courier New" w:hAnsi="Courier New"/>
            <w:sz w:val="9"/>
            <w:szCs w:val="9"/>
            <w:u w:val="single" w:color="auto"/>
            <w:color w:val="0000EE"/>
          </w:rPr>
          <w:t>COMPENSATION COMMITTEE INTERLOCKS AND INSIDER PARTICIPATION</w:t>
        </w:r>
      </w:hyperlink>
    </w:p>
    <w:p>
      <w:pPr>
        <w:spacing w:after="0" w:line="132" w:lineRule="exact"/>
        <w:rPr>
          <w:sz w:val="20"/>
          <w:szCs w:val="20"/>
          <w:color w:val="auto"/>
        </w:rPr>
      </w:pPr>
    </w:p>
    <w:p>
      <w:pPr>
        <w:spacing w:after="0"/>
        <w:rPr>
          <w:rFonts w:ascii="Courier New" w:cs="Courier New" w:eastAsia="Courier New" w:hAnsi="Courier New"/>
          <w:sz w:val="9"/>
          <w:szCs w:val="9"/>
          <w:u w:val="single" w:color="auto"/>
          <w:color w:val="0000EE"/>
        </w:rPr>
      </w:pPr>
      <w:hyperlink w:anchor="page7">
        <w:r>
          <w:rPr>
            <w:rFonts w:ascii="Courier New" w:cs="Courier New" w:eastAsia="Courier New" w:hAnsi="Courier New"/>
            <w:sz w:val="9"/>
            <w:szCs w:val="9"/>
            <w:u w:val="single" w:color="auto"/>
            <w:color w:val="0000EE"/>
          </w:rPr>
          <w:t>PROPOSAL TWO AMENDMENT OF THE TORO COMPANY ANNUAL MANAGEMENT INCENTIVE PLAN II</w:t>
        </w:r>
      </w:hyperlink>
    </w:p>
    <w:p>
      <w:pPr>
        <w:spacing w:after="0" w:line="132" w:lineRule="exact"/>
        <w:rPr>
          <w:sz w:val="20"/>
          <w:szCs w:val="20"/>
          <w:color w:val="auto"/>
        </w:rPr>
      </w:pPr>
    </w:p>
    <w:p>
      <w:pPr>
        <w:spacing w:after="0"/>
        <w:rPr>
          <w:rFonts w:ascii="Courier New" w:cs="Courier New" w:eastAsia="Courier New" w:hAnsi="Courier New"/>
          <w:sz w:val="9"/>
          <w:szCs w:val="9"/>
          <w:u w:val="single" w:color="auto"/>
          <w:color w:val="0000EE"/>
        </w:rPr>
      </w:pPr>
      <w:hyperlink w:anchor="page8">
        <w:r>
          <w:rPr>
            <w:rFonts w:ascii="Courier New" w:cs="Courier New" w:eastAsia="Courier New" w:hAnsi="Courier New"/>
            <w:sz w:val="9"/>
            <w:szCs w:val="9"/>
            <w:u w:val="single" w:color="auto"/>
            <w:color w:val="0000EE"/>
          </w:rPr>
          <w:t>PROPOSAL THREE AMENDMENT OF THE TORO COMPANY PERFORMANCE SHARE PLAN</w:t>
        </w:r>
      </w:hyperlink>
    </w:p>
    <w:p>
      <w:pPr>
        <w:spacing w:after="0" w:line="132" w:lineRule="exact"/>
        <w:rPr>
          <w:sz w:val="20"/>
          <w:szCs w:val="20"/>
          <w:color w:val="auto"/>
        </w:rPr>
      </w:pPr>
    </w:p>
    <w:p>
      <w:pPr>
        <w:spacing w:after="0"/>
        <w:rPr>
          <w:rFonts w:ascii="Courier New" w:cs="Courier New" w:eastAsia="Courier New" w:hAnsi="Courier New"/>
          <w:sz w:val="9"/>
          <w:szCs w:val="9"/>
          <w:u w:val="single" w:color="auto"/>
          <w:color w:val="0000EE"/>
        </w:rPr>
      </w:pPr>
      <w:hyperlink w:anchor="page9">
        <w:r>
          <w:rPr>
            <w:rFonts w:ascii="Courier New" w:cs="Courier New" w:eastAsia="Courier New" w:hAnsi="Courier New"/>
            <w:sz w:val="9"/>
            <w:szCs w:val="9"/>
            <w:u w:val="single" w:color="auto"/>
            <w:color w:val="0000EE"/>
          </w:rPr>
          <w:t>PROPOSAL FOUR AMENDMENT OF THE TORO COMPANY DIRECTORS STOCK PLAN</w:t>
        </w:r>
      </w:hyperlink>
    </w:p>
    <w:p>
      <w:pPr>
        <w:spacing w:after="0" w:line="249" w:lineRule="exact"/>
        <w:rPr>
          <w:sz w:val="20"/>
          <w:szCs w:val="20"/>
          <w:color w:val="auto"/>
        </w:rPr>
      </w:pPr>
    </w:p>
    <w:p>
      <w:pPr>
        <w:spacing w:after="0"/>
        <w:rPr>
          <w:rFonts w:ascii="Courier New" w:cs="Courier New" w:eastAsia="Courier New" w:hAnsi="Courier New"/>
          <w:sz w:val="9"/>
          <w:szCs w:val="9"/>
          <w:u w:val="single" w:color="auto"/>
          <w:color w:val="0000EE"/>
        </w:rPr>
      </w:pPr>
      <w:hyperlink w:anchor="page9">
        <w:r>
          <w:rPr>
            <w:rFonts w:ascii="Courier New" w:cs="Courier New" w:eastAsia="Courier New" w:hAnsi="Courier New"/>
            <w:sz w:val="9"/>
            <w:szCs w:val="9"/>
            <w:u w:val="single" w:color="auto"/>
            <w:color w:val="0000EE"/>
          </w:rPr>
          <w:t>PROPOSAL FIVE 2000 STOCK OPTION PLAN</w:t>
        </w:r>
      </w:hyperlink>
    </w:p>
    <w:p>
      <w:pPr>
        <w:spacing w:after="0" w:line="132" w:lineRule="exact"/>
        <w:rPr>
          <w:sz w:val="20"/>
          <w:szCs w:val="20"/>
          <w:color w:val="auto"/>
        </w:rPr>
      </w:pPr>
    </w:p>
    <w:p>
      <w:pPr>
        <w:spacing w:after="0"/>
        <w:rPr>
          <w:rFonts w:ascii="Courier New" w:cs="Courier New" w:eastAsia="Courier New" w:hAnsi="Courier New"/>
          <w:sz w:val="9"/>
          <w:szCs w:val="9"/>
          <w:u w:val="single" w:color="auto"/>
          <w:color w:val="0000EE"/>
        </w:rPr>
      </w:pPr>
      <w:hyperlink w:anchor="page10">
        <w:r>
          <w:rPr>
            <w:rFonts w:ascii="Courier New" w:cs="Courier New" w:eastAsia="Courier New" w:hAnsi="Courier New"/>
            <w:sz w:val="9"/>
            <w:szCs w:val="9"/>
            <w:u w:val="single" w:color="auto"/>
            <w:color w:val="0000EE"/>
          </w:rPr>
          <w:t>PROPOSAL SIX SELECTION OF INDEPENDENT AUDITORS</w:t>
        </w:r>
      </w:hyperlink>
    </w:p>
    <w:p>
      <w:pPr>
        <w:spacing w:after="0" w:line="132" w:lineRule="exact"/>
        <w:rPr>
          <w:sz w:val="20"/>
          <w:szCs w:val="20"/>
          <w:color w:val="auto"/>
        </w:rPr>
      </w:pPr>
    </w:p>
    <w:p>
      <w:pPr>
        <w:spacing w:after="0"/>
        <w:rPr>
          <w:rFonts w:ascii="Courier New" w:cs="Courier New" w:eastAsia="Courier New" w:hAnsi="Courier New"/>
          <w:sz w:val="9"/>
          <w:szCs w:val="9"/>
          <w:u w:val="single" w:color="auto"/>
          <w:color w:val="0000EE"/>
        </w:rPr>
      </w:pPr>
      <w:hyperlink w:anchor="page10">
        <w:r>
          <w:rPr>
            <w:rFonts w:ascii="Courier New" w:cs="Courier New" w:eastAsia="Courier New" w:hAnsi="Courier New"/>
            <w:sz w:val="9"/>
            <w:szCs w:val="9"/>
            <w:u w:val="single" w:color="auto"/>
            <w:color w:val="0000EE"/>
          </w:rPr>
          <w:t>OTHER INFORMATION</w:t>
        </w:r>
      </w:hyperlink>
    </w:p>
    <w:p>
      <w:pPr>
        <w:spacing w:after="0" w:line="249" w:lineRule="exact"/>
        <w:rPr>
          <w:sz w:val="20"/>
          <w:szCs w:val="20"/>
          <w:color w:val="auto"/>
        </w:rPr>
      </w:pPr>
    </w:p>
    <w:p>
      <w:pPr>
        <w:spacing w:after="0"/>
        <w:rPr>
          <w:rFonts w:ascii="Courier New" w:cs="Courier New" w:eastAsia="Courier New" w:hAnsi="Courier New"/>
          <w:sz w:val="9"/>
          <w:szCs w:val="9"/>
          <w:u w:val="single" w:color="auto"/>
          <w:color w:val="0000EE"/>
        </w:rPr>
      </w:pPr>
      <w:hyperlink w:anchor="page10">
        <w:r>
          <w:rPr>
            <w:rFonts w:ascii="Courier New" w:cs="Courier New" w:eastAsia="Courier New" w:hAnsi="Courier New"/>
            <w:sz w:val="9"/>
            <w:szCs w:val="9"/>
            <w:u w:val="single" w:color="auto"/>
            <w:color w:val="0000EE"/>
          </w:rPr>
          <w:t>APPENDIX</w:t>
        </w:r>
      </w:hyperlink>
    </w:p>
    <w:p>
      <w:pPr>
        <w:spacing w:after="0" w:line="249" w:lineRule="exact"/>
        <w:rPr>
          <w:sz w:val="20"/>
          <w:szCs w:val="20"/>
          <w:color w:val="auto"/>
        </w:rPr>
      </w:pPr>
    </w:p>
    <w:p>
      <w:pPr>
        <w:spacing w:after="0"/>
        <w:rPr>
          <w:rFonts w:ascii="Courier New" w:cs="Courier New" w:eastAsia="Courier New" w:hAnsi="Courier New"/>
          <w:sz w:val="9"/>
          <w:szCs w:val="9"/>
          <w:u w:val="single" w:color="auto"/>
          <w:color w:val="0000EE"/>
        </w:rPr>
      </w:pPr>
      <w:hyperlink w:anchor="page10">
        <w:r>
          <w:rPr>
            <w:rFonts w:ascii="Courier New" w:cs="Courier New" w:eastAsia="Courier New" w:hAnsi="Courier New"/>
            <w:sz w:val="9"/>
            <w:szCs w:val="9"/>
            <w:u w:val="single" w:color="auto"/>
            <w:color w:val="0000EE"/>
          </w:rPr>
          <w:t>The Toro Company Annual Management Incentive Plan II</w:t>
        </w:r>
      </w:hyperlink>
    </w:p>
    <w:p>
      <w:pPr>
        <w:spacing w:after="0" w:line="249" w:lineRule="exact"/>
        <w:rPr>
          <w:sz w:val="20"/>
          <w:szCs w:val="20"/>
          <w:color w:val="auto"/>
        </w:rPr>
      </w:pPr>
    </w:p>
    <w:p>
      <w:pPr>
        <w:spacing w:after="0"/>
        <w:rPr>
          <w:rFonts w:ascii="Courier New" w:cs="Courier New" w:eastAsia="Courier New" w:hAnsi="Courier New"/>
          <w:sz w:val="9"/>
          <w:szCs w:val="9"/>
          <w:u w:val="single" w:color="auto"/>
          <w:color w:val="0000EE"/>
        </w:rPr>
      </w:pPr>
      <w:hyperlink w:anchor="page13">
        <w:r>
          <w:rPr>
            <w:rFonts w:ascii="Courier New" w:cs="Courier New" w:eastAsia="Courier New" w:hAnsi="Courier New"/>
            <w:sz w:val="9"/>
            <w:szCs w:val="9"/>
            <w:u w:val="single" w:color="auto"/>
            <w:color w:val="0000EE"/>
          </w:rPr>
          <w:t>The Toro Company Performance Share Plan</w:t>
        </w:r>
      </w:hyperlink>
    </w:p>
    <w:p>
      <w:pPr>
        <w:spacing w:after="0" w:line="249" w:lineRule="exact"/>
        <w:rPr>
          <w:sz w:val="20"/>
          <w:szCs w:val="20"/>
          <w:color w:val="auto"/>
        </w:rPr>
      </w:pPr>
    </w:p>
    <w:p>
      <w:pPr>
        <w:spacing w:after="0"/>
        <w:rPr>
          <w:rFonts w:ascii="Courier New" w:cs="Courier New" w:eastAsia="Courier New" w:hAnsi="Courier New"/>
          <w:sz w:val="9"/>
          <w:szCs w:val="9"/>
          <w:u w:val="single" w:color="auto"/>
          <w:color w:val="0000EE"/>
        </w:rPr>
      </w:pPr>
      <w:hyperlink w:anchor="page15">
        <w:r>
          <w:rPr>
            <w:rFonts w:ascii="Courier New" w:cs="Courier New" w:eastAsia="Courier New" w:hAnsi="Courier New"/>
            <w:sz w:val="9"/>
            <w:szCs w:val="9"/>
            <w:u w:val="single" w:color="auto"/>
            <w:color w:val="0000EE"/>
          </w:rPr>
          <w:t>THE TORO COMPANY DIRECTORS STOCK PLAN</w:t>
        </w:r>
      </w:hyperlink>
    </w:p>
    <w:p>
      <w:pPr>
        <w:spacing w:after="0" w:line="249" w:lineRule="exact"/>
        <w:rPr>
          <w:sz w:val="20"/>
          <w:szCs w:val="20"/>
          <w:color w:val="auto"/>
        </w:rPr>
      </w:pPr>
    </w:p>
    <w:p>
      <w:pPr>
        <w:spacing w:after="0"/>
        <w:rPr>
          <w:rFonts w:ascii="Courier New" w:cs="Courier New" w:eastAsia="Courier New" w:hAnsi="Courier New"/>
          <w:sz w:val="9"/>
          <w:szCs w:val="9"/>
          <w:u w:val="single" w:color="auto"/>
          <w:color w:val="0000EE"/>
        </w:rPr>
      </w:pPr>
      <w:hyperlink w:anchor="page17">
        <w:r>
          <w:rPr>
            <w:rFonts w:ascii="Courier New" w:cs="Courier New" w:eastAsia="Courier New" w:hAnsi="Courier New"/>
            <w:sz w:val="9"/>
            <w:szCs w:val="9"/>
            <w:u w:val="single" w:color="auto"/>
            <w:color w:val="0000EE"/>
          </w:rPr>
          <w:t>THE TORO COMPANY 2000 STOCK OPTION PLAN</w:t>
        </w:r>
      </w:hyperlink>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91"/>
        </w:trPr>
        <w:tc>
          <w:tcPr>
            <w:tcW w:w="5080" w:type="dxa"/>
            <w:vAlign w:val="bottom"/>
          </w:tcPr>
          <w:p>
            <w:pPr>
              <w:spacing w:after="0"/>
              <w:rPr>
                <w:sz w:val="20"/>
                <w:szCs w:val="20"/>
                <w:color w:val="auto"/>
              </w:rPr>
            </w:pPr>
            <w:r>
              <w:rPr>
                <w:rFonts w:ascii="Courier New" w:cs="Courier New" w:eastAsia="Courier New" w:hAnsi="Courier New"/>
                <w:sz w:val="8"/>
                <w:szCs w:val="8"/>
                <w:color w:val="auto"/>
              </w:rPr>
              <w:t>Address Change? Mark Box / /</w:t>
            </w:r>
          </w:p>
        </w:tc>
        <w:tc>
          <w:tcPr>
            <w:tcW w:w="5880" w:type="dxa"/>
            <w:vAlign w:val="bottom"/>
            <w:gridSpan w:val="3"/>
          </w:tcPr>
          <w:p>
            <w:pPr>
              <w:spacing w:after="0"/>
              <w:rPr>
                <w:sz w:val="20"/>
                <w:szCs w:val="20"/>
                <w:color w:val="auto"/>
              </w:rPr>
            </w:pPr>
            <w:r>
              <w:rPr>
                <w:rFonts w:ascii="Courier New" w:cs="Courier New" w:eastAsia="Courier New" w:hAnsi="Courier New"/>
                <w:sz w:val="8"/>
                <w:szCs w:val="8"/>
                <w:color w:val="auto"/>
              </w:rPr>
              <w:t>Date</w:t>
            </w:r>
          </w:p>
        </w:tc>
      </w:tr>
      <w:tr>
        <w:trPr>
          <w:trHeight w:val="71"/>
        </w:trPr>
        <w:tc>
          <w:tcPr>
            <w:tcW w:w="5080" w:type="dxa"/>
            <w:vAlign w:val="bottom"/>
          </w:tcPr>
          <w:p>
            <w:pPr>
              <w:spacing w:after="0" w:line="71" w:lineRule="exact"/>
              <w:rPr>
                <w:sz w:val="20"/>
                <w:szCs w:val="20"/>
                <w:color w:val="auto"/>
              </w:rPr>
            </w:pPr>
            <w:r>
              <w:rPr>
                <w:rFonts w:ascii="Courier New" w:cs="Courier New" w:eastAsia="Courier New" w:hAnsi="Courier New"/>
                <w:sz w:val="8"/>
                <w:szCs w:val="8"/>
                <w:color w:val="auto"/>
              </w:rPr>
              <w:t>Indicate Changes below</w:t>
            </w:r>
          </w:p>
        </w:tc>
        <w:tc>
          <w:tcPr>
            <w:tcW w:w="440" w:type="dxa"/>
            <w:vAlign w:val="bottom"/>
          </w:tcPr>
          <w:p>
            <w:pPr>
              <w:spacing w:after="0"/>
              <w:rPr>
                <w:sz w:val="6"/>
                <w:szCs w:val="6"/>
                <w:color w:val="auto"/>
              </w:rPr>
            </w:pPr>
          </w:p>
        </w:tc>
        <w:tc>
          <w:tcPr>
            <w:tcW w:w="4880" w:type="dxa"/>
            <w:vAlign w:val="bottom"/>
            <w:tcBorders>
              <w:bottom w:val="single" w:sz="8" w:color="808080"/>
            </w:tcBorders>
          </w:tcPr>
          <w:p>
            <w:pPr>
              <w:spacing w:after="0"/>
              <w:rPr>
                <w:sz w:val="6"/>
                <w:szCs w:val="6"/>
                <w:color w:val="auto"/>
              </w:rPr>
            </w:pPr>
          </w:p>
        </w:tc>
        <w:tc>
          <w:tcPr>
            <w:tcW w:w="560" w:type="dxa"/>
            <w:vAlign w:val="bottom"/>
          </w:tcPr>
          <w:p>
            <w:pPr>
              <w:spacing w:after="0"/>
              <w:rPr>
                <w:sz w:val="6"/>
                <w:szCs w:val="6"/>
                <w:color w:val="auto"/>
              </w:rPr>
            </w:pPr>
          </w:p>
        </w:tc>
      </w:tr>
      <w:tr>
        <w:trPr>
          <w:trHeight w:val="205"/>
        </w:trPr>
        <w:tc>
          <w:tcPr>
            <w:tcW w:w="5080" w:type="dxa"/>
            <w:vAlign w:val="bottom"/>
          </w:tcPr>
          <w:p>
            <w:pPr>
              <w:spacing w:after="0"/>
              <w:rPr>
                <w:sz w:val="17"/>
                <w:szCs w:val="17"/>
                <w:color w:val="auto"/>
              </w:rPr>
            </w:pPr>
          </w:p>
        </w:tc>
        <w:tc>
          <w:tcPr>
            <w:tcW w:w="440" w:type="dxa"/>
            <w:vAlign w:val="bottom"/>
            <w:tcBorders>
              <w:bottom w:val="single" w:sz="8" w:color="808080"/>
            </w:tcBorders>
          </w:tcPr>
          <w:p>
            <w:pPr>
              <w:spacing w:after="0"/>
              <w:rPr>
                <w:sz w:val="17"/>
                <w:szCs w:val="17"/>
                <w:color w:val="auto"/>
              </w:rPr>
            </w:pPr>
          </w:p>
        </w:tc>
        <w:tc>
          <w:tcPr>
            <w:tcW w:w="4880" w:type="dxa"/>
            <w:vAlign w:val="bottom"/>
            <w:tcBorders>
              <w:bottom w:val="single" w:sz="8" w:color="808080"/>
            </w:tcBorders>
          </w:tcPr>
          <w:p>
            <w:pPr>
              <w:spacing w:after="0"/>
              <w:rPr>
                <w:sz w:val="17"/>
                <w:szCs w:val="17"/>
                <w:color w:val="auto"/>
              </w:rPr>
            </w:pPr>
          </w:p>
        </w:tc>
        <w:tc>
          <w:tcPr>
            <w:tcW w:w="560" w:type="dxa"/>
            <w:vAlign w:val="bottom"/>
            <w:tcBorders>
              <w:bottom w:val="single" w:sz="8" w:color="808080"/>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6597650</wp:posOffset>
            </wp:positionH>
            <wp:positionV relativeFrom="paragraph">
              <wp:posOffset>-154305</wp:posOffset>
            </wp:positionV>
            <wp:extent cx="12700" cy="57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3500120</wp:posOffset>
            </wp:positionH>
            <wp:positionV relativeFrom="paragraph">
              <wp:posOffset>-154305</wp:posOffset>
            </wp:positionV>
            <wp:extent cx="12700" cy="57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6946265</wp:posOffset>
            </wp:positionH>
            <wp:positionV relativeFrom="paragraph">
              <wp:posOffset>-11430</wp:posOffset>
            </wp:positionV>
            <wp:extent cx="12700" cy="57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3225800</wp:posOffset>
            </wp:positionH>
            <wp:positionV relativeFrom="paragraph">
              <wp:posOffset>-11430</wp:posOffset>
            </wp:positionV>
            <wp:extent cx="12700" cy="57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0960"/>
          </w:cols>
          <w:pgMar w:left="300" w:top="138" w:right="639" w:bottom="0" w:gutter="0" w:footer="0" w:header="0"/>
        </w:sectPr>
      </w:pPr>
    </w:p>
    <w:bookmarkStart w:id="20" w:name="page21"/>
    <w:bookmarkEnd w:id="20"/>
    <w:p>
      <w:pPr>
        <w:ind w:left="3940"/>
        <w:spacing w:after="0"/>
        <w:rPr>
          <w:sz w:val="20"/>
          <w:szCs w:val="20"/>
          <w:color w:val="auto"/>
        </w:rPr>
      </w:pPr>
      <w:r>
        <w:rPr>
          <w:rFonts w:ascii="Courier New" w:cs="Courier New" w:eastAsia="Courier New" w:hAnsi="Courier New"/>
          <w:sz w:val="8"/>
          <w:szCs w:val="8"/>
          <w:color w:val="auto"/>
        </w:rPr>
        <w:drawing>
          <wp:anchor simplePos="0" relativeHeight="251657728" behindDoc="1" locked="0" layoutInCell="0" allowOverlap="1">
            <wp:simplePos x="0" y="0"/>
            <wp:positionH relativeFrom="page">
              <wp:posOffset>3416300</wp:posOffset>
            </wp:positionH>
            <wp:positionV relativeFrom="page">
              <wp:posOffset>88900</wp:posOffset>
            </wp:positionV>
            <wp:extent cx="3733165" cy="152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733165" cy="15240"/>
                    </a:xfrm>
                    <a:prstGeom prst="rect">
                      <a:avLst/>
                    </a:prstGeom>
                    <a:noFill/>
                  </pic:spPr>
                </pic:pic>
              </a:graphicData>
            </a:graphic>
          </wp:anchor>
        </w:drawing>
        <w:t>Signature(s) in Box</w:t>
      </w:r>
    </w:p>
    <w:p>
      <w:pPr>
        <w:spacing w:after="0" w:line="89" w:lineRule="exact"/>
        <w:rPr>
          <w:sz w:val="20"/>
          <w:szCs w:val="20"/>
          <w:color w:val="auto"/>
        </w:rPr>
      </w:pPr>
    </w:p>
    <w:p>
      <w:pPr>
        <w:ind w:left="3940"/>
        <w:spacing w:after="0" w:line="239" w:lineRule="auto"/>
        <w:rPr>
          <w:sz w:val="20"/>
          <w:szCs w:val="20"/>
          <w:color w:val="auto"/>
        </w:rPr>
      </w:pPr>
      <w:r>
        <w:rPr>
          <w:rFonts w:ascii="Courier New" w:cs="Courier New" w:eastAsia="Courier New" w:hAnsi="Courier New"/>
          <w:sz w:val="8"/>
          <w:szCs w:val="8"/>
          <w:i w:val="1"/>
          <w:iCs w:val="1"/>
          <w:color w:val="auto"/>
        </w:rPr>
        <w:t>Please sign exactly as your name(s) appear on Proxy. If held in joint tenancy, all persons must sign. Trustees, administrators, etc., should include title and authority. Corporations should provide full name of corporation and title of authorized officer signing the proxy.</w:t>
      </w:r>
    </w:p>
    <w:sectPr>
      <w:pgSz w:w="11900" w:h="16838" w:orient="portrait"/>
      <w:cols w:equalWidth="0" w:num="1">
        <w:col w:w="9780"/>
      </w:cols>
      <w:pgMar w:left="1440" w:top="315"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lvl w:ilvl="1">
      <w:lvlJc w:val="left"/>
      <w:lvlText w:val="(%2)"/>
      <w:numFmt w:val="decimal"/>
      <w:start w:val="1"/>
    </w:lvl>
  </w:abstractNum>
  <w:abstractNum w:abstractNumId="2">
    <w:nsid w:val="625558EC"/>
    <w:multiLevelType w:val="hybridMultilevel"/>
    <w:lvl w:ilvl="0">
      <w:lvlJc w:val="left"/>
      <w:lvlText w:val="(%1)"/>
      <w:numFmt w:val="decimal"/>
      <w:start w:val="2"/>
    </w:lvl>
  </w:abstractNum>
  <w:abstractNum w:abstractNumId="3">
    <w:nsid w:val="238E1F29"/>
    <w:multiLevelType w:val="hybridMultilevel"/>
    <w:lvl w:ilvl="0">
      <w:lvlJc w:val="left"/>
      <w:lvlText w:val="(%1)"/>
      <w:numFmt w:val="upperLetter"/>
      <w:start w:val="1"/>
    </w:lvl>
  </w:abstractNum>
  <w:abstractNum w:abstractNumId="4">
    <w:nsid w:val="46E87CCD"/>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2020-10-06T23:38:37Z</dcterms:created>
  <dcterms:modified xsi:type="dcterms:W3CDTF">2020-10-06T23:38:37Z</dcterms:modified>
</cp:coreProperties>
</file>