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320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32015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MOELLER PETER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60" w:type="dxa"/>
            <w:vAlign w:val="bottom"/>
            <w:tcBorders>
              <w:top w:val="single" w:sz="8" w:color="0000EE"/>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12/03/2019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340"/>
              <w:spacing w:after="0"/>
              <w:rPr>
                <w:sz w:val="20"/>
                <w:szCs w:val="20"/>
                <w:color w:val="auto"/>
              </w:rPr>
            </w:pPr>
            <w:r>
              <w:rPr>
                <w:rFonts w:ascii="Arial" w:cs="Arial" w:eastAsia="Arial" w:hAnsi="Arial"/>
                <w:sz w:val="14"/>
                <w:szCs w:val="14"/>
                <w:color w:val="auto"/>
              </w:rPr>
              <w:t>(First)</w:t>
            </w:r>
          </w:p>
        </w:tc>
        <w:tc>
          <w:tcPr>
            <w:tcW w:w="130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8111 LYNDALE AVENUE SOUTH</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0000FF"/>
              </w:rPr>
              <w:t>BLOOMINGTON MN</w:t>
            </w:r>
          </w:p>
        </w:tc>
        <w:tc>
          <w:tcPr>
            <w:tcW w:w="1300" w:type="dxa"/>
            <w:vAlign w:val="bottom"/>
          </w:tcPr>
          <w:p>
            <w:pPr>
              <w:jc w:val="right"/>
              <w:ind w:right="406"/>
              <w:spacing w:after="0"/>
              <w:rPr>
                <w:sz w:val="20"/>
                <w:szCs w:val="20"/>
                <w:color w:val="auto"/>
              </w:rPr>
            </w:pPr>
            <w:r>
              <w:rPr>
                <w:rFonts w:ascii="Arial" w:cs="Arial" w:eastAsia="Arial" w:hAnsi="Arial"/>
                <w:sz w:val="18"/>
                <w:szCs w:val="18"/>
                <w:color w:val="0000FF"/>
              </w:rPr>
              <w:t>55420</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60" w:type="dxa"/>
            <w:vAlign w:val="bottom"/>
          </w:tcPr>
          <w:p>
            <w:pPr>
              <w:ind w:left="340"/>
              <w:spacing w:after="0"/>
              <w:rPr>
                <w:sz w:val="20"/>
                <w:szCs w:val="20"/>
                <w:color w:val="auto"/>
              </w:rPr>
            </w:pPr>
            <w:r>
              <w:rPr>
                <w:rFonts w:ascii="Arial" w:cs="Arial" w:eastAsia="Arial" w:hAnsi="Arial"/>
                <w:sz w:val="14"/>
                <w:szCs w:val="14"/>
                <w:color w:val="auto"/>
              </w:rPr>
              <w:t>(State)</w:t>
            </w:r>
          </w:p>
        </w:tc>
        <w:tc>
          <w:tcPr>
            <w:tcW w:w="130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440"/>
              <w:spacing w:after="0"/>
              <w:rPr>
                <w:sz w:val="20"/>
                <w:szCs w:val="20"/>
                <w:color w:val="auto"/>
              </w:rPr>
            </w:pPr>
            <w:r>
              <w:rPr>
                <w:rFonts w:ascii="Arial" w:cs="Arial" w:eastAsia="Arial" w:hAnsi="Arial"/>
                <w:sz w:val="18"/>
                <w:szCs w:val="18"/>
                <w:color w:val="0000FF"/>
              </w:rPr>
              <w:t>VP, Sitework Systems</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Arial" w:cs="Arial" w:eastAsia="Arial" w:hAnsi="Arial"/>
                <w:sz w:val="14"/>
                <w:szCs w:val="14"/>
                <w:b w:val="1"/>
                <w:bCs w:val="1"/>
                <w:color w:val="auto"/>
              </w:rPr>
              <w:t>2. Amount of Securities</w:t>
            </w:r>
          </w:p>
        </w:tc>
        <w:tc>
          <w:tcPr>
            <w:tcW w:w="1280" w:type="dxa"/>
            <w:vAlign w:val="bottom"/>
            <w:gridSpan w:val="3"/>
          </w:tcPr>
          <w:p>
            <w:pPr>
              <w:ind w:left="200"/>
              <w:spacing w:after="0"/>
              <w:rPr>
                <w:sz w:val="20"/>
                <w:szCs w:val="20"/>
                <w:color w:val="auto"/>
              </w:rPr>
            </w:pPr>
            <w:r>
              <w:rPr>
                <w:rFonts w:ascii="Arial" w:cs="Arial" w:eastAsia="Arial" w:hAnsi="Arial"/>
                <w:sz w:val="14"/>
                <w:szCs w:val="14"/>
                <w:b w:val="1"/>
                <w:bCs w:val="1"/>
                <w:color w:val="auto"/>
              </w:rPr>
              <w:t>3. Ownership</w:t>
            </w:r>
          </w:p>
        </w:tc>
        <w:tc>
          <w:tcPr>
            <w:tcW w:w="3060" w:type="dxa"/>
            <w:vAlign w:val="bottom"/>
            <w:gridSpan w:val="4"/>
          </w:tcPr>
          <w:p>
            <w:pPr>
              <w:ind w:left="16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8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9"/>
              </w:rPr>
              <w:t>Form: Direct (D)</w:t>
            </w:r>
          </w:p>
        </w:tc>
        <w:tc>
          <w:tcPr>
            <w:tcW w:w="15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(Instr. 5)</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w w:val="93"/>
              </w:rPr>
              <w:t>or Indirect (I)</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(Instr. 5)</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980" w:type="dxa"/>
            <w:vAlign w:val="bottom"/>
          </w:tcPr>
          <w:p>
            <w:pPr>
              <w:ind w:left="660"/>
              <w:spacing w:after="0"/>
              <w:rPr>
                <w:sz w:val="20"/>
                <w:szCs w:val="20"/>
                <w:color w:val="auto"/>
              </w:rPr>
            </w:pPr>
            <w:r>
              <w:rPr>
                <w:rFonts w:ascii="Arial" w:cs="Arial" w:eastAsia="Arial" w:hAnsi="Arial"/>
                <w:sz w:val="18"/>
                <w:szCs w:val="18"/>
                <w:color w:val="0000FF"/>
              </w:rPr>
              <w:t>1,635.864</w:t>
            </w:r>
          </w:p>
        </w:tc>
        <w:tc>
          <w:tcPr>
            <w:tcW w:w="1020" w:type="dxa"/>
            <w:vAlign w:val="bottom"/>
            <w:gridSpan w:val="2"/>
          </w:tcPr>
          <w:p>
            <w:pPr>
              <w:ind w:left="680"/>
              <w:spacing w:after="0"/>
              <w:rPr>
                <w:sz w:val="20"/>
                <w:szCs w:val="20"/>
                <w:color w:val="auto"/>
              </w:rPr>
            </w:pPr>
            <w:r>
              <w:rPr>
                <w:rFonts w:ascii="Arial" w:cs="Arial" w:eastAsia="Arial" w:hAnsi="Arial"/>
                <w:sz w:val="18"/>
                <w:szCs w:val="18"/>
                <w:color w:val="0000FF"/>
              </w:rPr>
              <w:t>D</w:t>
            </w: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04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80" w:type="dxa"/>
            <w:vAlign w:val="bottom"/>
            <w:vMerge w:val="restart"/>
          </w:tcPr>
          <w:p>
            <w:pPr>
              <w:ind w:left="660"/>
              <w:spacing w:after="0"/>
              <w:rPr>
                <w:sz w:val="20"/>
                <w:szCs w:val="20"/>
                <w:color w:val="auto"/>
              </w:rPr>
            </w:pPr>
            <w:r>
              <w:rPr>
                <w:rFonts w:ascii="Arial" w:cs="Arial" w:eastAsia="Arial" w:hAnsi="Arial"/>
                <w:sz w:val="18"/>
                <w:szCs w:val="18"/>
                <w:color w:val="0000FF"/>
              </w:rPr>
              <w:t>4,812.437</w:t>
            </w:r>
          </w:p>
        </w:tc>
        <w:tc>
          <w:tcPr>
            <w:tcW w:w="1020" w:type="dxa"/>
            <w:vAlign w:val="bottom"/>
            <w:gridSpan w:val="2"/>
            <w:vMerge w:val="restart"/>
          </w:tcPr>
          <w:p>
            <w:pPr>
              <w:ind w:left="720"/>
              <w:spacing w:after="0"/>
              <w:rPr>
                <w:sz w:val="20"/>
                <w:szCs w:val="20"/>
                <w:color w:val="auto"/>
              </w:rPr>
            </w:pPr>
            <w:r>
              <w:rPr>
                <w:rFonts w:ascii="Arial" w:cs="Arial" w:eastAsia="Arial" w:hAnsi="Arial"/>
                <w:sz w:val="18"/>
                <w:szCs w:val="18"/>
                <w:color w:val="0000FF"/>
              </w:rPr>
              <w:t>I</w:t>
            </w:r>
          </w:p>
        </w:tc>
        <w:tc>
          <w:tcPr>
            <w:tcW w:w="260" w:type="dxa"/>
            <w:vAlign w:val="bottom"/>
          </w:tcPr>
          <w:p>
            <w:pPr>
              <w:spacing w:after="0"/>
              <w:rPr>
                <w:sz w:val="22"/>
                <w:szCs w:val="22"/>
                <w:color w:val="auto"/>
              </w:rPr>
            </w:pPr>
          </w:p>
        </w:tc>
        <w:tc>
          <w:tcPr>
            <w:tcW w:w="3060" w:type="dxa"/>
            <w:vAlign w:val="bottom"/>
            <w:gridSpan w:val="4"/>
          </w:tcPr>
          <w:p>
            <w:pPr>
              <w:ind w:left="160"/>
              <w:spacing w:after="0"/>
              <w:rPr>
                <w:sz w:val="20"/>
                <w:szCs w:val="20"/>
                <w:color w:val="auto"/>
              </w:rPr>
            </w:pPr>
            <w:r>
              <w:rPr>
                <w:rFonts w:ascii="Arial" w:cs="Arial" w:eastAsia="Arial" w:hAnsi="Arial"/>
                <w:sz w:val="18"/>
                <w:szCs w:val="18"/>
                <w:color w:val="0000FF"/>
              </w:rPr>
              <w:t>The Toro Company Investment,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Savings and ESOP</w:t>
            </w: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620" w:type="dxa"/>
            <w:vAlign w:val="bottom"/>
            <w:tcBorders>
              <w:top w:val="single" w:sz="8" w:color="2C2C2C"/>
            </w:tcBorders>
            <w:gridSpan w:val="5"/>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15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46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29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2. Date Exercisable and</w:t>
            </w:r>
          </w:p>
        </w:tc>
        <w:tc>
          <w:tcPr>
            <w:tcW w:w="3000" w:type="dxa"/>
            <w:vAlign w:val="bottom"/>
            <w:gridSpan w:val="3"/>
          </w:tcPr>
          <w:p>
            <w:pPr>
              <w:ind w:left="140"/>
              <w:spacing w:after="0"/>
              <w:rPr>
                <w:sz w:val="20"/>
                <w:szCs w:val="20"/>
                <w:color w:val="auto"/>
              </w:rPr>
            </w:pPr>
            <w:r>
              <w:rPr>
                <w:rFonts w:ascii="Arial" w:cs="Arial" w:eastAsia="Arial" w:hAnsi="Arial"/>
                <w:sz w:val="14"/>
                <w:szCs w:val="14"/>
                <w:b w:val="1"/>
                <w:bCs w:val="1"/>
                <w:color w:val="auto"/>
              </w:rPr>
              <w:t>3. Title and Amount of Securities</w:t>
            </w: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560" w:type="dxa"/>
            <w:vAlign w:val="bottom"/>
          </w:tcPr>
          <w:p>
            <w:pPr>
              <w:spacing w:after="0"/>
              <w:rPr>
                <w:sz w:val="16"/>
                <w:szCs w:val="16"/>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300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9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 or</w:t>
            </w:r>
          </w:p>
        </w:tc>
        <w:tc>
          <w:tcPr>
            <w:tcW w:w="82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96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4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Title</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Number of</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980" w:type="dxa"/>
            <w:vAlign w:val="bottom"/>
            <w:vMerge w:val="continue"/>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460" w:type="dxa"/>
            <w:vAlign w:val="bottom"/>
            <w:gridSpan w:val="2"/>
          </w:tcPr>
          <w:p>
            <w:pPr>
              <w:jc w:val="center"/>
              <w:ind w:left="541"/>
              <w:spacing w:after="0"/>
              <w:rPr>
                <w:sz w:val="20"/>
                <w:szCs w:val="20"/>
                <w:color w:val="auto"/>
              </w:rPr>
            </w:pPr>
            <w:r>
              <w:rPr>
                <w:rFonts w:ascii="Arial" w:cs="Arial" w:eastAsia="Arial" w:hAnsi="Arial"/>
                <w:sz w:val="11"/>
                <w:szCs w:val="11"/>
                <w:color w:val="008000"/>
              </w:rPr>
              <w:t>(1)</w:t>
            </w:r>
          </w:p>
        </w:tc>
        <w:tc>
          <w:tcPr>
            <w:tcW w:w="740" w:type="dxa"/>
            <w:vAlign w:val="bottom"/>
          </w:tcPr>
          <w:p>
            <w:pPr>
              <w:jc w:val="center"/>
              <w:ind w:left="15"/>
              <w:spacing w:after="0"/>
              <w:rPr>
                <w:sz w:val="20"/>
                <w:szCs w:val="20"/>
                <w:color w:val="auto"/>
              </w:rPr>
            </w:pPr>
            <w:r>
              <w:rPr>
                <w:rFonts w:ascii="Arial" w:cs="Arial" w:eastAsia="Arial" w:hAnsi="Arial"/>
                <w:sz w:val="14"/>
                <w:szCs w:val="14"/>
                <w:color w:val="0000FF"/>
                <w:w w:val="88"/>
              </w:rPr>
              <w:t>12/05/2024</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40"/>
              <w:spacing w:after="0"/>
              <w:rPr>
                <w:sz w:val="20"/>
                <w:szCs w:val="20"/>
                <w:color w:val="auto"/>
              </w:rPr>
            </w:pPr>
            <w:r>
              <w:rPr>
                <w:rFonts w:ascii="Arial" w:cs="Arial" w:eastAsia="Arial" w:hAnsi="Arial"/>
                <w:sz w:val="18"/>
                <w:szCs w:val="18"/>
                <w:color w:val="0000FF"/>
                <w:w w:val="88"/>
              </w:rPr>
              <w:t>1,940</w:t>
            </w:r>
          </w:p>
        </w:tc>
        <w:tc>
          <w:tcPr>
            <w:tcW w:w="6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0000FF"/>
                <w:w w:val="90"/>
              </w:rPr>
              <w:t>31.375</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460" w:type="dxa"/>
            <w:vAlign w:val="bottom"/>
            <w:gridSpan w:val="2"/>
          </w:tcPr>
          <w:p>
            <w:pPr>
              <w:jc w:val="center"/>
              <w:ind w:left="541"/>
              <w:spacing w:after="0"/>
              <w:rPr>
                <w:sz w:val="20"/>
                <w:szCs w:val="20"/>
                <w:color w:val="auto"/>
              </w:rPr>
            </w:pPr>
            <w:r>
              <w:rPr>
                <w:rFonts w:ascii="Arial" w:cs="Arial" w:eastAsia="Arial" w:hAnsi="Arial"/>
                <w:sz w:val="11"/>
                <w:szCs w:val="11"/>
                <w:color w:val="008000"/>
              </w:rPr>
              <w:t>(2)</w:t>
            </w:r>
          </w:p>
        </w:tc>
        <w:tc>
          <w:tcPr>
            <w:tcW w:w="740" w:type="dxa"/>
            <w:vAlign w:val="bottom"/>
          </w:tcPr>
          <w:p>
            <w:pPr>
              <w:jc w:val="center"/>
              <w:ind w:left="15"/>
              <w:spacing w:after="0"/>
              <w:rPr>
                <w:sz w:val="20"/>
                <w:szCs w:val="20"/>
                <w:color w:val="auto"/>
              </w:rPr>
            </w:pPr>
            <w:r>
              <w:rPr>
                <w:rFonts w:ascii="Arial" w:cs="Arial" w:eastAsia="Arial" w:hAnsi="Arial"/>
                <w:sz w:val="14"/>
                <w:szCs w:val="14"/>
                <w:color w:val="0000FF"/>
                <w:w w:val="88"/>
              </w:rPr>
              <w:t>12/05/2024</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40"/>
              <w:spacing w:after="0"/>
              <w:rPr>
                <w:sz w:val="20"/>
                <w:szCs w:val="20"/>
                <w:color w:val="auto"/>
              </w:rPr>
            </w:pPr>
            <w:r>
              <w:rPr>
                <w:rFonts w:ascii="Arial" w:cs="Arial" w:eastAsia="Arial" w:hAnsi="Arial"/>
                <w:sz w:val="18"/>
                <w:szCs w:val="18"/>
                <w:color w:val="0000FF"/>
                <w:w w:val="88"/>
              </w:rPr>
              <w:t>1,940</w:t>
            </w:r>
          </w:p>
        </w:tc>
        <w:tc>
          <w:tcPr>
            <w:tcW w:w="6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0000FF"/>
                <w:w w:val="90"/>
              </w:rPr>
              <w:t>31.375</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460" w:type="dxa"/>
            <w:vAlign w:val="bottom"/>
            <w:gridSpan w:val="2"/>
          </w:tcPr>
          <w:p>
            <w:pPr>
              <w:jc w:val="center"/>
              <w:ind w:left="541"/>
              <w:spacing w:after="0"/>
              <w:rPr>
                <w:sz w:val="20"/>
                <w:szCs w:val="20"/>
                <w:color w:val="auto"/>
              </w:rPr>
            </w:pPr>
            <w:r>
              <w:rPr>
                <w:rFonts w:ascii="Arial" w:cs="Arial" w:eastAsia="Arial" w:hAnsi="Arial"/>
                <w:sz w:val="11"/>
                <w:szCs w:val="11"/>
                <w:color w:val="008000"/>
              </w:rPr>
              <w:t>(3)</w:t>
            </w:r>
          </w:p>
        </w:tc>
        <w:tc>
          <w:tcPr>
            <w:tcW w:w="740" w:type="dxa"/>
            <w:vAlign w:val="bottom"/>
          </w:tcPr>
          <w:p>
            <w:pPr>
              <w:jc w:val="center"/>
              <w:ind w:left="15"/>
              <w:spacing w:after="0"/>
              <w:rPr>
                <w:sz w:val="20"/>
                <w:szCs w:val="20"/>
                <w:color w:val="auto"/>
              </w:rPr>
            </w:pPr>
            <w:r>
              <w:rPr>
                <w:rFonts w:ascii="Arial" w:cs="Arial" w:eastAsia="Arial" w:hAnsi="Arial"/>
                <w:sz w:val="14"/>
                <w:szCs w:val="14"/>
                <w:color w:val="0000FF"/>
                <w:w w:val="88"/>
              </w:rPr>
              <w:t>12/04/2025</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40"/>
              <w:spacing w:after="0"/>
              <w:rPr>
                <w:sz w:val="20"/>
                <w:szCs w:val="20"/>
                <w:color w:val="auto"/>
              </w:rPr>
            </w:pPr>
            <w:r>
              <w:rPr>
                <w:rFonts w:ascii="Arial" w:cs="Arial" w:eastAsia="Arial" w:hAnsi="Arial"/>
                <w:sz w:val="18"/>
                <w:szCs w:val="18"/>
                <w:color w:val="0000FF"/>
                <w:w w:val="88"/>
              </w:rPr>
              <w:t>2,230</w:t>
            </w:r>
          </w:p>
        </w:tc>
        <w:tc>
          <w:tcPr>
            <w:tcW w:w="6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0000FF"/>
                <w:w w:val="84"/>
              </w:rPr>
              <w:t>38.82</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460" w:type="dxa"/>
            <w:vAlign w:val="bottom"/>
            <w:gridSpan w:val="2"/>
          </w:tcPr>
          <w:p>
            <w:pPr>
              <w:jc w:val="center"/>
              <w:ind w:left="541"/>
              <w:spacing w:after="0"/>
              <w:rPr>
                <w:sz w:val="20"/>
                <w:szCs w:val="20"/>
                <w:color w:val="auto"/>
              </w:rPr>
            </w:pPr>
            <w:r>
              <w:rPr>
                <w:rFonts w:ascii="Arial" w:cs="Arial" w:eastAsia="Arial" w:hAnsi="Arial"/>
                <w:sz w:val="11"/>
                <w:szCs w:val="11"/>
                <w:color w:val="008000"/>
              </w:rPr>
              <w:t>(4)</w:t>
            </w:r>
          </w:p>
        </w:tc>
        <w:tc>
          <w:tcPr>
            <w:tcW w:w="740" w:type="dxa"/>
            <w:vAlign w:val="bottom"/>
          </w:tcPr>
          <w:p>
            <w:pPr>
              <w:jc w:val="center"/>
              <w:ind w:left="15"/>
              <w:spacing w:after="0"/>
              <w:rPr>
                <w:sz w:val="20"/>
                <w:szCs w:val="20"/>
                <w:color w:val="auto"/>
              </w:rPr>
            </w:pPr>
            <w:r>
              <w:rPr>
                <w:rFonts w:ascii="Arial" w:cs="Arial" w:eastAsia="Arial" w:hAnsi="Arial"/>
                <w:sz w:val="14"/>
                <w:szCs w:val="14"/>
                <w:color w:val="0000FF"/>
                <w:w w:val="88"/>
              </w:rPr>
              <w:t>12/09/2026</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40"/>
              <w:spacing w:after="0"/>
              <w:rPr>
                <w:sz w:val="20"/>
                <w:szCs w:val="20"/>
                <w:color w:val="auto"/>
              </w:rPr>
            </w:pPr>
            <w:r>
              <w:rPr>
                <w:rFonts w:ascii="Arial" w:cs="Arial" w:eastAsia="Arial" w:hAnsi="Arial"/>
                <w:sz w:val="18"/>
                <w:szCs w:val="18"/>
                <w:color w:val="0000FF"/>
                <w:w w:val="88"/>
              </w:rPr>
              <w:t>2,000</w:t>
            </w:r>
          </w:p>
        </w:tc>
        <w:tc>
          <w:tcPr>
            <w:tcW w:w="6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0000FF"/>
                <w:w w:val="84"/>
              </w:rPr>
              <w:t>56.54</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460" w:type="dxa"/>
            <w:vAlign w:val="bottom"/>
            <w:gridSpan w:val="2"/>
          </w:tcPr>
          <w:p>
            <w:pPr>
              <w:jc w:val="center"/>
              <w:ind w:left="541"/>
              <w:spacing w:after="0"/>
              <w:rPr>
                <w:sz w:val="20"/>
                <w:szCs w:val="20"/>
                <w:color w:val="auto"/>
              </w:rPr>
            </w:pPr>
            <w:r>
              <w:rPr>
                <w:rFonts w:ascii="Arial" w:cs="Arial" w:eastAsia="Arial" w:hAnsi="Arial"/>
                <w:sz w:val="11"/>
                <w:szCs w:val="11"/>
                <w:color w:val="008000"/>
              </w:rPr>
              <w:t>(5)</w:t>
            </w:r>
          </w:p>
        </w:tc>
        <w:tc>
          <w:tcPr>
            <w:tcW w:w="740" w:type="dxa"/>
            <w:vAlign w:val="bottom"/>
          </w:tcPr>
          <w:p>
            <w:pPr>
              <w:jc w:val="center"/>
              <w:ind w:left="15"/>
              <w:spacing w:after="0"/>
              <w:rPr>
                <w:sz w:val="20"/>
                <w:szCs w:val="20"/>
                <w:color w:val="auto"/>
              </w:rPr>
            </w:pPr>
            <w:r>
              <w:rPr>
                <w:rFonts w:ascii="Arial" w:cs="Arial" w:eastAsia="Arial" w:hAnsi="Arial"/>
                <w:sz w:val="14"/>
                <w:szCs w:val="14"/>
                <w:color w:val="0000FF"/>
                <w:w w:val="88"/>
              </w:rPr>
              <w:t>12/09/2026</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40"/>
              <w:spacing w:after="0"/>
              <w:rPr>
                <w:sz w:val="20"/>
                <w:szCs w:val="20"/>
                <w:color w:val="auto"/>
              </w:rPr>
            </w:pPr>
            <w:r>
              <w:rPr>
                <w:rFonts w:ascii="Arial" w:cs="Arial" w:eastAsia="Arial" w:hAnsi="Arial"/>
                <w:sz w:val="18"/>
                <w:szCs w:val="18"/>
                <w:color w:val="0000FF"/>
                <w:w w:val="88"/>
              </w:rPr>
              <w:t>2,000</w:t>
            </w:r>
          </w:p>
        </w:tc>
        <w:tc>
          <w:tcPr>
            <w:tcW w:w="6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0000FF"/>
                <w:w w:val="84"/>
              </w:rPr>
              <w:t>56.54</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460" w:type="dxa"/>
            <w:vAlign w:val="bottom"/>
            <w:gridSpan w:val="2"/>
          </w:tcPr>
          <w:p>
            <w:pPr>
              <w:jc w:val="center"/>
              <w:ind w:left="541"/>
              <w:spacing w:after="0"/>
              <w:rPr>
                <w:sz w:val="20"/>
                <w:szCs w:val="20"/>
                <w:color w:val="auto"/>
              </w:rPr>
            </w:pPr>
            <w:r>
              <w:rPr>
                <w:rFonts w:ascii="Arial" w:cs="Arial" w:eastAsia="Arial" w:hAnsi="Arial"/>
                <w:sz w:val="11"/>
                <w:szCs w:val="11"/>
                <w:color w:val="008000"/>
              </w:rPr>
              <w:t>(6)</w:t>
            </w:r>
          </w:p>
        </w:tc>
        <w:tc>
          <w:tcPr>
            <w:tcW w:w="740" w:type="dxa"/>
            <w:vAlign w:val="bottom"/>
          </w:tcPr>
          <w:p>
            <w:pPr>
              <w:jc w:val="center"/>
              <w:ind w:left="15"/>
              <w:spacing w:after="0"/>
              <w:rPr>
                <w:sz w:val="20"/>
                <w:szCs w:val="20"/>
                <w:color w:val="auto"/>
              </w:rPr>
            </w:pPr>
            <w:r>
              <w:rPr>
                <w:rFonts w:ascii="Arial" w:cs="Arial" w:eastAsia="Arial" w:hAnsi="Arial"/>
                <w:sz w:val="14"/>
                <w:szCs w:val="14"/>
                <w:color w:val="0000FF"/>
                <w:w w:val="88"/>
              </w:rPr>
              <w:t>12/08/2027</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40"/>
              <w:spacing w:after="0"/>
              <w:rPr>
                <w:sz w:val="20"/>
                <w:szCs w:val="20"/>
                <w:color w:val="auto"/>
              </w:rPr>
            </w:pPr>
            <w:r>
              <w:rPr>
                <w:rFonts w:ascii="Arial" w:cs="Arial" w:eastAsia="Arial" w:hAnsi="Arial"/>
                <w:sz w:val="18"/>
                <w:szCs w:val="18"/>
                <w:color w:val="0000FF"/>
                <w:w w:val="88"/>
              </w:rPr>
              <w:t>4,500</w:t>
            </w:r>
          </w:p>
        </w:tc>
        <w:tc>
          <w:tcPr>
            <w:tcW w:w="6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0000FF"/>
                <w:w w:val="84"/>
              </w:rPr>
              <w:t>65.93</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Non-Qualified Stock Option</w:t>
            </w:r>
          </w:p>
        </w:tc>
        <w:tc>
          <w:tcPr>
            <w:tcW w:w="1460" w:type="dxa"/>
            <w:vAlign w:val="bottom"/>
            <w:gridSpan w:val="2"/>
          </w:tcPr>
          <w:p>
            <w:pPr>
              <w:jc w:val="center"/>
              <w:ind w:left="541"/>
              <w:spacing w:after="0"/>
              <w:rPr>
                <w:sz w:val="20"/>
                <w:szCs w:val="20"/>
                <w:color w:val="auto"/>
              </w:rPr>
            </w:pPr>
            <w:r>
              <w:rPr>
                <w:rFonts w:ascii="Arial" w:cs="Arial" w:eastAsia="Arial" w:hAnsi="Arial"/>
                <w:sz w:val="11"/>
                <w:szCs w:val="11"/>
                <w:color w:val="008000"/>
              </w:rPr>
              <w:t>(7)</w:t>
            </w:r>
          </w:p>
        </w:tc>
        <w:tc>
          <w:tcPr>
            <w:tcW w:w="740" w:type="dxa"/>
            <w:vAlign w:val="bottom"/>
          </w:tcPr>
          <w:p>
            <w:pPr>
              <w:jc w:val="center"/>
              <w:ind w:left="15"/>
              <w:spacing w:after="0"/>
              <w:rPr>
                <w:sz w:val="20"/>
                <w:szCs w:val="20"/>
                <w:color w:val="auto"/>
              </w:rPr>
            </w:pPr>
            <w:r>
              <w:rPr>
                <w:rFonts w:ascii="Arial" w:cs="Arial" w:eastAsia="Arial" w:hAnsi="Arial"/>
                <w:sz w:val="14"/>
                <w:szCs w:val="14"/>
                <w:color w:val="0000FF"/>
                <w:w w:val="88"/>
              </w:rPr>
              <w:t>12/07/2028</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40"/>
              <w:spacing w:after="0"/>
              <w:rPr>
                <w:sz w:val="20"/>
                <w:szCs w:val="20"/>
                <w:color w:val="auto"/>
              </w:rPr>
            </w:pPr>
            <w:r>
              <w:rPr>
                <w:rFonts w:ascii="Arial" w:cs="Arial" w:eastAsia="Arial" w:hAnsi="Arial"/>
                <w:sz w:val="18"/>
                <w:szCs w:val="18"/>
                <w:color w:val="0000FF"/>
                <w:w w:val="88"/>
              </w:rPr>
              <w:t>5,400</w:t>
            </w:r>
          </w:p>
        </w:tc>
        <w:tc>
          <w:tcPr>
            <w:tcW w:w="60" w:type="dxa"/>
            <w:vAlign w:val="bottom"/>
          </w:tcPr>
          <w:p>
            <w:pPr>
              <w:spacing w:after="0"/>
              <w:rPr>
                <w:sz w:val="23"/>
                <w:szCs w:val="23"/>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0000FF"/>
                <w:w w:val="84"/>
              </w:rPr>
              <w:t>58.53</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1460" w:type="dxa"/>
            <w:vAlign w:val="bottom"/>
            <w:gridSpan w:val="2"/>
          </w:tcPr>
          <w:p>
            <w:pPr>
              <w:jc w:val="center"/>
              <w:ind w:left="541"/>
              <w:spacing w:after="0"/>
              <w:rPr>
                <w:sz w:val="20"/>
                <w:szCs w:val="20"/>
                <w:color w:val="auto"/>
              </w:rPr>
            </w:pPr>
            <w:r>
              <w:rPr>
                <w:rFonts w:ascii="Arial" w:cs="Arial" w:eastAsia="Arial" w:hAnsi="Arial"/>
                <w:sz w:val="11"/>
                <w:szCs w:val="11"/>
                <w:color w:val="008000"/>
              </w:rPr>
              <w:t>(8)</w:t>
            </w:r>
          </w:p>
        </w:tc>
        <w:tc>
          <w:tcPr>
            <w:tcW w:w="740" w:type="dxa"/>
            <w:vAlign w:val="bottom"/>
          </w:tcPr>
          <w:p>
            <w:pPr>
              <w:jc w:val="center"/>
              <w:ind w:left="15"/>
              <w:spacing w:after="0"/>
              <w:rPr>
                <w:sz w:val="20"/>
                <w:szCs w:val="20"/>
                <w:color w:val="auto"/>
              </w:rPr>
            </w:pPr>
            <w:r>
              <w:rPr>
                <w:rFonts w:ascii="Arial" w:cs="Arial" w:eastAsia="Arial" w:hAnsi="Arial"/>
                <w:sz w:val="11"/>
                <w:szCs w:val="11"/>
                <w:color w:val="008000"/>
              </w:rPr>
              <w:t>(8)</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60"/>
              <w:spacing w:after="0"/>
              <w:rPr>
                <w:sz w:val="20"/>
                <w:szCs w:val="20"/>
                <w:color w:val="auto"/>
              </w:rPr>
            </w:pPr>
            <w:r>
              <w:rPr>
                <w:rFonts w:ascii="Arial" w:cs="Arial" w:eastAsia="Arial" w:hAnsi="Arial"/>
                <w:sz w:val="18"/>
                <w:szCs w:val="18"/>
                <w:color w:val="0000FF"/>
                <w:w w:val="87"/>
              </w:rPr>
              <w:t>2,314.929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center"/>
              <w:ind w:right="232"/>
              <w:spacing w:after="0"/>
              <w:rPr>
                <w:sz w:val="20"/>
                <w:szCs w:val="20"/>
                <w:color w:val="auto"/>
              </w:rPr>
            </w:pPr>
            <w:r>
              <w:rPr>
                <w:rFonts w:ascii="Arial" w:cs="Arial" w:eastAsia="Arial" w:hAnsi="Arial"/>
                <w:sz w:val="11"/>
                <w:szCs w:val="11"/>
                <w:color w:val="008000"/>
              </w:rPr>
              <w:t>(9)</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1460" w:type="dxa"/>
            <w:vAlign w:val="bottom"/>
            <w:gridSpan w:val="2"/>
          </w:tcPr>
          <w:p>
            <w:pPr>
              <w:jc w:val="center"/>
              <w:ind w:left="541"/>
              <w:spacing w:after="0"/>
              <w:rPr>
                <w:sz w:val="20"/>
                <w:szCs w:val="20"/>
                <w:color w:val="auto"/>
              </w:rPr>
            </w:pPr>
            <w:r>
              <w:rPr>
                <w:rFonts w:ascii="Arial" w:cs="Arial" w:eastAsia="Arial" w:hAnsi="Arial"/>
                <w:sz w:val="11"/>
                <w:szCs w:val="11"/>
                <w:color w:val="008000"/>
                <w:w w:val="91"/>
              </w:rPr>
              <w:t>(10)</w:t>
            </w:r>
          </w:p>
        </w:tc>
        <w:tc>
          <w:tcPr>
            <w:tcW w:w="740" w:type="dxa"/>
            <w:vAlign w:val="bottom"/>
          </w:tcPr>
          <w:p>
            <w:pPr>
              <w:jc w:val="center"/>
              <w:ind w:left="15"/>
              <w:spacing w:after="0"/>
              <w:rPr>
                <w:sz w:val="20"/>
                <w:szCs w:val="20"/>
                <w:color w:val="auto"/>
              </w:rPr>
            </w:pPr>
            <w:r>
              <w:rPr>
                <w:rFonts w:ascii="Arial" w:cs="Arial" w:eastAsia="Arial" w:hAnsi="Arial"/>
                <w:sz w:val="11"/>
                <w:szCs w:val="11"/>
                <w:color w:val="008000"/>
                <w:w w:val="91"/>
              </w:rPr>
              <w:t>(10)</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40"/>
              <w:spacing w:after="0"/>
              <w:rPr>
                <w:sz w:val="20"/>
                <w:szCs w:val="20"/>
                <w:color w:val="auto"/>
              </w:rPr>
            </w:pPr>
            <w:r>
              <w:rPr>
                <w:rFonts w:ascii="Arial" w:cs="Arial" w:eastAsia="Arial" w:hAnsi="Arial"/>
                <w:sz w:val="18"/>
                <w:szCs w:val="18"/>
                <w:color w:val="0000FF"/>
                <w:w w:val="87"/>
              </w:rPr>
              <w:t>69.564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center"/>
              <w:ind w:right="232"/>
              <w:spacing w:after="0"/>
              <w:rPr>
                <w:sz w:val="20"/>
                <w:szCs w:val="20"/>
                <w:color w:val="auto"/>
              </w:rPr>
            </w:pPr>
            <w:r>
              <w:rPr>
                <w:rFonts w:ascii="Arial" w:cs="Arial" w:eastAsia="Arial" w:hAnsi="Arial"/>
                <w:sz w:val="11"/>
                <w:szCs w:val="11"/>
                <w:color w:val="008000"/>
              </w:rPr>
              <w:t>(9)</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Restricted Stock Units</w:t>
            </w:r>
          </w:p>
        </w:tc>
        <w:tc>
          <w:tcPr>
            <w:tcW w:w="1460" w:type="dxa"/>
            <w:vAlign w:val="bottom"/>
            <w:gridSpan w:val="2"/>
          </w:tcPr>
          <w:p>
            <w:pPr>
              <w:jc w:val="center"/>
              <w:ind w:left="541"/>
              <w:spacing w:after="0"/>
              <w:rPr>
                <w:sz w:val="20"/>
                <w:szCs w:val="20"/>
                <w:color w:val="auto"/>
              </w:rPr>
            </w:pPr>
            <w:r>
              <w:rPr>
                <w:rFonts w:ascii="Arial" w:cs="Arial" w:eastAsia="Arial" w:hAnsi="Arial"/>
                <w:sz w:val="11"/>
                <w:szCs w:val="11"/>
                <w:color w:val="008000"/>
                <w:w w:val="91"/>
              </w:rPr>
              <w:t>(11)</w:t>
            </w:r>
          </w:p>
        </w:tc>
        <w:tc>
          <w:tcPr>
            <w:tcW w:w="740" w:type="dxa"/>
            <w:vAlign w:val="bottom"/>
          </w:tcPr>
          <w:p>
            <w:pPr>
              <w:jc w:val="center"/>
              <w:ind w:left="15"/>
              <w:spacing w:after="0"/>
              <w:rPr>
                <w:sz w:val="20"/>
                <w:szCs w:val="20"/>
                <w:color w:val="auto"/>
              </w:rPr>
            </w:pPr>
            <w:r>
              <w:rPr>
                <w:rFonts w:ascii="Arial" w:cs="Arial" w:eastAsia="Arial" w:hAnsi="Arial"/>
                <w:sz w:val="11"/>
                <w:szCs w:val="11"/>
                <w:color w:val="008000"/>
                <w:w w:val="91"/>
              </w:rPr>
              <w:t>(11)</w:t>
            </w:r>
          </w:p>
        </w:tc>
        <w:tc>
          <w:tcPr>
            <w:tcW w:w="1980" w:type="dxa"/>
            <w:vAlign w:val="bottom"/>
          </w:tcPr>
          <w:p>
            <w:pPr>
              <w:ind w:left="540"/>
              <w:spacing w:after="0"/>
              <w:rPr>
                <w:sz w:val="20"/>
                <w:szCs w:val="20"/>
                <w:color w:val="auto"/>
              </w:rPr>
            </w:pPr>
            <w:r>
              <w:rPr>
                <w:rFonts w:ascii="Arial" w:cs="Arial" w:eastAsia="Arial" w:hAnsi="Arial"/>
                <w:sz w:val="18"/>
                <w:szCs w:val="18"/>
                <w:color w:val="0000FF"/>
              </w:rPr>
              <w:t>Common Stock</w:t>
            </w:r>
          </w:p>
        </w:tc>
        <w:tc>
          <w:tcPr>
            <w:tcW w:w="960" w:type="dxa"/>
            <w:vAlign w:val="bottom"/>
          </w:tcPr>
          <w:p>
            <w:pPr>
              <w:jc w:val="center"/>
              <w:ind w:left="60"/>
              <w:spacing w:after="0"/>
              <w:rPr>
                <w:sz w:val="20"/>
                <w:szCs w:val="20"/>
                <w:color w:val="auto"/>
              </w:rPr>
            </w:pPr>
            <w:r>
              <w:rPr>
                <w:rFonts w:ascii="Arial" w:cs="Arial" w:eastAsia="Arial" w:hAnsi="Arial"/>
                <w:sz w:val="18"/>
                <w:szCs w:val="18"/>
                <w:color w:val="0000FF"/>
                <w:w w:val="89"/>
              </w:rPr>
              <w:t>207.661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jc w:val="center"/>
              <w:ind w:right="232"/>
              <w:spacing w:after="0"/>
              <w:rPr>
                <w:sz w:val="20"/>
                <w:szCs w:val="20"/>
                <w:color w:val="auto"/>
              </w:rPr>
            </w:pPr>
            <w:r>
              <w:rPr>
                <w:rFonts w:ascii="Arial" w:cs="Arial" w:eastAsia="Arial" w:hAnsi="Arial"/>
                <w:sz w:val="11"/>
                <w:szCs w:val="11"/>
                <w:color w:val="008000"/>
              </w:rPr>
              <w:t>(9)</w:t>
            </w:r>
          </w:p>
        </w:tc>
        <w:tc>
          <w:tcPr>
            <w:tcW w:w="960" w:type="dxa"/>
            <w:vAlign w:val="bottom"/>
          </w:tcPr>
          <w:p>
            <w:pPr>
              <w:ind w:left="400"/>
              <w:spacing w:after="0"/>
              <w:rPr>
                <w:sz w:val="20"/>
                <w:szCs w:val="20"/>
                <w:color w:val="auto"/>
              </w:rPr>
            </w:pPr>
            <w:r>
              <w:rPr>
                <w:rFonts w:ascii="Arial" w:cs="Arial" w:eastAsia="Arial" w:hAnsi="Arial"/>
                <w:sz w:val="18"/>
                <w:szCs w:val="18"/>
                <w:color w:val="0000FF"/>
              </w:rPr>
              <w:t>D</w:t>
            </w: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5,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full on the third anniversary of the date of grant, which was December 5,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4,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9,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vested in full on the third anniversary of the date of grant, which was December 9, 2016.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8, 2017.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 which was December 7, 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and related dividend equivalents vest and become non-forfeitable in three equal annual installments commencing on April 1, 2020, which is the first anniversary of the date of grant.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Toro common stock.</w:t>
      </w:r>
    </w:p>
    <w:p>
      <w:pPr>
        <w:spacing w:after="0" w:line="41" w:lineRule="exact"/>
        <w:rPr>
          <w:rFonts w:ascii="Arial" w:cs="Arial" w:eastAsia="Arial" w:hAnsi="Arial"/>
          <w:sz w:val="14"/>
          <w:szCs w:val="14"/>
          <w:color w:val="008000"/>
        </w:rPr>
      </w:pPr>
    </w:p>
    <w:p>
      <w:pPr>
        <w:ind w:left="40" w:right="80" w:firstLine="9"/>
        <w:spacing w:after="0" w:line="305" w:lineRule="auto"/>
        <w:tabs>
          <w:tab w:leader="none" w:pos="2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and related dividend equivalents vest and become non-forfeitable in three equal annual installments commencing on December 9, 2017, which is the first anniversary of the date of grant.</w:t>
      </w:r>
    </w:p>
    <w:p>
      <w:pPr>
        <w:ind w:left="240" w:hanging="191"/>
        <w:spacing w:after="0"/>
        <w:tabs>
          <w:tab w:leader="none" w:pos="2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and related dividend equivalents vest and become non-forfeitable in full on December 9, 2019, which is the third anniversary of the date of grant.</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12/11/2019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Amy E. Dahl, Nancy A. McGrath and</w:t>
      </w:r>
    </w:p>
    <w:p>
      <w:pPr>
        <w:ind w:right="3039"/>
        <w:spacing w:after="0" w:line="237" w:lineRule="auto"/>
        <w:rPr>
          <w:sz w:val="20"/>
          <w:szCs w:val="20"/>
          <w:color w:val="auto"/>
        </w:rPr>
      </w:pPr>
      <w:r>
        <w:rPr>
          <w:rFonts w:ascii="Courier New" w:cs="Courier New" w:eastAsia="Courier New" w:hAnsi="Courier New"/>
          <w:sz w:val="18"/>
          <w:szCs w:val="18"/>
          <w:color w:val="auto"/>
        </w:rPr>
        <w:t>Angela D. Snavely, signing singly, true and lawful attorneys-in-fact relative to the filings identified below in connection with the undersigned's derivative and non-derivative securities of The Toro Company (the ?Company?) to:</w:t>
      </w:r>
    </w:p>
    <w:p>
      <w:pPr>
        <w:spacing w:after="0" w:line="207" w:lineRule="exact"/>
        <w:rPr>
          <w:sz w:val="20"/>
          <w:szCs w:val="20"/>
          <w:color w:val="auto"/>
        </w:rPr>
      </w:pPr>
    </w:p>
    <w:p>
      <w:pPr>
        <w:ind w:right="303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579" w:firstLine="8"/>
        <w:spacing w:after="0" w:line="268" w:lineRule="auto"/>
        <w:tabs>
          <w:tab w:leader="none" w:pos="84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including administration of EDGAR filing codes, in connection with the foregoing which, in the opinion of such attorney-in-fact, may be of benefit to, in the best interest of, or legally required</w:t>
      </w:r>
    </w:p>
    <w:p>
      <w:pPr>
        <w:ind w:right="30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gridSpan w:val="3"/>
          </w:tcPr>
          <w:p>
            <w:pPr>
              <w:spacing w:after="0"/>
              <w:rPr>
                <w:sz w:val="20"/>
                <w:szCs w:val="20"/>
                <w:color w:val="auto"/>
              </w:rPr>
            </w:pPr>
            <w:r>
              <w:rPr>
                <w:rFonts w:ascii="Courier New" w:cs="Courier New" w:eastAsia="Courier New" w:hAnsi="Courier New"/>
                <w:sz w:val="18"/>
                <w:szCs w:val="18"/>
                <w:color w:val="auto"/>
                <w:w w:val="98"/>
              </w:rPr>
              <w:t>IN WITNESS WHEREOF, the undersigned has</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caused this</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Limited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of Attorney to</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w:t>
            </w:r>
          </w:p>
        </w:tc>
        <w:tc>
          <w:tcPr>
            <w:tcW w:w="2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executed effective as</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date</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indicated below,</w:t>
            </w:r>
          </w:p>
        </w:tc>
      </w:tr>
      <w:tr>
        <w:trPr>
          <w:trHeight w:val="0"/>
        </w:trPr>
        <w:tc>
          <w:tcPr>
            <w:tcW w:w="1540" w:type="dxa"/>
            <w:vAlign w:val="bottom"/>
          </w:tcPr>
          <w:p>
            <w:pPr>
              <w:spacing w:after="0"/>
              <w:rPr>
                <w:sz w:val="20"/>
                <w:szCs w:val="20"/>
                <w:color w:val="auto"/>
              </w:rPr>
            </w:pPr>
            <w:r>
              <w:rPr>
                <w:rFonts w:ascii="Courier New" w:cs="Courier New" w:eastAsia="Courier New" w:hAnsi="Courier New"/>
                <w:sz w:val="18"/>
                <w:szCs w:val="18"/>
                <w:color w:val="auto"/>
              </w:rPr>
              <w:t>and said Power</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2300" w:type="dxa"/>
            <w:vAlign w:val="bottom"/>
          </w:tcPr>
          <w:p>
            <w:pPr>
              <w:ind w:left="40"/>
              <w:spacing w:after="0"/>
              <w:rPr>
                <w:sz w:val="20"/>
                <w:szCs w:val="20"/>
                <w:color w:val="auto"/>
              </w:rPr>
            </w:pPr>
            <w:r>
              <w:rPr>
                <w:rFonts w:ascii="Courier New" w:cs="Courier New" w:eastAsia="Courier New" w:hAnsi="Courier New"/>
                <w:sz w:val="18"/>
                <w:szCs w:val="18"/>
                <w:color w:val="auto"/>
                <w:w w:val="98"/>
              </w:rPr>
              <w:t>Attorney shall remain</w:t>
            </w:r>
          </w:p>
        </w:tc>
        <w:tc>
          <w:tcPr>
            <w:tcW w:w="30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 effect until revoked by</w:t>
            </w:r>
          </w:p>
        </w:tc>
      </w:tr>
    </w:tbl>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Peter D. Moeller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Peter D. Moeller</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12/5/2019</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96513"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2019-12-11T17:49:25Z</dcterms:created>
  <dcterms:modified xsi:type="dcterms:W3CDTF">2019-12-11T17:49:25Z</dcterms:modified>
</cp:coreProperties>
</file>