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Rodier Richard W</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12/03/2008</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543" w:type="dxa"/>
        <w:tblCellMar>
          <w:top w:w="0" w:type="dxa"/>
          <w:left w:w="0" w:type="dxa"/>
          <w:bottom w:w="0" w:type="dxa"/>
          <w:right w:w="0" w:type="dxa"/>
        </w:tblCellMar>
      </w:tblPr>
      <w:tr>
        <w:trPr>
          <w:trHeight w:val="180"/>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5"/>
                <w:szCs w:val="15"/>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10"/>
                <w:szCs w:val="10"/>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11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General Manager, LCB</w:t>
      </w:r>
    </w:p>
    <w:p>
      <w:pPr>
        <w:spacing w:after="0" w:line="317"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0000FF"/>
              </w:rPr>
              <w:t>3,385</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ind w:right="73"/>
              <w:spacing w:after="0" w:line="216" w:lineRule="exact"/>
              <w:rPr>
                <w:sz w:val="20"/>
                <w:szCs w:val="20"/>
                <w:color w:val="auto"/>
              </w:rPr>
            </w:pPr>
            <w:r>
              <w:rPr>
                <w:rFonts w:ascii="Times New Roman" w:cs="Times New Roman" w:eastAsia="Times New Roman" w:hAnsi="Times New Roman"/>
                <w:sz w:val="18"/>
                <w:szCs w:val="18"/>
                <w:color w:val="0000FF"/>
              </w:rPr>
              <w:t>6,941.758</w:t>
            </w:r>
            <w:r>
              <w:rPr>
                <w:rFonts w:ascii="Times New Roman" w:cs="Times New Roman" w:eastAsia="Times New Roman" w:hAnsi="Times New Roman"/>
                <w:sz w:val="22"/>
                <w:szCs w:val="22"/>
                <w:color w:val="008000"/>
                <w:vertAlign w:val="superscript"/>
              </w:rPr>
              <w:t>(1)</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28.62</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0000FF"/>
              </w:rPr>
              <w:t>12/03/2008</w:t>
            </w:r>
          </w:p>
        </w:tc>
        <w:tc>
          <w:tcPr>
            <w:tcW w:w="114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5,000</w:t>
            </w:r>
          </w:p>
        </w:tc>
        <w:tc>
          <w:tcPr>
            <w:tcW w:w="280" w:type="dxa"/>
            <w:vAlign w:val="bottom"/>
          </w:tcPr>
          <w:p>
            <w:pPr>
              <w:spacing w:after="0"/>
              <w:rPr>
                <w:sz w:val="21"/>
                <w:szCs w:val="21"/>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12/03/2018</w:t>
            </w:r>
          </w:p>
        </w:tc>
        <w:tc>
          <w:tcPr>
            <w:tcW w:w="70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5,000</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the following shares of common stock acquired by the reporting person under the dividend reinvestment feature of The Toro Company Investment, Savings &amp; ESOP (IS&amp;ESOP): 24.812 shares acquired on April 11, 2008, 33.172 shares acquired on July 11, 2008, and 32.271 shares acquired on October 17, 2008. Also includes 45.542 shares of common stock acquired by the reporting person through individual and issuer matching contributions to the IS&amp;ESOP and account adjustment (rounding) of 1.144 shares of common stock.</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option vests in three equal annual installments commencing on the first anniversary of the date of grant.</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Stacy L. Bogart - Atty-in-Fact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0000FF"/>
                <w:w w:val="95"/>
              </w:rPr>
              <w:t>12/05/2008</w:t>
            </w:r>
          </w:p>
        </w:tc>
      </w:tr>
      <w:tr>
        <w:trPr>
          <w:trHeight w:val="20"/>
        </w:trPr>
        <w:tc>
          <w:tcPr>
            <w:tcW w:w="2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2019-12-16T04:28:17Z</dcterms:created>
  <dcterms:modified xsi:type="dcterms:W3CDTF">2019-12-16T04:28:17Z</dcterms:modified>
</cp:coreProperties>
</file>