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4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8-K</w:t>
      </w:r>
    </w:p>
    <w:p>
      <w:pPr>
        <w:spacing w:after="0" w:line="24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February 18, 2010</w:t>
      </w:r>
    </w:p>
    <w:p>
      <w:pPr>
        <w:spacing w:after="0" w:line="200" w:lineRule="exact"/>
        <w:rPr>
          <w:sz w:val="24"/>
          <w:szCs w:val="24"/>
          <w:color w:val="auto"/>
        </w:rPr>
      </w:pPr>
    </w:p>
    <w:p>
      <w:pPr>
        <w:spacing w:after="0" w:line="27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THE TORO COMPANY</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75" w:lineRule="exact"/>
        <w:rPr>
          <w:sz w:val="24"/>
          <w:szCs w:val="24"/>
          <w:color w:val="auto"/>
        </w:rPr>
      </w:pPr>
    </w:p>
    <w:tbl>
      <w:tblPr>
        <w:tblLayout w:type="fixed"/>
        <w:tblInd w:w="1060" w:type="dxa"/>
        <w:tblCellMar>
          <w:top w:w="0" w:type="dxa"/>
          <w:left w:w="0" w:type="dxa"/>
          <w:bottom w:w="0" w:type="dxa"/>
          <w:right w:w="0" w:type="dxa"/>
        </w:tblCellMar>
      </w:tblPr>
      <w:tr>
        <w:trPr>
          <w:trHeight w:val="220"/>
        </w:trPr>
        <w:tc>
          <w:tcPr>
            <w:tcW w:w="3440" w:type="dxa"/>
            <w:vAlign w:val="bottom"/>
            <w:gridSpan w:val="3"/>
          </w:tcPr>
          <w:p>
            <w:pPr>
              <w:jc w:val="center"/>
              <w:ind w:right="1760"/>
              <w:spacing w:after="0"/>
              <w:rPr>
                <w:sz w:val="20"/>
                <w:szCs w:val="20"/>
                <w:color w:val="auto"/>
              </w:rPr>
            </w:pPr>
            <w:r>
              <w:rPr>
                <w:rFonts w:ascii="Arial" w:cs="Arial" w:eastAsia="Arial" w:hAnsi="Arial"/>
                <w:sz w:val="18"/>
                <w:szCs w:val="18"/>
                <w:b w:val="1"/>
                <w:bCs w:val="1"/>
                <w:color w:val="auto"/>
                <w:w w:val="91"/>
              </w:rPr>
              <w:t>Delaware</w:t>
            </w:r>
          </w:p>
        </w:tc>
        <w:tc>
          <w:tcPr>
            <w:tcW w:w="2880" w:type="dxa"/>
            <w:vAlign w:val="bottom"/>
          </w:tcPr>
          <w:p>
            <w:pPr>
              <w:jc w:val="right"/>
              <w:ind w:right="1330"/>
              <w:spacing w:after="0"/>
              <w:rPr>
                <w:sz w:val="20"/>
                <w:szCs w:val="20"/>
                <w:color w:val="auto"/>
              </w:rPr>
            </w:pPr>
            <w:r>
              <w:rPr>
                <w:rFonts w:ascii="Arial" w:cs="Arial" w:eastAsia="Arial" w:hAnsi="Arial"/>
                <w:sz w:val="18"/>
                <w:szCs w:val="18"/>
                <w:b w:val="1"/>
                <w:bCs w:val="1"/>
                <w:color w:val="auto"/>
              </w:rPr>
              <w:t>1-8649</w:t>
            </w:r>
          </w:p>
        </w:tc>
        <w:tc>
          <w:tcPr>
            <w:tcW w:w="3600" w:type="dxa"/>
            <w:vAlign w:val="bottom"/>
            <w:gridSpan w:val="3"/>
          </w:tcPr>
          <w:p>
            <w:pPr>
              <w:jc w:val="right"/>
              <w:ind w:right="1020"/>
              <w:spacing w:after="0"/>
              <w:rPr>
                <w:sz w:val="20"/>
                <w:szCs w:val="20"/>
                <w:color w:val="auto"/>
              </w:rPr>
            </w:pPr>
            <w:r>
              <w:rPr>
                <w:rFonts w:ascii="Arial" w:cs="Arial" w:eastAsia="Arial" w:hAnsi="Arial"/>
                <w:sz w:val="18"/>
                <w:szCs w:val="18"/>
                <w:b w:val="1"/>
                <w:bCs w:val="1"/>
                <w:color w:val="auto"/>
              </w:rPr>
              <w:t>41-0580470</w:t>
            </w:r>
          </w:p>
        </w:tc>
      </w:tr>
      <w:tr>
        <w:trPr>
          <w:trHeight w:val="230"/>
        </w:trPr>
        <w:tc>
          <w:tcPr>
            <w:tcW w:w="3440" w:type="dxa"/>
            <w:vAlign w:val="bottom"/>
            <w:gridSpan w:val="3"/>
          </w:tcPr>
          <w:p>
            <w:pPr>
              <w:jc w:val="center"/>
              <w:ind w:right="1740"/>
              <w:spacing w:after="0"/>
              <w:rPr>
                <w:sz w:val="20"/>
                <w:szCs w:val="20"/>
                <w:color w:val="auto"/>
              </w:rPr>
            </w:pPr>
            <w:r>
              <w:rPr>
                <w:rFonts w:ascii="Arial" w:cs="Arial" w:eastAsia="Arial" w:hAnsi="Arial"/>
                <w:sz w:val="18"/>
                <w:szCs w:val="18"/>
                <w:color w:val="auto"/>
                <w:w w:val="92"/>
              </w:rPr>
              <w:t>(State of Incorporation)</w:t>
            </w:r>
          </w:p>
        </w:tc>
        <w:tc>
          <w:tcPr>
            <w:tcW w:w="2880" w:type="dxa"/>
            <w:vAlign w:val="bottom"/>
          </w:tcPr>
          <w:p>
            <w:pPr>
              <w:jc w:val="center"/>
              <w:ind w:right="370"/>
              <w:spacing w:after="0"/>
              <w:rPr>
                <w:sz w:val="20"/>
                <w:szCs w:val="20"/>
                <w:color w:val="auto"/>
              </w:rPr>
            </w:pPr>
            <w:r>
              <w:rPr>
                <w:rFonts w:ascii="Arial" w:cs="Arial" w:eastAsia="Arial" w:hAnsi="Arial"/>
                <w:sz w:val="18"/>
                <w:szCs w:val="18"/>
                <w:color w:val="auto"/>
                <w:w w:val="92"/>
              </w:rPr>
              <w:t>(Commission File Number)</w:t>
            </w:r>
          </w:p>
        </w:tc>
        <w:tc>
          <w:tcPr>
            <w:tcW w:w="3600" w:type="dxa"/>
            <w:vAlign w:val="bottom"/>
            <w:gridSpan w:val="3"/>
          </w:tcPr>
          <w:p>
            <w:pPr>
              <w:jc w:val="center"/>
              <w:ind w:left="570"/>
              <w:spacing w:after="0"/>
              <w:rPr>
                <w:sz w:val="20"/>
                <w:szCs w:val="20"/>
                <w:color w:val="auto"/>
              </w:rPr>
            </w:pPr>
            <w:r>
              <w:rPr>
                <w:rFonts w:ascii="Arial" w:cs="Arial" w:eastAsia="Arial" w:hAnsi="Arial"/>
                <w:sz w:val="18"/>
                <w:szCs w:val="18"/>
                <w:color w:val="auto"/>
                <w:w w:val="93"/>
              </w:rPr>
              <w:t>(I.R.S. Employer Identification Number)</w:t>
            </w:r>
          </w:p>
        </w:tc>
      </w:tr>
      <w:tr>
        <w:trPr>
          <w:trHeight w:val="684"/>
        </w:trPr>
        <w:tc>
          <w:tcPr>
            <w:tcW w:w="700" w:type="dxa"/>
            <w:vAlign w:val="bottom"/>
          </w:tcPr>
          <w:p>
            <w:pPr>
              <w:spacing w:after="0"/>
              <w:rPr>
                <w:sz w:val="24"/>
                <w:szCs w:val="24"/>
                <w:color w:val="auto"/>
              </w:rPr>
            </w:pPr>
          </w:p>
        </w:tc>
        <w:tc>
          <w:tcPr>
            <w:tcW w:w="274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88"/>
              </w:rPr>
              <w:t>8111 Lyndale Avenue South</w:t>
            </w:r>
          </w:p>
        </w:tc>
        <w:tc>
          <w:tcPr>
            <w:tcW w:w="2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194"/>
        </w:trPr>
        <w:tc>
          <w:tcPr>
            <w:tcW w:w="700" w:type="dxa"/>
            <w:vAlign w:val="bottom"/>
          </w:tcPr>
          <w:p>
            <w:pPr>
              <w:spacing w:after="0"/>
              <w:rPr>
                <w:sz w:val="16"/>
                <w:szCs w:val="16"/>
                <w:color w:val="auto"/>
              </w:rPr>
            </w:pPr>
          </w:p>
        </w:tc>
        <w:tc>
          <w:tcPr>
            <w:tcW w:w="2240" w:type="dxa"/>
            <w:vAlign w:val="bottom"/>
            <w:tcBorders>
              <w:bottom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w w:val="89"/>
              </w:rPr>
              <w:t>Bloomington, Minnesota</w:t>
            </w:r>
          </w:p>
        </w:tc>
        <w:tc>
          <w:tcPr>
            <w:tcW w:w="50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2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8"/>
                <w:szCs w:val="18"/>
                <w:b w:val="1"/>
                <w:bCs w:val="1"/>
                <w:color w:val="auto"/>
              </w:rPr>
              <w:t>55420</w:t>
            </w:r>
          </w:p>
        </w:tc>
        <w:tc>
          <w:tcPr>
            <w:tcW w:w="2080" w:type="dxa"/>
            <w:vAlign w:val="bottom"/>
          </w:tcPr>
          <w:p>
            <w:pPr>
              <w:spacing w:after="0"/>
              <w:rPr>
                <w:sz w:val="16"/>
                <w:szCs w:val="16"/>
                <w:color w:val="auto"/>
              </w:rPr>
            </w:pPr>
          </w:p>
        </w:tc>
      </w:tr>
      <w:tr>
        <w:trPr>
          <w:trHeight w:val="237"/>
        </w:trPr>
        <w:tc>
          <w:tcPr>
            <w:tcW w:w="3440" w:type="dxa"/>
            <w:vAlign w:val="bottom"/>
            <w:gridSpan w:val="3"/>
          </w:tcPr>
          <w:p>
            <w:pPr>
              <w:jc w:val="center"/>
              <w:ind w:left="50"/>
              <w:spacing w:after="0"/>
              <w:rPr>
                <w:sz w:val="20"/>
                <w:szCs w:val="20"/>
                <w:color w:val="auto"/>
              </w:rPr>
            </w:pPr>
            <w:r>
              <w:rPr>
                <w:rFonts w:ascii="Arial" w:cs="Arial" w:eastAsia="Arial" w:hAnsi="Arial"/>
                <w:sz w:val="18"/>
                <w:szCs w:val="18"/>
                <w:color w:val="auto"/>
                <w:w w:val="92"/>
              </w:rPr>
              <w:t>(Address of principal executive offices)</w:t>
            </w:r>
          </w:p>
        </w:tc>
        <w:tc>
          <w:tcPr>
            <w:tcW w:w="2880" w:type="dxa"/>
            <w:vAlign w:val="bottom"/>
          </w:tcPr>
          <w:p>
            <w:pPr>
              <w:spacing w:after="0"/>
              <w:rPr>
                <w:sz w:val="20"/>
                <w:szCs w:val="20"/>
                <w:color w:val="auto"/>
              </w:rPr>
            </w:pPr>
          </w:p>
        </w:tc>
        <w:tc>
          <w:tcPr>
            <w:tcW w:w="3600" w:type="dxa"/>
            <w:vAlign w:val="bottom"/>
            <w:gridSpan w:val="3"/>
          </w:tcPr>
          <w:p>
            <w:pPr>
              <w:jc w:val="center"/>
              <w:ind w:right="1240"/>
              <w:spacing w:after="0"/>
              <w:rPr>
                <w:sz w:val="20"/>
                <w:szCs w:val="20"/>
                <w:color w:val="auto"/>
              </w:rPr>
            </w:pPr>
            <w:r>
              <w:rPr>
                <w:rFonts w:ascii="Arial" w:cs="Arial" w:eastAsia="Arial" w:hAnsi="Arial"/>
                <w:sz w:val="18"/>
                <w:szCs w:val="18"/>
                <w:color w:val="auto"/>
                <w:w w:val="94"/>
              </w:rPr>
              <w:t>(Zip Code)</w:t>
            </w:r>
          </w:p>
        </w:tc>
      </w:tr>
    </w:tbl>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(952) 888-8801</w:t>
      </w:r>
    </w:p>
    <w:p>
      <w:pPr>
        <w:spacing w:after="0" w:line="200" w:lineRule="exact"/>
        <w:rPr>
          <w:sz w:val="24"/>
          <w:szCs w:val="24"/>
          <w:color w:val="auto"/>
        </w:rPr>
      </w:pPr>
    </w:p>
    <w:p>
      <w:pPr>
        <w:spacing w:after="0" w:line="29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2595245</wp:posOffset>
            </wp:positionH>
            <wp:positionV relativeFrom="paragraph">
              <wp:posOffset>-10160</wp:posOffset>
            </wp:positionV>
            <wp:extent cx="20669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66925" cy="8890"/>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52"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52"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52"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244475</wp:posOffset>
            </wp:positionV>
            <wp:extent cx="7250430" cy="450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87"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2 — Financial Information</w:t>
      </w:r>
    </w:p>
    <w:p>
      <w:pPr>
        <w:spacing w:after="0" w:line="252" w:lineRule="exact"/>
        <w:rPr>
          <w:sz w:val="20"/>
          <w:szCs w:val="20"/>
          <w:color w:val="auto"/>
        </w:rPr>
      </w:pPr>
    </w:p>
    <w:p>
      <w:pPr>
        <w:ind w:left="60"/>
        <w:spacing w:after="0"/>
        <w:tabs>
          <w:tab w:leader="none" w:pos="106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5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On February 18, 2010, The Toro Company announced its earnings for the three months ended January 29, 2010.</w:t>
      </w:r>
    </w:p>
    <w:p>
      <w:pPr>
        <w:spacing w:after="0" w:line="252" w:lineRule="exact"/>
        <w:rPr>
          <w:sz w:val="20"/>
          <w:szCs w:val="20"/>
          <w:color w:val="auto"/>
        </w:rPr>
      </w:pPr>
    </w:p>
    <w:p>
      <w:pPr>
        <w:ind w:left="820"/>
        <w:spacing w:after="0" w:line="257" w:lineRule="auto"/>
        <w:rPr>
          <w:sz w:val="20"/>
          <w:szCs w:val="20"/>
          <w:color w:val="auto"/>
        </w:rPr>
      </w:pPr>
      <w:r>
        <w:rPr>
          <w:rFonts w:ascii="Arial" w:cs="Arial" w:eastAsia="Arial" w:hAnsi="Arial"/>
          <w:sz w:val="18"/>
          <w:szCs w:val="18"/>
          <w:color w:val="auto"/>
        </w:rPr>
        <w:t>Attached to this Current Report on Form 8-K as Exhibit 99.1 is a copy of The Toro Company’s press release in connection with the announcement. The information in this Item 2.02, including the exhibit attached hereto, is furnished pursuant to Item 2.02 and shall not be deemed to be “filed” for purposes of Section 18 of the Securities Exchange Act of 1934, or otherwise subject to the liabilities of that section, nor shall it be deemed incorporated by reference in any filing under the Securities Act of 1933 or the Securities Exchange Act of 1934, except as shall be expressly set forth by specific reference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709930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607" w:right="3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52"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ind w:left="1440" w:hanging="622"/>
        <w:spacing w:after="0"/>
        <w:tabs>
          <w:tab w:leader="none" w:pos="1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 No. Description</w:t>
      </w:r>
    </w:p>
    <w:p>
      <w:pPr>
        <w:spacing w:after="0" w:line="4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dated February 18, 2010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733425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513"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SIGNATURES</w:t>
      </w:r>
    </w:p>
    <w:p>
      <w:pPr>
        <w:spacing w:after="0" w:line="25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380" w:type="dxa"/>
            <w:vAlign w:val="bottom"/>
            <w:gridSpan w:val="2"/>
          </w:tcPr>
          <w:p>
            <w:pPr>
              <w:ind w:left="1160"/>
              <w:spacing w:after="0"/>
              <w:rPr>
                <w:sz w:val="20"/>
                <w:szCs w:val="20"/>
                <w:color w:val="auto"/>
              </w:rPr>
            </w:pPr>
            <w:r>
              <w:rPr>
                <w:rFonts w:ascii="Arial" w:cs="Arial" w:eastAsia="Arial" w:hAnsi="Arial"/>
                <w:sz w:val="18"/>
                <w:szCs w:val="18"/>
                <w:color w:val="auto"/>
              </w:rPr>
              <w:t>THE TORO COMPANY</w:t>
            </w:r>
          </w:p>
        </w:tc>
      </w:tr>
      <w:tr>
        <w:trPr>
          <w:trHeight w:val="230"/>
        </w:trPr>
        <w:tc>
          <w:tcPr>
            <w:tcW w:w="28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380" w:type="dxa"/>
            <w:vAlign w:val="bottom"/>
            <w:gridSpan w:val="2"/>
          </w:tcPr>
          <w:p>
            <w:pPr>
              <w:ind w:left="1160"/>
              <w:spacing w:after="0"/>
              <w:rPr>
                <w:sz w:val="20"/>
                <w:szCs w:val="20"/>
                <w:color w:val="auto"/>
              </w:rPr>
            </w:pPr>
            <w:r>
              <w:rPr>
                <w:rFonts w:ascii="Arial" w:cs="Arial" w:eastAsia="Arial" w:hAnsi="Arial"/>
                <w:sz w:val="18"/>
                <w:szCs w:val="18"/>
                <w:color w:val="auto"/>
              </w:rPr>
              <w:t>(Registrant)</w:t>
            </w:r>
          </w:p>
        </w:tc>
      </w:tr>
      <w:tr>
        <w:trPr>
          <w:trHeight w:val="419"/>
        </w:trPr>
        <w:tc>
          <w:tcPr>
            <w:tcW w:w="2800" w:type="dxa"/>
            <w:vAlign w:val="bottom"/>
          </w:tcPr>
          <w:p>
            <w:pPr>
              <w:spacing w:after="0"/>
              <w:rPr>
                <w:sz w:val="20"/>
                <w:szCs w:val="20"/>
                <w:color w:val="auto"/>
              </w:rPr>
            </w:pPr>
            <w:r>
              <w:rPr>
                <w:rFonts w:ascii="Arial" w:cs="Arial" w:eastAsia="Arial" w:hAnsi="Arial"/>
                <w:sz w:val="18"/>
                <w:szCs w:val="18"/>
                <w:color w:val="auto"/>
              </w:rPr>
              <w:t>Date: February 18, 2010</w:t>
            </w:r>
          </w:p>
        </w:tc>
        <w:tc>
          <w:tcPr>
            <w:tcW w:w="8620" w:type="dxa"/>
            <w:vAlign w:val="bottom"/>
            <w:gridSpan w:val="3"/>
          </w:tcPr>
          <w:p>
            <w:pPr>
              <w:ind w:left="980"/>
              <w:spacing w:after="0"/>
              <w:rPr>
                <w:sz w:val="20"/>
                <w:szCs w:val="20"/>
                <w:color w:val="auto"/>
              </w:rPr>
            </w:pPr>
            <w:r>
              <w:rPr>
                <w:rFonts w:ascii="Arial" w:cs="Arial" w:eastAsia="Arial" w:hAnsi="Arial"/>
                <w:sz w:val="18"/>
                <w:szCs w:val="18"/>
                <w:color w:val="auto"/>
              </w:rPr>
              <w:t>By /s/ Stephen P. Wolfe</w:t>
            </w:r>
          </w:p>
        </w:tc>
      </w:tr>
      <w:tr>
        <w:trPr>
          <w:trHeight w:val="20"/>
        </w:trPr>
        <w:tc>
          <w:tcPr>
            <w:tcW w:w="2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r>
      <w:tr>
        <w:trPr>
          <w:trHeight w:val="222"/>
        </w:trPr>
        <w:tc>
          <w:tcPr>
            <w:tcW w:w="2800" w:type="dxa"/>
            <w:vAlign w:val="bottom"/>
          </w:tcPr>
          <w:p>
            <w:pPr>
              <w:spacing w:after="0"/>
              <w:rPr>
                <w:sz w:val="19"/>
                <w:szCs w:val="19"/>
                <w:color w:val="auto"/>
              </w:rPr>
            </w:pPr>
          </w:p>
        </w:tc>
        <w:tc>
          <w:tcPr>
            <w:tcW w:w="8620" w:type="dxa"/>
            <w:vAlign w:val="bottom"/>
            <w:gridSpan w:val="3"/>
          </w:tcPr>
          <w:p>
            <w:pPr>
              <w:ind w:left="980"/>
              <w:spacing w:after="0"/>
              <w:rPr>
                <w:sz w:val="20"/>
                <w:szCs w:val="20"/>
                <w:color w:val="auto"/>
              </w:rPr>
            </w:pPr>
            <w:r>
              <w:rPr>
                <w:rFonts w:ascii="Arial" w:cs="Arial" w:eastAsia="Arial" w:hAnsi="Arial"/>
                <w:sz w:val="18"/>
                <w:szCs w:val="18"/>
                <w:color w:val="auto"/>
              </w:rPr>
              <w:t>Stephen P. Wolfe</w:t>
            </w:r>
          </w:p>
        </w:tc>
      </w:tr>
      <w:tr>
        <w:trPr>
          <w:trHeight w:val="230"/>
        </w:trPr>
        <w:tc>
          <w:tcPr>
            <w:tcW w:w="2800" w:type="dxa"/>
            <w:vAlign w:val="bottom"/>
          </w:tcPr>
          <w:p>
            <w:pPr>
              <w:spacing w:after="0"/>
              <w:rPr>
                <w:sz w:val="20"/>
                <w:szCs w:val="20"/>
                <w:color w:val="auto"/>
              </w:rPr>
            </w:pPr>
          </w:p>
        </w:tc>
        <w:tc>
          <w:tcPr>
            <w:tcW w:w="8620" w:type="dxa"/>
            <w:vAlign w:val="bottom"/>
            <w:gridSpan w:val="3"/>
          </w:tcPr>
          <w:p>
            <w:pPr>
              <w:ind w:left="980"/>
              <w:spacing w:after="0"/>
              <w:rPr>
                <w:sz w:val="20"/>
                <w:szCs w:val="20"/>
                <w:color w:val="auto"/>
              </w:rPr>
            </w:pPr>
            <w:r>
              <w:rPr>
                <w:rFonts w:ascii="Arial" w:cs="Arial" w:eastAsia="Arial" w:hAnsi="Arial"/>
                <w:sz w:val="18"/>
                <w:szCs w:val="18"/>
                <w:color w:val="auto"/>
              </w:rPr>
              <w:t>Vice President, Finance and Chief Financial Officer</w:t>
            </w:r>
          </w:p>
        </w:tc>
      </w:tr>
      <w:tr>
        <w:trPr>
          <w:trHeight w:val="902"/>
        </w:trPr>
        <w:tc>
          <w:tcPr>
            <w:tcW w:w="280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c>
          <w:tcPr>
            <w:tcW w:w="59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7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8680" w:type="dxa"/>
            <w:vAlign w:val="bottom"/>
            <w:tcBorders>
              <w:bottom w:val="single" w:sz="8" w:color="auto"/>
            </w:tcBorders>
          </w:tcPr>
          <w:p>
            <w:pPr>
              <w:ind w:left="2280"/>
              <w:spacing w:after="0"/>
              <w:rPr>
                <w:sz w:val="20"/>
                <w:szCs w:val="20"/>
                <w:color w:val="auto"/>
              </w:rPr>
            </w:pPr>
            <w:r>
              <w:rPr>
                <w:rFonts w:ascii="Arial" w:cs="Arial" w:eastAsia="Arial" w:hAnsi="Arial"/>
                <w:sz w:val="18"/>
                <w:szCs w:val="18"/>
                <w:b w:val="1"/>
                <w:bCs w:val="1"/>
                <w:color w:val="auto"/>
              </w:rPr>
              <w:t>EXHIBIT INDEX</w:t>
            </w:r>
          </w:p>
        </w:tc>
      </w:tr>
      <w:tr>
        <w:trPr>
          <w:trHeight w:val="385"/>
        </w:trPr>
        <w:tc>
          <w:tcPr>
            <w:tcW w:w="78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20" w:type="dxa"/>
            <w:vAlign w:val="bottom"/>
          </w:tcPr>
          <w:p>
            <w:pPr>
              <w:spacing w:after="0"/>
              <w:rPr>
                <w:sz w:val="24"/>
                <w:szCs w:val="24"/>
                <w:color w:val="auto"/>
              </w:rPr>
            </w:pPr>
          </w:p>
        </w:tc>
        <w:tc>
          <w:tcPr>
            <w:tcW w:w="10620" w:type="dxa"/>
            <w:vAlign w:val="bottom"/>
            <w:gridSpan w:val="3"/>
          </w:tcPr>
          <w:p>
            <w:pPr>
              <w:ind w:left="700"/>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r>
      <w:tr>
        <w:trPr>
          <w:trHeight w:val="196"/>
        </w:trPr>
        <w:tc>
          <w:tcPr>
            <w:tcW w:w="80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b w:val="1"/>
                <w:bCs w:val="1"/>
                <w:color w:val="auto"/>
                <w:w w:val="98"/>
              </w:rPr>
              <w:t>NUMBER</w:t>
            </w:r>
          </w:p>
        </w:tc>
        <w:tc>
          <w:tcPr>
            <w:tcW w:w="7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680" w:type="dxa"/>
            <w:vAlign w:val="bottom"/>
          </w:tcPr>
          <w:p>
            <w:pPr>
              <w:spacing w:after="0"/>
              <w:rPr>
                <w:sz w:val="17"/>
                <w:szCs w:val="17"/>
                <w:color w:val="auto"/>
              </w:rPr>
            </w:pPr>
          </w:p>
        </w:tc>
      </w:tr>
      <w:tr>
        <w:trPr>
          <w:trHeight w:val="237"/>
        </w:trPr>
        <w:tc>
          <w:tcPr>
            <w:tcW w:w="780" w:type="dxa"/>
            <w:vAlign w:val="bottom"/>
          </w:tcPr>
          <w:p>
            <w:pPr>
              <w:spacing w:after="0"/>
              <w:rPr>
                <w:sz w:val="20"/>
                <w:szCs w:val="20"/>
                <w:color w:val="auto"/>
              </w:rPr>
            </w:pPr>
            <w:r>
              <w:rPr>
                <w:rFonts w:ascii="Arial" w:cs="Arial" w:eastAsia="Arial" w:hAnsi="Arial"/>
                <w:sz w:val="18"/>
                <w:szCs w:val="18"/>
                <w:color w:val="auto"/>
              </w:rPr>
              <w:t>99.1</w:t>
            </w:r>
          </w:p>
        </w:tc>
        <w:tc>
          <w:tcPr>
            <w:tcW w:w="20" w:type="dxa"/>
            <w:vAlign w:val="bottom"/>
          </w:tcPr>
          <w:p>
            <w:pPr>
              <w:spacing w:after="0"/>
              <w:rPr>
                <w:sz w:val="20"/>
                <w:szCs w:val="20"/>
                <w:color w:val="auto"/>
              </w:rPr>
            </w:pPr>
          </w:p>
        </w:tc>
        <w:tc>
          <w:tcPr>
            <w:tcW w:w="10620" w:type="dxa"/>
            <w:vAlign w:val="bottom"/>
            <w:gridSpan w:val="3"/>
          </w:tcPr>
          <w:p>
            <w:pPr>
              <w:ind w:left="700"/>
              <w:spacing w:after="0"/>
              <w:rPr>
                <w:sz w:val="20"/>
                <w:szCs w:val="20"/>
                <w:color w:val="auto"/>
              </w:rPr>
            </w:pPr>
            <w:r>
              <w:rPr>
                <w:rFonts w:ascii="Arial" w:cs="Arial" w:eastAsia="Arial" w:hAnsi="Arial"/>
                <w:sz w:val="18"/>
                <w:szCs w:val="18"/>
                <w:color w:val="auto"/>
              </w:rPr>
              <w:t>Press release dated February 18, 2010 (furnished herewith).</w:t>
            </w:r>
          </w:p>
        </w:tc>
      </w:tr>
      <w:tr>
        <w:trPr>
          <w:trHeight w:val="686"/>
        </w:trPr>
        <w:tc>
          <w:tcPr>
            <w:tcW w:w="7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tcPr>
          <w:p>
            <w:pPr>
              <w:spacing w:after="0"/>
              <w:rPr>
                <w:sz w:val="24"/>
                <w:szCs w:val="24"/>
                <w:color w:val="auto"/>
              </w:rPr>
            </w:pPr>
          </w:p>
        </w:tc>
        <w:tc>
          <w:tcPr>
            <w:tcW w:w="8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-884555</wp:posOffset>
            </wp:positionV>
            <wp:extent cx="285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948690</wp:posOffset>
            </wp:positionH>
            <wp:positionV relativeFrom="paragraph">
              <wp:posOffset>-884555</wp:posOffset>
            </wp:positionV>
            <wp:extent cx="285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 w:name="page6"/>
    <w:bookmarkEnd w:id="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397510</wp:posOffset>
            </wp:positionV>
            <wp:extent cx="1929765" cy="12693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929765" cy="1269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John Wright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Investor Relations</w:t>
      </w:r>
    </w:p>
    <w:p>
      <w:pPr>
        <w:spacing w:after="0" w:line="9" w:lineRule="exact"/>
        <w:rPr>
          <w:sz w:val="20"/>
          <w:szCs w:val="20"/>
          <w:color w:val="auto"/>
        </w:rPr>
      </w:pPr>
    </w:p>
    <w:p>
      <w:pPr>
        <w:ind w:left="440" w:hanging="432"/>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887-8865, </w:t>
      </w:r>
      <w:r>
        <w:rPr>
          <w:rFonts w:ascii="Arial" w:cs="Arial" w:eastAsia="Arial" w:hAnsi="Arial"/>
          <w:sz w:val="18"/>
          <w:szCs w:val="18"/>
          <w:u w:val="single" w:color="auto"/>
          <w:color w:val="auto"/>
        </w:rPr>
        <w:t>invest@toro.com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Branden Happel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Manager, Public Relations</w:t>
      </w:r>
    </w:p>
    <w:p>
      <w:pPr>
        <w:spacing w:after="0" w:line="9" w:lineRule="exact"/>
        <w:rPr>
          <w:sz w:val="20"/>
          <w:szCs w:val="20"/>
          <w:color w:val="auto"/>
        </w:rPr>
      </w:pPr>
    </w:p>
    <w:p>
      <w:pPr>
        <w:ind w:left="440" w:hanging="432"/>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887-8930, </w:t>
      </w:r>
      <w:r>
        <w:rPr>
          <w:rFonts w:ascii="Arial" w:cs="Arial" w:eastAsia="Arial" w:hAnsi="Arial"/>
          <w:sz w:val="18"/>
          <w:szCs w:val="18"/>
          <w:u w:val="single" w:color="auto"/>
          <w:color w:val="auto"/>
        </w:rPr>
        <w:t>pr@toro.com</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Immediate Release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Toro Company Reports Fiscal 2010 First Quarter Results</w:t>
      </w:r>
    </w:p>
    <w:p>
      <w:pPr>
        <w:spacing w:after="0" w:line="256" w:lineRule="exact"/>
        <w:rPr>
          <w:sz w:val="20"/>
          <w:szCs w:val="20"/>
          <w:color w:val="auto"/>
        </w:rPr>
      </w:pPr>
    </w:p>
    <w:p>
      <w:pPr>
        <w:ind w:left="340" w:hanging="143"/>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Company delivers net earnings per share of $0.32, up $0.14 from prior year period</w:t>
      </w:r>
    </w:p>
    <w:p>
      <w:pPr>
        <w:spacing w:after="0" w:line="23" w:lineRule="exact"/>
        <w:rPr>
          <w:rFonts w:ascii="Arial" w:cs="Arial" w:eastAsia="Arial" w:hAnsi="Arial"/>
          <w:sz w:val="18"/>
          <w:szCs w:val="18"/>
          <w:color w:val="auto"/>
        </w:rPr>
      </w:pPr>
    </w:p>
    <w:p>
      <w:pPr>
        <w:ind w:left="340" w:hanging="143"/>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Field inventory levels continue to decline</w:t>
      </w:r>
    </w:p>
    <w:p>
      <w:pPr>
        <w:spacing w:after="0" w:line="9" w:lineRule="exact"/>
        <w:rPr>
          <w:rFonts w:ascii="Arial" w:cs="Arial" w:eastAsia="Arial" w:hAnsi="Arial"/>
          <w:sz w:val="18"/>
          <w:szCs w:val="18"/>
          <w:color w:val="auto"/>
        </w:rPr>
      </w:pPr>
    </w:p>
    <w:p>
      <w:pPr>
        <w:ind w:left="340" w:hanging="143"/>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Improved earnings and working capital drive better cash flow from operations</w:t>
      </w:r>
    </w:p>
    <w:p>
      <w:pPr>
        <w:spacing w:after="0" w:line="238"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BLOOMINGTON, Minn. (February 18, 2010) – The Toro Company (NYSE: TTC) today reported net earnings of $10.9 million, or $0.32 per share, on net sales of $331.4 million for its fiscal first quarter ended January 29, 2010. In the comparable fiscal 2009 period, the company reported net earnings of $6.7 million, or $0.18 per share, on net sales of $340.2 million. Financial results for last year’s first quarter were reduced by a pre-tax charge of $1.3 million, or $0.02 per share on an after-tax basis, to account for workforce adjustments.</w:t>
      </w:r>
    </w:p>
    <w:p>
      <w:pPr>
        <w:spacing w:after="0" w:line="214"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“Even with a slight decline in net sales, the leaner cost structure we put in place last year helped improve our profitability,” said Michael J. Hoffman, Toro’s chairman and chief executive officer. “Additionally, field inventories are down significantly and our customers, channel partners and key retailers are excited about our new product offerings for the coming season. On another positive note, our cash flow strengthened as a result of higher earnings and driving improvement in all three areas of working capital including reducing accounts receivable, lowering inventory and increasing trade payables.”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SEGMENT RESULTS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w:t>
      </w:r>
    </w:p>
    <w:p>
      <w:pPr>
        <w:spacing w:after="0" w:line="256" w:lineRule="exact"/>
        <w:rPr>
          <w:sz w:val="20"/>
          <w:szCs w:val="20"/>
          <w:color w:val="auto"/>
        </w:rPr>
      </w:pPr>
    </w:p>
    <w:p>
      <w:pPr>
        <w:jc w:val="both"/>
        <w:ind w:left="660" w:hanging="139"/>
        <w:spacing w:after="0" w:line="25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Professional segment net sales for the fiscal 2010 first quarter totaled $212.8 million, down 7.2 percent compared with the same period last year. While retail sales activity suggests that demand is starting to move in the right direction, shipments were lower across most professional categories as customers aligned their orders closer to the selling season, leading to a further reduction in field inventories. Declines in the segment were somewhat offset by increased worldwide shipments for micro irrigation products as agricultural growers look to conserve water resources and improve crop yields.</w:t>
      </w:r>
    </w:p>
    <w:p>
      <w:pPr>
        <w:spacing w:after="0" w:line="215" w:lineRule="exact"/>
        <w:rPr>
          <w:rFonts w:ascii="Arial" w:cs="Arial" w:eastAsia="Arial" w:hAnsi="Arial"/>
          <w:sz w:val="18"/>
          <w:szCs w:val="18"/>
          <w:color w:val="auto"/>
        </w:rPr>
      </w:pPr>
    </w:p>
    <w:p>
      <w:pPr>
        <w:ind w:left="660" w:hanging="139"/>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Professional segment earnings for the fiscal 2010 first quarter were $25.8 million, down $4.3 million from last year’s first quarter.</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2 – The Toro Company Reports Fiscal 2010 First Quarter Results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w:t>
      </w:r>
    </w:p>
    <w:p>
      <w:pPr>
        <w:spacing w:after="0" w:line="256" w:lineRule="exact"/>
        <w:rPr>
          <w:sz w:val="20"/>
          <w:szCs w:val="20"/>
          <w:color w:val="auto"/>
        </w:rPr>
      </w:pPr>
    </w:p>
    <w:p>
      <w:pPr>
        <w:jc w:val="both"/>
        <w:ind w:left="660" w:hanging="139"/>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Residential segment net sales for the fiscal 2010 first quarter totaled $116.8 million, up 9.1 percent compared with the same period last year. Sales benefited from strong orders of irrigation products in Australia as a result of improved weather conditions, and increased worldwide shipments for snowthrowers.</w:t>
      </w:r>
    </w:p>
    <w:p>
      <w:pPr>
        <w:spacing w:after="0" w:line="208" w:lineRule="exact"/>
        <w:rPr>
          <w:rFonts w:ascii="Arial" w:cs="Arial" w:eastAsia="Arial" w:hAnsi="Arial"/>
          <w:sz w:val="18"/>
          <w:szCs w:val="18"/>
          <w:color w:val="auto"/>
        </w:rPr>
      </w:pPr>
    </w:p>
    <w:p>
      <w:pPr>
        <w:ind w:left="660" w:hanging="139"/>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Residential segment earnings for the fiscal 2010 first quarter were $13.4 million, up $8.6 million from last year’s first quarter.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REVIEW OF OPERATIONS</w:t>
      </w:r>
    </w:p>
    <w:p>
      <w:pPr>
        <w:spacing w:after="0" w:line="256"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Gross margin for the fiscal 2010 first quarter was 35.1 percent, up 30 basis points from 34.8 percent in last year’s first quarter. The improvement in gross margin reflects the benefit of lower commodity costs, favorable currency movements and cost reduction efforts, which were partially offset by unfavorable product mix.</w:t>
      </w:r>
    </w:p>
    <w:p>
      <w:pPr>
        <w:spacing w:after="0" w:line="208"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Selling, general and administrative (SG&amp;A) expenses for the fiscal 2010 first quarter declined $8.0 million, or 7.6 percent, compared with last year’s first quarter. As a percentage of net sales, SG&amp;A expenses declined to 29.2 percent compared with 30.7 percent in the same period last year. The decline in SG&amp;A expenses, in both dollars and as a percent of net sales, resulted primarily from cost structure actions taken in fiscal 2009, most of them subsequent to the close of last year’s first quarter. The decline in SG&amp;A was somewhat offset by higher incentive costs.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for the fiscal 2010 first quarter was $4.2 million, down 2.6 percent compared with last year’s first quarter.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effective tax rate for the fiscal 2010 first quarter was 33.6 percent compared with 33.7 in last year’s first quarter.</w:t>
      </w:r>
    </w:p>
    <w:p>
      <w:pPr>
        <w:spacing w:after="0" w:line="252"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Accounts receivable at the end of the fiscal 2010 first quarter totaled $167.3 million, down $130.7 million or 43.9 percent from last year’s first quarter, on a sales decline of 2.6 percent. The majority of the difference is attributable to the sale of receivables to the Red Iron Acceptance joint venture. Net inventories were $191.1 million for the fiscal 2010 first quarter, down $47.6 million or 20.0 percent from last year’s first quarter. Trade payables were $109.6 million, up $20 million or 22.3 percent from last year’s first quarter, driven mostly by a supply chain initiative.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 OUTLOOK</w:t>
      </w:r>
    </w:p>
    <w:p>
      <w:pPr>
        <w:spacing w:after="0" w:line="256"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“After a very difficult fiscal 2009, we are encouraged with how the new fiscal year has begun. With the peak selling season still ahead, we remain guarded in our market outlook, but believe our many new products will help drive retail sales and share gains,” said Hoffman. “Given our leaner cost structure, and continued focus on innovation and asset management, we believe we are well positioned to benefit from a recovery in retail demand as our markets improve.”</w:t>
      </w:r>
    </w:p>
    <w:p>
      <w:pPr>
        <w:spacing w:after="0" w:line="17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 now expects fiscal 2010 net earnings per share to be about $2.15 on revenues comparable with fiscal 2009. For its fiscal 2010 second quarter, the company expects to report net earnings per share of about $1.15.</w:t>
      </w:r>
    </w:p>
    <w:p>
      <w:pPr>
        <w:spacing w:after="0" w:line="19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Toro Company is a leading worldwide provider of outdoor maintenance equipment and beautification products to help customers care for golf courses, sports fields, public green spaces, commercial and residential properties, and agricultural fields.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3 – The Toro Company Reports Fiscal 2010 First Quarter Results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LIVE CONFERENCE CALL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February 18, 10:00 a.m. CST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www.thetorocompany.com/invest</w:t>
      </w:r>
    </w:p>
    <w:p>
      <w:pPr>
        <w:spacing w:after="0" w:line="238" w:lineRule="exact"/>
        <w:rPr>
          <w:sz w:val="20"/>
          <w:szCs w:val="20"/>
          <w:color w:val="auto"/>
        </w:rPr>
      </w:pPr>
    </w:p>
    <w:p>
      <w:pPr>
        <w:ind w:right="480"/>
        <w:spacing w:after="0" w:line="312" w:lineRule="auto"/>
        <w:rPr>
          <w:sz w:val="20"/>
          <w:szCs w:val="20"/>
          <w:color w:val="auto"/>
        </w:rPr>
      </w:pPr>
      <w:r>
        <w:rPr>
          <w:rFonts w:ascii="Arial" w:cs="Arial" w:eastAsia="Arial" w:hAnsi="Arial"/>
          <w:sz w:val="16"/>
          <w:szCs w:val="16"/>
          <w:i w:val="1"/>
          <w:iCs w:val="1"/>
          <w:color w:val="auto"/>
        </w:rPr>
        <w:t xml:space="preserve">The Toro Company will conduct a conference call and webcast for investors beginning at 10:00 a.m. Central Daylight Time (CDT) on February 18, 2010. The webcast will be available at </w:t>
      </w:r>
      <w:r>
        <w:rPr>
          <w:rFonts w:ascii="Arial" w:cs="Arial" w:eastAsia="Arial" w:hAnsi="Arial"/>
          <w:sz w:val="16"/>
          <w:szCs w:val="16"/>
          <w:i w:val="1"/>
          <w:iCs w:val="1"/>
          <w:u w:val="single" w:color="auto"/>
          <w:color w:val="auto"/>
        </w:rPr>
        <w:t>www.streetevents.com</w:t>
      </w:r>
      <w:r>
        <w:rPr>
          <w:rFonts w:ascii="Arial" w:cs="Arial" w:eastAsia="Arial" w:hAnsi="Arial"/>
          <w:sz w:val="16"/>
          <w:szCs w:val="16"/>
          <w:i w:val="1"/>
          <w:iCs w:val="1"/>
          <w:color w:val="auto"/>
        </w:rPr>
        <w:t xml:space="preserve"> or at </w:t>
      </w:r>
      <w:r>
        <w:rPr>
          <w:rFonts w:ascii="Arial" w:cs="Arial" w:eastAsia="Arial" w:hAnsi="Arial"/>
          <w:sz w:val="16"/>
          <w:szCs w:val="16"/>
          <w:i w:val="1"/>
          <w:iCs w:val="1"/>
          <w:u w:val="single" w:color="auto"/>
          <w:color w:val="auto"/>
        </w:rPr>
        <w:t>www.thetorocompany.com/invest</w:t>
      </w:r>
      <w:r>
        <w:rPr>
          <w:rFonts w:ascii="Arial" w:cs="Arial" w:eastAsia="Arial" w:hAnsi="Arial"/>
          <w:sz w:val="16"/>
          <w:szCs w:val="16"/>
          <w:i w:val="1"/>
          <w:iCs w:val="1"/>
          <w:color w:val="auto"/>
        </w:rPr>
        <w:t>. Webcast participants will need to complete a brief registration form and should allocate extra time before the webcast begins to register and, if necessary, download and install audio software.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w:t>
      </w:r>
    </w:p>
    <w:p>
      <w:pPr>
        <w:spacing w:after="0" w:line="27"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Statements made in this news release, which are forward-looking, are made pursuant to the safe harbor provisions of the Private Securities Litigation Reform Act of 1995. Forward-looking statements involve risks and uncertainties that could cause actual results to differ materially from those projected or implied. These uncertainties include factors that affect all businesses operating in a global market as well as matters specific to Toro. Particular risks and uncertainties that may affect the company’s operating results or overall financial position at the present include: slow or negative growth rates in global and domestic economies, resulting in rising unemployment and weakened consumer confidence; the threat of further terrorist acts and war, which may result in contraction of the U.S. and worldwide economies; drug cartel-related violence, which may disrupt our production activities and maquiladora operations based in Juarez, Mexico; fluctuations in the cost and availability of raw materials, including steel, resins and other commodities; fluctuating fuel and other costs of transportation; the impact of abnormal weather patterns, natural disasters and global pandemics; the level of growth or contraction in our markets, including the golf market; government and municipal revenue, budget and spending levels, which may negatively impact our grounds maintenance equipment business in the event of reduced tax revenues and tighter government budgets; dependence on The Home Depot as a customer for the residential segment; elimination of shelf space for our products at retailers; inventory adjustments or changes in purchasing patterns by our customers; market acceptance of existing and new products; increased competition; our ability to achieve the profitability goal for our one-year initiative called “5 in ONE, Back on Course!” which is intended to improve our after-tax return on sales; our increased dependence on international sales and the risks attendant to international operations; credit availability and terms, interest rates and currency movements including, in particular, our exposure to foreign currency risk; our relationships with our distribution channel partners, including the financial viability of distributors and dealers; our ability to successfully achieve our plans for and integrate acquisitions and manage alliances or joint ventures, including Red Iron Acceptance, LLC; the costs and effects of changes in tax, fiscal, government and other regulatory policies, including rules relating to environmental, health and safety matters; unforeseen product quality or other problems in the development, production and usage of new and existing products; loss of or changes in executive management or key employees; ability of management to manage around unplanned events; our reliance on our intellectual property rights and the absence of infringement of the intellectual property rights of others; the occurrence of litigation or claims, including the previously disclosed pending litigation against the company and other defendants that challenges the horsepower ratings of lawnmowers, of which the company is currently unable to assess whether the litigation would have a material adverse effect on the company’s consolidated operating results or financial condition, although an adverse result might be material to operating results in a particular reporting period. In addition to the factors set forth in this paragraph, market, economic, financial, competitive, legislative, governmental, weather, production and other factors identified in Toro's quarterly and annual reports filed with the Securities and Exchange Commission, could affect the forward-looking statements in this press release. Toro undertakes no obligation to update forward-looking statements made in this release to reflect events or circumstances after the date of this release.</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tables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392430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THE TORO COMPANY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Earnings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and shares in thousands, except per-share data)</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gridSpan w:val="8"/>
          </w:tcPr>
          <w:p>
            <w:pPr>
              <w:jc w:val="right"/>
              <w:ind w:right="68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gridSpan w:val="4"/>
          </w:tcPr>
          <w:p>
            <w:pPr>
              <w:jc w:val="right"/>
              <w:ind w:right="340"/>
              <w:spacing w:after="0" w:line="198" w:lineRule="exact"/>
              <w:rPr>
                <w:sz w:val="20"/>
                <w:szCs w:val="20"/>
                <w:color w:val="auto"/>
              </w:rPr>
            </w:pPr>
            <w:r>
              <w:rPr>
                <w:rFonts w:ascii="Arial" w:cs="Arial" w:eastAsia="Arial" w:hAnsi="Arial"/>
                <w:sz w:val="18"/>
                <w:szCs w:val="18"/>
                <w:b w:val="1"/>
                <w:bCs w:val="1"/>
                <w:color w:val="auto"/>
                <w:w w:val="90"/>
              </w:rPr>
              <w:t>January 29,</w:t>
            </w:r>
          </w:p>
        </w:tc>
        <w:tc>
          <w:tcPr>
            <w:tcW w:w="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right"/>
              <w:ind w:right="90"/>
              <w:spacing w:after="0" w:line="198" w:lineRule="exact"/>
              <w:rPr>
                <w:sz w:val="20"/>
                <w:szCs w:val="20"/>
                <w:color w:val="auto"/>
              </w:rPr>
            </w:pPr>
            <w:r>
              <w:rPr>
                <w:rFonts w:ascii="Arial" w:cs="Arial" w:eastAsia="Arial" w:hAnsi="Arial"/>
                <w:sz w:val="18"/>
                <w:szCs w:val="18"/>
                <w:b w:val="1"/>
                <w:bCs w:val="1"/>
                <w:color w:val="auto"/>
                <w:w w:val="94"/>
              </w:rPr>
              <w:t>January 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40" w:type="dxa"/>
            <w:vAlign w:val="bottom"/>
            <w:gridSpan w:val="4"/>
          </w:tcPr>
          <w:p>
            <w:pPr>
              <w:spacing w:after="0"/>
              <w:rPr>
                <w:sz w:val="20"/>
                <w:szCs w:val="20"/>
                <w:color w:val="auto"/>
              </w:rPr>
            </w:pPr>
            <w:r>
              <w:rPr>
                <w:rFonts w:ascii="Arial" w:cs="Arial" w:eastAsia="Arial" w:hAnsi="Arial"/>
                <w:sz w:val="18"/>
                <w:szCs w:val="18"/>
                <w:color w:val="auto"/>
              </w:rPr>
              <w:t>Net sales</w:t>
            </w:r>
          </w:p>
        </w:tc>
        <w:tc>
          <w:tcPr>
            <w:tcW w:w="45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331,358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Borders>
              <w:top w:val="single" w:sz="8" w:color="auto"/>
            </w:tcBorders>
            <w:gridSpan w:val="2"/>
          </w:tcPr>
          <w:p>
            <w:pPr>
              <w:jc w:val="right"/>
              <w:ind w:right="236"/>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340,172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Gross profit</w:t>
            </w:r>
          </w:p>
        </w:tc>
        <w:tc>
          <w:tcPr>
            <w:tcW w:w="4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116,391</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118,260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3"/>
          </w:tcPr>
          <w:p>
            <w:pPr>
              <w:ind w:left="480"/>
              <w:spacing w:after="0"/>
              <w:rPr>
                <w:sz w:val="20"/>
                <w:szCs w:val="20"/>
                <w:color w:val="auto"/>
              </w:rPr>
            </w:pPr>
            <w:r>
              <w:rPr>
                <w:rFonts w:ascii="Arial" w:cs="Arial" w:eastAsia="Arial" w:hAnsi="Arial"/>
                <w:sz w:val="18"/>
                <w:szCs w:val="18"/>
                <w:color w:val="auto"/>
              </w:rPr>
              <w:t>Gross profit percent</w:t>
            </w:r>
          </w:p>
        </w:tc>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35.1%</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Selling, general, and administrative expense</w:t>
            </w:r>
          </w:p>
        </w:tc>
        <w:tc>
          <w:tcPr>
            <w:tcW w:w="45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96,599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104,559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3"/>
          </w:tcPr>
          <w:p>
            <w:pPr>
              <w:ind w:left="480"/>
              <w:spacing w:after="0"/>
              <w:rPr>
                <w:sz w:val="20"/>
                <w:szCs w:val="20"/>
                <w:color w:val="auto"/>
              </w:rPr>
            </w:pPr>
            <w:r>
              <w:rPr>
                <w:rFonts w:ascii="Arial" w:cs="Arial" w:eastAsia="Arial" w:hAnsi="Arial"/>
                <w:sz w:val="18"/>
                <w:szCs w:val="18"/>
                <w:color w:val="auto"/>
              </w:rPr>
              <w:t>Earnings from operations</w:t>
            </w:r>
          </w:p>
        </w:tc>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19,792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13,701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4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(4,245)</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gridSpan w:val="3"/>
          </w:tcPr>
          <w:p>
            <w:pPr>
              <w:spacing w:after="0"/>
              <w:rPr>
                <w:sz w:val="20"/>
                <w:szCs w:val="20"/>
                <w:color w:val="auto"/>
              </w:rPr>
            </w:pPr>
            <w:r>
              <w:rPr>
                <w:rFonts w:ascii="Arial" w:cs="Arial" w:eastAsia="Arial" w:hAnsi="Arial"/>
                <w:sz w:val="18"/>
                <w:szCs w:val="18"/>
                <w:color w:val="auto"/>
              </w:rPr>
              <w:t>Other income, net</w:t>
            </w:r>
          </w:p>
        </w:tc>
        <w:tc>
          <w:tcPr>
            <w:tcW w:w="4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Earnings before income taxes</w:t>
            </w:r>
          </w:p>
        </w:tc>
        <w:tc>
          <w:tcPr>
            <w:tcW w:w="4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16,448</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gridSpan w:val="3"/>
          </w:tcPr>
          <w:p>
            <w:pPr>
              <w:spacing w:after="0"/>
              <w:rPr>
                <w:sz w:val="20"/>
                <w:szCs w:val="20"/>
                <w:color w:val="auto"/>
              </w:rPr>
            </w:pPr>
            <w:r>
              <w:rPr>
                <w:rFonts w:ascii="Arial" w:cs="Arial" w:eastAsia="Arial" w:hAnsi="Arial"/>
                <w:sz w:val="18"/>
                <w:szCs w:val="18"/>
                <w:color w:val="auto"/>
              </w:rPr>
              <w:t>Provision for income taxes</w:t>
            </w:r>
          </w:p>
        </w:tc>
        <w:tc>
          <w:tcPr>
            <w:tcW w:w="4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12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Net earnings</w:t>
            </w:r>
          </w:p>
        </w:tc>
        <w:tc>
          <w:tcPr>
            <w:tcW w:w="458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10,918</w:t>
            </w:r>
          </w:p>
        </w:tc>
        <w:tc>
          <w:tcPr>
            <w:tcW w:w="120" w:type="dxa"/>
            <w:vAlign w:val="bottom"/>
            <w:shd w:val="clear" w:color="auto" w:fill="CCEEFF"/>
          </w:tcPr>
          <w:p>
            <w:pPr>
              <w:spacing w:after="0"/>
              <w:rPr>
                <w:sz w:val="22"/>
                <w:szCs w:val="22"/>
                <w:color w:val="auto"/>
              </w:rPr>
            </w:pPr>
          </w:p>
        </w:tc>
        <w:tc>
          <w:tcPr>
            <w:tcW w:w="460" w:type="dxa"/>
            <w:vAlign w:val="bottom"/>
            <w:gridSpan w:val="3"/>
            <w:shd w:val="clear" w:color="auto" w:fill="CCEEFF"/>
          </w:tcPr>
          <w:p>
            <w:pPr>
              <w:jc w:val="right"/>
              <w:ind w:right="236"/>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6,731</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5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Basic net earnings per share</w:t>
            </w:r>
          </w:p>
        </w:tc>
        <w:tc>
          <w:tcPr>
            <w:tcW w:w="458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0.32</w:t>
            </w:r>
          </w:p>
        </w:tc>
        <w:tc>
          <w:tcPr>
            <w:tcW w:w="120" w:type="dxa"/>
            <w:vAlign w:val="bottom"/>
            <w:shd w:val="clear" w:color="auto" w:fill="CCEEFF"/>
          </w:tcPr>
          <w:p>
            <w:pPr>
              <w:spacing w:after="0"/>
              <w:rPr>
                <w:sz w:val="22"/>
                <w:szCs w:val="22"/>
                <w:color w:val="auto"/>
              </w:rPr>
            </w:pPr>
          </w:p>
        </w:tc>
        <w:tc>
          <w:tcPr>
            <w:tcW w:w="460" w:type="dxa"/>
            <w:vAlign w:val="bottom"/>
            <w:gridSpan w:val="3"/>
            <w:shd w:val="clear" w:color="auto" w:fill="CCEEFF"/>
          </w:tcPr>
          <w:p>
            <w:pPr>
              <w:jc w:val="right"/>
              <w:ind w:right="236"/>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5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1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Diluted net earnings per share</w:t>
            </w:r>
          </w:p>
        </w:tc>
        <w:tc>
          <w:tcPr>
            <w:tcW w:w="458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0.32</w:t>
            </w:r>
          </w:p>
        </w:tc>
        <w:tc>
          <w:tcPr>
            <w:tcW w:w="120" w:type="dxa"/>
            <w:vAlign w:val="bottom"/>
            <w:shd w:val="clear" w:color="auto" w:fill="CCEEFF"/>
          </w:tcPr>
          <w:p>
            <w:pPr>
              <w:spacing w:after="0"/>
              <w:rPr>
                <w:sz w:val="22"/>
                <w:szCs w:val="22"/>
                <w:color w:val="auto"/>
              </w:rPr>
            </w:pPr>
          </w:p>
        </w:tc>
        <w:tc>
          <w:tcPr>
            <w:tcW w:w="460" w:type="dxa"/>
            <w:vAlign w:val="bottom"/>
            <w:gridSpan w:val="3"/>
            <w:shd w:val="clear" w:color="auto" w:fill="CCEEFF"/>
          </w:tcPr>
          <w:p>
            <w:pPr>
              <w:jc w:val="right"/>
              <w:ind w:right="236"/>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5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Weighted average number of shares of common</w:t>
            </w:r>
          </w:p>
        </w:tc>
        <w:tc>
          <w:tcPr>
            <w:tcW w:w="4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stock outstanding – Basic</w:t>
            </w:r>
          </w:p>
        </w:tc>
        <w:tc>
          <w:tcPr>
            <w:tcW w:w="4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34,030</w:t>
            </w: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36,366</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Weighted average number of shares of common</w:t>
            </w:r>
          </w:p>
        </w:tc>
        <w:tc>
          <w:tcPr>
            <w:tcW w:w="4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stock outstanding – Dilutive</w:t>
            </w:r>
          </w:p>
        </w:tc>
        <w:tc>
          <w:tcPr>
            <w:tcW w:w="4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34,294</w:t>
            </w: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36,805</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927"/>
        </w:trPr>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580" w:type="dxa"/>
            <w:vAlign w:val="bottom"/>
          </w:tcPr>
          <w:p>
            <w:pPr>
              <w:jc w:val="center"/>
              <w:ind w:right="1350"/>
              <w:spacing w:after="0"/>
              <w:rPr>
                <w:sz w:val="20"/>
                <w:szCs w:val="20"/>
                <w:color w:val="auto"/>
              </w:rPr>
            </w:pPr>
            <w:r>
              <w:rPr>
                <w:rFonts w:ascii="Arial" w:cs="Arial" w:eastAsia="Arial" w:hAnsi="Arial"/>
                <w:sz w:val="18"/>
                <w:szCs w:val="18"/>
                <w:b w:val="1"/>
                <w:bCs w:val="1"/>
                <w:color w:val="auto"/>
                <w:w w:val="91"/>
              </w:rPr>
              <w:t>Segment Data (Unaudited)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580" w:type="dxa"/>
            <w:vAlign w:val="bottom"/>
          </w:tcPr>
          <w:p>
            <w:pPr>
              <w:jc w:val="center"/>
              <w:ind w:right="1350"/>
              <w:spacing w:after="0"/>
              <w:rPr>
                <w:sz w:val="20"/>
                <w:szCs w:val="20"/>
                <w:color w:val="auto"/>
              </w:rPr>
            </w:pPr>
            <w:r>
              <w:rPr>
                <w:rFonts w:ascii="Arial" w:cs="Arial" w:eastAsia="Arial" w:hAnsi="Arial"/>
                <w:sz w:val="18"/>
                <w:szCs w:val="18"/>
                <w:b w:val="1"/>
                <w:bCs w:val="1"/>
                <w:color w:val="auto"/>
                <w:w w:val="89"/>
              </w:rPr>
              <w:t>(Dollars in thousands)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gridSpan w:val="8"/>
          </w:tcPr>
          <w:p>
            <w:pPr>
              <w:jc w:val="right"/>
              <w:ind w:right="60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3"/>
          </w:tcPr>
          <w:p>
            <w:pPr>
              <w:jc w:val="center"/>
              <w:ind w:right="220"/>
              <w:spacing w:after="0" w:line="198" w:lineRule="exact"/>
              <w:rPr>
                <w:sz w:val="20"/>
                <w:szCs w:val="20"/>
                <w:color w:val="auto"/>
              </w:rPr>
            </w:pPr>
            <w:r>
              <w:rPr>
                <w:rFonts w:ascii="Arial" w:cs="Arial" w:eastAsia="Arial" w:hAnsi="Arial"/>
                <w:sz w:val="18"/>
                <w:szCs w:val="18"/>
                <w:b w:val="1"/>
                <w:bCs w:val="1"/>
                <w:color w:val="auto"/>
                <w:w w:val="90"/>
              </w:rPr>
              <w:t>January 29,</w:t>
            </w:r>
          </w:p>
        </w:tc>
        <w:tc>
          <w:tcPr>
            <w:tcW w:w="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center"/>
              <w:spacing w:after="0" w:line="198" w:lineRule="exact"/>
              <w:rPr>
                <w:sz w:val="20"/>
                <w:szCs w:val="20"/>
                <w:color w:val="auto"/>
              </w:rPr>
            </w:pPr>
            <w:r>
              <w:rPr>
                <w:rFonts w:ascii="Arial" w:cs="Arial" w:eastAsia="Arial" w:hAnsi="Arial"/>
                <w:sz w:val="18"/>
                <w:szCs w:val="18"/>
                <w:b w:val="1"/>
                <w:bCs w:val="1"/>
                <w:color w:val="auto"/>
                <w:w w:val="92"/>
              </w:rPr>
              <w:t>January 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140" w:type="dxa"/>
            <w:vAlign w:val="bottom"/>
            <w:gridSpan w:val="4"/>
          </w:tcPr>
          <w:p>
            <w:pPr>
              <w:spacing w:after="0" w:line="194" w:lineRule="exact"/>
              <w:rPr>
                <w:sz w:val="20"/>
                <w:szCs w:val="20"/>
                <w:color w:val="auto"/>
              </w:rPr>
            </w:pPr>
            <w:r>
              <w:rPr>
                <w:rFonts w:ascii="Arial" w:cs="Arial" w:eastAsia="Arial" w:hAnsi="Arial"/>
                <w:sz w:val="18"/>
                <w:szCs w:val="18"/>
                <w:b w:val="1"/>
                <w:bCs w:val="1"/>
                <w:color w:val="auto"/>
              </w:rPr>
              <w:t>Segment Net Sales</w:t>
            </w:r>
          </w:p>
        </w:tc>
        <w:tc>
          <w:tcPr>
            <w:tcW w:w="4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89"/>
              </w:rPr>
              <w:t>2010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center"/>
              <w:ind w:right="290"/>
              <w:spacing w:after="0" w:line="194" w:lineRule="exact"/>
              <w:rPr>
                <w:sz w:val="20"/>
                <w:szCs w:val="20"/>
                <w:color w:val="auto"/>
              </w:rPr>
            </w:pPr>
            <w:r>
              <w:rPr>
                <w:rFonts w:ascii="Arial" w:cs="Arial" w:eastAsia="Arial" w:hAnsi="Arial"/>
                <w:sz w:val="18"/>
                <w:szCs w:val="18"/>
                <w:b w:val="1"/>
                <w:bCs w:val="1"/>
                <w:color w:val="auto"/>
                <w:w w:val="89"/>
              </w:rPr>
              <w:t>2009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
        </w:trPr>
        <w:tc>
          <w:tcPr>
            <w:tcW w:w="4140" w:type="dxa"/>
            <w:vAlign w:val="bottom"/>
            <w:gridSpan w:val="4"/>
            <w:vMerge w:val="restart"/>
          </w:tcPr>
          <w:p>
            <w:pPr>
              <w:spacing w:after="0"/>
              <w:rPr>
                <w:sz w:val="20"/>
                <w:szCs w:val="20"/>
                <w:color w:val="auto"/>
              </w:rPr>
            </w:pPr>
            <w:r>
              <w:rPr>
                <w:rFonts w:ascii="Arial" w:cs="Arial" w:eastAsia="Arial" w:hAnsi="Arial"/>
                <w:sz w:val="18"/>
                <w:szCs w:val="18"/>
                <w:color w:val="auto"/>
              </w:rPr>
              <w:t>Professional</w:t>
            </w:r>
          </w:p>
        </w:tc>
        <w:tc>
          <w:tcPr>
            <w:tcW w:w="4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140" w:type="dxa"/>
            <w:vAlign w:val="bottom"/>
            <w:gridSpan w:val="4"/>
            <w:vMerge w:val="continue"/>
          </w:tcPr>
          <w:p>
            <w:pPr>
              <w:spacing w:after="0"/>
              <w:rPr>
                <w:sz w:val="18"/>
                <w:szCs w:val="18"/>
                <w:color w:val="auto"/>
              </w:rPr>
            </w:pPr>
          </w:p>
        </w:tc>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212,800</w:t>
            </w:r>
          </w:p>
        </w:tc>
        <w:tc>
          <w:tcPr>
            <w:tcW w:w="120" w:type="dxa"/>
            <w:vAlign w:val="bottom"/>
          </w:tcPr>
          <w:p>
            <w:pPr>
              <w:spacing w:after="0"/>
              <w:rPr>
                <w:sz w:val="18"/>
                <w:szCs w:val="18"/>
                <w:color w:val="auto"/>
              </w:rPr>
            </w:pPr>
          </w:p>
        </w:tc>
        <w:tc>
          <w:tcPr>
            <w:tcW w:w="100" w:type="dxa"/>
            <w:vAlign w:val="bottom"/>
            <w:gridSpan w:val="2"/>
          </w:tcPr>
          <w:p>
            <w:pPr>
              <w:spacing w:after="0"/>
              <w:rPr>
                <w:sz w:val="18"/>
                <w:szCs w:val="18"/>
                <w:color w:val="auto"/>
              </w:rPr>
            </w:pPr>
          </w:p>
        </w:tc>
        <w:tc>
          <w:tcPr>
            <w:tcW w:w="360" w:type="dxa"/>
            <w:vAlign w:val="bottom"/>
          </w:tcPr>
          <w:p>
            <w:pPr>
              <w:jc w:val="right"/>
              <w:ind w:right="196"/>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229,369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Residential</w:t>
            </w:r>
          </w:p>
        </w:tc>
        <w:tc>
          <w:tcPr>
            <w:tcW w:w="4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116,756</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3"/>
          </w:tcPr>
          <w:p>
            <w:pPr>
              <w:spacing w:after="0"/>
              <w:rPr>
                <w:sz w:val="20"/>
                <w:szCs w:val="20"/>
                <w:color w:val="auto"/>
              </w:rPr>
            </w:pPr>
            <w:r>
              <w:rPr>
                <w:rFonts w:ascii="Arial" w:cs="Arial" w:eastAsia="Arial" w:hAnsi="Arial"/>
                <w:sz w:val="18"/>
                <w:szCs w:val="18"/>
                <w:color w:val="auto"/>
              </w:rPr>
              <w:t>Other</w:t>
            </w:r>
          </w:p>
        </w:tc>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1,802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3,779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1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4580" w:type="dxa"/>
            <w:vAlign w:val="bottom"/>
            <w:shd w:val="clear" w:color="auto" w:fill="CCEEFF"/>
          </w:tcPr>
          <w:p>
            <w:pPr>
              <w:spacing w:after="0"/>
              <w:rPr>
                <w:sz w:val="20"/>
                <w:szCs w:val="20"/>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331,358</w:t>
            </w:r>
          </w:p>
        </w:tc>
        <w:tc>
          <w:tcPr>
            <w:tcW w:w="460" w:type="dxa"/>
            <w:vAlign w:val="bottom"/>
            <w:gridSpan w:val="3"/>
            <w:shd w:val="clear" w:color="auto" w:fill="CCEEFF"/>
          </w:tcPr>
          <w:p>
            <w:pPr>
              <w:jc w:val="right"/>
              <w:ind w:right="196"/>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340,172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140" w:type="dxa"/>
            <w:vAlign w:val="bottom"/>
            <w:gridSpan w:val="4"/>
          </w:tcPr>
          <w:p>
            <w:pPr>
              <w:spacing w:after="0"/>
              <w:rPr>
                <w:sz w:val="20"/>
                <w:szCs w:val="20"/>
                <w:color w:val="auto"/>
              </w:rPr>
            </w:pPr>
            <w:r>
              <w:rPr>
                <w:rFonts w:ascii="Arial" w:cs="Arial" w:eastAsia="Arial" w:hAnsi="Arial"/>
                <w:sz w:val="18"/>
                <w:szCs w:val="18"/>
                <w:color w:val="auto"/>
              </w:rPr>
              <w:t>* Includes international sales of</w:t>
            </w:r>
          </w:p>
        </w:tc>
        <w:tc>
          <w:tcPr>
            <w:tcW w:w="45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140" w:type="dxa"/>
            <w:vAlign w:val="bottom"/>
            <w:gridSpan w:val="3"/>
          </w:tcPr>
          <w:p>
            <w:pPr>
              <w:ind w:left="80"/>
              <w:spacing w:after="0"/>
              <w:rPr>
                <w:sz w:val="20"/>
                <w:szCs w:val="20"/>
                <w:color w:val="auto"/>
              </w:rPr>
            </w:pPr>
            <w:r>
              <w:rPr>
                <w:rFonts w:ascii="Arial" w:cs="Arial" w:eastAsia="Arial" w:hAnsi="Arial"/>
                <w:sz w:val="18"/>
                <w:szCs w:val="18"/>
                <w:color w:val="auto"/>
              </w:rPr>
              <w:t>128,383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130,391</w:t>
            </w: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gridSpan w:val="8"/>
          </w:tcPr>
          <w:p>
            <w:pPr>
              <w:jc w:val="right"/>
              <w:ind w:right="60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3"/>
          </w:tcPr>
          <w:p>
            <w:pPr>
              <w:jc w:val="center"/>
              <w:ind w:right="220"/>
              <w:spacing w:after="0" w:line="198" w:lineRule="exact"/>
              <w:rPr>
                <w:sz w:val="20"/>
                <w:szCs w:val="20"/>
                <w:color w:val="auto"/>
              </w:rPr>
            </w:pPr>
            <w:r>
              <w:rPr>
                <w:rFonts w:ascii="Arial" w:cs="Arial" w:eastAsia="Arial" w:hAnsi="Arial"/>
                <w:sz w:val="18"/>
                <w:szCs w:val="18"/>
                <w:b w:val="1"/>
                <w:bCs w:val="1"/>
                <w:color w:val="auto"/>
                <w:w w:val="90"/>
              </w:rPr>
              <w:t>January 29,</w:t>
            </w:r>
          </w:p>
        </w:tc>
        <w:tc>
          <w:tcPr>
            <w:tcW w:w="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center"/>
              <w:spacing w:after="0" w:line="198" w:lineRule="exact"/>
              <w:rPr>
                <w:sz w:val="20"/>
                <w:szCs w:val="20"/>
                <w:color w:val="auto"/>
              </w:rPr>
            </w:pPr>
            <w:r>
              <w:rPr>
                <w:rFonts w:ascii="Arial" w:cs="Arial" w:eastAsia="Arial" w:hAnsi="Arial"/>
                <w:sz w:val="18"/>
                <w:szCs w:val="18"/>
                <w:b w:val="1"/>
                <w:bCs w:val="1"/>
                <w:color w:val="auto"/>
                <w:w w:val="92"/>
              </w:rPr>
              <w:t>January 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140" w:type="dxa"/>
            <w:vAlign w:val="bottom"/>
            <w:gridSpan w:val="4"/>
          </w:tcPr>
          <w:p>
            <w:pPr>
              <w:spacing w:after="0" w:line="194" w:lineRule="exact"/>
              <w:rPr>
                <w:sz w:val="20"/>
                <w:szCs w:val="20"/>
                <w:color w:val="auto"/>
              </w:rPr>
            </w:pPr>
            <w:r>
              <w:rPr>
                <w:rFonts w:ascii="Arial" w:cs="Arial" w:eastAsia="Arial" w:hAnsi="Arial"/>
                <w:sz w:val="18"/>
                <w:szCs w:val="18"/>
                <w:b w:val="1"/>
                <w:bCs w:val="1"/>
                <w:color w:val="auto"/>
              </w:rPr>
              <w:t>Segment Earnings (Loss) Before Income Taxes</w:t>
            </w:r>
          </w:p>
        </w:tc>
        <w:tc>
          <w:tcPr>
            <w:tcW w:w="4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89"/>
              </w:rPr>
              <w:t>2010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center"/>
              <w:ind w:right="290"/>
              <w:spacing w:after="0" w:line="194" w:lineRule="exact"/>
              <w:rPr>
                <w:sz w:val="20"/>
                <w:szCs w:val="20"/>
                <w:color w:val="auto"/>
              </w:rPr>
            </w:pPr>
            <w:r>
              <w:rPr>
                <w:rFonts w:ascii="Arial" w:cs="Arial" w:eastAsia="Arial" w:hAnsi="Arial"/>
                <w:sz w:val="18"/>
                <w:szCs w:val="18"/>
                <w:b w:val="1"/>
                <w:bCs w:val="1"/>
                <w:color w:val="auto"/>
                <w:w w:val="89"/>
              </w:rPr>
              <w:t>2009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
        </w:trPr>
        <w:tc>
          <w:tcPr>
            <w:tcW w:w="4140" w:type="dxa"/>
            <w:vAlign w:val="bottom"/>
            <w:gridSpan w:val="4"/>
            <w:vMerge w:val="restart"/>
          </w:tcPr>
          <w:p>
            <w:pPr>
              <w:spacing w:after="0"/>
              <w:rPr>
                <w:sz w:val="20"/>
                <w:szCs w:val="20"/>
                <w:color w:val="auto"/>
              </w:rPr>
            </w:pPr>
            <w:r>
              <w:rPr>
                <w:rFonts w:ascii="Arial" w:cs="Arial" w:eastAsia="Arial" w:hAnsi="Arial"/>
                <w:sz w:val="18"/>
                <w:szCs w:val="18"/>
                <w:color w:val="auto"/>
              </w:rPr>
              <w:t>Professional</w:t>
            </w:r>
          </w:p>
        </w:tc>
        <w:tc>
          <w:tcPr>
            <w:tcW w:w="4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140" w:type="dxa"/>
            <w:vAlign w:val="bottom"/>
            <w:gridSpan w:val="4"/>
            <w:vMerge w:val="continue"/>
          </w:tcPr>
          <w:p>
            <w:pPr>
              <w:spacing w:after="0"/>
              <w:rPr>
                <w:sz w:val="18"/>
                <w:szCs w:val="18"/>
                <w:color w:val="auto"/>
              </w:rPr>
            </w:pPr>
          </w:p>
        </w:tc>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25,810</w:t>
            </w:r>
          </w:p>
        </w:tc>
        <w:tc>
          <w:tcPr>
            <w:tcW w:w="120" w:type="dxa"/>
            <w:vAlign w:val="bottom"/>
          </w:tcPr>
          <w:p>
            <w:pPr>
              <w:spacing w:after="0"/>
              <w:rPr>
                <w:sz w:val="18"/>
                <w:szCs w:val="18"/>
                <w:color w:val="auto"/>
              </w:rPr>
            </w:pPr>
          </w:p>
        </w:tc>
        <w:tc>
          <w:tcPr>
            <w:tcW w:w="100" w:type="dxa"/>
            <w:vAlign w:val="bottom"/>
            <w:gridSpan w:val="2"/>
          </w:tcPr>
          <w:p>
            <w:pPr>
              <w:spacing w:after="0"/>
              <w:rPr>
                <w:sz w:val="18"/>
                <w:szCs w:val="18"/>
                <w:color w:val="auto"/>
              </w:rPr>
            </w:pPr>
          </w:p>
        </w:tc>
        <w:tc>
          <w:tcPr>
            <w:tcW w:w="360" w:type="dxa"/>
            <w:vAlign w:val="bottom"/>
          </w:tcPr>
          <w:p>
            <w:pPr>
              <w:jc w:val="right"/>
              <w:ind w:right="196"/>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30,129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Residential</w:t>
            </w:r>
          </w:p>
        </w:tc>
        <w:tc>
          <w:tcPr>
            <w:tcW w:w="4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13,427</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3"/>
          </w:tcPr>
          <w:p>
            <w:pPr>
              <w:spacing w:after="0"/>
              <w:rPr>
                <w:sz w:val="20"/>
                <w:szCs w:val="20"/>
                <w:color w:val="auto"/>
              </w:rPr>
            </w:pPr>
            <w:r>
              <w:rPr>
                <w:rFonts w:ascii="Arial" w:cs="Arial" w:eastAsia="Arial" w:hAnsi="Arial"/>
                <w:sz w:val="18"/>
                <w:szCs w:val="18"/>
                <w:color w:val="auto"/>
              </w:rPr>
              <w:t>Other</w:t>
            </w:r>
          </w:p>
        </w:tc>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(22,789)</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(24,816)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41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4580" w:type="dxa"/>
            <w:vAlign w:val="bottom"/>
            <w:shd w:val="clear" w:color="auto" w:fill="CCEEFF"/>
          </w:tcPr>
          <w:p>
            <w:pPr>
              <w:spacing w:after="0"/>
              <w:rPr>
                <w:sz w:val="22"/>
                <w:szCs w:val="22"/>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16,448</w:t>
            </w:r>
          </w:p>
        </w:tc>
        <w:tc>
          <w:tcPr>
            <w:tcW w:w="460" w:type="dxa"/>
            <w:vAlign w:val="bottom"/>
            <w:gridSpan w:val="3"/>
            <w:shd w:val="clear" w:color="auto" w:fill="CCEEFF"/>
          </w:tcPr>
          <w:p>
            <w:pPr>
              <w:jc w:val="right"/>
              <w:ind w:right="196"/>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10,153</w:t>
            </w:r>
          </w:p>
        </w:tc>
        <w:tc>
          <w:tcPr>
            <w:tcW w:w="0" w:type="dxa"/>
            <w:vAlign w:val="bottom"/>
          </w:tcPr>
          <w:p>
            <w:pPr>
              <w:spacing w:after="0"/>
              <w:rPr>
                <w:sz w:val="1"/>
                <w:szCs w:val="1"/>
                <w:color w:val="auto"/>
              </w:rPr>
            </w:pPr>
          </w:p>
        </w:tc>
      </w:tr>
      <w:tr>
        <w:trPr>
          <w:trHeight w:val="814"/>
        </w:trPr>
        <w:tc>
          <w:tcPr>
            <w:tcW w:w="20" w:type="dxa"/>
            <w:vAlign w:val="bottom"/>
          </w:tcPr>
          <w:p>
            <w:pPr>
              <w:spacing w:after="0"/>
              <w:rPr>
                <w:sz w:val="24"/>
                <w:szCs w:val="24"/>
                <w:color w:val="auto"/>
              </w:rPr>
            </w:pPr>
          </w:p>
        </w:tc>
        <w:tc>
          <w:tcPr>
            <w:tcW w:w="1400" w:type="dxa"/>
            <w:vAlign w:val="bottom"/>
            <w:tcBorders>
              <w:top w:val="single" w:sz="8" w:color="CCEEFF"/>
              <w:bottom w:val="single" w:sz="8" w:color="808080"/>
            </w:tcBorders>
          </w:tcPr>
          <w:p>
            <w:pPr>
              <w:spacing w:after="0"/>
              <w:rPr>
                <w:sz w:val="24"/>
                <w:szCs w:val="24"/>
                <w:color w:val="auto"/>
              </w:rPr>
            </w:pPr>
          </w:p>
        </w:tc>
        <w:tc>
          <w:tcPr>
            <w:tcW w:w="2160" w:type="dxa"/>
            <w:vAlign w:val="bottom"/>
            <w:tcBorders>
              <w:top w:val="single" w:sz="8" w:color="CCEEFF"/>
              <w:bottom w:val="single" w:sz="8" w:color="808080"/>
            </w:tcBorders>
          </w:tcPr>
          <w:p>
            <w:pPr>
              <w:spacing w:after="0"/>
              <w:rPr>
                <w:sz w:val="24"/>
                <w:szCs w:val="24"/>
                <w:color w:val="auto"/>
              </w:rPr>
            </w:pPr>
          </w:p>
        </w:tc>
        <w:tc>
          <w:tcPr>
            <w:tcW w:w="560" w:type="dxa"/>
            <w:vAlign w:val="bottom"/>
            <w:tcBorders>
              <w:top w:val="single" w:sz="8" w:color="CCEEFF"/>
              <w:bottom w:val="single" w:sz="8" w:color="808080"/>
            </w:tcBorders>
          </w:tcPr>
          <w:p>
            <w:pPr>
              <w:spacing w:after="0"/>
              <w:rPr>
                <w:sz w:val="24"/>
                <w:szCs w:val="24"/>
                <w:color w:val="auto"/>
              </w:rPr>
            </w:pPr>
          </w:p>
        </w:tc>
        <w:tc>
          <w:tcPr>
            <w:tcW w:w="4580" w:type="dxa"/>
            <w:vAlign w:val="bottom"/>
            <w:tcBorders>
              <w:top w:val="single" w:sz="8" w:color="CCEEFF"/>
              <w:bottom w:val="single" w:sz="8" w:color="808080"/>
            </w:tcBorders>
          </w:tcPr>
          <w:p>
            <w:pPr>
              <w:spacing w:after="0"/>
              <w:rPr>
                <w:sz w:val="24"/>
                <w:szCs w:val="24"/>
                <w:color w:val="auto"/>
              </w:rPr>
            </w:pPr>
          </w:p>
        </w:tc>
        <w:tc>
          <w:tcPr>
            <w:tcW w:w="100" w:type="dxa"/>
            <w:vAlign w:val="bottom"/>
            <w:tcBorders>
              <w:top w:val="single" w:sz="8" w:color="CCEEFF"/>
              <w:bottom w:val="single" w:sz="8" w:color="808080"/>
            </w:tcBorders>
          </w:tcPr>
          <w:p>
            <w:pPr>
              <w:spacing w:after="0"/>
              <w:rPr>
                <w:sz w:val="24"/>
                <w:szCs w:val="24"/>
                <w:color w:val="auto"/>
              </w:rPr>
            </w:pPr>
          </w:p>
        </w:tc>
        <w:tc>
          <w:tcPr>
            <w:tcW w:w="100" w:type="dxa"/>
            <w:vAlign w:val="bottom"/>
            <w:tcBorders>
              <w:top w:val="single" w:sz="8" w:color="auto"/>
              <w:bottom w:val="single" w:sz="8" w:color="808080"/>
            </w:tcBorders>
          </w:tcPr>
          <w:p>
            <w:pPr>
              <w:spacing w:after="0"/>
              <w:rPr>
                <w:sz w:val="24"/>
                <w:szCs w:val="24"/>
                <w:color w:val="auto"/>
              </w:rPr>
            </w:pPr>
          </w:p>
        </w:tc>
        <w:tc>
          <w:tcPr>
            <w:tcW w:w="940" w:type="dxa"/>
            <w:vAlign w:val="bottom"/>
            <w:tcBorders>
              <w:top w:val="single" w:sz="8" w:color="auto"/>
              <w:bottom w:val="single" w:sz="8" w:color="808080"/>
            </w:tcBorders>
          </w:tcPr>
          <w:p>
            <w:pPr>
              <w:spacing w:after="0"/>
              <w:rPr>
                <w:sz w:val="24"/>
                <w:szCs w:val="24"/>
                <w:color w:val="auto"/>
              </w:rPr>
            </w:pPr>
          </w:p>
        </w:tc>
        <w:tc>
          <w:tcPr>
            <w:tcW w:w="100" w:type="dxa"/>
            <w:vAlign w:val="bottom"/>
            <w:tcBorders>
              <w:top w:val="single" w:sz="8" w:color="auto"/>
              <w:bottom w:val="single" w:sz="8" w:color="808080"/>
            </w:tcBorders>
          </w:tcPr>
          <w:p>
            <w:pPr>
              <w:spacing w:after="0"/>
              <w:rPr>
                <w:sz w:val="24"/>
                <w:szCs w:val="24"/>
                <w:color w:val="auto"/>
              </w:rPr>
            </w:pPr>
          </w:p>
        </w:tc>
        <w:tc>
          <w:tcPr>
            <w:tcW w:w="120" w:type="dxa"/>
            <w:vAlign w:val="bottom"/>
            <w:tcBorders>
              <w:top w:val="single" w:sz="8" w:color="CCEEFF"/>
              <w:bottom w:val="single" w:sz="8" w:color="808080"/>
            </w:tcBorders>
          </w:tcPr>
          <w:p>
            <w:pPr>
              <w:spacing w:after="0"/>
              <w:rPr>
                <w:sz w:val="24"/>
                <w:szCs w:val="24"/>
                <w:color w:val="auto"/>
              </w:rPr>
            </w:pPr>
          </w:p>
        </w:tc>
        <w:tc>
          <w:tcPr>
            <w:tcW w:w="40" w:type="dxa"/>
            <w:vAlign w:val="bottom"/>
            <w:tcBorders>
              <w:top w:val="single" w:sz="8" w:color="CCEEFF"/>
              <w:bottom w:val="single" w:sz="8" w:color="808080"/>
            </w:tcBorders>
          </w:tcPr>
          <w:p>
            <w:pPr>
              <w:spacing w:after="0"/>
              <w:rPr>
                <w:sz w:val="24"/>
                <w:szCs w:val="24"/>
                <w:color w:val="auto"/>
              </w:rPr>
            </w:pPr>
          </w:p>
        </w:tc>
        <w:tc>
          <w:tcPr>
            <w:tcW w:w="60" w:type="dxa"/>
            <w:vAlign w:val="bottom"/>
            <w:tcBorders>
              <w:top w:val="single" w:sz="8" w:color="CCEEFF"/>
              <w:bottom w:val="single" w:sz="8" w:color="808080"/>
            </w:tcBorders>
          </w:tcPr>
          <w:p>
            <w:pPr>
              <w:spacing w:after="0"/>
              <w:rPr>
                <w:sz w:val="24"/>
                <w:szCs w:val="24"/>
                <w:color w:val="auto"/>
              </w:rPr>
            </w:pPr>
          </w:p>
        </w:tc>
        <w:tc>
          <w:tcPr>
            <w:tcW w:w="360" w:type="dxa"/>
            <w:vAlign w:val="bottom"/>
            <w:tcBorders>
              <w:top w:val="single" w:sz="8" w:color="auto"/>
              <w:bottom w:val="single" w:sz="8" w:color="808080"/>
            </w:tcBorders>
          </w:tcPr>
          <w:p>
            <w:pPr>
              <w:spacing w:after="0"/>
              <w:rPr>
                <w:sz w:val="24"/>
                <w:szCs w:val="24"/>
                <w:color w:val="auto"/>
              </w:rPr>
            </w:pPr>
          </w:p>
        </w:tc>
        <w:tc>
          <w:tcPr>
            <w:tcW w:w="780" w:type="dxa"/>
            <w:vAlign w:val="bottom"/>
            <w:tcBorders>
              <w:top w:val="single" w:sz="8" w:color="auto"/>
              <w:bottom w:val="single" w:sz="8" w:color="808080"/>
            </w:tcBorders>
          </w:tcPr>
          <w:p>
            <w:pPr>
              <w:spacing w:after="0"/>
              <w:rPr>
                <w:sz w:val="24"/>
                <w:szCs w:val="24"/>
                <w:color w:val="auto"/>
              </w:rPr>
            </w:pPr>
          </w:p>
        </w:tc>
        <w:tc>
          <w:tcPr>
            <w:tcW w:w="100" w:type="dxa"/>
            <w:vAlign w:val="bottom"/>
            <w:tcBorders>
              <w:top w:val="single" w:sz="8" w:color="CCEEFF"/>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THE TORO COMPANY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January 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January 30,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w w:val="87"/>
              </w:rPr>
              <w:t>ASSETS</w:t>
            </w:r>
          </w:p>
        </w:tc>
        <w:tc>
          <w:tcPr>
            <w:tcW w:w="3040" w:type="dxa"/>
            <w:vAlign w:val="bottom"/>
            <w:tcBorders>
              <w:bottom w:val="single" w:sz="8" w:color="CCEEFF"/>
            </w:tcBorders>
            <w:shd w:val="clear" w:color="auto" w:fill="CCEEFF"/>
          </w:tcPr>
          <w:p>
            <w:pPr>
              <w:spacing w:after="0"/>
              <w:rPr>
                <w:sz w:val="19"/>
                <w:szCs w:val="19"/>
                <w:color w:val="auto"/>
              </w:rPr>
            </w:pPr>
          </w:p>
        </w:tc>
        <w:tc>
          <w:tcPr>
            <w:tcW w:w="5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5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158,210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35,597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Receivables, net</w:t>
            </w:r>
          </w:p>
        </w:tc>
        <w:tc>
          <w:tcPr>
            <w:tcW w:w="5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167,260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Inventories, net</w:t>
            </w:r>
          </w:p>
        </w:tc>
        <w:tc>
          <w:tcPr>
            <w:tcW w:w="5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191,071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238,704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5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18,441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5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58,316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55,311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4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5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593,298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651,387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5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5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165,927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5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3,572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 and other assets, net</w:t>
            </w:r>
          </w:p>
        </w:tc>
        <w:tc>
          <w:tcPr>
            <w:tcW w:w="5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121,837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112,619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3040" w:type="dxa"/>
            <w:vAlign w:val="bottom"/>
            <w:shd w:val="clear" w:color="auto" w:fill="CCEEFF"/>
          </w:tcPr>
          <w:p>
            <w:pPr>
              <w:spacing w:after="0"/>
              <w:rPr>
                <w:sz w:val="2"/>
                <w:szCs w:val="2"/>
                <w:color w:val="auto"/>
              </w:rPr>
            </w:pPr>
          </w:p>
        </w:tc>
        <w:tc>
          <w:tcPr>
            <w:tcW w:w="5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ind w:left="320"/>
              <w:spacing w:after="0"/>
              <w:rPr>
                <w:sz w:val="20"/>
                <w:szCs w:val="20"/>
                <w:color w:val="auto"/>
              </w:rPr>
            </w:pPr>
            <w:r>
              <w:rPr>
                <w:rFonts w:ascii="Arial" w:cs="Arial" w:eastAsia="Arial" w:hAnsi="Arial"/>
                <w:sz w:val="18"/>
                <w:szCs w:val="18"/>
                <w:color w:val="auto"/>
              </w:rPr>
              <w:t>Total assets</w:t>
            </w:r>
          </w:p>
        </w:tc>
        <w:tc>
          <w:tcPr>
            <w:tcW w:w="5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884,634</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938,187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5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700" w:type="dxa"/>
            <w:vAlign w:val="bottom"/>
            <w:gridSpan w:val="3"/>
          </w:tcPr>
          <w:p>
            <w:pPr>
              <w:spacing w:after="0" w:line="202" w:lineRule="exact"/>
              <w:rPr>
                <w:sz w:val="20"/>
                <w:szCs w:val="20"/>
                <w:color w:val="auto"/>
              </w:rPr>
            </w:pPr>
            <w:r>
              <w:rPr>
                <w:rFonts w:ascii="Arial" w:cs="Arial" w:eastAsia="Arial" w:hAnsi="Arial"/>
                <w:sz w:val="18"/>
                <w:szCs w:val="18"/>
                <w:color w:val="auto"/>
                <w:w w:val="98"/>
              </w:rPr>
              <w:t>LIABILITIES AND STOCKHOLDERS’ EQUITY</w:t>
            </w:r>
          </w:p>
        </w:tc>
        <w:tc>
          <w:tcPr>
            <w:tcW w:w="5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3040" w:type="dxa"/>
            <w:vAlign w:val="bottom"/>
            <w:tcBorders>
              <w:top w:val="single" w:sz="8" w:color="auto"/>
            </w:tcBorders>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5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Short-term debt</w:t>
            </w:r>
          </w:p>
        </w:tc>
        <w:tc>
          <w:tcPr>
            <w:tcW w:w="5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5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109,556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Accrued liabilities</w:t>
            </w:r>
          </w:p>
        </w:tc>
        <w:tc>
          <w:tcPr>
            <w:tcW w:w="5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205,651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214,403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4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Total current liabilities</w:t>
            </w:r>
          </w:p>
        </w:tc>
        <w:tc>
          <w:tcPr>
            <w:tcW w:w="5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319,892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332,341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5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5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224,062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Deferred revenue</w:t>
            </w:r>
          </w:p>
        </w:tc>
        <w:tc>
          <w:tcPr>
            <w:tcW w:w="5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7,904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5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7,526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5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325,250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364,438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4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3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Total liabilities and stockholders’ equity</w:t>
            </w:r>
          </w:p>
        </w:tc>
        <w:tc>
          <w:tcPr>
            <w:tcW w:w="5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884,634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938,187</w:t>
            </w:r>
          </w:p>
        </w:tc>
        <w:tc>
          <w:tcPr>
            <w:tcW w:w="0" w:type="dxa"/>
            <w:vAlign w:val="bottom"/>
          </w:tcPr>
          <w:p>
            <w:pPr>
              <w:spacing w:after="0"/>
              <w:rPr>
                <w:sz w:val="1"/>
                <w:szCs w:val="1"/>
                <w:color w:val="auto"/>
              </w:rPr>
            </w:pPr>
          </w:p>
        </w:tc>
      </w:tr>
      <w:tr>
        <w:trPr>
          <w:trHeight w:val="1084"/>
        </w:trPr>
        <w:tc>
          <w:tcPr>
            <w:tcW w:w="20" w:type="dxa"/>
            <w:vAlign w:val="bottom"/>
          </w:tcPr>
          <w:p>
            <w:pPr>
              <w:spacing w:after="0"/>
              <w:rPr>
                <w:sz w:val="24"/>
                <w:szCs w:val="24"/>
                <w:color w:val="auto"/>
              </w:rPr>
            </w:pPr>
          </w:p>
        </w:tc>
        <w:tc>
          <w:tcPr>
            <w:tcW w:w="640" w:type="dxa"/>
            <w:vAlign w:val="bottom"/>
            <w:tcBorders>
              <w:top w:val="single" w:sz="8" w:color="CCEEFF"/>
              <w:bottom w:val="single" w:sz="8" w:color="808080"/>
            </w:tcBorders>
          </w:tcPr>
          <w:p>
            <w:pPr>
              <w:spacing w:after="0"/>
              <w:rPr>
                <w:sz w:val="24"/>
                <w:szCs w:val="24"/>
                <w:color w:val="auto"/>
              </w:rPr>
            </w:pPr>
          </w:p>
        </w:tc>
        <w:tc>
          <w:tcPr>
            <w:tcW w:w="3040" w:type="dxa"/>
            <w:vAlign w:val="bottom"/>
            <w:tcBorders>
              <w:top w:val="single" w:sz="8" w:color="CCEEFF"/>
              <w:bottom w:val="single" w:sz="8" w:color="808080"/>
            </w:tcBorders>
          </w:tcPr>
          <w:p>
            <w:pPr>
              <w:spacing w:after="0"/>
              <w:rPr>
                <w:sz w:val="24"/>
                <w:szCs w:val="24"/>
                <w:color w:val="auto"/>
              </w:rPr>
            </w:pPr>
          </w:p>
        </w:tc>
        <w:tc>
          <w:tcPr>
            <w:tcW w:w="5120" w:type="dxa"/>
            <w:vAlign w:val="bottom"/>
            <w:tcBorders>
              <w:top w:val="single" w:sz="8" w:color="CCEEFF"/>
              <w:bottom w:val="single" w:sz="8" w:color="808080"/>
            </w:tcBorders>
          </w:tcPr>
          <w:p>
            <w:pPr>
              <w:spacing w:after="0"/>
              <w:rPr>
                <w:sz w:val="24"/>
                <w:szCs w:val="24"/>
                <w:color w:val="auto"/>
              </w:rPr>
            </w:pPr>
          </w:p>
        </w:tc>
        <w:tc>
          <w:tcPr>
            <w:tcW w:w="100" w:type="dxa"/>
            <w:vAlign w:val="bottom"/>
            <w:tcBorders>
              <w:top w:val="single" w:sz="8" w:color="auto"/>
              <w:bottom w:val="single" w:sz="8" w:color="808080"/>
            </w:tcBorders>
          </w:tcPr>
          <w:p>
            <w:pPr>
              <w:spacing w:after="0"/>
              <w:rPr>
                <w:sz w:val="24"/>
                <w:szCs w:val="24"/>
                <w:color w:val="auto"/>
              </w:rPr>
            </w:pPr>
          </w:p>
        </w:tc>
        <w:tc>
          <w:tcPr>
            <w:tcW w:w="1040" w:type="dxa"/>
            <w:vAlign w:val="bottom"/>
            <w:tcBorders>
              <w:top w:val="single" w:sz="8" w:color="auto"/>
              <w:bottom w:val="single" w:sz="8" w:color="808080"/>
            </w:tcBorders>
          </w:tcPr>
          <w:p>
            <w:pPr>
              <w:spacing w:after="0"/>
              <w:rPr>
                <w:sz w:val="24"/>
                <w:szCs w:val="24"/>
                <w:color w:val="auto"/>
              </w:rPr>
            </w:pPr>
          </w:p>
        </w:tc>
        <w:tc>
          <w:tcPr>
            <w:tcW w:w="100" w:type="dxa"/>
            <w:vAlign w:val="bottom"/>
            <w:tcBorders>
              <w:top w:val="single" w:sz="8" w:color="CCEEFF"/>
              <w:bottom w:val="single" w:sz="8" w:color="808080"/>
            </w:tcBorders>
          </w:tcPr>
          <w:p>
            <w:pPr>
              <w:spacing w:after="0"/>
              <w:rPr>
                <w:sz w:val="24"/>
                <w:szCs w:val="24"/>
                <w:color w:val="auto"/>
              </w:rPr>
            </w:pPr>
          </w:p>
        </w:tc>
        <w:tc>
          <w:tcPr>
            <w:tcW w:w="120" w:type="dxa"/>
            <w:vAlign w:val="bottom"/>
            <w:tcBorders>
              <w:top w:val="single" w:sz="8" w:color="CCEEFF"/>
              <w:bottom w:val="single" w:sz="8" w:color="808080"/>
            </w:tcBorders>
          </w:tcPr>
          <w:p>
            <w:pPr>
              <w:spacing w:after="0"/>
              <w:rPr>
                <w:sz w:val="24"/>
                <w:szCs w:val="24"/>
                <w:color w:val="auto"/>
              </w:rPr>
            </w:pPr>
          </w:p>
        </w:tc>
        <w:tc>
          <w:tcPr>
            <w:tcW w:w="100" w:type="dxa"/>
            <w:vAlign w:val="bottom"/>
            <w:tcBorders>
              <w:top w:val="single" w:sz="8" w:color="auto"/>
              <w:bottom w:val="single" w:sz="8" w:color="808080"/>
            </w:tcBorders>
          </w:tcPr>
          <w:p>
            <w:pPr>
              <w:spacing w:after="0"/>
              <w:rPr>
                <w:sz w:val="24"/>
                <w:szCs w:val="24"/>
                <w:color w:val="auto"/>
              </w:rPr>
            </w:pPr>
          </w:p>
        </w:tc>
        <w:tc>
          <w:tcPr>
            <w:tcW w:w="1040" w:type="dxa"/>
            <w:vAlign w:val="bottom"/>
            <w:tcBorders>
              <w:top w:val="single" w:sz="8" w:color="auto"/>
              <w:bottom w:val="single" w:sz="8" w:color="808080"/>
            </w:tcBorders>
          </w:tcPr>
          <w:p>
            <w:pPr>
              <w:spacing w:after="0"/>
              <w:rPr>
                <w:sz w:val="24"/>
                <w:szCs w:val="24"/>
                <w:color w:val="auto"/>
              </w:rPr>
            </w:pPr>
          </w:p>
        </w:tc>
        <w:tc>
          <w:tcPr>
            <w:tcW w:w="100" w:type="dxa"/>
            <w:vAlign w:val="bottom"/>
            <w:tcBorders>
              <w:top w:val="single" w:sz="8" w:color="CCEEFF"/>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THE TORO COMPANY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gridSpan w:val="6"/>
          </w:tcPr>
          <w:p>
            <w:pPr>
              <w:jc w:val="right"/>
              <w:ind w:right="60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jc w:val="center"/>
              <w:ind w:right="240"/>
              <w:spacing w:after="0" w:line="198" w:lineRule="exact"/>
              <w:rPr>
                <w:sz w:val="20"/>
                <w:szCs w:val="20"/>
                <w:color w:val="auto"/>
              </w:rPr>
            </w:pPr>
            <w:r>
              <w:rPr>
                <w:rFonts w:ascii="Arial" w:cs="Arial" w:eastAsia="Arial" w:hAnsi="Arial"/>
                <w:sz w:val="18"/>
                <w:szCs w:val="18"/>
                <w:b w:val="1"/>
                <w:bCs w:val="1"/>
                <w:color w:val="auto"/>
                <w:w w:val="90"/>
              </w:rPr>
              <w:t>January 29,</w:t>
            </w: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30"/>
              <w:spacing w:after="0" w:line="198" w:lineRule="exact"/>
              <w:rPr>
                <w:sz w:val="20"/>
                <w:szCs w:val="20"/>
                <w:color w:val="auto"/>
              </w:rPr>
            </w:pPr>
            <w:r>
              <w:rPr>
                <w:rFonts w:ascii="Arial" w:cs="Arial" w:eastAsia="Arial" w:hAnsi="Arial"/>
                <w:sz w:val="18"/>
                <w:szCs w:val="18"/>
                <w:b w:val="1"/>
                <w:bCs w:val="1"/>
                <w:color w:val="auto"/>
                <w:w w:val="90"/>
              </w:rPr>
              <w:t>January 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Cash flows from operating activities:</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2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10,918</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40" w:type="dxa"/>
            <w:vAlign w:val="bottom"/>
          </w:tcPr>
          <w:p>
            <w:pPr>
              <w:ind w:left="320"/>
              <w:spacing w:after="0" w:line="201" w:lineRule="exact"/>
              <w:rPr>
                <w:sz w:val="20"/>
                <w:szCs w:val="20"/>
                <w:color w:val="auto"/>
              </w:rPr>
            </w:pPr>
            <w:r>
              <w:rPr>
                <w:rFonts w:ascii="Arial" w:cs="Arial" w:eastAsia="Arial" w:hAnsi="Arial"/>
                <w:sz w:val="18"/>
                <w:szCs w:val="18"/>
                <w:color w:val="auto"/>
              </w:rPr>
              <w:t>Adjustments to reconcile net earnings to net cash</w:t>
            </w:r>
          </w:p>
        </w:tc>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40" w:type="dxa"/>
            <w:vAlign w:val="bottom"/>
          </w:tcPr>
          <w:p>
            <w:pPr>
              <w:ind w:left="640"/>
              <w:spacing w:after="0"/>
              <w:rPr>
                <w:sz w:val="20"/>
                <w:szCs w:val="20"/>
                <w:color w:val="auto"/>
              </w:rPr>
            </w:pPr>
            <w:r>
              <w:rPr>
                <w:rFonts w:ascii="Arial" w:cs="Arial" w:eastAsia="Arial" w:hAnsi="Arial"/>
                <w:sz w:val="18"/>
                <w:szCs w:val="18"/>
                <w:color w:val="auto"/>
              </w:rPr>
              <w:t>used in operating activities:</w:t>
            </w: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Equity losses from affiliates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320"/>
              <w:spacing w:after="0"/>
              <w:rPr>
                <w:sz w:val="20"/>
                <w:szCs w:val="20"/>
                <w:color w:val="auto"/>
              </w:rPr>
            </w:pPr>
            <w:r>
              <w:rPr>
                <w:rFonts w:ascii="Arial" w:cs="Arial" w:eastAsia="Arial" w:hAnsi="Arial"/>
                <w:sz w:val="18"/>
                <w:szCs w:val="18"/>
                <w:color w:val="auto"/>
              </w:rPr>
              <w:t>Provision for depreciation, amortization, and impairment losses</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11,248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Loss on disposal of property, plant, and equipment</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1,579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deferred income taxes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320"/>
              <w:spacing w:after="0"/>
              <w:rPr>
                <w:sz w:val="20"/>
                <w:szCs w:val="20"/>
                <w:color w:val="auto"/>
              </w:rPr>
            </w:pPr>
            <w:r>
              <w:rPr>
                <w:rFonts w:ascii="Arial" w:cs="Arial" w:eastAsia="Arial" w:hAnsi="Arial"/>
                <w:sz w:val="18"/>
                <w:szCs w:val="18"/>
                <w:color w:val="auto"/>
              </w:rPr>
              <w:t>Changes in operating assets and liabilities:</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Receivables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(28,629)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20"/>
              <w:spacing w:after="0"/>
              <w:rPr>
                <w:sz w:val="20"/>
                <w:szCs w:val="20"/>
                <w:color w:val="auto"/>
              </w:rPr>
            </w:pPr>
            <w:r>
              <w:rPr>
                <w:rFonts w:ascii="Arial" w:cs="Arial" w:eastAsia="Arial" w:hAnsi="Arial"/>
                <w:sz w:val="18"/>
                <w:szCs w:val="18"/>
                <w:color w:val="auto"/>
              </w:rPr>
              <w:t>Inventories</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(13,099)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(32,586)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Prepaid expenses and other assets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(3,492)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(4,947)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40" w:type="dxa"/>
            <w:vAlign w:val="bottom"/>
          </w:tcPr>
          <w:p>
            <w:pPr>
              <w:ind w:left="120"/>
              <w:spacing w:after="0" w:line="201" w:lineRule="exact"/>
              <w:rPr>
                <w:sz w:val="20"/>
                <w:szCs w:val="20"/>
                <w:color w:val="auto"/>
              </w:rPr>
            </w:pPr>
            <w:r>
              <w:rPr>
                <w:rFonts w:ascii="Arial" w:cs="Arial" w:eastAsia="Arial" w:hAnsi="Arial"/>
                <w:sz w:val="18"/>
                <w:szCs w:val="18"/>
                <w:color w:val="auto"/>
              </w:rPr>
              <w:t>Accounts payable, accrued expenses, deferred revenue, and other</w:t>
            </w:r>
          </w:p>
        </w:tc>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40" w:type="dxa"/>
            <w:vAlign w:val="bottom"/>
          </w:tcPr>
          <w:p>
            <w:pPr>
              <w:ind w:left="480"/>
              <w:spacing w:after="0"/>
              <w:rPr>
                <w:sz w:val="20"/>
                <w:szCs w:val="20"/>
                <w:color w:val="auto"/>
              </w:rPr>
            </w:pPr>
            <w:r>
              <w:rPr>
                <w:rFonts w:ascii="Arial" w:cs="Arial" w:eastAsia="Arial" w:hAnsi="Arial"/>
                <w:sz w:val="18"/>
                <w:szCs w:val="18"/>
                <w:color w:val="auto"/>
              </w:rPr>
              <w:t>long-term liabilities</w:t>
            </w: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11,082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(10,306)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Net cash used in operating activities</w:t>
            </w:r>
          </w:p>
        </w:tc>
        <w:tc>
          <w:tcPr>
            <w:tcW w:w="1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(10,536)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(72,527)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4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320"/>
              <w:spacing w:after="0"/>
              <w:rPr>
                <w:sz w:val="20"/>
                <w:szCs w:val="20"/>
                <w:color w:val="auto"/>
              </w:rPr>
            </w:pPr>
            <w:r>
              <w:rPr>
                <w:rFonts w:ascii="Arial" w:cs="Arial" w:eastAsia="Arial" w:hAnsi="Arial"/>
                <w:sz w:val="18"/>
                <w:szCs w:val="18"/>
                <w:color w:val="auto"/>
              </w:rPr>
              <w:t>Purchases of property, plant, and equipment</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(10,218)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(9,499)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asset disposals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320"/>
              <w:spacing w:after="0"/>
              <w:rPr>
                <w:sz w:val="20"/>
                <w:szCs w:val="20"/>
                <w:color w:val="auto"/>
              </w:rPr>
            </w:pPr>
            <w:r>
              <w:rPr>
                <w:rFonts w:ascii="Arial" w:cs="Arial" w:eastAsia="Arial" w:hAnsi="Arial"/>
                <w:sz w:val="18"/>
                <w:szCs w:val="18"/>
                <w:color w:val="auto"/>
              </w:rPr>
              <w:t>Increase in investment in affiliates</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(3,118)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Decrease (increase) in other assets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320"/>
              <w:spacing w:after="0"/>
              <w:rPr>
                <w:sz w:val="20"/>
                <w:szCs w:val="20"/>
                <w:color w:val="auto"/>
              </w:rPr>
            </w:pPr>
            <w:r>
              <w:rPr>
                <w:rFonts w:ascii="Arial" w:cs="Arial" w:eastAsia="Arial" w:hAnsi="Arial"/>
                <w:sz w:val="18"/>
                <w:szCs w:val="18"/>
                <w:color w:val="auto"/>
              </w:rPr>
              <w:t>Acquisition, net of cash acquired</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(1,812)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Net cash used in investing activities</w:t>
            </w:r>
          </w:p>
        </w:tc>
        <w:tc>
          <w:tcPr>
            <w:tcW w:w="1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(14,515)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4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320"/>
              <w:spacing w:after="0"/>
              <w:rPr>
                <w:sz w:val="20"/>
                <w:szCs w:val="20"/>
                <w:color w:val="auto"/>
              </w:rPr>
            </w:pPr>
            <w:r>
              <w:rPr>
                <w:rFonts w:ascii="Arial" w:cs="Arial" w:eastAsia="Arial" w:hAnsi="Arial"/>
                <w:sz w:val="18"/>
                <w:szCs w:val="18"/>
                <w:color w:val="auto"/>
              </w:rPr>
              <w:t>Increase in short-term debt</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22,675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Repayments of long-term debt, net of costs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320"/>
              <w:spacing w:after="0"/>
              <w:rPr>
                <w:sz w:val="20"/>
                <w:szCs w:val="20"/>
                <w:color w:val="auto"/>
              </w:rPr>
            </w:pPr>
            <w:r>
              <w:rPr>
                <w:rFonts w:ascii="Arial" w:cs="Arial" w:eastAsia="Arial" w:hAnsi="Arial"/>
                <w:sz w:val="18"/>
                <w:szCs w:val="18"/>
                <w:color w:val="auto"/>
              </w:rPr>
              <w:t>Excess tax benefits from stock-based awards</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2,078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exercise of stock options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4,986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320"/>
              <w:spacing w:after="0"/>
              <w:rPr>
                <w:sz w:val="20"/>
                <w:szCs w:val="20"/>
                <w:color w:val="auto"/>
              </w:rPr>
            </w:pPr>
            <w:r>
              <w:rPr>
                <w:rFonts w:ascii="Arial" w:cs="Arial" w:eastAsia="Arial" w:hAnsi="Arial"/>
                <w:sz w:val="18"/>
                <w:szCs w:val="18"/>
                <w:color w:val="auto"/>
              </w:rPr>
              <w:t>Purchases of Toro common stock</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(3,682)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Dividends paid on Toro common stock</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(6,129)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(5,456)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40" w:type="dxa"/>
            <w:vAlign w:val="bottom"/>
            <w:shd w:val="clear" w:color="auto" w:fill="CCEEFF"/>
          </w:tcPr>
          <w:p>
            <w:pPr>
              <w:spacing w:after="0"/>
              <w:rPr>
                <w:sz w:val="2"/>
                <w:szCs w:val="2"/>
                <w:color w:val="auto"/>
              </w:rPr>
            </w:pPr>
          </w:p>
        </w:tc>
        <w:tc>
          <w:tcPr>
            <w:tcW w:w="19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Pr>
          <w:p>
            <w:pPr>
              <w:ind w:left="960"/>
              <w:spacing w:after="0"/>
              <w:rPr>
                <w:sz w:val="20"/>
                <w:szCs w:val="20"/>
                <w:color w:val="auto"/>
              </w:rPr>
            </w:pPr>
            <w:r>
              <w:rPr>
                <w:rFonts w:ascii="Arial" w:cs="Arial" w:eastAsia="Arial" w:hAnsi="Arial"/>
                <w:sz w:val="18"/>
                <w:szCs w:val="18"/>
                <w:color w:val="auto"/>
              </w:rPr>
              <w:t>Net cash (used in) provided by financing activities</w:t>
            </w: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(3,497)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18,731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4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Effect of exchange rates on cash</w:t>
            </w: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(1,015)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4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(29,563)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(63,762)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as of the beginning of the fiscal period</w:t>
            </w:r>
          </w:p>
        </w:tc>
        <w:tc>
          <w:tcPr>
            <w:tcW w:w="1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187,773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99,359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4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as of the end of the fiscal period</w:t>
            </w:r>
          </w:p>
        </w:tc>
        <w:tc>
          <w:tcPr>
            <w:tcW w:w="2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158,210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35,597</w:t>
            </w:r>
          </w:p>
        </w:tc>
        <w:tc>
          <w:tcPr>
            <w:tcW w:w="0" w:type="dxa"/>
            <w:vAlign w:val="bottom"/>
          </w:tcPr>
          <w:p>
            <w:pPr>
              <w:spacing w:after="0"/>
              <w:rPr>
                <w:sz w:val="1"/>
                <w:szCs w:val="1"/>
                <w:color w:val="auto"/>
              </w:rPr>
            </w:pPr>
          </w:p>
        </w:tc>
      </w:tr>
      <w:tr>
        <w:trPr>
          <w:trHeight w:val="895"/>
        </w:trPr>
        <w:tc>
          <w:tcPr>
            <w:tcW w:w="20" w:type="dxa"/>
            <w:vAlign w:val="bottom"/>
          </w:tcPr>
          <w:p>
            <w:pPr>
              <w:spacing w:after="0"/>
              <w:rPr>
                <w:sz w:val="24"/>
                <w:szCs w:val="24"/>
                <w:color w:val="auto"/>
              </w:rPr>
            </w:pPr>
          </w:p>
        </w:tc>
        <w:tc>
          <w:tcPr>
            <w:tcW w:w="6840" w:type="dxa"/>
            <w:vAlign w:val="bottom"/>
            <w:tcBorders>
              <w:top w:val="single" w:sz="8" w:color="CCEEFF"/>
              <w:bottom w:val="single" w:sz="8" w:color="808080"/>
            </w:tcBorders>
          </w:tcPr>
          <w:p>
            <w:pPr>
              <w:spacing w:after="0"/>
              <w:rPr>
                <w:sz w:val="24"/>
                <w:szCs w:val="24"/>
                <w:color w:val="auto"/>
              </w:rPr>
            </w:pPr>
          </w:p>
        </w:tc>
        <w:tc>
          <w:tcPr>
            <w:tcW w:w="1960" w:type="dxa"/>
            <w:vAlign w:val="bottom"/>
            <w:tcBorders>
              <w:top w:val="single" w:sz="8" w:color="CCEEFF"/>
              <w:bottom w:val="single" w:sz="8" w:color="808080"/>
            </w:tcBorders>
          </w:tcPr>
          <w:p>
            <w:pPr>
              <w:spacing w:after="0"/>
              <w:rPr>
                <w:sz w:val="24"/>
                <w:szCs w:val="24"/>
                <w:color w:val="auto"/>
              </w:rPr>
            </w:pPr>
          </w:p>
        </w:tc>
        <w:tc>
          <w:tcPr>
            <w:tcW w:w="100" w:type="dxa"/>
            <w:vAlign w:val="bottom"/>
            <w:tcBorders>
              <w:top w:val="single" w:sz="8" w:color="auto"/>
              <w:bottom w:val="single" w:sz="8" w:color="808080"/>
            </w:tcBorders>
          </w:tcPr>
          <w:p>
            <w:pPr>
              <w:spacing w:after="0"/>
              <w:rPr>
                <w:sz w:val="24"/>
                <w:szCs w:val="24"/>
                <w:color w:val="auto"/>
              </w:rPr>
            </w:pPr>
          </w:p>
        </w:tc>
        <w:tc>
          <w:tcPr>
            <w:tcW w:w="1040" w:type="dxa"/>
            <w:vAlign w:val="bottom"/>
            <w:tcBorders>
              <w:top w:val="single" w:sz="8" w:color="auto"/>
              <w:bottom w:val="single" w:sz="8" w:color="808080"/>
            </w:tcBorders>
          </w:tcPr>
          <w:p>
            <w:pPr>
              <w:spacing w:after="0"/>
              <w:rPr>
                <w:sz w:val="24"/>
                <w:szCs w:val="24"/>
                <w:color w:val="auto"/>
              </w:rPr>
            </w:pPr>
          </w:p>
        </w:tc>
        <w:tc>
          <w:tcPr>
            <w:tcW w:w="140" w:type="dxa"/>
            <w:vAlign w:val="bottom"/>
            <w:tcBorders>
              <w:top w:val="single" w:sz="8" w:color="CCEEFF"/>
              <w:bottom w:val="single" w:sz="8" w:color="808080"/>
            </w:tcBorders>
          </w:tcPr>
          <w:p>
            <w:pPr>
              <w:spacing w:after="0"/>
              <w:rPr>
                <w:sz w:val="24"/>
                <w:szCs w:val="24"/>
                <w:color w:val="auto"/>
              </w:rPr>
            </w:pPr>
          </w:p>
        </w:tc>
        <w:tc>
          <w:tcPr>
            <w:tcW w:w="80" w:type="dxa"/>
            <w:vAlign w:val="bottom"/>
            <w:tcBorders>
              <w:top w:val="single" w:sz="8" w:color="CCEEFF"/>
              <w:bottom w:val="single" w:sz="8" w:color="808080"/>
            </w:tcBorders>
          </w:tcPr>
          <w:p>
            <w:pPr>
              <w:spacing w:after="0"/>
              <w:rPr>
                <w:sz w:val="24"/>
                <w:szCs w:val="24"/>
                <w:color w:val="auto"/>
              </w:rPr>
            </w:pPr>
          </w:p>
        </w:tc>
        <w:tc>
          <w:tcPr>
            <w:tcW w:w="100" w:type="dxa"/>
            <w:vAlign w:val="bottom"/>
            <w:tcBorders>
              <w:top w:val="single" w:sz="8" w:color="auto"/>
              <w:bottom w:val="single" w:sz="8" w:color="808080"/>
            </w:tcBorders>
          </w:tcPr>
          <w:p>
            <w:pPr>
              <w:spacing w:after="0"/>
              <w:rPr>
                <w:sz w:val="24"/>
                <w:szCs w:val="24"/>
                <w:color w:val="auto"/>
              </w:rPr>
            </w:pPr>
          </w:p>
        </w:tc>
        <w:tc>
          <w:tcPr>
            <w:tcW w:w="1040" w:type="dxa"/>
            <w:vAlign w:val="bottom"/>
            <w:tcBorders>
              <w:top w:val="single" w:sz="8" w:color="auto"/>
              <w:bottom w:val="single" w:sz="8" w:color="808080"/>
            </w:tcBorders>
          </w:tcPr>
          <w:p>
            <w:pPr>
              <w:spacing w:after="0"/>
              <w:rPr>
                <w:sz w:val="24"/>
                <w:szCs w:val="24"/>
                <w:color w:val="auto"/>
              </w:rPr>
            </w:pPr>
          </w:p>
        </w:tc>
        <w:tc>
          <w:tcPr>
            <w:tcW w:w="100" w:type="dxa"/>
            <w:vAlign w:val="bottom"/>
            <w:tcBorders>
              <w:top w:val="single" w:sz="8" w:color="CCEEFF"/>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12" w:name="page13"/>
    <w:bookmarkEnd w:id="1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4"/>
    </w:lvl>
  </w:abstractNum>
  <w:abstractNum w:abstractNumId="2">
    <w:nsid w:val="46E87CCD"/>
    <w:multiLevelType w:val="hybridMultilevel"/>
    <w:lvl w:ilvl="0">
      <w:lvlJc w:val="left"/>
      <w:lvlText w:val="(%1)"/>
      <w:numFmt w:val="decimal"/>
      <w:start w:val="952"/>
    </w:lvl>
  </w:abstractNum>
  <w:abstractNum w:abstractNumId="3">
    <w:nsid w:val="3D1B58BA"/>
    <w:multiLevelType w:val="hybridMultilevel"/>
    <w:lvl w:ilvl="0">
      <w:lvlJc w:val="left"/>
      <w:lvlText w:val="(%1)"/>
      <w:numFmt w:val="decimal"/>
      <w:start w:val="952"/>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2019-12-10T05:43:53Z</dcterms:created>
  <dcterms:modified xsi:type="dcterms:W3CDTF">2019-12-10T05:43:53Z</dcterms:modified>
</cp:coreProperties>
</file>