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885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8859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3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Dordell Timothy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03/19/2013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VP, Secretary, General Counsel</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34"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3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0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3"/>
          </w:tcPr>
          <w:p>
            <w:pPr>
              <w:jc w:val="right"/>
              <w:ind w:right="659"/>
              <w:spacing w:after="0"/>
              <w:rPr>
                <w:sz w:val="20"/>
                <w:szCs w:val="20"/>
                <w:color w:val="auto"/>
              </w:rPr>
            </w:pPr>
            <w:r>
              <w:rPr>
                <w:rFonts w:ascii="Arial" w:cs="Arial" w:eastAsia="Arial" w:hAnsi="Arial"/>
                <w:sz w:val="18"/>
                <w:szCs w:val="18"/>
                <w:color w:val="0000FF"/>
              </w:rPr>
              <w:t>03/12/2013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w w:val="72"/>
              </w:rPr>
              <w:t>G</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4"/>
                <w:szCs w:val="14"/>
                <w:color w:val="0000FF"/>
              </w:rPr>
              <w:t>V</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210</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jc w:val="center"/>
              <w:ind w:left="4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80" w:type="dxa"/>
            <w:vAlign w:val="bottom"/>
            <w:tcBorders>
              <w:bottom w:val="single" w:sz="8" w:color="2C2C2C"/>
            </w:tcBorders>
            <w:gridSpan w:val="3"/>
          </w:tcPr>
          <w:p>
            <w:pPr>
              <w:jc w:val="center"/>
              <w:ind w:left="46"/>
              <w:spacing w:after="0"/>
              <w:rPr>
                <w:sz w:val="20"/>
                <w:szCs w:val="20"/>
                <w:color w:val="auto"/>
              </w:rPr>
            </w:pPr>
            <w:r>
              <w:rPr>
                <w:rFonts w:ascii="Arial" w:cs="Arial" w:eastAsia="Arial" w:hAnsi="Arial"/>
                <w:sz w:val="18"/>
                <w:szCs w:val="18"/>
                <w:color w:val="0000FF"/>
                <w:w w:val="83"/>
              </w:rPr>
              <w:t>3,461.777</w:t>
            </w:r>
            <w:r>
              <w:rPr>
                <w:rFonts w:ascii="Arial" w:cs="Arial" w:eastAsia="Arial" w:hAnsi="Arial"/>
                <w:sz w:val="22"/>
                <w:szCs w:val="22"/>
                <w:color w:val="008000"/>
                <w:w w:val="83"/>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I</w:t>
            </w:r>
          </w:p>
        </w:tc>
        <w:tc>
          <w:tcPr>
            <w:tcW w:w="9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03/13/2013</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72"/>
              </w:rPr>
              <w:t>G</w:t>
            </w:r>
          </w:p>
        </w:tc>
        <w:tc>
          <w:tcPr>
            <w:tcW w:w="520" w:type="dxa"/>
            <w:vAlign w:val="bottom"/>
          </w:tcPr>
          <w:p>
            <w:pPr>
              <w:ind w:left="300"/>
              <w:spacing w:after="0"/>
              <w:rPr>
                <w:sz w:val="20"/>
                <w:szCs w:val="20"/>
                <w:color w:val="auto"/>
              </w:rPr>
            </w:pPr>
            <w:r>
              <w:rPr>
                <w:rFonts w:ascii="Arial" w:cs="Arial" w:eastAsia="Arial" w:hAnsi="Arial"/>
                <w:sz w:val="14"/>
                <w:szCs w:val="14"/>
                <w:color w:val="0000FF"/>
              </w:rPr>
              <w:t>V</w:t>
            </w: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280</w:t>
            </w:r>
          </w:p>
        </w:tc>
        <w:tc>
          <w:tcPr>
            <w:tcW w:w="480" w:type="dxa"/>
            <w:vAlign w:val="bottom"/>
          </w:tcPr>
          <w:p>
            <w:pPr>
              <w:ind w:left="140"/>
              <w:spacing w:after="0"/>
              <w:rPr>
                <w:sz w:val="20"/>
                <w:szCs w:val="20"/>
                <w:color w:val="auto"/>
              </w:rPr>
            </w:pPr>
            <w:r>
              <w:rPr>
                <w:rFonts w:ascii="Arial" w:cs="Arial" w:eastAsia="Arial" w:hAnsi="Arial"/>
                <w:sz w:val="18"/>
                <w:szCs w:val="18"/>
                <w:color w:val="0000FF"/>
              </w:rPr>
              <w:t>D</w:t>
            </w:r>
          </w:p>
        </w:tc>
        <w:tc>
          <w:tcPr>
            <w:tcW w:w="660" w:type="dxa"/>
            <w:vAlign w:val="bottom"/>
          </w:tcPr>
          <w:p>
            <w:pPr>
              <w:jc w:val="center"/>
              <w:ind w:left="4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80" w:type="dxa"/>
            <w:vAlign w:val="bottom"/>
            <w:gridSpan w:val="3"/>
          </w:tcPr>
          <w:p>
            <w:pPr>
              <w:jc w:val="center"/>
              <w:ind w:left="46"/>
              <w:spacing w:after="0"/>
              <w:rPr>
                <w:sz w:val="20"/>
                <w:szCs w:val="20"/>
                <w:color w:val="auto"/>
              </w:rPr>
            </w:pPr>
            <w:r>
              <w:rPr>
                <w:rFonts w:ascii="Arial" w:cs="Arial" w:eastAsia="Arial" w:hAnsi="Arial"/>
                <w:sz w:val="18"/>
                <w:szCs w:val="18"/>
                <w:color w:val="0000FF"/>
                <w:w w:val="87"/>
              </w:rPr>
              <w:t>3,181.777</w:t>
            </w:r>
          </w:p>
        </w:tc>
        <w:tc>
          <w:tcPr>
            <w:tcW w:w="30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03/13/2013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72"/>
              </w:rPr>
              <w:t>G</w:t>
            </w:r>
          </w:p>
        </w:tc>
        <w:tc>
          <w:tcPr>
            <w:tcW w:w="520" w:type="dxa"/>
            <w:vAlign w:val="bottom"/>
          </w:tcPr>
          <w:p>
            <w:pPr>
              <w:ind w:left="300"/>
              <w:spacing w:after="0"/>
              <w:rPr>
                <w:sz w:val="20"/>
                <w:szCs w:val="20"/>
                <w:color w:val="auto"/>
              </w:rPr>
            </w:pPr>
            <w:r>
              <w:rPr>
                <w:rFonts w:ascii="Arial" w:cs="Arial" w:eastAsia="Arial" w:hAnsi="Arial"/>
                <w:sz w:val="14"/>
                <w:szCs w:val="14"/>
                <w:color w:val="0000FF"/>
              </w:rPr>
              <w:t>V</w:t>
            </w: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280</w:t>
            </w:r>
          </w:p>
        </w:tc>
        <w:tc>
          <w:tcPr>
            <w:tcW w:w="480" w:type="dxa"/>
            <w:vAlign w:val="bottom"/>
          </w:tcPr>
          <w:p>
            <w:pPr>
              <w:ind w:left="140"/>
              <w:spacing w:after="0"/>
              <w:rPr>
                <w:sz w:val="20"/>
                <w:szCs w:val="20"/>
                <w:color w:val="auto"/>
              </w:rPr>
            </w:pPr>
            <w:r>
              <w:rPr>
                <w:rFonts w:ascii="Arial" w:cs="Arial" w:eastAsia="Arial" w:hAnsi="Arial"/>
                <w:sz w:val="18"/>
                <w:szCs w:val="18"/>
                <w:color w:val="0000FF"/>
              </w:rPr>
              <w:t>A</w:t>
            </w:r>
          </w:p>
        </w:tc>
        <w:tc>
          <w:tcPr>
            <w:tcW w:w="660" w:type="dxa"/>
            <w:vAlign w:val="bottom"/>
          </w:tcPr>
          <w:p>
            <w:pPr>
              <w:jc w:val="center"/>
              <w:ind w:left="4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80" w:type="dxa"/>
            <w:vAlign w:val="bottom"/>
            <w:gridSpan w:val="3"/>
          </w:tcPr>
          <w:p>
            <w:pPr>
              <w:jc w:val="center"/>
              <w:ind w:left="46"/>
              <w:spacing w:after="0"/>
              <w:rPr>
                <w:sz w:val="20"/>
                <w:szCs w:val="20"/>
                <w:color w:val="auto"/>
              </w:rPr>
            </w:pPr>
            <w:r>
              <w:rPr>
                <w:rFonts w:ascii="Arial" w:cs="Arial" w:eastAsia="Arial" w:hAnsi="Arial"/>
                <w:sz w:val="18"/>
                <w:szCs w:val="18"/>
                <w:color w:val="0000FF"/>
                <w:w w:val="86"/>
              </w:rPr>
              <w:t>280</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Domestic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Partner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03/19/2013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280</w:t>
            </w:r>
          </w:p>
        </w:tc>
        <w:tc>
          <w:tcPr>
            <w:tcW w:w="480" w:type="dxa"/>
            <w:vAlign w:val="bottom"/>
          </w:tcPr>
          <w:p>
            <w:pPr>
              <w:ind w:left="140"/>
              <w:spacing w:after="0"/>
              <w:rPr>
                <w:sz w:val="20"/>
                <w:szCs w:val="20"/>
                <w:color w:val="auto"/>
              </w:rPr>
            </w:pPr>
            <w:r>
              <w:rPr>
                <w:rFonts w:ascii="Arial" w:cs="Arial" w:eastAsia="Arial" w:hAnsi="Arial"/>
                <w:sz w:val="18"/>
                <w:szCs w:val="18"/>
                <w:color w:val="0000FF"/>
              </w:rPr>
              <w:t>D</w:t>
            </w:r>
          </w:p>
        </w:tc>
        <w:tc>
          <w:tcPr>
            <w:tcW w:w="660" w:type="dxa"/>
            <w:vAlign w:val="bottom"/>
          </w:tcPr>
          <w:p>
            <w:pPr>
              <w:jc w:val="center"/>
              <w:ind w:left="4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47.66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center"/>
              <w:ind w:right="494"/>
              <w:spacing w:after="0"/>
              <w:rPr>
                <w:sz w:val="20"/>
                <w:szCs w:val="20"/>
                <w:color w:val="auto"/>
              </w:rPr>
            </w:pPr>
            <w:r>
              <w:rPr>
                <w:rFonts w:ascii="Arial" w:cs="Arial" w:eastAsia="Arial" w:hAnsi="Arial"/>
                <w:sz w:val="18"/>
                <w:szCs w:val="18"/>
                <w:color w:val="0000FF"/>
                <w:w w:val="99"/>
              </w:rPr>
              <w:t>0</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Domestic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Partner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jc w:val="right"/>
              <w:ind w:right="659"/>
              <w:spacing w:after="0"/>
              <w:rPr>
                <w:sz w:val="20"/>
                <w:szCs w:val="20"/>
                <w:color w:val="auto"/>
              </w:rPr>
            </w:pPr>
            <w:r>
              <w:rPr>
                <w:rFonts w:ascii="Arial" w:cs="Arial" w:eastAsia="Arial" w:hAnsi="Arial"/>
                <w:sz w:val="18"/>
                <w:szCs w:val="18"/>
                <w:color w:val="0000FF"/>
              </w:rPr>
              <w:t>03/19/2013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S</w:t>
            </w:r>
          </w:p>
        </w:tc>
        <w:tc>
          <w:tcPr>
            <w:tcW w:w="520" w:type="dxa"/>
            <w:vAlign w:val="bottom"/>
          </w:tcPr>
          <w:p>
            <w:pPr>
              <w:spacing w:after="0"/>
              <w:rPr>
                <w:sz w:val="18"/>
                <w:szCs w:val="18"/>
                <w:color w:val="auto"/>
              </w:rPr>
            </w:pPr>
          </w:p>
        </w:tc>
        <w:tc>
          <w:tcPr>
            <w:tcW w:w="940" w:type="dxa"/>
            <w:vAlign w:val="bottom"/>
          </w:tcPr>
          <w:p>
            <w:pPr>
              <w:jc w:val="center"/>
              <w:spacing w:after="0" w:line="217" w:lineRule="exact"/>
              <w:rPr>
                <w:sz w:val="20"/>
                <w:szCs w:val="20"/>
                <w:color w:val="auto"/>
              </w:rPr>
            </w:pPr>
            <w:r>
              <w:rPr>
                <w:rFonts w:ascii="Arial" w:cs="Arial" w:eastAsia="Arial" w:hAnsi="Arial"/>
                <w:sz w:val="18"/>
                <w:szCs w:val="18"/>
                <w:color w:val="0000FF"/>
                <w:w w:val="84"/>
              </w:rPr>
              <w:t>605.315</w:t>
            </w:r>
            <w:r>
              <w:rPr>
                <w:rFonts w:ascii="Arial" w:cs="Arial" w:eastAsia="Arial" w:hAnsi="Arial"/>
                <w:sz w:val="22"/>
                <w:szCs w:val="22"/>
                <w:color w:val="008000"/>
                <w:w w:val="84"/>
                <w:vertAlign w:val="superscript"/>
              </w:rPr>
              <w:t>(2)</w:t>
            </w:r>
          </w:p>
        </w:tc>
        <w:tc>
          <w:tcPr>
            <w:tcW w:w="480" w:type="dxa"/>
            <w:vAlign w:val="bottom"/>
          </w:tcPr>
          <w:p>
            <w:pPr>
              <w:ind w:left="140"/>
              <w:spacing w:after="0"/>
              <w:rPr>
                <w:sz w:val="20"/>
                <w:szCs w:val="20"/>
                <w:color w:val="auto"/>
              </w:rPr>
            </w:pPr>
            <w:r>
              <w:rPr>
                <w:rFonts w:ascii="Arial" w:cs="Arial" w:eastAsia="Arial" w:hAnsi="Arial"/>
                <w:sz w:val="18"/>
                <w:szCs w:val="18"/>
                <w:color w:val="0000FF"/>
              </w:rPr>
              <w:t>D</w:t>
            </w:r>
          </w:p>
        </w:tc>
        <w:tc>
          <w:tcPr>
            <w:tcW w:w="82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47.624</w:t>
            </w:r>
            <w:r>
              <w:rPr>
                <w:rFonts w:ascii="Arial" w:cs="Arial" w:eastAsia="Arial" w:hAnsi="Arial"/>
                <w:sz w:val="22"/>
                <w:szCs w:val="22"/>
                <w:color w:val="008000"/>
                <w:w w:val="84"/>
                <w:vertAlign w:val="superscript"/>
              </w:rPr>
              <w:t>(3)</w:t>
            </w:r>
          </w:p>
        </w:tc>
        <w:tc>
          <w:tcPr>
            <w:tcW w:w="520" w:type="dxa"/>
            <w:vAlign w:val="bottom"/>
          </w:tcPr>
          <w:p>
            <w:pPr>
              <w:spacing w:after="0"/>
              <w:rPr>
                <w:sz w:val="18"/>
                <w:szCs w:val="18"/>
                <w:color w:val="auto"/>
              </w:rPr>
            </w:pPr>
          </w:p>
        </w:tc>
        <w:tc>
          <w:tcPr>
            <w:tcW w:w="700" w:type="dxa"/>
            <w:vAlign w:val="bottom"/>
          </w:tcPr>
          <w:p>
            <w:pPr>
              <w:jc w:val="center"/>
              <w:ind w:right="494"/>
              <w:spacing w:after="0"/>
              <w:rPr>
                <w:sz w:val="20"/>
                <w:szCs w:val="20"/>
                <w:color w:val="auto"/>
              </w:rPr>
            </w:pPr>
            <w:r>
              <w:rPr>
                <w:rFonts w:ascii="Arial" w:cs="Arial" w:eastAsia="Arial" w:hAnsi="Arial"/>
                <w:sz w:val="18"/>
                <w:szCs w:val="18"/>
                <w:color w:val="0000FF"/>
                <w:w w:val="99"/>
              </w:rPr>
              <w:t>0</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26"/>
              <w:spacing w:after="0"/>
              <w:rPr>
                <w:sz w:val="20"/>
                <w:szCs w:val="20"/>
                <w:color w:val="auto"/>
              </w:rPr>
            </w:pPr>
            <w:r>
              <w:rPr>
                <w:rFonts w:ascii="Arial" w:cs="Arial" w:eastAsia="Arial" w:hAnsi="Arial"/>
                <w:sz w:val="18"/>
                <w:szCs w:val="18"/>
                <w:color w:val="0000FF"/>
                <w:w w:val="85"/>
              </w:rPr>
              <w:t>29,274.784</w:t>
            </w:r>
            <w:r>
              <w:rPr>
                <w:rFonts w:ascii="Arial" w:cs="Arial" w:eastAsia="Arial" w:hAnsi="Arial"/>
                <w:sz w:val="22"/>
                <w:szCs w:val="22"/>
                <w:color w:val="008000"/>
                <w:w w:val="85"/>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20" w:type="dxa"/>
            <w:vAlign w:val="bottom"/>
          </w:tcPr>
          <w:p>
            <w:pPr>
              <w:spacing w:after="0"/>
              <w:rPr>
                <w:sz w:val="13"/>
                <w:szCs w:val="13"/>
                <w:color w:val="auto"/>
              </w:rPr>
            </w:pP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0.461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1.718 shares acquired under the dividend reinvestment feature of The Toro Company Investment, Savings &amp; ESOP (IS&amp;ESOP); and 78.014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$47.60 to $47.64,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95.521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03/20/2013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2019-12-17T01:46:49Z</dcterms:created>
  <dcterms:modified xsi:type="dcterms:W3CDTF">2019-12-17T01:46:49Z</dcterms:modified>
</cp:coreProperties>
</file>