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May 20, 2015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333-89260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POST-EFFECTIVE AMENDMENT NO. 3</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TO</w:t>
      </w:r>
    </w:p>
    <w:p>
      <w:pPr>
        <w:jc w:val="center"/>
        <w:ind w:right="-19"/>
        <w:spacing w:after="0" w:line="237" w:lineRule="auto"/>
        <w:rPr>
          <w:sz w:val="20"/>
          <w:szCs w:val="20"/>
          <w:color w:val="auto"/>
        </w:rPr>
      </w:pPr>
      <w:r>
        <w:rPr>
          <w:rFonts w:ascii="Arial" w:cs="Arial" w:eastAsia="Arial" w:hAnsi="Arial"/>
          <w:sz w:val="32"/>
          <w:szCs w:val="32"/>
          <w:b w:val="1"/>
          <w:bCs w:val="1"/>
          <w:color w:val="auto"/>
        </w:rPr>
        <w:t>FORM S-8</w:t>
      </w:r>
    </w:p>
    <w:p>
      <w:pPr>
        <w:jc w:val="center"/>
        <w:ind w:right="-19"/>
        <w:spacing w:after="0"/>
        <w:rPr>
          <w:sz w:val="20"/>
          <w:szCs w:val="20"/>
          <w:color w:val="auto"/>
        </w:rPr>
      </w:pPr>
      <w:r>
        <w:rPr>
          <w:rFonts w:ascii="Arial" w:cs="Arial" w:eastAsia="Arial" w:hAnsi="Arial"/>
          <w:sz w:val="32"/>
          <w:szCs w:val="32"/>
          <w:b w:val="1"/>
          <w:bCs w:val="1"/>
          <w:color w:val="auto"/>
        </w:rPr>
        <w:t>REGISTRATION STATEMENT</w:t>
      </w:r>
    </w:p>
    <w:p>
      <w:pPr>
        <w:jc w:val="center"/>
        <w:ind w:right="-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31" w:lineRule="exact"/>
        <w:rPr>
          <w:sz w:val="24"/>
          <w:szCs w:val="24"/>
          <w:color w:val="auto"/>
        </w:rPr>
      </w:pPr>
    </w:p>
    <w:p>
      <w:pPr>
        <w:sectPr>
          <w:pgSz w:w="11900" w:h="16838" w:orient="portrait"/>
          <w:cols w:equalWidth="0" w:num="2">
            <w:col w:w="7500" w:space="720"/>
            <w:col w:w="3200"/>
          </w:cols>
          <w:pgMar w:left="240" w:top="229" w:right="239" w:bottom="1440" w:gutter="0" w:footer="0" w:header="0"/>
          <w:type w:val="continuous"/>
        </w:sectPr>
      </w:pPr>
    </w:p>
    <w:p>
      <w:pPr>
        <w:spacing w:after="0" w:line="12"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340"/>
          </w:cols>
          <w:pgMar w:left="240" w:top="229" w:right="239" w:bottom="144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Bloomington, Minnesota 55420-1196</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226695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 Performance Share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Timothy P. Dordell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Secretary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55420-1196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888-8801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including Zip Code, and Telephone Number, including Area Code,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requested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Amy E. Culbert,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Oppenheimer Wolff &amp; Donnelly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Campbell Mithun Tower, Suite 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222 South Ninth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607-7287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share numbers in the Explanatory Note below reflect adjustments for a two-for-one stock split effected on April 12, 2005 and a two-for-one stock split effected on June 29, 2012.</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Post-Effective Amendment No. 3 (this “Post-Effective Amendment”) relates to the Registration Statement on Form S-8 (Registration No. 333-89260) (the “Registration Statement”) filed by The Toro Company, a Delaware corporation (the “Registrant”), with the Securities and Exchange Commission (the “Commission”) on May 28, 2002, as amended by Post-Effective Amendment No. 1 filed with the Commission on June 2, 2003, and as amended by Post-Effective Amendment No. 2 filed with the Commission on May 21, 2008, and the Registration Statement on Form S-8 (Registration No. 333-87461) filed by the Registrant with the Commission on September 21, 1999. These prior Registration Statements registered an aggregate of 5,500,000 shares of common stock, par value $1.00 (“Common Stock”), of the Registrant to be issued pursuant to The Toro Company Performance Share Plan (the “Performance Share Plan”).</w:t>
      </w:r>
    </w:p>
    <w:p>
      <w:pPr>
        <w:spacing w:after="0" w:line="189"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Registrant’s authority to grant new awards under the Performance Share Plan terminated upon shareholder approval of The Toro Company 2010 Equity and Incentive Plan on March 16, 2010. On March 17, 2015, the Registrant’s shareholders approved The Toro Company Amended and Restated Equity and Incentive Plan (the “2010 Plan”), which, among other things, increased the number of shares of Common Stock authorized for issuance under the 2010 Plan by 300,000 shares (the “New Shares”). The maximum number of shares of Common Stock available for issuance under the 2010 Plan, subject to adjustment pursuant to the terms of the 2010 Plan, is now 5,800,000 shares plus the number of shares subject to awards outstanding under the Performance Share Plan, The Toro Company 2000 Stock Option Plan and The Toro Company 2000 Directors Stock Plan (collectively, the “Prior Plans”) as of March 16, 2010, the date of the initial adoption of the 2010 Plan, but only to the extent that such outstanding awards under the Prior Plans are forfeited, expire or otherwise terminate without the issuance of such shares (the “Carryover Shares”).</w:t>
      </w:r>
    </w:p>
    <w:p>
      <w:pPr>
        <w:spacing w:after="0" w:line="179" w:lineRule="exact"/>
        <w:rPr>
          <w:sz w:val="20"/>
          <w:szCs w:val="20"/>
          <w:color w:val="auto"/>
        </w:rPr>
      </w:pPr>
    </w:p>
    <w:p>
      <w:pPr>
        <w:jc w:val="both"/>
        <w:ind w:right="120" w:firstLine="456"/>
        <w:spacing w:after="0" w:line="279" w:lineRule="auto"/>
        <w:rPr>
          <w:sz w:val="20"/>
          <w:szCs w:val="20"/>
          <w:color w:val="auto"/>
        </w:rPr>
      </w:pPr>
      <w:r>
        <w:rPr>
          <w:rFonts w:ascii="Arial" w:cs="Arial" w:eastAsia="Arial" w:hAnsi="Arial"/>
          <w:sz w:val="17"/>
          <w:szCs w:val="17"/>
          <w:color w:val="auto"/>
        </w:rPr>
        <w:t>As of the date hereof, 369,409 Carryover Shares under the Performance Share Plan have been carried over to the 2010 Plan. Contemporaneously with the filing of this Post-Effective Amendment, the Registrant is filing a new Registration Statement on Form S-8 to register the New Shares and the Carryover Shares available for offer or sale pursuant to the 2010 Plan. The Registrant is filing this Post-Effective Amendment in order to remove from registration the 369,409 Carryover Shares under the Performance Share Plan that have been carried over to the 2010 Plan.</w:t>
      </w:r>
    </w:p>
    <w:p>
      <w:pPr>
        <w:spacing w:after="0" w:line="31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with or incorporated by reference into this Registration Statement:</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40"/>
        <w:spacing w:after="0" w:line="180" w:lineRule="auto"/>
        <w:tabs>
          <w:tab w:leader="none" w:pos="1000" w:val="left"/>
        </w:tabs>
        <w:rPr>
          <w:sz w:val="20"/>
          <w:szCs w:val="20"/>
          <w:color w:val="auto"/>
        </w:rPr>
      </w:pPr>
      <w:r>
        <w:rPr>
          <w:rFonts w:ascii="Arial" w:cs="Arial" w:eastAsia="Arial" w:hAnsi="Arial"/>
          <w:sz w:val="22"/>
          <w:szCs w:val="22"/>
          <w:b w:val="1"/>
          <w:bCs w:val="1"/>
          <w:color w:val="auto"/>
          <w:vertAlign w:val="superscript"/>
        </w:rPr>
        <w:t>No.</w:t>
      </w:r>
      <w:r>
        <w:rPr>
          <w:sz w:val="20"/>
          <w:szCs w:val="20"/>
          <w:color w:val="auto"/>
        </w:rPr>
        <w:tab/>
      </w:r>
      <w:r>
        <w:rPr>
          <w:rFonts w:ascii="Arial" w:cs="Arial" w:eastAsia="Arial" w:hAnsi="Arial"/>
          <w:sz w:val="12"/>
          <w:szCs w:val="12"/>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91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9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Power of Attorney (filed herewith)</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Post-Effective Amendment No. 3 to its Registration Statement to be signed on its behalf by the undersigned, thereunto duly authorized, in the City of Bloomington, State of Minnesota, on May 20, 2015.</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Timothy P. Dordell</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Secretary and General Counsel</w:t>
      </w:r>
    </w:p>
    <w:p>
      <w:pPr>
        <w:spacing w:after="0" w:line="21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2"/>
              </w:rPr>
              <w:t>Signature</w:t>
            </w:r>
          </w:p>
        </w:tc>
        <w:tc>
          <w:tcPr>
            <w:tcW w:w="2500" w:type="dxa"/>
            <w:vAlign w:val="bottom"/>
          </w:tcPr>
          <w:p>
            <w:pPr>
              <w:spacing w:after="0"/>
              <w:rPr>
                <w:sz w:val="14"/>
                <w:szCs w:val="14"/>
                <w:color w:val="auto"/>
              </w:rPr>
            </w:pPr>
          </w:p>
        </w:tc>
        <w:tc>
          <w:tcPr>
            <w:tcW w:w="2380" w:type="dxa"/>
            <w:vAlign w:val="bottom"/>
            <w:gridSpan w:val="2"/>
          </w:tcPr>
          <w:p>
            <w:pPr>
              <w:jc w:val="center"/>
              <w:ind w:right="2100"/>
              <w:spacing w:after="0"/>
              <w:rPr>
                <w:sz w:val="20"/>
                <w:szCs w:val="20"/>
                <w:color w:val="auto"/>
              </w:rPr>
            </w:pPr>
            <w:r>
              <w:rPr>
                <w:rFonts w:ascii="Arial" w:cs="Arial" w:eastAsia="Arial" w:hAnsi="Arial"/>
                <w:sz w:val="14"/>
                <w:szCs w:val="14"/>
                <w:b w:val="1"/>
                <w:bCs w:val="1"/>
                <w:color w:val="auto"/>
                <w:w w:val="97"/>
              </w:rPr>
              <w:t>Title</w:t>
            </w:r>
          </w:p>
        </w:tc>
        <w:tc>
          <w:tcPr>
            <w:tcW w:w="1900" w:type="dxa"/>
            <w:vAlign w:val="bottom"/>
            <w:gridSpan w:val="3"/>
          </w:tcPr>
          <w:p>
            <w:pPr>
              <w:jc w:val="center"/>
              <w:ind w:left="794"/>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6"/>
        </w:trPr>
        <w:tc>
          <w:tcPr>
            <w:tcW w:w="13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93"/>
              </w:rPr>
              <w:t>Michael J. Hoffman</w:t>
            </w: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90"/>
              </w:rPr>
              <w:t>Chairman of the Board, President and</w:t>
            </w:r>
          </w:p>
        </w:tc>
        <w:tc>
          <w:tcPr>
            <w:tcW w:w="1900" w:type="dxa"/>
            <w:vAlign w:val="bottom"/>
            <w:gridSpan w:val="3"/>
          </w:tcPr>
          <w:p>
            <w:pPr>
              <w:jc w:val="center"/>
              <w:ind w:left="794"/>
              <w:spacing w:after="0"/>
              <w:rPr>
                <w:sz w:val="20"/>
                <w:szCs w:val="20"/>
                <w:color w:val="auto"/>
              </w:rPr>
            </w:pPr>
            <w:r>
              <w:rPr>
                <w:rFonts w:ascii="Arial" w:cs="Arial" w:eastAsia="Arial" w:hAnsi="Arial"/>
                <w:sz w:val="18"/>
                <w:szCs w:val="18"/>
                <w:color w:val="auto"/>
                <w:w w:val="93"/>
              </w:rPr>
              <w:t>May 20, 2015</w:t>
            </w:r>
          </w:p>
        </w:tc>
      </w:tr>
      <w:tr>
        <w:trPr>
          <w:trHeight w:val="209"/>
        </w:trPr>
        <w:tc>
          <w:tcPr>
            <w:tcW w:w="1360" w:type="dxa"/>
            <w:vAlign w:val="bottom"/>
          </w:tcPr>
          <w:p>
            <w:pPr>
              <w:spacing w:after="0"/>
              <w:rPr>
                <w:sz w:val="18"/>
                <w:szCs w:val="18"/>
                <w:color w:val="auto"/>
              </w:rPr>
            </w:pPr>
          </w:p>
        </w:tc>
        <w:tc>
          <w:tcPr>
            <w:tcW w:w="2920" w:type="dxa"/>
            <w:vAlign w:val="bottom"/>
            <w:gridSpan w:val="3"/>
          </w:tcPr>
          <w:p>
            <w:pPr>
              <w:jc w:val="center"/>
              <w:ind w:right="1360"/>
              <w:spacing w:after="0"/>
              <w:rPr>
                <w:sz w:val="20"/>
                <w:szCs w:val="20"/>
                <w:color w:val="auto"/>
              </w:rPr>
            </w:pPr>
            <w:r>
              <w:rPr>
                <w:rFonts w:ascii="Arial" w:cs="Arial" w:eastAsia="Arial" w:hAnsi="Arial"/>
                <w:sz w:val="18"/>
                <w:szCs w:val="18"/>
                <w:color w:val="auto"/>
                <w:w w:val="93"/>
              </w:rPr>
              <w:t>Michael J. Hoffman</w:t>
            </w: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93"/>
              </w:rPr>
              <w:t>Chief Executive Officer and Director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880" w:type="dxa"/>
            <w:vAlign w:val="bottom"/>
            <w:gridSpan w:val="3"/>
          </w:tcPr>
          <w:p>
            <w:pPr>
              <w:jc w:val="center"/>
              <w:ind w:left="330"/>
              <w:spacing w:after="0"/>
              <w:rPr>
                <w:sz w:val="20"/>
                <w:szCs w:val="20"/>
                <w:color w:val="auto"/>
              </w:rPr>
            </w:pPr>
            <w:r>
              <w:rPr>
                <w:rFonts w:ascii="Arial" w:cs="Arial" w:eastAsia="Arial" w:hAnsi="Arial"/>
                <w:sz w:val="18"/>
                <w:szCs w:val="18"/>
                <w:color w:val="auto"/>
                <w:w w:val="94"/>
              </w:rPr>
              <w:t>(principal executive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85"/>
              </w:rPr>
              <w:t>Renee J. Peterson</w:t>
            </w: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88"/>
              </w:rPr>
              <w:t>Vice President, Treasurer and</w:t>
            </w:r>
          </w:p>
        </w:tc>
        <w:tc>
          <w:tcPr>
            <w:tcW w:w="1900" w:type="dxa"/>
            <w:vAlign w:val="bottom"/>
            <w:gridSpan w:val="3"/>
          </w:tcPr>
          <w:p>
            <w:pPr>
              <w:jc w:val="center"/>
              <w:ind w:left="794"/>
              <w:spacing w:after="0"/>
              <w:rPr>
                <w:sz w:val="20"/>
                <w:szCs w:val="20"/>
                <w:color w:val="auto"/>
              </w:rPr>
            </w:pPr>
            <w:r>
              <w:rPr>
                <w:rFonts w:ascii="Arial" w:cs="Arial" w:eastAsia="Arial" w:hAnsi="Arial"/>
                <w:sz w:val="18"/>
                <w:szCs w:val="18"/>
                <w:color w:val="auto"/>
                <w:w w:val="93"/>
              </w:rPr>
              <w:t>May 20, 2015</w:t>
            </w:r>
          </w:p>
        </w:tc>
      </w:tr>
      <w:tr>
        <w:trPr>
          <w:trHeight w:val="209"/>
        </w:trPr>
        <w:tc>
          <w:tcPr>
            <w:tcW w:w="1360" w:type="dxa"/>
            <w:vAlign w:val="bottom"/>
          </w:tcPr>
          <w:p>
            <w:pPr>
              <w:spacing w:after="0"/>
              <w:rPr>
                <w:sz w:val="18"/>
                <w:szCs w:val="18"/>
                <w:color w:val="auto"/>
              </w:rPr>
            </w:pPr>
          </w:p>
        </w:tc>
        <w:tc>
          <w:tcPr>
            <w:tcW w:w="2920" w:type="dxa"/>
            <w:vAlign w:val="bottom"/>
            <w:gridSpan w:val="3"/>
          </w:tcPr>
          <w:p>
            <w:pPr>
              <w:jc w:val="center"/>
              <w:ind w:right="1360"/>
              <w:spacing w:after="0"/>
              <w:rPr>
                <w:sz w:val="20"/>
                <w:szCs w:val="20"/>
                <w:color w:val="auto"/>
              </w:rPr>
            </w:pPr>
            <w:r>
              <w:rPr>
                <w:rFonts w:ascii="Arial" w:cs="Arial" w:eastAsia="Arial" w:hAnsi="Arial"/>
                <w:sz w:val="18"/>
                <w:szCs w:val="18"/>
                <w:color w:val="auto"/>
                <w:w w:val="85"/>
              </w:rPr>
              <w:t>Renee J. Peterson</w:t>
            </w: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Chief Financial Officer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96"/>
              </w:rPr>
              <w:t>(principal financial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88"/>
              </w:rPr>
              <w:t>Thomas J. Larson</w:t>
            </w: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89"/>
              </w:rPr>
              <w:t>Vice President,</w:t>
            </w:r>
          </w:p>
        </w:tc>
        <w:tc>
          <w:tcPr>
            <w:tcW w:w="1900" w:type="dxa"/>
            <w:vAlign w:val="bottom"/>
            <w:gridSpan w:val="3"/>
          </w:tcPr>
          <w:p>
            <w:pPr>
              <w:jc w:val="center"/>
              <w:ind w:left="794"/>
              <w:spacing w:after="0"/>
              <w:rPr>
                <w:sz w:val="20"/>
                <w:szCs w:val="20"/>
                <w:color w:val="auto"/>
              </w:rPr>
            </w:pPr>
            <w:r>
              <w:rPr>
                <w:rFonts w:ascii="Arial" w:cs="Arial" w:eastAsia="Arial" w:hAnsi="Arial"/>
                <w:sz w:val="18"/>
                <w:szCs w:val="18"/>
                <w:color w:val="auto"/>
                <w:w w:val="93"/>
              </w:rPr>
              <w:t>May 20, 2015</w:t>
            </w:r>
          </w:p>
        </w:tc>
      </w:tr>
      <w:tr>
        <w:trPr>
          <w:trHeight w:val="209"/>
        </w:trPr>
        <w:tc>
          <w:tcPr>
            <w:tcW w:w="1360" w:type="dxa"/>
            <w:vAlign w:val="bottom"/>
          </w:tcPr>
          <w:p>
            <w:pPr>
              <w:spacing w:after="0"/>
              <w:rPr>
                <w:sz w:val="18"/>
                <w:szCs w:val="18"/>
                <w:color w:val="auto"/>
              </w:rPr>
            </w:pPr>
          </w:p>
        </w:tc>
        <w:tc>
          <w:tcPr>
            <w:tcW w:w="2920" w:type="dxa"/>
            <w:vAlign w:val="bottom"/>
            <w:gridSpan w:val="3"/>
          </w:tcPr>
          <w:p>
            <w:pPr>
              <w:jc w:val="center"/>
              <w:ind w:right="1360"/>
              <w:spacing w:after="0"/>
              <w:rPr>
                <w:sz w:val="20"/>
                <w:szCs w:val="20"/>
                <w:color w:val="auto"/>
              </w:rPr>
            </w:pPr>
            <w:r>
              <w:rPr>
                <w:rFonts w:ascii="Arial" w:cs="Arial" w:eastAsia="Arial" w:hAnsi="Arial"/>
                <w:sz w:val="18"/>
                <w:szCs w:val="18"/>
                <w:color w:val="auto"/>
                <w:w w:val="88"/>
              </w:rPr>
              <w:t>Thomas J. Larson</w:t>
            </w:r>
          </w:p>
        </w:tc>
        <w:tc>
          <w:tcPr>
            <w:tcW w:w="4880" w:type="dxa"/>
            <w:vAlign w:val="bottom"/>
            <w:gridSpan w:val="3"/>
          </w:tcPr>
          <w:p>
            <w:pPr>
              <w:jc w:val="center"/>
              <w:ind w:left="330"/>
              <w:spacing w:after="0"/>
              <w:rPr>
                <w:sz w:val="20"/>
                <w:szCs w:val="20"/>
                <w:color w:val="auto"/>
              </w:rPr>
            </w:pPr>
            <w:r>
              <w:rPr>
                <w:rFonts w:ascii="Arial" w:cs="Arial" w:eastAsia="Arial" w:hAnsi="Arial"/>
                <w:sz w:val="18"/>
                <w:szCs w:val="18"/>
                <w:color w:val="auto"/>
                <w:w w:val="91"/>
              </w:rPr>
              <w:t>Corporate Controller</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(principal accounting officer)</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8"/>
                <w:szCs w:val="18"/>
                <w:color w:val="auto"/>
                <w:w w:val="93"/>
              </w:rPr>
              <w:t>Timothy P. Dordell</w:t>
            </w:r>
          </w:p>
        </w:tc>
        <w:tc>
          <w:tcPr>
            <w:tcW w:w="4880" w:type="dxa"/>
            <w:vAlign w:val="bottom"/>
            <w:gridSpan w:val="3"/>
          </w:tcPr>
          <w:p>
            <w:pPr>
              <w:jc w:val="center"/>
              <w:ind w:left="310"/>
              <w:spacing w:after="0"/>
              <w:rPr>
                <w:sz w:val="20"/>
                <w:szCs w:val="20"/>
                <w:color w:val="auto"/>
              </w:rPr>
            </w:pPr>
            <w:r>
              <w:rPr>
                <w:rFonts w:ascii="Arial" w:cs="Arial" w:eastAsia="Arial" w:hAnsi="Arial"/>
                <w:sz w:val="18"/>
                <w:szCs w:val="18"/>
                <w:color w:val="auto"/>
                <w:w w:val="94"/>
              </w:rPr>
              <w:t>Directors</w:t>
            </w:r>
          </w:p>
        </w:tc>
        <w:tc>
          <w:tcPr>
            <w:tcW w:w="1900" w:type="dxa"/>
            <w:vAlign w:val="bottom"/>
            <w:gridSpan w:val="3"/>
          </w:tcPr>
          <w:p>
            <w:pPr>
              <w:jc w:val="center"/>
              <w:ind w:left="794"/>
              <w:spacing w:after="0"/>
              <w:rPr>
                <w:sz w:val="20"/>
                <w:szCs w:val="20"/>
                <w:color w:val="auto"/>
              </w:rPr>
            </w:pPr>
            <w:r>
              <w:rPr>
                <w:rFonts w:ascii="Arial" w:cs="Arial" w:eastAsia="Arial" w:hAnsi="Arial"/>
                <w:sz w:val="18"/>
                <w:szCs w:val="18"/>
                <w:color w:val="auto"/>
                <w:w w:val="93"/>
              </w:rPr>
              <w:t>May 20, 2015</w:t>
            </w:r>
          </w:p>
        </w:tc>
      </w:tr>
      <w:tr>
        <w:trPr>
          <w:trHeight w:val="224"/>
        </w:trPr>
        <w:tc>
          <w:tcPr>
            <w:tcW w:w="1360" w:type="dxa"/>
            <w:vAlign w:val="bottom"/>
          </w:tcPr>
          <w:p>
            <w:pPr>
              <w:spacing w:after="0"/>
              <w:rPr>
                <w:sz w:val="19"/>
                <w:szCs w:val="19"/>
                <w:color w:val="auto"/>
              </w:rPr>
            </w:pPr>
          </w:p>
        </w:tc>
        <w:tc>
          <w:tcPr>
            <w:tcW w:w="2920" w:type="dxa"/>
            <w:vAlign w:val="bottom"/>
            <w:gridSpan w:val="3"/>
          </w:tcPr>
          <w:p>
            <w:pPr>
              <w:jc w:val="center"/>
              <w:ind w:right="1340"/>
              <w:spacing w:after="0"/>
              <w:rPr>
                <w:sz w:val="20"/>
                <w:szCs w:val="20"/>
                <w:color w:val="auto"/>
              </w:rPr>
            </w:pPr>
            <w:r>
              <w:rPr>
                <w:rFonts w:ascii="Arial" w:cs="Arial" w:eastAsia="Arial" w:hAnsi="Arial"/>
                <w:sz w:val="18"/>
                <w:szCs w:val="18"/>
                <w:color w:val="auto"/>
                <w:w w:val="93"/>
              </w:rPr>
              <w:t>Timothy P. Dordell</w:t>
            </w:r>
          </w:p>
        </w:tc>
        <w:tc>
          <w:tcPr>
            <w:tcW w:w="2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jc w:val="center"/>
        <w:ind w:right="7020"/>
        <w:spacing w:after="0"/>
        <w:rPr>
          <w:sz w:val="20"/>
          <w:szCs w:val="20"/>
          <w:color w:val="auto"/>
        </w:rPr>
      </w:pPr>
      <w:r>
        <w:rPr>
          <w:rFonts w:ascii="Arial" w:cs="Arial" w:eastAsia="Arial" w:hAnsi="Arial"/>
          <w:sz w:val="18"/>
          <w:szCs w:val="18"/>
          <w:color w:val="auto"/>
        </w:rPr>
        <w:t>As attorney in fact for Robert C.</w:t>
      </w:r>
    </w:p>
    <w:p>
      <w:pPr>
        <w:spacing w:after="0" w:line="8" w:lineRule="exact"/>
        <w:rPr>
          <w:sz w:val="20"/>
          <w:szCs w:val="20"/>
          <w:color w:val="auto"/>
        </w:rPr>
      </w:pPr>
    </w:p>
    <w:p>
      <w:pPr>
        <w:jc w:val="center"/>
        <w:ind w:right="7020"/>
        <w:spacing w:after="0"/>
        <w:rPr>
          <w:sz w:val="20"/>
          <w:szCs w:val="20"/>
          <w:color w:val="auto"/>
        </w:rPr>
      </w:pPr>
      <w:r>
        <w:rPr>
          <w:rFonts w:ascii="Arial" w:cs="Arial" w:eastAsia="Arial" w:hAnsi="Arial"/>
          <w:sz w:val="18"/>
          <w:szCs w:val="18"/>
          <w:color w:val="auto"/>
        </w:rPr>
        <w:t>Buhrmaster, Janet K. Cooper, Gary L.</w:t>
      </w:r>
    </w:p>
    <w:p>
      <w:pPr>
        <w:spacing w:after="0" w:line="9" w:lineRule="exact"/>
        <w:rPr>
          <w:sz w:val="20"/>
          <w:szCs w:val="20"/>
          <w:color w:val="auto"/>
        </w:rPr>
      </w:pPr>
    </w:p>
    <w:p>
      <w:pPr>
        <w:jc w:val="center"/>
        <w:ind w:right="7020"/>
        <w:spacing w:after="0"/>
        <w:rPr>
          <w:sz w:val="20"/>
          <w:szCs w:val="20"/>
          <w:color w:val="auto"/>
        </w:rPr>
      </w:pPr>
      <w:r>
        <w:rPr>
          <w:rFonts w:ascii="Arial" w:cs="Arial" w:eastAsia="Arial" w:hAnsi="Arial"/>
          <w:sz w:val="18"/>
          <w:szCs w:val="18"/>
          <w:color w:val="auto"/>
        </w:rPr>
        <w:t>Ellis, Jeffrey M. Ettinger, Katherine J.</w:t>
      </w:r>
    </w:p>
    <w:p>
      <w:pPr>
        <w:spacing w:after="0" w:line="9" w:lineRule="exact"/>
        <w:rPr>
          <w:sz w:val="20"/>
          <w:szCs w:val="20"/>
          <w:color w:val="auto"/>
        </w:rPr>
      </w:pPr>
    </w:p>
    <w:p>
      <w:pPr>
        <w:jc w:val="center"/>
        <w:ind w:right="7020"/>
        <w:spacing w:after="0"/>
        <w:rPr>
          <w:sz w:val="20"/>
          <w:szCs w:val="20"/>
          <w:color w:val="auto"/>
        </w:rPr>
      </w:pPr>
      <w:r>
        <w:rPr>
          <w:rFonts w:ascii="Arial" w:cs="Arial" w:eastAsia="Arial" w:hAnsi="Arial"/>
          <w:sz w:val="18"/>
          <w:szCs w:val="18"/>
          <w:color w:val="auto"/>
        </w:rPr>
        <w:t>Harless, James C. O’Rourke, Gregg W.</w:t>
      </w:r>
    </w:p>
    <w:p>
      <w:pPr>
        <w:spacing w:after="0" w:line="9" w:lineRule="exact"/>
        <w:rPr>
          <w:sz w:val="20"/>
          <w:szCs w:val="20"/>
          <w:color w:val="auto"/>
        </w:rPr>
      </w:pPr>
    </w:p>
    <w:p>
      <w:pPr>
        <w:jc w:val="center"/>
        <w:ind w:right="7020"/>
        <w:spacing w:after="0"/>
        <w:rPr>
          <w:sz w:val="20"/>
          <w:szCs w:val="20"/>
          <w:color w:val="auto"/>
        </w:rPr>
      </w:pPr>
      <w:r>
        <w:rPr>
          <w:rFonts w:ascii="Arial" w:cs="Arial" w:eastAsia="Arial" w:hAnsi="Arial"/>
          <w:sz w:val="18"/>
          <w:szCs w:val="18"/>
          <w:color w:val="auto"/>
        </w:rPr>
        <w:t>Steinhafel and Christopher A. Twomey</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0"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6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THE TORO COMPANY</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60" w:type="dxa"/>
            <w:vAlign w:val="bottom"/>
            <w:gridSpan w:val="3"/>
          </w:tcPr>
          <w:p>
            <w:pPr>
              <w:jc w:val="center"/>
              <w:ind w:right="3160"/>
              <w:spacing w:after="0"/>
              <w:rPr>
                <w:sz w:val="20"/>
                <w:szCs w:val="20"/>
                <w:color w:val="auto"/>
              </w:rPr>
            </w:pPr>
            <w:r>
              <w:rPr>
                <w:rFonts w:ascii="Arial" w:cs="Arial" w:eastAsia="Arial" w:hAnsi="Arial"/>
                <w:sz w:val="18"/>
                <w:szCs w:val="18"/>
                <w:b w:val="1"/>
                <w:bCs w:val="1"/>
                <w:color w:val="auto"/>
              </w:rPr>
              <w:t>POST-EFFECTIVE AMENDMENT NO. 3</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6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4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1540" w:type="dxa"/>
            <w:vAlign w:val="bottom"/>
            <w:vMerge w:val="restart"/>
          </w:tcPr>
          <w:p>
            <w:pPr>
              <w:spacing w:after="0"/>
              <w:rPr>
                <w:sz w:val="24"/>
                <w:szCs w:val="24"/>
                <w:color w:val="auto"/>
              </w:rPr>
            </w:pPr>
          </w:p>
        </w:tc>
        <w:tc>
          <w:tcPr>
            <w:tcW w:w="8260" w:type="dxa"/>
            <w:vAlign w:val="bottom"/>
            <w:gridSpan w:val="3"/>
            <w:vMerge w:val="restart"/>
          </w:tcPr>
          <w:p>
            <w:pPr>
              <w:ind w:left="7220"/>
              <w:spacing w:after="0"/>
              <w:rPr>
                <w:sz w:val="20"/>
                <w:szCs w:val="20"/>
                <w:color w:val="auto"/>
              </w:rPr>
            </w:pPr>
            <w:r>
              <w:rPr>
                <w:rFonts w:ascii="Arial" w:cs="Arial" w:eastAsia="Arial" w:hAnsi="Arial"/>
                <w:sz w:val="14"/>
                <w:szCs w:val="14"/>
                <w:b w:val="1"/>
                <w:bCs w:val="1"/>
                <w:color w:val="auto"/>
                <w:w w:val="94"/>
              </w:rPr>
              <w:t>Method of Filing</w:t>
            </w:r>
          </w:p>
        </w:tc>
        <w:tc>
          <w:tcPr>
            <w:tcW w:w="0" w:type="dxa"/>
            <w:vAlign w:val="bottom"/>
          </w:tcPr>
          <w:p>
            <w:pPr>
              <w:spacing w:after="0"/>
              <w:rPr>
                <w:sz w:val="1"/>
                <w:szCs w:val="1"/>
                <w:color w:val="auto"/>
              </w:rPr>
            </w:pPr>
          </w:p>
        </w:tc>
      </w:tr>
      <w:tr>
        <w:trPr>
          <w:trHeight w:val="171"/>
        </w:trPr>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8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Power of Attorney</w:t>
            </w:r>
          </w:p>
        </w:tc>
        <w:tc>
          <w:tcPr>
            <w:tcW w:w="8260" w:type="dxa"/>
            <w:vAlign w:val="bottom"/>
            <w:gridSpan w:val="3"/>
          </w:tcPr>
          <w:p>
            <w:pPr>
              <w:ind w:left="722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20" w:type="dxa"/>
            <w:vAlign w:val="bottom"/>
          </w:tcPr>
          <w:p>
            <w:pPr>
              <w:jc w:val="center"/>
              <w:ind w:right="2033"/>
              <w:spacing w:after="0"/>
              <w:rPr>
                <w:sz w:val="20"/>
                <w:szCs w:val="20"/>
                <w:color w:val="auto"/>
              </w:rPr>
            </w:pPr>
            <w:r>
              <w:rPr>
                <w:rFonts w:ascii="Arial" w:cs="Arial" w:eastAsia="Arial" w:hAnsi="Arial"/>
                <w:sz w:val="18"/>
                <w:szCs w:val="18"/>
                <w:color w:val="auto"/>
                <w:w w:val="99"/>
              </w:rPr>
              <w:t>4</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the undersigned, each being a member of the Board of Directors of The Toro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do hereby make, nominate and appoint each of MICHAEL J. HOFFMAN AND TIMOTHY P. DORDELL, signing singly, to be his or her attorney-in-fact, with full power and authority to sign his or her name to a Post-Effective Amendment No. 3 to Registration Statement on Form S-8 relating to The Toro Company Performance Share Plan (Registration Nos. 333-89260 and 333-87461) (the “Registration Statement”), and any and all additional amendments thereto (including without limitation additional post-effective amendments to register or de-register shares), provided that the Registration Statement, in final form, be approved by said attorney-in-fact; and his name, when thus signed, shall have the same force and effect as though I had manually signed said document or documents.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affixed my signature this 19th day of May, 2015.</w:t>
      </w:r>
    </w:p>
    <w:p>
      <w:pPr>
        <w:spacing w:after="0" w:line="248" w:lineRule="exact"/>
        <w:rPr>
          <w:sz w:val="20"/>
          <w:szCs w:val="20"/>
          <w:color w:val="auto"/>
        </w:rPr>
      </w:pPr>
    </w:p>
    <w:tbl>
      <w:tblPr>
        <w:tblLayout w:type="fixed"/>
        <w:tblInd w:w="344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80" w:type="dxa"/>
            <w:vAlign w:val="bottom"/>
          </w:tcPr>
          <w:p>
            <w:pPr>
              <w:spacing w:after="0"/>
              <w:rPr>
                <w:sz w:val="14"/>
                <w:szCs w:val="14"/>
                <w:color w:val="auto"/>
              </w:rPr>
            </w:pPr>
          </w:p>
        </w:tc>
      </w:tr>
      <w:tr>
        <w:trPr>
          <w:trHeight w:val="426"/>
        </w:trPr>
        <w:tc>
          <w:tcPr>
            <w:tcW w:w="14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Robert C. Buhrmaster</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Robert C. Buhrmaster</w:t>
            </w:r>
          </w:p>
        </w:tc>
      </w:tr>
      <w:tr>
        <w:trPr>
          <w:trHeight w:val="431"/>
        </w:trPr>
        <w:tc>
          <w:tcPr>
            <w:tcW w:w="1660" w:type="dxa"/>
            <w:vAlign w:val="bottom"/>
            <w:tcBorders>
              <w:bottom w:val="single" w:sz="8" w:color="auto"/>
            </w:tcBorders>
            <w:gridSpan w:val="2"/>
          </w:tcPr>
          <w:p>
            <w:pPr>
              <w:ind w:left="134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0"/>
              </w:rPr>
              <w:t>Janet K. Cooper</w:t>
            </w:r>
          </w:p>
        </w:tc>
      </w:tr>
      <w:tr>
        <w:trPr>
          <w:trHeight w:val="224"/>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8"/>
                <w:szCs w:val="18"/>
                <w:color w:val="auto"/>
                <w:w w:val="89"/>
              </w:rPr>
              <w:t>Janet K. Cooper</w:t>
            </w:r>
          </w:p>
        </w:tc>
      </w:tr>
      <w:tr>
        <w:trPr>
          <w:trHeight w:val="431"/>
        </w:trPr>
        <w:tc>
          <w:tcPr>
            <w:tcW w:w="1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6"/>
              </w:rPr>
              <w:t>Gary L. Ellis</w:t>
            </w:r>
          </w:p>
        </w:tc>
      </w:tr>
      <w:tr>
        <w:trPr>
          <w:trHeight w:val="224"/>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80"/>
              <w:spacing w:after="0"/>
              <w:rPr>
                <w:sz w:val="20"/>
                <w:szCs w:val="20"/>
                <w:color w:val="auto"/>
              </w:rPr>
            </w:pPr>
            <w:r>
              <w:rPr>
                <w:rFonts w:ascii="Arial" w:cs="Arial" w:eastAsia="Arial" w:hAnsi="Arial"/>
                <w:sz w:val="18"/>
                <w:szCs w:val="18"/>
                <w:color w:val="auto"/>
                <w:w w:val="96"/>
              </w:rPr>
              <w:t>Gary L. Ellis</w:t>
            </w:r>
          </w:p>
        </w:tc>
      </w:tr>
      <w:tr>
        <w:trPr>
          <w:trHeight w:val="431"/>
        </w:trPr>
        <w:tc>
          <w:tcPr>
            <w:tcW w:w="14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83"/>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4"/>
              </w:rPr>
              <w:t>Jeffrey M. Ettinger</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4"/>
              </w:rPr>
              <w:t>Jeffrey M. Ettinger</w:t>
            </w:r>
          </w:p>
        </w:tc>
      </w:tr>
      <w:tr>
        <w:trPr>
          <w:trHeight w:val="431"/>
        </w:trPr>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Katherine J. Harless</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Katherine J. Harless</w:t>
            </w:r>
          </w:p>
        </w:tc>
      </w:tr>
      <w:tr>
        <w:trPr>
          <w:trHeight w:val="431"/>
        </w:trPr>
        <w:tc>
          <w:tcPr>
            <w:tcW w:w="14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4"/>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James C. O’Rourke</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James C. O’Rourke</w:t>
            </w:r>
          </w:p>
        </w:tc>
      </w:tr>
      <w:tr>
        <w:trPr>
          <w:trHeight w:val="431"/>
        </w:trPr>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Gregg W. Steinhafel</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Gregg W. Steinhafel</w:t>
            </w:r>
          </w:p>
        </w:tc>
      </w:tr>
    </w:tbl>
    <w:p>
      <w:pPr>
        <w:spacing w:after="0" w:line="201" w:lineRule="exact"/>
        <w:rPr>
          <w:sz w:val="20"/>
          <w:szCs w:val="20"/>
          <w:color w:val="auto"/>
        </w:rPr>
      </w:pPr>
    </w:p>
    <w:p>
      <w:pPr>
        <w:jc w:val="right"/>
        <w:ind w:right="4760"/>
        <w:spacing w:after="0"/>
        <w:tabs>
          <w:tab w:leader="none" w:pos="6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Christopher A. Twomey</w:t>
      </w:r>
    </w:p>
    <w:p>
      <w:pPr>
        <w:spacing w:after="0" w:line="23" w:lineRule="exact"/>
        <w:rPr>
          <w:sz w:val="20"/>
          <w:szCs w:val="20"/>
          <w:color w:val="auto"/>
        </w:rPr>
      </w:pPr>
    </w:p>
    <w:p>
      <w:pPr>
        <w:jc w:val="right"/>
        <w:ind w:right="4760"/>
        <w:spacing w:after="0"/>
        <w:rPr>
          <w:sz w:val="20"/>
          <w:szCs w:val="20"/>
          <w:color w:val="auto"/>
        </w:rPr>
      </w:pPr>
      <w:r>
        <w:rPr>
          <w:rFonts w:ascii="Arial" w:cs="Arial" w:eastAsia="Arial" w:hAnsi="Arial"/>
          <w:sz w:val="18"/>
          <w:szCs w:val="18"/>
          <w:color w:val="auto"/>
        </w:rPr>
        <w:t>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-130810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11340"/>
      </w:cols>
      <w:pgMar w:left="240" w:top="12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2019-12-05T22:12:35Z</dcterms:created>
  <dcterms:modified xsi:type="dcterms:W3CDTF">2019-12-05T22:12:35Z</dcterms:modified>
</cp:coreProperties>
</file>