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35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3544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Grams Blake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05/24/2010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VP, Corporate Controller</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48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20" w:type="dxa"/>
            <w:vAlign w:val="bottom"/>
            <w:gridSpan w:val="2"/>
          </w:tcPr>
          <w:p>
            <w:pPr>
              <w:ind w:left="700"/>
              <w:spacing w:after="0"/>
              <w:rPr>
                <w:sz w:val="20"/>
                <w:szCs w:val="20"/>
                <w:color w:val="auto"/>
              </w:rPr>
            </w:pPr>
            <w:r>
              <w:rPr>
                <w:rFonts w:ascii="Arial" w:cs="Arial" w:eastAsia="Arial" w:hAnsi="Arial"/>
                <w:sz w:val="18"/>
                <w:szCs w:val="18"/>
                <w:color w:val="0000FF"/>
                <w:w w:val="99"/>
              </w:rPr>
              <w:t>05/24/2010</w:t>
            </w: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720" w:type="dxa"/>
            <w:vAlign w:val="bottom"/>
          </w:tcPr>
          <w:p>
            <w:pPr>
              <w:ind w:left="220"/>
              <w:spacing w:after="0"/>
              <w:rPr>
                <w:sz w:val="20"/>
                <w:szCs w:val="20"/>
                <w:color w:val="auto"/>
              </w:rPr>
            </w:pPr>
            <w:r>
              <w:rPr>
                <w:rFonts w:ascii="Arial" w:cs="Arial" w:eastAsia="Arial" w:hAnsi="Arial"/>
                <w:sz w:val="18"/>
                <w:szCs w:val="18"/>
                <w:color w:val="0000FF"/>
              </w:rPr>
              <w:t>3,000</w:t>
            </w:r>
          </w:p>
        </w:tc>
        <w:tc>
          <w:tcPr>
            <w:tcW w:w="680" w:type="dxa"/>
            <w:vAlign w:val="bottom"/>
          </w:tcPr>
          <w:p>
            <w:pPr>
              <w:ind w:left="300"/>
              <w:spacing w:after="0"/>
              <w:rPr>
                <w:sz w:val="20"/>
                <w:szCs w:val="20"/>
                <w:color w:val="auto"/>
              </w:rPr>
            </w:pPr>
            <w:r>
              <w:rPr>
                <w:rFonts w:ascii="Arial" w:cs="Arial" w:eastAsia="Arial" w:hAnsi="Arial"/>
                <w:sz w:val="18"/>
                <w:szCs w:val="18"/>
                <w:color w:val="0000FF"/>
              </w:rPr>
              <w:t>A</w:t>
            </w:r>
          </w:p>
        </w:tc>
        <w:tc>
          <w:tcPr>
            <w:tcW w:w="20" w:type="dxa"/>
            <w:vAlign w:val="bottom"/>
          </w:tcPr>
          <w:p>
            <w:pPr>
              <w:spacing w:after="0"/>
              <w:rPr>
                <w:sz w:val="23"/>
                <w:szCs w:val="23"/>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45.4</w:t>
            </w:r>
          </w:p>
        </w:tc>
        <w:tc>
          <w:tcPr>
            <w:tcW w:w="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8"/>
              </w:rPr>
              <w:t>3,000</w:t>
            </w:r>
          </w:p>
        </w:tc>
        <w:tc>
          <w:tcPr>
            <w:tcW w:w="32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20" w:type="dxa"/>
            <w:vAlign w:val="bottom"/>
            <w:gridSpan w:val="2"/>
          </w:tcPr>
          <w:p>
            <w:pPr>
              <w:ind w:left="700"/>
              <w:spacing w:after="0"/>
              <w:rPr>
                <w:sz w:val="20"/>
                <w:szCs w:val="20"/>
                <w:color w:val="auto"/>
              </w:rPr>
            </w:pPr>
            <w:r>
              <w:rPr>
                <w:rFonts w:ascii="Arial" w:cs="Arial" w:eastAsia="Arial" w:hAnsi="Arial"/>
                <w:sz w:val="18"/>
                <w:szCs w:val="18"/>
                <w:color w:val="0000FF"/>
                <w:w w:val="99"/>
              </w:rPr>
              <w:t>05/24/2010</w:t>
            </w: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jc w:val="center"/>
              <w:ind w:right="257"/>
              <w:spacing w:after="0"/>
              <w:rPr>
                <w:sz w:val="20"/>
                <w:szCs w:val="20"/>
                <w:color w:val="auto"/>
              </w:rPr>
            </w:pPr>
            <w:r>
              <w:rPr>
                <w:rFonts w:ascii="Arial" w:cs="Arial" w:eastAsia="Arial" w:hAnsi="Arial"/>
                <w:sz w:val="14"/>
                <w:szCs w:val="14"/>
                <w:color w:val="0000FF"/>
                <w:w w:val="85"/>
              </w:rPr>
              <w:t>S</w:t>
            </w:r>
          </w:p>
        </w:tc>
        <w:tc>
          <w:tcPr>
            <w:tcW w:w="720" w:type="dxa"/>
            <w:vAlign w:val="bottom"/>
          </w:tcPr>
          <w:p>
            <w:pPr>
              <w:ind w:left="220"/>
              <w:spacing w:after="0"/>
              <w:rPr>
                <w:sz w:val="20"/>
                <w:szCs w:val="20"/>
                <w:color w:val="auto"/>
              </w:rPr>
            </w:pPr>
            <w:r>
              <w:rPr>
                <w:rFonts w:ascii="Arial" w:cs="Arial" w:eastAsia="Arial" w:hAnsi="Arial"/>
                <w:sz w:val="18"/>
                <w:szCs w:val="18"/>
                <w:color w:val="0000FF"/>
              </w:rPr>
              <w:t>3,000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20" w:type="dxa"/>
            <w:vAlign w:val="bottom"/>
          </w:tcPr>
          <w:p>
            <w:pPr>
              <w:spacing w:after="0"/>
              <w:rPr>
                <w:sz w:val="23"/>
                <w:szCs w:val="23"/>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52.97</w:t>
            </w:r>
          </w:p>
        </w:tc>
        <w:tc>
          <w:tcPr>
            <w:tcW w:w="40" w:type="dxa"/>
            <w:vAlign w:val="bottom"/>
          </w:tcPr>
          <w:p>
            <w:pPr>
              <w:spacing w:after="0"/>
              <w:rPr>
                <w:sz w:val="23"/>
                <w:szCs w:val="23"/>
                <w:color w:val="auto"/>
              </w:rPr>
            </w:pPr>
          </w:p>
        </w:tc>
        <w:tc>
          <w:tcPr>
            <w:tcW w:w="740" w:type="dxa"/>
            <w:vAlign w:val="bottom"/>
          </w:tcPr>
          <w:p>
            <w:pPr>
              <w:jc w:val="center"/>
              <w:ind w:left="352"/>
              <w:spacing w:after="0"/>
              <w:rPr>
                <w:sz w:val="20"/>
                <w:szCs w:val="20"/>
                <w:color w:val="auto"/>
              </w:rPr>
            </w:pPr>
            <w:r>
              <w:rPr>
                <w:rFonts w:ascii="Arial" w:cs="Arial" w:eastAsia="Arial" w:hAnsi="Arial"/>
                <w:sz w:val="18"/>
                <w:szCs w:val="18"/>
                <w:color w:val="0000FF"/>
                <w:w w:val="79"/>
              </w:rPr>
              <w:t>0</w:t>
            </w:r>
          </w:p>
        </w:tc>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5"/>
              </w:rPr>
              <w:t>6,609.353</w:t>
            </w:r>
            <w:r>
              <w:rPr>
                <w:rFonts w:ascii="Arial" w:cs="Arial" w:eastAsia="Arial" w:hAnsi="Arial"/>
                <w:sz w:val="22"/>
                <w:szCs w:val="22"/>
                <w:color w:val="008000"/>
                <w:w w:val="85"/>
                <w:vertAlign w:val="superscript"/>
              </w:rPr>
              <w:t>(1)</w:t>
            </w:r>
          </w:p>
        </w:tc>
        <w:tc>
          <w:tcPr>
            <w:tcW w:w="320" w:type="dxa"/>
            <w:vAlign w:val="bottom"/>
          </w:tcPr>
          <w:p>
            <w:pPr>
              <w:spacing w:after="0"/>
              <w:rPr>
                <w:sz w:val="18"/>
                <w:szCs w:val="18"/>
                <w:color w:val="auto"/>
              </w:rPr>
            </w:pPr>
          </w:p>
        </w:tc>
        <w:tc>
          <w:tcPr>
            <w:tcW w:w="600" w:type="dxa"/>
            <w:vAlign w:val="bottom"/>
          </w:tcPr>
          <w:p>
            <w:pPr>
              <w:jc w:val="center"/>
              <w:ind w:right="309"/>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485.668</w:t>
            </w:r>
            <w:r>
              <w:rPr>
                <w:rFonts w:ascii="Arial" w:cs="Arial" w:eastAsia="Arial" w:hAnsi="Arial"/>
                <w:sz w:val="22"/>
                <w:szCs w:val="22"/>
                <w:color w:val="008000"/>
                <w:w w:val="84"/>
                <w:vertAlign w:val="superscript"/>
              </w:rPr>
              <w:t>(2)</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Amount of</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4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20" w:type="dxa"/>
            <w:vAlign w:val="bottom"/>
          </w:tcPr>
          <w:p>
            <w:pPr>
              <w:spacing w:after="0"/>
              <w:rPr>
                <w:sz w:val="13"/>
                <w:szCs w:val="13"/>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45.4</w:t>
            </w:r>
          </w:p>
        </w:tc>
        <w:tc>
          <w:tcPr>
            <w:tcW w:w="1140" w:type="dxa"/>
            <w:vAlign w:val="bottom"/>
          </w:tcPr>
          <w:p>
            <w:pPr>
              <w:ind w:left="260"/>
              <w:spacing w:after="0"/>
              <w:rPr>
                <w:sz w:val="20"/>
                <w:szCs w:val="20"/>
                <w:color w:val="auto"/>
              </w:rPr>
            </w:pPr>
            <w:r>
              <w:rPr>
                <w:rFonts w:ascii="Arial" w:cs="Arial" w:eastAsia="Arial" w:hAnsi="Arial"/>
                <w:sz w:val="14"/>
                <w:szCs w:val="14"/>
                <w:color w:val="0000FF"/>
              </w:rPr>
              <w:t>05/24/2010</w:t>
            </w:r>
          </w:p>
        </w:tc>
        <w:tc>
          <w:tcPr>
            <w:tcW w:w="1140" w:type="dxa"/>
            <w:vAlign w:val="bottom"/>
          </w:tcPr>
          <w:p>
            <w:pPr>
              <w:spacing w:after="0"/>
              <w:rPr>
                <w:sz w:val="17"/>
                <w:szCs w:val="17"/>
                <w:color w:val="auto"/>
              </w:rPr>
            </w:pPr>
          </w:p>
        </w:tc>
        <w:tc>
          <w:tcPr>
            <w:tcW w:w="480" w:type="dxa"/>
            <w:vAlign w:val="bottom"/>
          </w:tcPr>
          <w:p>
            <w:pPr>
              <w:ind w:left="160"/>
              <w:spacing w:after="0"/>
              <w:rPr>
                <w:sz w:val="20"/>
                <w:szCs w:val="20"/>
                <w:color w:val="auto"/>
              </w:rPr>
            </w:pPr>
            <w:r>
              <w:rPr>
                <w:rFonts w:ascii="Arial" w:cs="Arial" w:eastAsia="Arial" w:hAnsi="Arial"/>
                <w:sz w:val="14"/>
                <w:szCs w:val="14"/>
                <w:color w:val="0000FF"/>
              </w:rPr>
              <w:t>M</w:t>
            </w:r>
          </w:p>
        </w:tc>
        <w:tc>
          <w:tcPr>
            <w:tcW w:w="340" w:type="dxa"/>
            <w:vAlign w:val="bottom"/>
          </w:tcPr>
          <w:p>
            <w:pPr>
              <w:spacing w:after="0"/>
              <w:rPr>
                <w:sz w:val="17"/>
                <w:szCs w:val="17"/>
                <w:color w:val="auto"/>
              </w:rPr>
            </w:pPr>
          </w:p>
        </w:tc>
        <w:tc>
          <w:tcPr>
            <w:tcW w:w="800" w:type="dxa"/>
            <w:vAlign w:val="bottom"/>
          </w:tcPr>
          <w:p>
            <w:pPr>
              <w:ind w:left="400"/>
              <w:spacing w:after="0"/>
              <w:rPr>
                <w:sz w:val="20"/>
                <w:szCs w:val="20"/>
                <w:color w:val="auto"/>
              </w:rPr>
            </w:pPr>
            <w:r>
              <w:rPr>
                <w:rFonts w:ascii="Arial" w:cs="Arial" w:eastAsia="Arial" w:hAnsi="Arial"/>
                <w:sz w:val="14"/>
                <w:szCs w:val="14"/>
                <w:color w:val="0000FF"/>
              </w:rPr>
              <w:t>3,000</w:t>
            </w:r>
          </w:p>
        </w:tc>
        <w:tc>
          <w:tcPr>
            <w:tcW w:w="840" w:type="dxa"/>
            <w:vAlign w:val="bottom"/>
            <w:gridSpan w:val="2"/>
          </w:tcPr>
          <w:p>
            <w:pPr>
              <w:jc w:val="right"/>
              <w:ind w:right="77"/>
              <w:spacing w:after="0"/>
              <w:rPr>
                <w:sz w:val="20"/>
                <w:szCs w:val="20"/>
                <w:color w:val="auto"/>
              </w:rPr>
            </w:pPr>
            <w:r>
              <w:rPr>
                <w:rFonts w:ascii="Arial" w:cs="Arial" w:eastAsia="Arial" w:hAnsi="Arial"/>
                <w:sz w:val="14"/>
                <w:szCs w:val="14"/>
                <w:color w:val="0000FF"/>
                <w:w w:val="96"/>
              </w:rPr>
              <w:t>01/17/2008</w:t>
            </w:r>
          </w:p>
        </w:tc>
        <w:tc>
          <w:tcPr>
            <w:tcW w:w="720" w:type="dxa"/>
            <w:vAlign w:val="bottom"/>
          </w:tcPr>
          <w:p>
            <w:pPr>
              <w:ind w:left="40"/>
              <w:spacing w:after="0"/>
              <w:rPr>
                <w:sz w:val="20"/>
                <w:szCs w:val="20"/>
                <w:color w:val="auto"/>
              </w:rPr>
            </w:pPr>
            <w:r>
              <w:rPr>
                <w:rFonts w:ascii="Arial" w:cs="Arial" w:eastAsia="Arial" w:hAnsi="Arial"/>
                <w:sz w:val="14"/>
                <w:szCs w:val="14"/>
                <w:color w:val="0000FF"/>
                <w:w w:val="94"/>
              </w:rPr>
              <w:t>01/17/2011</w:t>
            </w:r>
          </w:p>
        </w:tc>
        <w:tc>
          <w:tcPr>
            <w:tcW w:w="680" w:type="dxa"/>
            <w:vAlign w:val="bottom"/>
          </w:tcPr>
          <w:p>
            <w:pPr>
              <w:ind w:left="80"/>
              <w:spacing w:after="0"/>
              <w:rPr>
                <w:sz w:val="20"/>
                <w:szCs w:val="20"/>
                <w:color w:val="auto"/>
              </w:rPr>
            </w:pPr>
            <w:r>
              <w:rPr>
                <w:rFonts w:ascii="Arial" w:cs="Arial" w:eastAsia="Arial" w:hAnsi="Arial"/>
                <w:sz w:val="14"/>
                <w:szCs w:val="14"/>
                <w:color w:val="0000FF"/>
              </w:rPr>
              <w:t>Common</w:t>
            </w:r>
          </w:p>
        </w:tc>
        <w:tc>
          <w:tcPr>
            <w:tcW w:w="20" w:type="dxa"/>
            <w:vAlign w:val="bottom"/>
          </w:tcPr>
          <w:p>
            <w:pPr>
              <w:spacing w:after="0"/>
              <w:rPr>
                <w:sz w:val="17"/>
                <w:szCs w:val="17"/>
                <w:color w:val="auto"/>
              </w:rPr>
            </w:pPr>
          </w:p>
        </w:tc>
        <w:tc>
          <w:tcPr>
            <w:tcW w:w="560" w:type="dxa"/>
            <w:vAlign w:val="bottom"/>
          </w:tcPr>
          <w:p>
            <w:pPr>
              <w:ind w:left="60"/>
              <w:spacing w:after="0" w:line="200" w:lineRule="exact"/>
              <w:rPr>
                <w:sz w:val="20"/>
                <w:szCs w:val="20"/>
                <w:color w:val="auto"/>
              </w:rPr>
            </w:pPr>
            <w:r>
              <w:rPr>
                <w:rFonts w:ascii="Arial" w:cs="Arial" w:eastAsia="Arial" w:hAnsi="Arial"/>
                <w:sz w:val="18"/>
                <w:szCs w:val="18"/>
                <w:color w:val="0000FF"/>
              </w:rPr>
              <w:t>3,000</w:t>
            </w:r>
          </w:p>
        </w:tc>
        <w:tc>
          <w:tcPr>
            <w:tcW w:w="40" w:type="dxa"/>
            <w:vAlign w:val="bottom"/>
          </w:tcPr>
          <w:p>
            <w:pPr>
              <w:spacing w:after="0"/>
              <w:rPr>
                <w:sz w:val="17"/>
                <w:szCs w:val="17"/>
                <w:color w:val="auto"/>
              </w:rPr>
            </w:pPr>
          </w:p>
        </w:tc>
        <w:tc>
          <w:tcPr>
            <w:tcW w:w="7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80" w:type="dxa"/>
            <w:vAlign w:val="bottom"/>
          </w:tcPr>
          <w:p>
            <w:pPr>
              <w:ind w:left="400"/>
              <w:spacing w:after="0"/>
              <w:rPr>
                <w:sz w:val="20"/>
                <w:szCs w:val="20"/>
                <w:color w:val="auto"/>
              </w:rPr>
            </w:pPr>
            <w:r>
              <w:rPr>
                <w:rFonts w:ascii="Arial" w:cs="Arial" w:eastAsia="Arial" w:hAnsi="Arial"/>
                <w:sz w:val="14"/>
                <w:szCs w:val="14"/>
                <w:color w:val="0000FF"/>
                <w:w w:val="76"/>
              </w:rPr>
              <w:t>0</w:t>
            </w:r>
          </w:p>
        </w:tc>
        <w:tc>
          <w:tcPr>
            <w:tcW w:w="320" w:type="dxa"/>
            <w:vAlign w:val="bottom"/>
          </w:tcPr>
          <w:p>
            <w:pPr>
              <w:spacing w:after="0"/>
              <w:rPr>
                <w:sz w:val="17"/>
                <w:szCs w:val="17"/>
                <w:color w:val="auto"/>
              </w:rPr>
            </w:pPr>
          </w:p>
        </w:tc>
        <w:tc>
          <w:tcPr>
            <w:tcW w:w="600" w:type="dxa"/>
            <w:vAlign w:val="bottom"/>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10" w:lineRule="exact"/>
              <w:rPr>
                <w:sz w:val="20"/>
                <w:szCs w:val="20"/>
                <w:color w:val="auto"/>
              </w:rPr>
            </w:pPr>
            <w:r>
              <w:rPr>
                <w:rFonts w:ascii="Arial" w:cs="Arial" w:eastAsia="Arial" w:hAnsi="Arial"/>
                <w:sz w:val="12"/>
                <w:szCs w:val="12"/>
                <w:color w:val="0000FF"/>
              </w:rPr>
              <w:t>Stock</w:t>
            </w: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the following shares of common stock acquired by the reporting person since the date of his last report: 21.292 shares acquired under the dividend reinvestment feature of The Toro Company Investment, Savings &amp; ESOP (IS&amp;ESOP); 95.278 shares acquired through individual and issuer matching contributions to the IS&amp;ESOP; and 387.861 shares acquired through issuer annual investment fund contributions to the IS&amp;ESOP.</w:t>
      </w:r>
    </w:p>
    <w:p>
      <w:pPr>
        <w:spacing w:after="0" w:line="30" w:lineRule="exact"/>
        <w:rPr>
          <w:rFonts w:ascii="Arial" w:cs="Arial" w:eastAsia="Arial" w:hAnsi="Arial"/>
          <w:sz w:val="14"/>
          <w:szCs w:val="14"/>
          <w:color w:val="008000"/>
        </w:rPr>
      </w:pPr>
    </w:p>
    <w:p>
      <w:pPr>
        <w:ind w:left="40" w:right="4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1.677 shares of common stock acquired by the reporting person under the dividend reinvestment feature of The Toro Company Deferred Compensation Plan for Officers since the date of his last report.</w:t>
      </w:r>
    </w:p>
    <w:p>
      <w:pPr>
        <w:spacing w:after="0" w:line="17"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Amy E. Dahl,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05/25/2010</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5088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2019-12-17T00:04:24Z</dcterms:created>
  <dcterms:modified xsi:type="dcterms:W3CDTF">2019-12-17T00:04:24Z</dcterms:modified>
</cp:coreProperties>
</file>