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12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Global Micro Irrigation</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12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12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12/05/2013</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6,456</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Borders>
              <w:bottom w:val="single" w:sz="8" w:color="2C2C2C"/>
            </w:tcBorders>
          </w:tcPr>
          <w:p>
            <w:pPr>
              <w:jc w:val="center"/>
              <w:ind w:right="1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56,689</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12/05/2013</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52"/>
              <w:spacing w:after="0"/>
              <w:rPr>
                <w:sz w:val="20"/>
                <w:szCs w:val="20"/>
                <w:color w:val="auto"/>
              </w:rPr>
            </w:pPr>
            <w:r>
              <w:rPr>
                <w:rFonts w:ascii="Arial" w:cs="Arial" w:eastAsia="Arial" w:hAnsi="Arial"/>
                <w:sz w:val="18"/>
                <w:szCs w:val="18"/>
                <w:color w:val="0000FF"/>
              </w:rPr>
              <w:t>2,170</w:t>
            </w:r>
          </w:p>
        </w:tc>
        <w:tc>
          <w:tcPr>
            <w:tcW w:w="6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59.31</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54,519</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4,433.206</w:t>
            </w:r>
            <w:r>
              <w:rPr>
                <w:rFonts w:ascii="Arial" w:cs="Arial" w:eastAsia="Arial" w:hAnsi="Arial"/>
                <w:sz w:val="22"/>
                <w:szCs w:val="22"/>
                <w:color w:val="008000"/>
                <w:w w:val="83"/>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27,066.015</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59.5</w:t>
            </w:r>
          </w:p>
        </w:tc>
        <w:tc>
          <w:tcPr>
            <w:tcW w:w="1140" w:type="dxa"/>
            <w:vAlign w:val="bottom"/>
          </w:tcPr>
          <w:p>
            <w:pPr>
              <w:ind w:left="260"/>
              <w:spacing w:after="0"/>
              <w:rPr>
                <w:sz w:val="20"/>
                <w:szCs w:val="20"/>
                <w:color w:val="auto"/>
              </w:rPr>
            </w:pPr>
            <w:r>
              <w:rPr>
                <w:rFonts w:ascii="Arial" w:cs="Arial" w:eastAsia="Arial" w:hAnsi="Arial"/>
                <w:sz w:val="14"/>
                <w:szCs w:val="14"/>
                <w:color w:val="0000FF"/>
              </w:rPr>
              <w:t>12/06/2013</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A</w:t>
            </w:r>
          </w:p>
        </w:tc>
        <w:tc>
          <w:tcPr>
            <w:tcW w:w="44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0000FF"/>
              </w:rPr>
              <w:t>7,200</w:t>
            </w:r>
          </w:p>
        </w:tc>
        <w:tc>
          <w:tcPr>
            <w:tcW w:w="300" w:type="dxa"/>
            <w:vAlign w:val="bottom"/>
          </w:tcPr>
          <w:p>
            <w:pPr>
              <w:spacing w:after="0"/>
              <w:rPr>
                <w:sz w:val="17"/>
                <w:szCs w:val="17"/>
                <w:color w:val="auto"/>
              </w:rPr>
            </w:pPr>
          </w:p>
        </w:tc>
        <w:tc>
          <w:tcPr>
            <w:tcW w:w="820" w:type="dxa"/>
            <w:vAlign w:val="bottom"/>
          </w:tcPr>
          <w:p>
            <w:pPr>
              <w:ind w:left="32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12/06/2023</w:t>
            </w:r>
          </w:p>
        </w:tc>
        <w:tc>
          <w:tcPr>
            <w:tcW w:w="660" w:type="dxa"/>
            <w:vAlign w:val="bottom"/>
          </w:tcPr>
          <w:p>
            <w:pPr>
              <w:ind w:left="80"/>
              <w:spacing w:after="0"/>
              <w:rPr>
                <w:sz w:val="20"/>
                <w:szCs w:val="20"/>
                <w:color w:val="auto"/>
              </w:rPr>
            </w:pPr>
            <w:r>
              <w:rPr>
                <w:rFonts w:ascii="Arial" w:cs="Arial" w:eastAsia="Arial" w:hAnsi="Arial"/>
                <w:sz w:val="14"/>
                <w:szCs w:val="14"/>
                <w:color w:val="0000FF"/>
                <w:w w:val="98"/>
              </w:rPr>
              <w:t>Common</w:t>
            </w:r>
          </w:p>
        </w:tc>
        <w:tc>
          <w:tcPr>
            <w:tcW w:w="600" w:type="dxa"/>
            <w:vAlign w:val="bottom"/>
          </w:tcPr>
          <w:p>
            <w:pPr>
              <w:ind w:left="100"/>
              <w:spacing w:after="0" w:line="200" w:lineRule="exact"/>
              <w:rPr>
                <w:sz w:val="20"/>
                <w:szCs w:val="20"/>
                <w:color w:val="auto"/>
              </w:rPr>
            </w:pPr>
            <w:r>
              <w:rPr>
                <w:rFonts w:ascii="Arial" w:cs="Arial" w:eastAsia="Arial" w:hAnsi="Arial"/>
                <w:sz w:val="18"/>
                <w:szCs w:val="18"/>
                <w:color w:val="0000FF"/>
              </w:rPr>
              <w:t>7,200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tcPr>
          <w:p>
            <w:pPr>
              <w:ind w:left="300"/>
              <w:spacing w:after="0"/>
              <w:rPr>
                <w:sz w:val="20"/>
                <w:szCs w:val="20"/>
                <w:color w:val="auto"/>
              </w:rPr>
            </w:pPr>
            <w:r>
              <w:rPr>
                <w:rFonts w:ascii="Arial" w:cs="Arial" w:eastAsia="Arial" w:hAnsi="Arial"/>
                <w:sz w:val="14"/>
                <w:szCs w:val="14"/>
                <w:color w:val="0000FF"/>
              </w:rPr>
              <w:t>7,200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center"/>
              <w:spacing w:after="0" w:line="110" w:lineRule="exact"/>
              <w:rPr>
                <w:sz w:val="20"/>
                <w:szCs w:val="20"/>
                <w:color w:val="auto"/>
              </w:rPr>
            </w:pPr>
            <w:r>
              <w:rPr>
                <w:rFonts w:ascii="Arial" w:cs="Arial" w:eastAsia="Arial" w:hAnsi="Arial"/>
                <w:sz w:val="12"/>
                <w:szCs w:val="12"/>
                <w:color w:val="0000FF"/>
              </w:rPr>
              <w:t>Stock</w:t>
            </w: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2011 to Fiscal 2013 Performance Period under The Toro Company 2010 Equity and Incentive Plan, as amended (the "2010 Plan"), as approved by the registrant's Compensation &amp; Human Resources Committee of its Board of Directors on December 3, 2013, and which was conditioned upon and subject to confirmation by the registrant's Fiscal 2013 financial results that were released on December 5, 2013. Performance Share Awards are paid in shares of common stock under the 2010 Plan.</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23.585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143.667 performance share units acquired by the reporting person under the dividend reinvestment feature of The Toro Company Deferred Compensation Plan for Officers since the date of his last report.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12/09/2013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12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w:t>
      </w:r>
    </w:p>
    <w:p>
      <w:pPr>
        <w:spacing w:after="0"/>
        <w:rPr>
          <w:sz w:val="20"/>
          <w:szCs w:val="20"/>
          <w:color w:val="auto"/>
        </w:rPr>
      </w:pPr>
      <w:r>
        <w:rPr>
          <w:rFonts w:ascii="Courier New" w:cs="Courier New" w:eastAsia="Courier New" w:hAnsi="Courier New"/>
          <w:sz w:val="18"/>
          <w:szCs w:val="18"/>
          <w:color w:val="auto"/>
        </w:rPr>
        <w:t>The Toro 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Michael D. Drazan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D. Drazan</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11/20/2013</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2019-12-17T02:28:08Z</dcterms:created>
  <dcterms:modified xsi:type="dcterms:W3CDTF">2019-12-17T02:28:08Z</dcterms:modified>
</cp:coreProperties>
</file>