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October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1.01. Entry into a Material Definitive Agreement.</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On October 2, 2024, The Toro Company (“TTC”) and Toro Luxembourg S.à r.l. (collectively, the “Borrowers”) entered into a Second Amended and Restated Credit Agreement (the “5-Year Credit Agreement”) with certain lenders, Bank of America, N.A., as administrative agent (in such capacity, the “Administrative Agent”), swingline lender and L/C issuer, U.S. Bank, National Association and Wells Fargo Bank National Association, as co-syndication agents (in such capacities, the “Co-Syndication Agents”) and BMO Bank N.A., HSBC Bank USA, National Association and PNC Bank, National Association, as co-documentation agents. The 5-Year Credit Agreement provides for (i) a five-year unsecured term loan in an aggregate principal amount of up to $200 million to TTC (the “Term Facility”), the entire amount of which was funded on October 2, 2024, and (ii) a five-year unsecured revolving credit facility in an aggregate principal amount of up to $900 million to the Borrowers, including a $10 million sublimit for the issuance of standby letters of credit and a $75 million sublimit for swingline loans (the “Revolving Facility” and, collectively with the Term Facility, the “Facilities”). TTC may request that (i) the maximum principal amount available under the Revolving Facility be increased by an amount of up to $450 million and/or (ii) incremental term loan commitments be established by an amount of up to $100 million.</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Subject to customary closing conditions, funds are available under the Facilities (i) for general working capital, capital expenditures and other lawful corporate purposes, (ii) the purchase of TTC’s capital stock and preferred stock rights, and (iii) to replace and refinance outstanding indebtedness under the Prior Credit Agreement (as defined below). Loans under the Revolving Facility are available in U.S. Dollars, Euros, British Pounds Sterling, Australian Dollars, Mexican Pesos and Canadian Dollars and, at the discretion of the lenders, other currencies. Loans under the Term Facility are available in U.S. Dollars.</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addition to certain initial fees payable to the Administrative Agent, the Co-Syndication Agents and their respective affiliates, the Borrowers are obligated to pay a facility fee based on the availability of commitments under the Revolving Facility which is payable quarterly in arrears to each applicable lender. At the option of TTC, any loan under the Facilities (other than the swingline loans) will bear interest at a variable rate generally equal to an alternative variable rate based on the highest of the Bank of America prime rate, the federal funds rate or a rate generally based on Term SOFR, in each case depending on the leverage ratio (as measured quarterly and defined as the ratio of (i) total indebtedness to (ii) consolidated EBIT (earnings before interest and taxes) plus depreciation and amortization expense) and debt rating of TTC. Swingline loans bear interest at a rate determined by the swingline lender or an alternative variable rate based on the highest of the Bank of America prime rate, the federal funds rate or a rate generally based on Term SOFR, in each case depending on the leverage ratio and debt rating of TTC. Interest is payable quarterly in arrears. Beginning December 31, 2027 and ending September 30, 2029, TTC will make quarterly amortization payments on the Term Facility with each such payment equal to $5,000,000. On October 31, 2029, the aggregate principal amount of any outstanding amounts under the Term Facility will be repaid.</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5-Year Credit Agreement contains customary covenants regarding TTC and its subsidiaries, including, without limitation a maximum leverage ratio and negative covenants, which, among other things, limit dividends, disposition of assets, consolidations and mergers, liens and other matters customarily restricted in such agreements. Most of these restrictions are subject to certain minimum thresholds and exceptions. The 5-Year Credit Agreement also contains customary events of default, including, without limitation, payment defaults, material inaccuracy of representations and warranties, covenant defaults, bankruptcy and insolvency proceedings, cross-defaults to certain other agreements, and change of control.</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BofA Securities, Inc., U.S. Bank National Association and Wells Fargo Securities, LLC served as joint lead arrangers and joint bookrunners for the Facilities, for which they each received customary compensation. In addition, the Administrative Agent and the Co-Syndication Agents and certain of the other lenders and their respective affiliates have in the past performed, and may in the future from time to time perform, investment banking, financial advisory, lending and/or commercial banking services for TTC and its subsidiaries, for which service they have in the past received, and may in the future receive, customary compensation and reimbursement of expenses.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connection with the execution of the 5-Year Credit Agreement, under that certain amended and restated credit agreement, dated as of October 5, 2021, between TTC and certain lenders, Bank of America, N.A., as administrative agent, swing line lender and L/C issuer, Wells Fargo Bank, National Association and U.S. Bank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Association, as co-syndication agents, and BMO Harris Bank, N.A. and HSBC Bank USA, National Association, as co-documentation agents (the “Prior Credit Agreement”), the $270 million term loans outstanding were repaid in full and the prior $600 million unsecured revolving credit facility was replaced. As of October 2, 2024, borrowings outstanding under the revolving credit facility were approximately $17.7 million.</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foregoing description of the 5-Year Credit Agreement is a summary of the material terms of such agreement, does not purport to be complete and is qualified in its entirety by reference to the complete text of the agreement, a copy of which is filed as Exhibit 10.1 to this Current Report on Form 8-K and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2.03 Creation of a Direct Financial Obligation or an Obligation under an Off-Balance Sheet Arrangement of a Registrant.</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information described above under “Section 1 – Registrant’s Business and Operations – Item 1.01 Entry into a Material Definitive Agreement” is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82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98"/>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10.1</w:t>
            </w:r>
          </w:p>
        </w:tc>
        <w:tc>
          <w:tcPr>
            <w:tcW w:w="8860" w:type="dxa"/>
            <w:vAlign w:val="bottom"/>
            <w:gridSpan w:val="7"/>
          </w:tcPr>
          <w:p>
            <w:pPr>
              <w:spacing w:after="0" w:line="212" w:lineRule="exact"/>
              <w:rPr>
                <w:sz w:val="20"/>
                <w:szCs w:val="20"/>
                <w:color w:val="auto"/>
              </w:rPr>
            </w:pPr>
            <w:r>
              <w:rPr>
                <w:rFonts w:ascii="Times New Roman" w:cs="Times New Roman" w:eastAsia="Times New Roman" w:hAnsi="Times New Roman"/>
                <w:sz w:val="20"/>
                <w:szCs w:val="20"/>
                <w:color w:val="0000FF"/>
              </w:rPr>
              <w:t>Second Amended and Restated Credit Agreement dated as of October 2, 2024, by and among The Toro</w:t>
            </w:r>
          </w:p>
        </w:tc>
      </w:tr>
      <w:tr>
        <w:trPr>
          <w:trHeight w:val="169"/>
        </w:trPr>
        <w:tc>
          <w:tcPr>
            <w:tcW w:w="2380" w:type="dxa"/>
            <w:vAlign w:val="bottom"/>
          </w:tcPr>
          <w:p>
            <w:pPr>
              <w:spacing w:after="0"/>
              <w:rPr>
                <w:sz w:val="14"/>
                <w:szCs w:val="14"/>
                <w:color w:val="auto"/>
              </w:rPr>
            </w:pPr>
          </w:p>
        </w:tc>
        <w:tc>
          <w:tcPr>
            <w:tcW w:w="866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9"/>
                <w:szCs w:val="19"/>
                <w:color w:val="0000FF"/>
              </w:rPr>
              <w:t>Company and Toro Luxembourg S.à r.l., as Borrowers, the lenders from time to time party thereto, Bank of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3"/>
        </w:trPr>
        <w:tc>
          <w:tcPr>
            <w:tcW w:w="2380" w:type="dxa"/>
            <w:vAlign w:val="bottom"/>
          </w:tcPr>
          <w:p>
            <w:pPr>
              <w:spacing w:after="0"/>
              <w:rPr>
                <w:sz w:val="15"/>
                <w:szCs w:val="15"/>
                <w:color w:val="auto"/>
              </w:rPr>
            </w:pPr>
          </w:p>
        </w:tc>
        <w:tc>
          <w:tcPr>
            <w:tcW w:w="864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20"/>
                <w:szCs w:val="20"/>
                <w:color w:val="0000FF"/>
              </w:rPr>
              <w:t>America, N.A., as administrative agent, swingline lender and L/C issuer, U.S. Bank National Association</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2380" w:type="dxa"/>
            <w:vAlign w:val="bottom"/>
          </w:tcPr>
          <w:p>
            <w:pPr>
              <w:spacing w:after="0"/>
              <w:rPr>
                <w:sz w:val="15"/>
                <w:szCs w:val="15"/>
                <w:color w:val="auto"/>
              </w:rPr>
            </w:pPr>
          </w:p>
        </w:tc>
        <w:tc>
          <w:tcPr>
            <w:tcW w:w="868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20"/>
                <w:szCs w:val="20"/>
                <w:color w:val="0000FF"/>
                <w:w w:val="99"/>
              </w:rPr>
              <w:t>and Wells Fargo Bank, National Association, as co-syndication agents, and BMO Harris Bank, N.A., HSBC</w:t>
            </w:r>
          </w:p>
        </w:tc>
        <w:tc>
          <w:tcPr>
            <w:tcW w:w="20" w:type="dxa"/>
            <w:vAlign w:val="bottom"/>
            <w:tcBorders>
              <w:bottom w:val="single" w:sz="8" w:color="0000FF"/>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2380" w:type="dxa"/>
            <w:vAlign w:val="bottom"/>
          </w:tcPr>
          <w:p>
            <w:pPr>
              <w:spacing w:after="0"/>
              <w:rPr>
                <w:sz w:val="14"/>
                <w:szCs w:val="14"/>
                <w:color w:val="auto"/>
              </w:rPr>
            </w:pPr>
          </w:p>
        </w:tc>
        <w:tc>
          <w:tcPr>
            <w:tcW w:w="8700" w:type="dxa"/>
            <w:vAlign w:val="bottom"/>
            <w:gridSpan w:val="6"/>
          </w:tcPr>
          <w:p>
            <w:pPr>
              <w:spacing w:after="0" w:line="169" w:lineRule="exact"/>
              <w:rPr>
                <w:sz w:val="20"/>
                <w:szCs w:val="20"/>
                <w:color w:val="auto"/>
              </w:rPr>
            </w:pPr>
            <w:r>
              <w:rPr>
                <w:rFonts w:ascii="Times New Roman" w:cs="Times New Roman" w:eastAsia="Times New Roman" w:hAnsi="Times New Roman"/>
                <w:sz w:val="19"/>
                <w:szCs w:val="19"/>
                <w:color w:val="0000FF"/>
              </w:rPr>
              <w:t>Bank USA, National Association and PNC Bank, National Association, as co-documentation agents (filed</w:t>
            </w:r>
          </w:p>
        </w:tc>
        <w:tc>
          <w:tcPr>
            <w:tcW w:w="160" w:type="dxa"/>
            <w:vAlign w:val="bottom"/>
          </w:tcPr>
          <w:p>
            <w:pPr>
              <w:spacing w:after="0"/>
              <w:rPr>
                <w:sz w:val="14"/>
                <w:szCs w:val="14"/>
                <w:color w:val="auto"/>
              </w:rPr>
            </w:pPr>
          </w:p>
        </w:tc>
      </w:tr>
      <w:tr>
        <w:trPr>
          <w:trHeight w:val="183"/>
        </w:trPr>
        <w:tc>
          <w:tcPr>
            <w:tcW w:w="2380" w:type="dxa"/>
            <w:vAlign w:val="bottom"/>
          </w:tcPr>
          <w:p>
            <w:pPr>
              <w:spacing w:after="0"/>
              <w:rPr>
                <w:sz w:val="15"/>
                <w:szCs w:val="15"/>
                <w:color w:val="auto"/>
              </w:rPr>
            </w:pPr>
          </w:p>
        </w:tc>
        <w:tc>
          <w:tcPr>
            <w:tcW w:w="82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20"/>
                <w:szCs w:val="20"/>
                <w:color w:val="0000FF"/>
                <w:w w:val="97"/>
              </w:rPr>
              <w:t>herewith).</w:t>
            </w:r>
          </w:p>
        </w:tc>
        <w:tc>
          <w:tcPr>
            <w:tcW w:w="7800" w:type="dxa"/>
            <w:vAlign w:val="bottom"/>
            <w:tcBorders>
              <w:top w:val="single" w:sz="8" w:color="0000FF"/>
            </w:tcBorders>
          </w:tcPr>
          <w:p>
            <w:pPr>
              <w:spacing w:after="0"/>
              <w:rPr>
                <w:sz w:val="15"/>
                <w:szCs w:val="15"/>
                <w:color w:val="auto"/>
              </w:rPr>
            </w:pPr>
          </w:p>
        </w:tc>
        <w:tc>
          <w:tcPr>
            <w:tcW w:w="240" w:type="dxa"/>
            <w:vAlign w:val="bottom"/>
            <w:gridSpan w:val="5"/>
          </w:tcPr>
          <w:p>
            <w:pPr>
              <w:spacing w:after="0"/>
              <w:rPr>
                <w:sz w:val="15"/>
                <w:szCs w:val="15"/>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59"/>
        </w:trPr>
        <w:tc>
          <w:tcPr>
            <w:tcW w:w="2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360"/>
        <w:spacing w:after="0"/>
        <w:tabs>
          <w:tab w:leader="none" w:pos="4660" w:val="left"/>
        </w:tabs>
        <w:rPr>
          <w:sz w:val="20"/>
          <w:szCs w:val="20"/>
          <w:color w:val="auto"/>
        </w:rPr>
      </w:pPr>
      <w:r>
        <w:rPr>
          <w:rFonts w:ascii="Times New Roman" w:cs="Times New Roman" w:eastAsia="Times New Roman" w:hAnsi="Times New Roman"/>
          <w:sz w:val="20"/>
          <w:szCs w:val="20"/>
          <w:color w:val="auto"/>
        </w:rPr>
        <w:t>Date: October 3, 2024</w:t>
      </w:r>
      <w:r>
        <w:rPr>
          <w:sz w:val="20"/>
          <w:szCs w:val="20"/>
          <w:color w:val="auto"/>
        </w:rPr>
        <w:tab/>
      </w:r>
      <w:r>
        <w:rPr>
          <w:rFonts w:ascii="Times New Roman" w:cs="Times New Roman" w:eastAsia="Times New Roman" w:hAnsi="Times New Roman"/>
          <w:sz w:val="19"/>
          <w:szCs w:val="19"/>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22860</wp:posOffset>
            </wp:positionV>
            <wp:extent cx="3968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Joanna M. Totsky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p>
      <w:pPr>
        <w:sectPr>
          <w:pgSz w:w="11900" w:h="16838" w:orient="portrait"/>
          <w:cols w:equalWidth="0" w:num="1">
            <w:col w:w="11020"/>
          </w:cols>
          <w:pgMar w:left="320" w:top="886" w:right="559" w:bottom="1440" w:gutter="0" w:footer="0" w:header="0"/>
        </w:sectPr>
      </w:pPr>
    </w:p>
    <w:bookmarkStart w:id="4" w:name="page5"/>
    <w:bookmarkEnd w:id="4"/>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color w:val="auto"/>
        </w:rPr>
        <w:t>Published Deal CUSIP: 891091AT7</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Published Revolver CUSIP: 891091AU4</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Published Term Loan CUSIP: 891091AV2</w:t>
      </w:r>
    </w:p>
    <w:p>
      <w:pPr>
        <w:spacing w:after="0" w:line="200" w:lineRule="exact"/>
        <w:rPr>
          <w:sz w:val="20"/>
          <w:szCs w:val="20"/>
          <w:color w:val="auto"/>
        </w:rPr>
      </w:pPr>
    </w:p>
    <w:p>
      <w:pPr>
        <w:spacing w:after="0" w:line="36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w:t>
      </w:r>
    </w:p>
    <w:p>
      <w:pPr>
        <w:spacing w:after="0" w:line="23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Dated as of October 2, 2024</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151130</wp:posOffset>
            </wp:positionV>
            <wp:extent cx="1928495" cy="1268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849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3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TORO LUXEMBOURG S.À R.L</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CERTAIN OTHER SUBSIDIARIES,</w:t>
      </w:r>
    </w:p>
    <w:p>
      <w:pPr>
        <w:spacing w:after="0" w:line="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as Borrowers,</w:t>
      </w:r>
    </w:p>
    <w:p>
      <w:pPr>
        <w:spacing w:after="0" w:line="20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BANK OF AMERICA, 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as Administrative Agent, Swing Line Lender</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L/C Issuer,</w:t>
      </w:r>
    </w:p>
    <w:p>
      <w:pPr>
        <w:spacing w:after="0" w:line="19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BANK NATIONAL ASSOCIATION</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p>
    <w:p>
      <w:pPr>
        <w:spacing w:after="0" w:line="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0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b w:val="1"/>
          <w:bCs w:val="1"/>
          <w:color w:val="auto"/>
        </w:rPr>
        <w:t>BMO BANK N.A.,</w:t>
      </w:r>
    </w:p>
    <w:p>
      <w:pPr>
        <w:spacing w:after="0" w:line="2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p>
    <w:p>
      <w:pPr>
        <w:spacing w:after="0" w:line="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207"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The Other Lenders Party Hereto</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BOFA SECURITIES, INC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3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BANK NATIONAL ASSOCIATION</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ectPr>
          <w:pgSz w:w="11900" w:h="16838" w:orient="portrait"/>
          <w:cols w:equalWidth="0" w:num="1">
            <w:col w:w="10060"/>
          </w:cols>
          <w:pgMar w:left="1440" w:top="1440"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WELLS FARGO SECURITIES, LLC,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as Joint Lead Arrangers and Joint Bookrunners</w:t>
      </w:r>
    </w:p>
    <w:p>
      <w:pPr>
        <w:sectPr>
          <w:pgSz w:w="11900" w:h="16838" w:orient="portrait"/>
          <w:cols w:equalWidth="0" w:num="1">
            <w:col w:w="9019"/>
          </w:cols>
          <w:pgMar w:left="1440" w:top="108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62"/>
        </w:trPr>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40" w:type="dxa"/>
            <w:vAlign w:val="bottom"/>
            <w:gridSpan w:val="11"/>
          </w:tcPr>
          <w:p>
            <w:pPr>
              <w:ind w:left="1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0" w:type="dxa"/>
            <w:vAlign w:val="bottom"/>
          </w:tcPr>
          <w:p>
            <w:pPr>
              <w:spacing w:after="0"/>
              <w:rPr>
                <w:sz w:val="1"/>
                <w:szCs w:val="1"/>
                <w:color w:val="auto"/>
              </w:rPr>
            </w:pPr>
          </w:p>
        </w:tc>
      </w:tr>
      <w:tr>
        <w:trPr>
          <w:trHeight w:val="413"/>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426"/>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01</w:t>
            </w:r>
          </w:p>
        </w:tc>
        <w:tc>
          <w:tcPr>
            <w:tcW w:w="200" w:type="dxa"/>
            <w:vAlign w:val="bottom"/>
          </w:tcPr>
          <w:p>
            <w:pPr>
              <w:spacing w:after="0"/>
              <w:rPr>
                <w:sz w:val="24"/>
                <w:szCs w:val="24"/>
                <w:color w:val="auto"/>
              </w:rPr>
            </w:pPr>
          </w:p>
        </w:tc>
        <w:tc>
          <w:tcPr>
            <w:tcW w:w="1220" w:type="dxa"/>
            <w:vAlign w:val="bottom"/>
            <w:gridSpan w:val="12"/>
          </w:tcPr>
          <w:p>
            <w:pPr>
              <w:ind w:left="20"/>
              <w:spacing w:after="0"/>
              <w:rPr>
                <w:sz w:val="20"/>
                <w:szCs w:val="20"/>
                <w:color w:val="auto"/>
              </w:rPr>
            </w:pPr>
            <w:r>
              <w:rPr>
                <w:rFonts w:ascii="Times New Roman" w:cs="Times New Roman" w:eastAsia="Times New Roman" w:hAnsi="Times New Roman"/>
                <w:sz w:val="20"/>
                <w:szCs w:val="20"/>
                <w:color w:val="0563C1"/>
                <w:w w:val="97"/>
              </w:rPr>
              <w:t>Defined Terms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02</w:t>
            </w:r>
          </w:p>
        </w:tc>
        <w:tc>
          <w:tcPr>
            <w:tcW w:w="200" w:type="dxa"/>
            <w:vAlign w:val="bottom"/>
          </w:tcPr>
          <w:p>
            <w:pPr>
              <w:spacing w:after="0"/>
              <w:rPr>
                <w:sz w:val="19"/>
                <w:szCs w:val="19"/>
                <w:color w:val="auto"/>
              </w:rPr>
            </w:pPr>
          </w:p>
        </w:tc>
        <w:tc>
          <w:tcPr>
            <w:tcW w:w="2440" w:type="dxa"/>
            <w:vAlign w:val="bottom"/>
            <w:gridSpan w:val="24"/>
          </w:tcPr>
          <w:p>
            <w:pPr>
              <w:ind w:left="20"/>
              <w:spacing w:after="0" w:line="223" w:lineRule="exact"/>
              <w:rPr>
                <w:sz w:val="20"/>
                <w:szCs w:val="20"/>
                <w:color w:val="auto"/>
              </w:rPr>
            </w:pPr>
            <w:r>
              <w:rPr>
                <w:rFonts w:ascii="Times New Roman" w:cs="Times New Roman" w:eastAsia="Times New Roman" w:hAnsi="Times New Roman"/>
                <w:sz w:val="20"/>
                <w:szCs w:val="20"/>
                <w:color w:val="0563C1"/>
              </w:rPr>
              <w:t>Other Interpretive Provisions</w:t>
            </w:r>
          </w:p>
        </w:tc>
        <w:tc>
          <w:tcPr>
            <w:tcW w:w="36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563C1"/>
            </w:tcBorders>
            <w:vMerge w:val="restart"/>
          </w:tcPr>
          <w:p>
            <w:pPr>
              <w:spacing w:after="0" w:line="209"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03</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563C1"/>
            </w:tcBorders>
            <w:shd w:val="clear" w:color="auto" w:fill="0563C1"/>
          </w:tcPr>
          <w:p>
            <w:pPr>
              <w:spacing w:after="0" w:line="20" w:lineRule="exact"/>
              <w:rPr>
                <w:sz w:val="1"/>
                <w:szCs w:val="1"/>
                <w:color w:val="auto"/>
              </w:rPr>
            </w:pPr>
          </w:p>
        </w:tc>
        <w:tc>
          <w:tcPr>
            <w:tcW w:w="14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40" w:type="dxa"/>
            <w:vAlign w:val="bottom"/>
            <w:tcBorders>
              <w:top w:val="single" w:sz="8" w:color="0563C1"/>
            </w:tcBorders>
            <w:gridSpan w:val="2"/>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60" w:type="dxa"/>
            <w:vAlign w:val="bottom"/>
            <w:tcBorders>
              <w:top w:val="single" w:sz="8" w:color="0563C1"/>
            </w:tcBorders>
            <w:shd w:val="clear" w:color="auto" w:fill="0563C1"/>
          </w:tcPr>
          <w:p>
            <w:pPr>
              <w:spacing w:after="0" w:line="20" w:lineRule="exact"/>
              <w:rPr>
                <w:sz w:val="1"/>
                <w:szCs w:val="1"/>
                <w:color w:val="auto"/>
              </w:rPr>
            </w:pPr>
          </w:p>
        </w:tc>
        <w:tc>
          <w:tcPr>
            <w:tcW w:w="180" w:type="dxa"/>
            <w:vAlign w:val="bottom"/>
            <w:tcBorders>
              <w:top w:val="single" w:sz="8" w:color="0563C1"/>
            </w:tcBorders>
            <w:shd w:val="clear" w:color="auto" w:fill="0563C1"/>
          </w:tcPr>
          <w:p>
            <w:pPr>
              <w:spacing w:after="0" w:line="20" w:lineRule="exact"/>
              <w:rPr>
                <w:sz w:val="1"/>
                <w:szCs w:val="1"/>
                <w:color w:val="auto"/>
              </w:rPr>
            </w:pPr>
          </w:p>
        </w:tc>
        <w:tc>
          <w:tcPr>
            <w:tcW w:w="200" w:type="dxa"/>
            <w:vAlign w:val="bottom"/>
            <w:tcBorders>
              <w:top w:val="single" w:sz="8" w:color="0563C1"/>
              <w:left w:val="single" w:sz="8" w:color="0563C1"/>
            </w:tcBorders>
            <w:gridSpan w:val="3"/>
            <w:shd w:val="clear" w:color="auto" w:fill="0563C1"/>
          </w:tcPr>
          <w:p>
            <w:pPr>
              <w:spacing w:after="0" w:line="20" w:lineRule="exact"/>
              <w:rPr>
                <w:sz w:val="1"/>
                <w:szCs w:val="1"/>
                <w:color w:val="auto"/>
              </w:rPr>
            </w:pPr>
          </w:p>
        </w:tc>
        <w:tc>
          <w:tcPr>
            <w:tcW w:w="20" w:type="dxa"/>
            <w:vAlign w:val="bottom"/>
            <w:tcBorders>
              <w:top w:val="single" w:sz="8" w:color="0563C1"/>
            </w:tcBorders>
            <w:shd w:val="clear" w:color="auto" w:fill="0563C1"/>
          </w:tcPr>
          <w:p>
            <w:pPr>
              <w:spacing w:after="0" w:line="20" w:lineRule="exact"/>
              <w:rPr>
                <w:sz w:val="1"/>
                <w:szCs w:val="1"/>
                <w:color w:val="auto"/>
              </w:rPr>
            </w:pPr>
          </w:p>
        </w:tc>
        <w:tc>
          <w:tcPr>
            <w:tcW w:w="12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16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240" w:type="dxa"/>
            <w:vAlign w:val="bottom"/>
            <w:tcBorders>
              <w:top w:val="single" w:sz="8" w:color="0563C1"/>
            </w:tcBorders>
            <w:shd w:val="clear" w:color="auto" w:fill="0563C1"/>
          </w:tcPr>
          <w:p>
            <w:pPr>
              <w:spacing w:after="0" w:line="20" w:lineRule="exact"/>
              <w:rPr>
                <w:sz w:val="1"/>
                <w:szCs w:val="1"/>
                <w:color w:val="auto"/>
              </w:rPr>
            </w:pPr>
          </w:p>
        </w:tc>
        <w:tc>
          <w:tcPr>
            <w:tcW w:w="12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120" w:type="dxa"/>
            <w:vAlign w:val="bottom"/>
            <w:tcBorders>
              <w:top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18"/>
          </w:tcPr>
          <w:p>
            <w:pPr>
              <w:ind w:left="20"/>
              <w:spacing w:after="0" w:line="189" w:lineRule="exact"/>
              <w:rPr>
                <w:sz w:val="20"/>
                <w:szCs w:val="20"/>
                <w:color w:val="auto"/>
              </w:rPr>
            </w:pPr>
            <w:r>
              <w:rPr>
                <w:rFonts w:ascii="Times New Roman" w:cs="Times New Roman" w:eastAsia="Times New Roman" w:hAnsi="Times New Roman"/>
                <w:sz w:val="20"/>
                <w:szCs w:val="20"/>
                <w:color w:val="0563C1"/>
              </w:rPr>
              <w:t>Accounting Terms</w:t>
            </w:r>
          </w:p>
        </w:tc>
        <w:tc>
          <w:tcPr>
            <w:tcW w:w="4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20"/>
                <w:szCs w:val="20"/>
                <w:color w:val="auto"/>
              </w:rPr>
              <w:t>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04</w:t>
            </w:r>
          </w:p>
        </w:tc>
        <w:tc>
          <w:tcPr>
            <w:tcW w:w="200" w:type="dxa"/>
            <w:vAlign w:val="bottom"/>
          </w:tcPr>
          <w:p>
            <w:pPr>
              <w:spacing w:after="0"/>
              <w:rPr>
                <w:sz w:val="19"/>
                <w:szCs w:val="19"/>
                <w:color w:val="auto"/>
              </w:rPr>
            </w:pPr>
          </w:p>
        </w:tc>
        <w:tc>
          <w:tcPr>
            <w:tcW w:w="4440" w:type="dxa"/>
            <w:vAlign w:val="bottom"/>
            <w:gridSpan w:val="35"/>
          </w:tcPr>
          <w:p>
            <w:pPr>
              <w:ind w:left="20"/>
              <w:spacing w:after="0" w:line="223" w:lineRule="exact"/>
              <w:rPr>
                <w:sz w:val="20"/>
                <w:szCs w:val="20"/>
                <w:color w:val="auto"/>
              </w:rPr>
            </w:pPr>
            <w:r>
              <w:rPr>
                <w:rFonts w:ascii="Times New Roman" w:cs="Times New Roman" w:eastAsia="Times New Roman" w:hAnsi="Times New Roman"/>
                <w:sz w:val="20"/>
                <w:szCs w:val="20"/>
                <w:color w:val="0563C1"/>
              </w:rPr>
              <w:t>Exchange Rates; Currency Equivalents; Interest Rates</w:t>
            </w:r>
          </w:p>
        </w:tc>
        <w:tc>
          <w:tcPr>
            <w:tcW w:w="480" w:type="dxa"/>
            <w:vAlign w:val="bottom"/>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rPr>
              <w:t>37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60" w:type="dxa"/>
            <w:vAlign w:val="bottom"/>
            <w:tcBorders>
              <w:right w:val="single" w:sz="8" w:color="0563C1"/>
            </w:tcBorders>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05</w:t>
            </w:r>
          </w:p>
        </w:tc>
        <w:tc>
          <w:tcPr>
            <w:tcW w:w="200" w:type="dxa"/>
            <w:vAlign w:val="bottom"/>
          </w:tcPr>
          <w:p>
            <w:pPr>
              <w:spacing w:after="0"/>
              <w:rPr>
                <w:sz w:val="19"/>
                <w:szCs w:val="19"/>
                <w:color w:val="auto"/>
              </w:rPr>
            </w:pPr>
          </w:p>
        </w:tc>
        <w:tc>
          <w:tcPr>
            <w:tcW w:w="2860" w:type="dxa"/>
            <w:vAlign w:val="bottom"/>
            <w:gridSpan w:val="28"/>
          </w:tcPr>
          <w:p>
            <w:pPr>
              <w:ind w:left="20"/>
              <w:spacing w:after="0" w:line="223" w:lineRule="exact"/>
              <w:rPr>
                <w:sz w:val="20"/>
                <w:szCs w:val="20"/>
                <w:color w:val="auto"/>
              </w:rPr>
            </w:pPr>
            <w:r>
              <w:rPr>
                <w:rFonts w:ascii="Times New Roman" w:cs="Times New Roman" w:eastAsia="Times New Roman" w:hAnsi="Times New Roman"/>
                <w:sz w:val="20"/>
                <w:szCs w:val="20"/>
                <w:color w:val="0563C1"/>
              </w:rPr>
              <w:t>Additional Alternative Currencies</w:t>
            </w:r>
          </w:p>
        </w:tc>
        <w:tc>
          <w:tcPr>
            <w:tcW w:w="600" w:type="dxa"/>
            <w:vAlign w:val="bottom"/>
            <w:gridSpan w:val="2"/>
          </w:tcPr>
          <w:p>
            <w:pPr>
              <w:jc w:val="right"/>
              <w:ind w:right="360"/>
              <w:spacing w:after="0" w:line="223" w:lineRule="exact"/>
              <w:rPr>
                <w:sz w:val="20"/>
                <w:szCs w:val="20"/>
                <w:color w:val="auto"/>
              </w:rPr>
            </w:pPr>
            <w:r>
              <w:rPr>
                <w:rFonts w:ascii="Times New Roman" w:cs="Times New Roman" w:eastAsia="Times New Roman" w:hAnsi="Times New Roman"/>
                <w:sz w:val="20"/>
                <w:szCs w:val="20"/>
                <w:color w:val="auto"/>
              </w:rPr>
              <w:t>38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06</w:t>
            </w:r>
          </w:p>
        </w:tc>
        <w:tc>
          <w:tcPr>
            <w:tcW w:w="200" w:type="dxa"/>
            <w:vAlign w:val="bottom"/>
          </w:tcPr>
          <w:p>
            <w:pPr>
              <w:spacing w:after="0"/>
              <w:rPr>
                <w:sz w:val="18"/>
                <w:szCs w:val="18"/>
                <w:color w:val="auto"/>
              </w:rPr>
            </w:pPr>
          </w:p>
        </w:tc>
        <w:tc>
          <w:tcPr>
            <w:tcW w:w="1620" w:type="dxa"/>
            <w:vAlign w:val="bottom"/>
            <w:gridSpan w:val="18"/>
          </w:tcPr>
          <w:p>
            <w:pPr>
              <w:ind w:left="20"/>
              <w:spacing w:after="0" w:line="209" w:lineRule="exact"/>
              <w:rPr>
                <w:sz w:val="20"/>
                <w:szCs w:val="20"/>
                <w:color w:val="auto"/>
              </w:rPr>
            </w:pPr>
            <w:r>
              <w:rPr>
                <w:rFonts w:ascii="Times New Roman" w:cs="Times New Roman" w:eastAsia="Times New Roman" w:hAnsi="Times New Roman"/>
                <w:sz w:val="20"/>
                <w:szCs w:val="20"/>
                <w:color w:val="0563C1"/>
                <w:w w:val="96"/>
              </w:rPr>
              <w:t>Change of Currency</w:t>
            </w:r>
          </w:p>
        </w:tc>
        <w:tc>
          <w:tcPr>
            <w:tcW w:w="4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07</w:t>
            </w:r>
          </w:p>
        </w:tc>
        <w:tc>
          <w:tcPr>
            <w:tcW w:w="200" w:type="dxa"/>
            <w:vAlign w:val="bottom"/>
          </w:tcPr>
          <w:p>
            <w:pPr>
              <w:spacing w:after="0"/>
              <w:rPr>
                <w:sz w:val="19"/>
                <w:szCs w:val="19"/>
                <w:color w:val="auto"/>
              </w:rPr>
            </w:pPr>
          </w:p>
        </w:tc>
        <w:tc>
          <w:tcPr>
            <w:tcW w:w="1220" w:type="dxa"/>
            <w:vAlign w:val="bottom"/>
            <w:gridSpan w:val="12"/>
          </w:tcPr>
          <w:p>
            <w:pPr>
              <w:ind w:left="20"/>
              <w:spacing w:after="0" w:line="223" w:lineRule="exact"/>
              <w:rPr>
                <w:sz w:val="20"/>
                <w:szCs w:val="20"/>
                <w:color w:val="auto"/>
              </w:rPr>
            </w:pPr>
            <w:r>
              <w:rPr>
                <w:rFonts w:ascii="Times New Roman" w:cs="Times New Roman" w:eastAsia="Times New Roman" w:hAnsi="Times New Roman"/>
                <w:sz w:val="20"/>
                <w:szCs w:val="20"/>
                <w:color w:val="0563C1"/>
              </w:rPr>
              <w:t>Times of Day</w:t>
            </w:r>
          </w:p>
        </w:tc>
        <w:tc>
          <w:tcPr>
            <w:tcW w:w="320" w:type="dxa"/>
            <w:vAlign w:val="bottom"/>
            <w:gridSpan w:val="5"/>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563C1"/>
            </w:tcBorders>
            <w:vMerge w:val="restart"/>
          </w:tcPr>
          <w:p>
            <w:pPr>
              <w:spacing w:after="0" w:line="209"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08</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563C1"/>
            </w:tcBorders>
            <w:shd w:val="clear" w:color="auto" w:fill="0563C1"/>
          </w:tcPr>
          <w:p>
            <w:pPr>
              <w:spacing w:after="0" w:line="20" w:lineRule="exact"/>
              <w:rPr>
                <w:sz w:val="1"/>
                <w:szCs w:val="1"/>
                <w:color w:val="auto"/>
              </w:rPr>
            </w:pPr>
          </w:p>
        </w:tc>
        <w:tc>
          <w:tcPr>
            <w:tcW w:w="14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40" w:type="dxa"/>
            <w:vAlign w:val="bottom"/>
            <w:tcBorders>
              <w:top w:val="single" w:sz="8" w:color="0563C1"/>
            </w:tcBorders>
            <w:gridSpan w:val="2"/>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60" w:type="dxa"/>
            <w:vAlign w:val="bottom"/>
            <w:tcBorders>
              <w:top w:val="single" w:sz="8" w:color="0563C1"/>
            </w:tcBorders>
            <w:shd w:val="clear" w:color="auto" w:fill="0563C1"/>
          </w:tcPr>
          <w:p>
            <w:pPr>
              <w:spacing w:after="0" w:line="20" w:lineRule="exact"/>
              <w:rPr>
                <w:sz w:val="1"/>
                <w:szCs w:val="1"/>
                <w:color w:val="auto"/>
              </w:rPr>
            </w:pPr>
          </w:p>
        </w:tc>
        <w:tc>
          <w:tcPr>
            <w:tcW w:w="180" w:type="dxa"/>
            <w:vAlign w:val="bottom"/>
            <w:tcBorders>
              <w:top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ind w:right="20"/>
              <w:spacing w:after="0" w:line="210" w:lineRule="exact"/>
              <w:rPr>
                <w:sz w:val="20"/>
                <w:szCs w:val="20"/>
                <w:color w:val="auto"/>
              </w:rPr>
            </w:pPr>
            <w:r>
              <w:rPr>
                <w:rFonts w:ascii="Times New Roman" w:cs="Times New Roman" w:eastAsia="Times New Roman" w:hAnsi="Times New Roman"/>
                <w:sz w:val="19"/>
                <w:szCs w:val="19"/>
                <w:color w:val="auto"/>
                <w:w w:val="73"/>
              </w:rPr>
              <w:t>40</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22"/>
          </w:tcPr>
          <w:p>
            <w:pPr>
              <w:ind w:left="20"/>
              <w:spacing w:after="0" w:line="189" w:lineRule="exact"/>
              <w:rPr>
                <w:sz w:val="20"/>
                <w:szCs w:val="20"/>
                <w:color w:val="auto"/>
              </w:rPr>
            </w:pPr>
            <w:r>
              <w:rPr>
                <w:rFonts w:ascii="Times New Roman" w:cs="Times New Roman" w:eastAsia="Times New Roman" w:hAnsi="Times New Roman"/>
                <w:sz w:val="20"/>
                <w:szCs w:val="20"/>
                <w:color w:val="0563C1"/>
              </w:rPr>
              <w:t>Letter of Credit Amounts</w:t>
            </w:r>
          </w:p>
        </w:tc>
        <w:tc>
          <w:tcPr>
            <w:tcW w:w="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09</w:t>
            </w:r>
          </w:p>
        </w:tc>
        <w:tc>
          <w:tcPr>
            <w:tcW w:w="200" w:type="dxa"/>
            <w:vAlign w:val="bottom"/>
          </w:tcPr>
          <w:p>
            <w:pPr>
              <w:spacing w:after="0"/>
              <w:rPr>
                <w:sz w:val="19"/>
                <w:szCs w:val="19"/>
                <w:color w:val="auto"/>
              </w:rPr>
            </w:pPr>
          </w:p>
        </w:tc>
        <w:tc>
          <w:tcPr>
            <w:tcW w:w="860" w:type="dxa"/>
            <w:vAlign w:val="bottom"/>
            <w:gridSpan w:val="9"/>
          </w:tcPr>
          <w:p>
            <w:pPr>
              <w:ind w:left="20"/>
              <w:spacing w:after="0" w:line="223" w:lineRule="exact"/>
              <w:rPr>
                <w:sz w:val="20"/>
                <w:szCs w:val="20"/>
                <w:color w:val="auto"/>
              </w:rPr>
            </w:pPr>
            <w:r>
              <w:rPr>
                <w:rFonts w:ascii="Times New Roman" w:cs="Times New Roman" w:eastAsia="Times New Roman" w:hAnsi="Times New Roman"/>
                <w:sz w:val="20"/>
                <w:szCs w:val="20"/>
                <w:color w:val="0563C1"/>
              </w:rPr>
              <w:t>Rounding</w:t>
            </w:r>
          </w:p>
        </w:tc>
        <w:tc>
          <w:tcPr>
            <w:tcW w:w="3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10</w:t>
            </w:r>
          </w:p>
        </w:tc>
        <w:tc>
          <w:tcPr>
            <w:tcW w:w="200" w:type="dxa"/>
            <w:vAlign w:val="bottom"/>
          </w:tcPr>
          <w:p>
            <w:pPr>
              <w:spacing w:after="0"/>
              <w:rPr>
                <w:sz w:val="19"/>
                <w:szCs w:val="19"/>
                <w:color w:val="auto"/>
              </w:rPr>
            </w:pPr>
          </w:p>
        </w:tc>
        <w:tc>
          <w:tcPr>
            <w:tcW w:w="2860" w:type="dxa"/>
            <w:vAlign w:val="bottom"/>
            <w:gridSpan w:val="28"/>
          </w:tcPr>
          <w:p>
            <w:pPr>
              <w:ind w:left="20"/>
              <w:spacing w:after="0" w:line="223" w:lineRule="exact"/>
              <w:rPr>
                <w:sz w:val="20"/>
                <w:szCs w:val="20"/>
                <w:color w:val="auto"/>
              </w:rPr>
            </w:pPr>
            <w:r>
              <w:rPr>
                <w:rFonts w:ascii="Times New Roman" w:cs="Times New Roman" w:eastAsia="Times New Roman" w:hAnsi="Times New Roman"/>
                <w:sz w:val="20"/>
                <w:szCs w:val="20"/>
                <w:color w:val="0563C1"/>
                <w:w w:val="99"/>
              </w:rPr>
              <w:t>Limited Conditionality Acquisition</w:t>
            </w:r>
          </w:p>
        </w:tc>
        <w:tc>
          <w:tcPr>
            <w:tcW w:w="600" w:type="dxa"/>
            <w:vAlign w:val="bottom"/>
            <w:gridSpan w:val="2"/>
          </w:tcPr>
          <w:p>
            <w:pPr>
              <w:jc w:val="right"/>
              <w:ind w:right="260"/>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11</w:t>
            </w:r>
          </w:p>
        </w:tc>
        <w:tc>
          <w:tcPr>
            <w:tcW w:w="200" w:type="dxa"/>
            <w:vAlign w:val="bottom"/>
          </w:tcPr>
          <w:p>
            <w:pPr>
              <w:spacing w:after="0"/>
              <w:rPr>
                <w:sz w:val="18"/>
                <w:szCs w:val="18"/>
                <w:color w:val="auto"/>
              </w:rPr>
            </w:pPr>
          </w:p>
        </w:tc>
        <w:tc>
          <w:tcPr>
            <w:tcW w:w="2440" w:type="dxa"/>
            <w:vAlign w:val="bottom"/>
            <w:gridSpan w:val="24"/>
          </w:tcPr>
          <w:p>
            <w:pPr>
              <w:spacing w:after="0" w:line="209" w:lineRule="exact"/>
              <w:rPr>
                <w:sz w:val="20"/>
                <w:szCs w:val="20"/>
                <w:color w:val="auto"/>
              </w:rPr>
            </w:pPr>
            <w:r>
              <w:rPr>
                <w:rFonts w:ascii="Times New Roman" w:cs="Times New Roman" w:eastAsia="Times New Roman" w:hAnsi="Times New Roman"/>
                <w:sz w:val="20"/>
                <w:szCs w:val="20"/>
                <w:color w:val="0563C1"/>
              </w:rPr>
              <w:t>Amendment and Restatement</w:t>
            </w:r>
          </w:p>
        </w:tc>
        <w:tc>
          <w:tcPr>
            <w:tcW w:w="360" w:type="dxa"/>
            <w:vAlign w:val="bottom"/>
            <w:gridSpan w:val="3"/>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00" w:type="dxa"/>
            <w:vAlign w:val="bottom"/>
            <w:gridSpan w:val="40"/>
          </w:tcPr>
          <w:p>
            <w:pPr>
              <w:spacing w:after="0"/>
              <w:rPr>
                <w:sz w:val="20"/>
                <w:szCs w:val="20"/>
                <w:color w:val="auto"/>
              </w:rPr>
            </w:pPr>
            <w:r>
              <w:rPr>
                <w:rFonts w:ascii="Times New Roman" w:cs="Times New Roman" w:eastAsia="Times New Roman" w:hAnsi="Times New Roman"/>
                <w:sz w:val="20"/>
                <w:szCs w:val="20"/>
                <w:color w:val="0563C1"/>
                <w:w w:val="99"/>
              </w:rPr>
              <w:t>ARTICLE II. THE COMMITMENTS AND CREDIT EXTENSIONS</w:t>
            </w:r>
          </w:p>
        </w:tc>
        <w:tc>
          <w:tcPr>
            <w:tcW w:w="1200" w:type="dxa"/>
            <w:vAlign w:val="bottom"/>
            <w:gridSpan w:val="2"/>
          </w:tcPr>
          <w:p>
            <w:pPr>
              <w:jc w:val="right"/>
              <w:ind w:right="86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01</w:t>
            </w:r>
          </w:p>
        </w:tc>
        <w:tc>
          <w:tcPr>
            <w:tcW w:w="200" w:type="dxa"/>
            <w:vAlign w:val="bottom"/>
            <w:tcBorders>
              <w:top w:val="single" w:sz="8" w:color="0563C1"/>
            </w:tcBorders>
          </w:tcPr>
          <w:p>
            <w:pPr>
              <w:spacing w:after="0"/>
              <w:rPr>
                <w:sz w:val="24"/>
                <w:szCs w:val="24"/>
                <w:color w:val="auto"/>
              </w:rPr>
            </w:pPr>
          </w:p>
        </w:tc>
        <w:tc>
          <w:tcPr>
            <w:tcW w:w="860" w:type="dxa"/>
            <w:vAlign w:val="bottom"/>
            <w:tcBorders>
              <w:top w:val="single" w:sz="8" w:color="0563C1"/>
            </w:tcBorders>
            <w:gridSpan w:val="9"/>
          </w:tcPr>
          <w:p>
            <w:pPr>
              <w:ind w:left="20"/>
              <w:spacing w:after="0"/>
              <w:rPr>
                <w:sz w:val="20"/>
                <w:szCs w:val="20"/>
                <w:color w:val="auto"/>
              </w:rPr>
            </w:pPr>
            <w:r>
              <w:rPr>
                <w:rFonts w:ascii="Times New Roman" w:cs="Times New Roman" w:eastAsia="Times New Roman" w:hAnsi="Times New Roman"/>
                <w:sz w:val="20"/>
                <w:szCs w:val="20"/>
                <w:color w:val="0563C1"/>
                <w:w w:val="96"/>
              </w:rPr>
              <w:t>The Loans</w:t>
            </w:r>
          </w:p>
        </w:tc>
        <w:tc>
          <w:tcPr>
            <w:tcW w:w="400" w:type="dxa"/>
            <w:vAlign w:val="bottom"/>
            <w:tcBorders>
              <w:top w:val="single" w:sz="8" w:color="0563C1"/>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02</w:t>
            </w:r>
          </w:p>
        </w:tc>
        <w:tc>
          <w:tcPr>
            <w:tcW w:w="200" w:type="dxa"/>
            <w:vAlign w:val="bottom"/>
          </w:tcPr>
          <w:p>
            <w:pPr>
              <w:spacing w:after="0"/>
              <w:rPr>
                <w:sz w:val="19"/>
                <w:szCs w:val="19"/>
                <w:color w:val="auto"/>
              </w:rPr>
            </w:pPr>
          </w:p>
        </w:tc>
        <w:tc>
          <w:tcPr>
            <w:tcW w:w="4440" w:type="dxa"/>
            <w:vAlign w:val="bottom"/>
            <w:gridSpan w:val="35"/>
          </w:tcPr>
          <w:p>
            <w:pPr>
              <w:ind w:left="20"/>
              <w:spacing w:after="0" w:line="223" w:lineRule="exact"/>
              <w:rPr>
                <w:sz w:val="20"/>
                <w:szCs w:val="20"/>
                <w:color w:val="auto"/>
              </w:rPr>
            </w:pPr>
            <w:r>
              <w:rPr>
                <w:rFonts w:ascii="Times New Roman" w:cs="Times New Roman" w:eastAsia="Times New Roman" w:hAnsi="Times New Roman"/>
                <w:sz w:val="20"/>
                <w:szCs w:val="20"/>
                <w:color w:val="0563C1"/>
              </w:rPr>
              <w:t>Borrowings, Conversions and Continuations of Loans</w:t>
            </w:r>
          </w:p>
        </w:tc>
        <w:tc>
          <w:tcPr>
            <w:tcW w:w="480" w:type="dxa"/>
            <w:vAlign w:val="bottom"/>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60" w:type="dxa"/>
            <w:vAlign w:val="bottom"/>
            <w:tcBorders>
              <w:right w:val="single" w:sz="8" w:color="0563C1"/>
            </w:tcBorders>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03</w:t>
            </w:r>
          </w:p>
        </w:tc>
        <w:tc>
          <w:tcPr>
            <w:tcW w:w="200" w:type="dxa"/>
            <w:vAlign w:val="bottom"/>
          </w:tcPr>
          <w:p>
            <w:pPr>
              <w:spacing w:after="0"/>
              <w:rPr>
                <w:sz w:val="19"/>
                <w:szCs w:val="19"/>
                <w:color w:val="auto"/>
              </w:rPr>
            </w:pPr>
          </w:p>
        </w:tc>
        <w:tc>
          <w:tcPr>
            <w:tcW w:w="1380" w:type="dxa"/>
            <w:vAlign w:val="bottom"/>
            <w:gridSpan w:val="15"/>
          </w:tcPr>
          <w:p>
            <w:pPr>
              <w:ind w:left="20"/>
              <w:spacing w:after="0" w:line="223" w:lineRule="exact"/>
              <w:rPr>
                <w:sz w:val="20"/>
                <w:szCs w:val="20"/>
                <w:color w:val="auto"/>
              </w:rPr>
            </w:pPr>
            <w:r>
              <w:rPr>
                <w:rFonts w:ascii="Times New Roman" w:cs="Times New Roman" w:eastAsia="Times New Roman" w:hAnsi="Times New Roman"/>
                <w:sz w:val="20"/>
                <w:szCs w:val="20"/>
                <w:color w:val="0563C1"/>
              </w:rPr>
              <w:t>Letters of Credit</w:t>
            </w:r>
          </w:p>
        </w:tc>
        <w:tc>
          <w:tcPr>
            <w:tcW w:w="40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53</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04</w:t>
            </w:r>
          </w:p>
        </w:tc>
        <w:tc>
          <w:tcPr>
            <w:tcW w:w="200" w:type="dxa"/>
            <w:vAlign w:val="bottom"/>
          </w:tcPr>
          <w:p>
            <w:pPr>
              <w:spacing w:after="0"/>
              <w:rPr>
                <w:sz w:val="18"/>
                <w:szCs w:val="18"/>
                <w:color w:val="auto"/>
              </w:rPr>
            </w:pPr>
          </w:p>
        </w:tc>
        <w:tc>
          <w:tcPr>
            <w:tcW w:w="1620" w:type="dxa"/>
            <w:vAlign w:val="bottom"/>
            <w:gridSpan w:val="18"/>
          </w:tcPr>
          <w:p>
            <w:pPr>
              <w:ind w:left="20"/>
              <w:spacing w:after="0" w:line="209" w:lineRule="exact"/>
              <w:rPr>
                <w:sz w:val="20"/>
                <w:szCs w:val="20"/>
                <w:color w:val="auto"/>
              </w:rPr>
            </w:pPr>
            <w:r>
              <w:rPr>
                <w:rFonts w:ascii="Times New Roman" w:cs="Times New Roman" w:eastAsia="Times New Roman" w:hAnsi="Times New Roman"/>
                <w:sz w:val="20"/>
                <w:szCs w:val="20"/>
                <w:color w:val="0563C1"/>
              </w:rPr>
              <w:t>Swing Line Loans</w:t>
            </w:r>
          </w:p>
        </w:tc>
        <w:tc>
          <w:tcPr>
            <w:tcW w:w="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05</w:t>
            </w:r>
          </w:p>
        </w:tc>
        <w:tc>
          <w:tcPr>
            <w:tcW w:w="200" w:type="dxa"/>
            <w:vAlign w:val="bottom"/>
          </w:tcPr>
          <w:p>
            <w:pPr>
              <w:spacing w:after="0"/>
              <w:rPr>
                <w:sz w:val="19"/>
                <w:szCs w:val="19"/>
                <w:color w:val="auto"/>
              </w:rPr>
            </w:pPr>
          </w:p>
        </w:tc>
        <w:tc>
          <w:tcPr>
            <w:tcW w:w="1220" w:type="dxa"/>
            <w:vAlign w:val="bottom"/>
            <w:gridSpan w:val="12"/>
          </w:tcPr>
          <w:p>
            <w:pPr>
              <w:ind w:left="20"/>
              <w:spacing w:after="0" w:line="223" w:lineRule="exact"/>
              <w:rPr>
                <w:sz w:val="20"/>
                <w:szCs w:val="20"/>
                <w:color w:val="auto"/>
              </w:rPr>
            </w:pPr>
            <w:r>
              <w:rPr>
                <w:rFonts w:ascii="Times New Roman" w:cs="Times New Roman" w:eastAsia="Times New Roman" w:hAnsi="Times New Roman"/>
                <w:sz w:val="20"/>
                <w:szCs w:val="20"/>
                <w:color w:val="0563C1"/>
              </w:rPr>
              <w:t>Prepayments</w:t>
            </w:r>
          </w:p>
        </w:tc>
        <w:tc>
          <w:tcPr>
            <w:tcW w:w="24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563C1"/>
            </w:tcBorders>
            <w:vMerge w:val="restart"/>
          </w:tcPr>
          <w:p>
            <w:pPr>
              <w:spacing w:after="0" w:line="209"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06</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563C1"/>
            </w:tcBorders>
            <w:shd w:val="clear" w:color="auto" w:fill="0563C1"/>
          </w:tcPr>
          <w:p>
            <w:pPr>
              <w:spacing w:after="0" w:line="20" w:lineRule="exact"/>
              <w:rPr>
                <w:sz w:val="1"/>
                <w:szCs w:val="1"/>
                <w:color w:val="auto"/>
              </w:rPr>
            </w:pPr>
          </w:p>
        </w:tc>
        <w:tc>
          <w:tcPr>
            <w:tcW w:w="14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40" w:type="dxa"/>
            <w:vAlign w:val="bottom"/>
            <w:tcBorders>
              <w:top w:val="single" w:sz="8" w:color="0563C1"/>
            </w:tcBorders>
            <w:gridSpan w:val="2"/>
            <w:shd w:val="clear" w:color="auto" w:fill="0563C1"/>
          </w:tcPr>
          <w:p>
            <w:pPr>
              <w:spacing w:after="0" w:line="20" w:lineRule="exact"/>
              <w:rPr>
                <w:sz w:val="1"/>
                <w:szCs w:val="1"/>
                <w:color w:val="auto"/>
              </w:rPr>
            </w:pPr>
          </w:p>
        </w:tc>
        <w:tc>
          <w:tcPr>
            <w:tcW w:w="320" w:type="dxa"/>
            <w:vAlign w:val="bottom"/>
            <w:tcBorders>
              <w:top w:val="single" w:sz="8" w:color="0563C1"/>
            </w:tcBorders>
            <w:gridSpan w:val="3"/>
            <w:shd w:val="clear" w:color="auto" w:fill="0563C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440" w:type="dxa"/>
            <w:vAlign w:val="bottom"/>
            <w:gridSpan w:val="35"/>
          </w:tcPr>
          <w:p>
            <w:pPr>
              <w:ind w:left="20"/>
              <w:spacing w:after="0" w:line="189" w:lineRule="exact"/>
              <w:rPr>
                <w:sz w:val="20"/>
                <w:szCs w:val="20"/>
                <w:color w:val="auto"/>
              </w:rPr>
            </w:pPr>
            <w:r>
              <w:rPr>
                <w:rFonts w:ascii="Times New Roman" w:cs="Times New Roman" w:eastAsia="Times New Roman" w:hAnsi="Times New Roman"/>
                <w:sz w:val="20"/>
                <w:szCs w:val="20"/>
                <w:color w:val="0563C1"/>
              </w:rPr>
              <w:t xml:space="preserve">Termination or Reduction of Commitments  </w:t>
            </w:r>
            <w:r>
              <w:rPr>
                <w:rFonts w:ascii="Times New Roman" w:cs="Times New Roman" w:eastAsia="Times New Roman" w:hAnsi="Times New Roman"/>
                <w:sz w:val="20"/>
                <w:szCs w:val="20"/>
                <w:color w:val="000000"/>
              </w:rPr>
              <w:t>56</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20" w:type="dxa"/>
            <w:vAlign w:val="bottom"/>
            <w:gridSpan w:val="6"/>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60" w:type="dxa"/>
            <w:vAlign w:val="bottom"/>
            <w:tcBorders>
              <w:right w:val="single" w:sz="8" w:color="0563C1"/>
            </w:tcBorders>
            <w:shd w:val="clear" w:color="auto" w:fill="0563C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07</w:t>
            </w:r>
          </w:p>
        </w:tc>
        <w:tc>
          <w:tcPr>
            <w:tcW w:w="200" w:type="dxa"/>
            <w:vAlign w:val="bottom"/>
          </w:tcPr>
          <w:p>
            <w:pPr>
              <w:spacing w:after="0"/>
              <w:rPr>
                <w:sz w:val="19"/>
                <w:szCs w:val="19"/>
                <w:color w:val="auto"/>
              </w:rPr>
            </w:pPr>
          </w:p>
        </w:tc>
        <w:tc>
          <w:tcPr>
            <w:tcW w:w="1620" w:type="dxa"/>
            <w:vAlign w:val="bottom"/>
            <w:gridSpan w:val="18"/>
          </w:tcPr>
          <w:p>
            <w:pPr>
              <w:ind w:left="20"/>
              <w:spacing w:after="0" w:line="223" w:lineRule="exact"/>
              <w:rPr>
                <w:sz w:val="20"/>
                <w:szCs w:val="20"/>
                <w:color w:val="auto"/>
              </w:rPr>
            </w:pPr>
            <w:r>
              <w:rPr>
                <w:rFonts w:ascii="Times New Roman" w:cs="Times New Roman" w:eastAsia="Times New Roman" w:hAnsi="Times New Roman"/>
                <w:sz w:val="20"/>
                <w:szCs w:val="20"/>
                <w:color w:val="0563C1"/>
                <w:w w:val="93"/>
              </w:rPr>
              <w:t>Repayment of Loans</w:t>
            </w:r>
          </w:p>
        </w:tc>
        <w:tc>
          <w:tcPr>
            <w:tcW w:w="52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08</w:t>
            </w:r>
          </w:p>
        </w:tc>
        <w:tc>
          <w:tcPr>
            <w:tcW w:w="200" w:type="dxa"/>
            <w:vAlign w:val="bottom"/>
          </w:tcPr>
          <w:p>
            <w:pPr>
              <w:spacing w:after="0"/>
              <w:rPr>
                <w:sz w:val="18"/>
                <w:szCs w:val="18"/>
                <w:color w:val="auto"/>
              </w:rPr>
            </w:pPr>
          </w:p>
        </w:tc>
        <w:tc>
          <w:tcPr>
            <w:tcW w:w="700" w:type="dxa"/>
            <w:vAlign w:val="bottom"/>
            <w:gridSpan w:val="6"/>
          </w:tcPr>
          <w:p>
            <w:pPr>
              <w:ind w:left="20"/>
              <w:spacing w:after="0" w:line="209" w:lineRule="exact"/>
              <w:rPr>
                <w:sz w:val="20"/>
                <w:szCs w:val="20"/>
                <w:color w:val="auto"/>
              </w:rPr>
            </w:pPr>
            <w:r>
              <w:rPr>
                <w:rFonts w:ascii="Times New Roman" w:cs="Times New Roman" w:eastAsia="Times New Roman" w:hAnsi="Times New Roman"/>
                <w:sz w:val="20"/>
                <w:szCs w:val="20"/>
                <w:color w:val="0563C1"/>
              </w:rPr>
              <w:t>Interest</w:t>
            </w:r>
          </w:p>
        </w:tc>
        <w:tc>
          <w:tcPr>
            <w:tcW w:w="34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auto"/>
              </w:rPr>
              <w:t>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09</w:t>
            </w:r>
          </w:p>
        </w:tc>
        <w:tc>
          <w:tcPr>
            <w:tcW w:w="200" w:type="dxa"/>
            <w:vAlign w:val="bottom"/>
          </w:tcPr>
          <w:p>
            <w:pPr>
              <w:spacing w:after="0"/>
              <w:rPr>
                <w:sz w:val="19"/>
                <w:szCs w:val="19"/>
                <w:color w:val="auto"/>
              </w:rPr>
            </w:pPr>
          </w:p>
        </w:tc>
        <w:tc>
          <w:tcPr>
            <w:tcW w:w="860" w:type="dxa"/>
            <w:vAlign w:val="bottom"/>
            <w:gridSpan w:val="9"/>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Fees  </w:t>
            </w:r>
            <w:r>
              <w:rPr>
                <w:rFonts w:ascii="Times New Roman" w:cs="Times New Roman" w:eastAsia="Times New Roman" w:hAnsi="Times New Roman"/>
                <w:sz w:val="20"/>
                <w:szCs w:val="20"/>
                <w:color w:val="000000"/>
              </w:rPr>
              <w:t>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10</w:t>
            </w:r>
          </w:p>
        </w:tc>
        <w:tc>
          <w:tcPr>
            <w:tcW w:w="200" w:type="dxa"/>
            <w:vAlign w:val="bottom"/>
          </w:tcPr>
          <w:p>
            <w:pPr>
              <w:spacing w:after="0"/>
              <w:rPr>
                <w:sz w:val="19"/>
                <w:szCs w:val="19"/>
                <w:color w:val="auto"/>
              </w:rPr>
            </w:pPr>
          </w:p>
        </w:tc>
        <w:tc>
          <w:tcPr>
            <w:tcW w:w="6740" w:type="dxa"/>
            <w:vAlign w:val="bottom"/>
            <w:gridSpan w:val="42"/>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Computation of Interest and Fees; Retroactive Adjustments of Applicable Rate  </w:t>
            </w:r>
            <w:r>
              <w:rPr>
                <w:rFonts w:ascii="Times New Roman" w:cs="Times New Roman" w:eastAsia="Times New Roman" w:hAnsi="Times New Roman"/>
                <w:sz w:val="20"/>
                <w:szCs w:val="20"/>
                <w:color w:val="000000"/>
              </w:rPr>
              <w:t>59</w:t>
            </w: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2"/>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20" w:type="dxa"/>
            <w:vAlign w:val="bottom"/>
            <w:gridSpan w:val="6"/>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60" w:type="dxa"/>
            <w:vAlign w:val="bottom"/>
            <w:tcBorders>
              <w:right w:val="single" w:sz="8" w:color="0563C1"/>
            </w:tcBorders>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Borders>
              <w:bottom w:val="single" w:sz="8" w:color="0563C1"/>
            </w:tcBorders>
          </w:tcPr>
          <w:p>
            <w:pPr>
              <w:spacing w:after="0" w:line="209"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11</w:t>
            </w:r>
          </w:p>
        </w:tc>
        <w:tc>
          <w:tcPr>
            <w:tcW w:w="200" w:type="dxa"/>
            <w:vAlign w:val="bottom"/>
          </w:tcPr>
          <w:p>
            <w:pPr>
              <w:spacing w:after="0"/>
              <w:rPr>
                <w:sz w:val="18"/>
                <w:szCs w:val="18"/>
                <w:color w:val="auto"/>
              </w:rPr>
            </w:pPr>
          </w:p>
        </w:tc>
        <w:tc>
          <w:tcPr>
            <w:tcW w:w="1380" w:type="dxa"/>
            <w:vAlign w:val="bottom"/>
            <w:tcBorders>
              <w:bottom w:val="single" w:sz="8" w:color="0563C1"/>
            </w:tcBorders>
            <w:gridSpan w:val="15"/>
          </w:tcPr>
          <w:p>
            <w:pPr>
              <w:spacing w:after="0" w:line="209" w:lineRule="exact"/>
              <w:rPr>
                <w:sz w:val="20"/>
                <w:szCs w:val="20"/>
                <w:color w:val="auto"/>
              </w:rPr>
            </w:pPr>
            <w:r>
              <w:rPr>
                <w:rFonts w:ascii="Times New Roman" w:cs="Times New Roman" w:eastAsia="Times New Roman" w:hAnsi="Times New Roman"/>
                <w:sz w:val="20"/>
                <w:szCs w:val="20"/>
                <w:color w:val="0563C1"/>
                <w:w w:val="97"/>
              </w:rPr>
              <w:t>Evidence of Debt</w:t>
            </w:r>
          </w:p>
        </w:tc>
        <w:tc>
          <w:tcPr>
            <w:tcW w:w="4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auto"/>
              </w:rPr>
              <w:t>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12</w:t>
            </w:r>
          </w:p>
        </w:tc>
        <w:tc>
          <w:tcPr>
            <w:tcW w:w="200" w:type="dxa"/>
            <w:vAlign w:val="bottom"/>
          </w:tcPr>
          <w:p>
            <w:pPr>
              <w:spacing w:after="0"/>
              <w:rPr>
                <w:sz w:val="19"/>
                <w:szCs w:val="19"/>
                <w:color w:val="auto"/>
              </w:rPr>
            </w:pPr>
          </w:p>
        </w:tc>
        <w:tc>
          <w:tcPr>
            <w:tcW w:w="4440" w:type="dxa"/>
            <w:vAlign w:val="bottom"/>
            <w:gridSpan w:val="35"/>
          </w:tcPr>
          <w:p>
            <w:pPr>
              <w:ind w:left="20"/>
              <w:spacing w:after="0" w:line="223" w:lineRule="exact"/>
              <w:rPr>
                <w:sz w:val="20"/>
                <w:szCs w:val="20"/>
                <w:color w:val="auto"/>
              </w:rPr>
            </w:pPr>
            <w:r>
              <w:rPr>
                <w:rFonts w:ascii="Times New Roman" w:cs="Times New Roman" w:eastAsia="Times New Roman" w:hAnsi="Times New Roman"/>
                <w:sz w:val="20"/>
                <w:szCs w:val="20"/>
                <w:color w:val="0563C1"/>
                <w:w w:val="98"/>
              </w:rPr>
              <w:t>Payments Generally; Administrative Agent’s Clawback</w:t>
            </w:r>
          </w:p>
        </w:tc>
        <w:tc>
          <w:tcPr>
            <w:tcW w:w="4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20" w:type="dxa"/>
            <w:vAlign w:val="bottom"/>
            <w:gridSpan w:val="6"/>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gridSpan w:val="3"/>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500" w:type="dxa"/>
            <w:vAlign w:val="bottom"/>
            <w:gridSpan w:val="3"/>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13</w:t>
            </w:r>
          </w:p>
        </w:tc>
        <w:tc>
          <w:tcPr>
            <w:tcW w:w="200" w:type="dxa"/>
            <w:vAlign w:val="bottom"/>
          </w:tcPr>
          <w:p>
            <w:pPr>
              <w:spacing w:after="0"/>
              <w:rPr>
                <w:sz w:val="18"/>
                <w:szCs w:val="18"/>
                <w:color w:val="auto"/>
              </w:rPr>
            </w:pPr>
          </w:p>
        </w:tc>
        <w:tc>
          <w:tcPr>
            <w:tcW w:w="4440" w:type="dxa"/>
            <w:vAlign w:val="bottom"/>
            <w:gridSpan w:val="35"/>
          </w:tcPr>
          <w:p>
            <w:pPr>
              <w:ind w:left="20"/>
              <w:spacing w:after="0" w:line="209" w:lineRule="exact"/>
              <w:rPr>
                <w:sz w:val="20"/>
                <w:szCs w:val="20"/>
                <w:color w:val="auto"/>
              </w:rPr>
            </w:pPr>
            <w:r>
              <w:rPr>
                <w:rFonts w:ascii="Times New Roman" w:cs="Times New Roman" w:eastAsia="Times New Roman" w:hAnsi="Times New Roman"/>
                <w:sz w:val="20"/>
                <w:szCs w:val="20"/>
                <w:color w:val="0563C1"/>
              </w:rPr>
              <w:t xml:space="preserve">Sharing of Payments by Lenders  </w:t>
            </w:r>
            <w:r>
              <w:rPr>
                <w:rFonts w:ascii="Times New Roman" w:cs="Times New Roman" w:eastAsia="Times New Roman" w:hAnsi="Times New Roman"/>
                <w:sz w:val="20"/>
                <w:szCs w:val="20"/>
                <w:color w:val="000000"/>
              </w:rPr>
              <w:t>62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20" w:type="dxa"/>
            <w:vAlign w:val="bottom"/>
            <w:gridSpan w:val="6"/>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14</w:t>
            </w:r>
          </w:p>
        </w:tc>
        <w:tc>
          <w:tcPr>
            <w:tcW w:w="200" w:type="dxa"/>
            <w:vAlign w:val="bottom"/>
          </w:tcPr>
          <w:p>
            <w:pPr>
              <w:spacing w:after="0"/>
              <w:rPr>
                <w:sz w:val="19"/>
                <w:szCs w:val="19"/>
                <w:color w:val="auto"/>
              </w:rPr>
            </w:pPr>
          </w:p>
        </w:tc>
        <w:tc>
          <w:tcPr>
            <w:tcW w:w="2260" w:type="dxa"/>
            <w:vAlign w:val="bottom"/>
            <w:gridSpan w:val="22"/>
          </w:tcPr>
          <w:p>
            <w:pPr>
              <w:ind w:left="20"/>
              <w:spacing w:after="0" w:line="223" w:lineRule="exact"/>
              <w:rPr>
                <w:sz w:val="20"/>
                <w:szCs w:val="20"/>
                <w:color w:val="auto"/>
              </w:rPr>
            </w:pPr>
            <w:r>
              <w:rPr>
                <w:rFonts w:ascii="Times New Roman" w:cs="Times New Roman" w:eastAsia="Times New Roman" w:hAnsi="Times New Roman"/>
                <w:sz w:val="20"/>
                <w:szCs w:val="20"/>
                <w:color w:val="0563C1"/>
              </w:rPr>
              <w:t>Increase in Commitments</w:t>
            </w:r>
          </w:p>
        </w:tc>
        <w:tc>
          <w:tcPr>
            <w:tcW w:w="1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20" w:type="dxa"/>
            <w:vAlign w:val="bottom"/>
            <w:gridSpan w:val="6"/>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15</w:t>
            </w:r>
          </w:p>
        </w:tc>
        <w:tc>
          <w:tcPr>
            <w:tcW w:w="200" w:type="dxa"/>
            <w:vAlign w:val="bottom"/>
          </w:tcPr>
          <w:p>
            <w:pPr>
              <w:spacing w:after="0"/>
              <w:rPr>
                <w:sz w:val="19"/>
                <w:szCs w:val="19"/>
                <w:color w:val="auto"/>
              </w:rPr>
            </w:pPr>
          </w:p>
        </w:tc>
        <w:tc>
          <w:tcPr>
            <w:tcW w:w="1380" w:type="dxa"/>
            <w:vAlign w:val="bottom"/>
            <w:gridSpan w:val="15"/>
          </w:tcPr>
          <w:p>
            <w:pPr>
              <w:ind w:left="20"/>
              <w:spacing w:after="0" w:line="223" w:lineRule="exact"/>
              <w:rPr>
                <w:sz w:val="20"/>
                <w:szCs w:val="20"/>
                <w:color w:val="auto"/>
              </w:rPr>
            </w:pPr>
            <w:r>
              <w:rPr>
                <w:rFonts w:ascii="Times New Roman" w:cs="Times New Roman" w:eastAsia="Times New Roman" w:hAnsi="Times New Roman"/>
                <w:sz w:val="20"/>
                <w:szCs w:val="20"/>
                <w:color w:val="0563C1"/>
              </w:rPr>
              <w:t>Cash Collateral</w:t>
            </w:r>
          </w:p>
        </w:tc>
        <w:tc>
          <w:tcPr>
            <w:tcW w:w="2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64</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20" w:type="dxa"/>
            <w:vAlign w:val="bottom"/>
            <w:gridSpan w:val="6"/>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16</w:t>
            </w:r>
          </w:p>
        </w:tc>
        <w:tc>
          <w:tcPr>
            <w:tcW w:w="200" w:type="dxa"/>
            <w:vAlign w:val="bottom"/>
          </w:tcPr>
          <w:p>
            <w:pPr>
              <w:spacing w:after="0"/>
              <w:rPr>
                <w:sz w:val="18"/>
                <w:szCs w:val="18"/>
                <w:color w:val="auto"/>
              </w:rPr>
            </w:pPr>
          </w:p>
        </w:tc>
        <w:tc>
          <w:tcPr>
            <w:tcW w:w="1620" w:type="dxa"/>
            <w:vAlign w:val="bottom"/>
            <w:gridSpan w:val="18"/>
          </w:tcPr>
          <w:p>
            <w:pPr>
              <w:ind w:left="20"/>
              <w:spacing w:after="0" w:line="209" w:lineRule="exact"/>
              <w:rPr>
                <w:sz w:val="20"/>
                <w:szCs w:val="20"/>
                <w:color w:val="auto"/>
              </w:rPr>
            </w:pPr>
            <w:r>
              <w:rPr>
                <w:rFonts w:ascii="Times New Roman" w:cs="Times New Roman" w:eastAsia="Times New Roman" w:hAnsi="Times New Roman"/>
                <w:sz w:val="20"/>
                <w:szCs w:val="20"/>
                <w:color w:val="0563C1"/>
              </w:rPr>
              <w:t>Defaulting Lenders</w:t>
            </w:r>
          </w:p>
        </w:tc>
        <w:tc>
          <w:tcPr>
            <w:tcW w:w="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40" w:type="dxa"/>
            <w:vAlign w:val="bottom"/>
            <w:gridSpan w:val="7"/>
            <w:shd w:val="clear" w:color="auto" w:fill="0563C1"/>
          </w:tcPr>
          <w:p>
            <w:pPr>
              <w:spacing w:after="0" w:line="20" w:lineRule="exact"/>
              <w:rPr>
                <w:sz w:val="1"/>
                <w:szCs w:val="1"/>
                <w:color w:val="auto"/>
              </w:rPr>
            </w:pPr>
          </w:p>
        </w:tc>
        <w:tc>
          <w:tcPr>
            <w:tcW w:w="280" w:type="dxa"/>
            <w:vAlign w:val="bottom"/>
            <w:tcBorders>
              <w:left w:val="single" w:sz="8" w:color="0563C1"/>
            </w:tcBorders>
            <w:gridSpan w:val="3"/>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17</w:t>
            </w:r>
          </w:p>
        </w:tc>
        <w:tc>
          <w:tcPr>
            <w:tcW w:w="200" w:type="dxa"/>
            <w:vAlign w:val="bottom"/>
          </w:tcPr>
          <w:p>
            <w:pPr>
              <w:spacing w:after="0"/>
              <w:rPr>
                <w:sz w:val="19"/>
                <w:szCs w:val="19"/>
                <w:color w:val="auto"/>
              </w:rPr>
            </w:pPr>
          </w:p>
        </w:tc>
        <w:tc>
          <w:tcPr>
            <w:tcW w:w="2260" w:type="dxa"/>
            <w:vAlign w:val="bottom"/>
            <w:gridSpan w:val="22"/>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Designated Borrowers  </w:t>
            </w:r>
            <w:r>
              <w:rPr>
                <w:rFonts w:ascii="Times New Roman" w:cs="Times New Roman" w:eastAsia="Times New Roman" w:hAnsi="Times New Roman"/>
                <w:sz w:val="20"/>
                <w:szCs w:val="20"/>
                <w:color w:val="000000"/>
              </w:rPr>
              <w:t>68</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40" w:type="dxa"/>
            <w:vAlign w:val="bottom"/>
            <w:gridSpan w:val="7"/>
            <w:shd w:val="clear" w:color="auto" w:fill="0563C1"/>
          </w:tcPr>
          <w:p>
            <w:pPr>
              <w:spacing w:after="0" w:line="20" w:lineRule="exact"/>
              <w:rPr>
                <w:sz w:val="1"/>
                <w:szCs w:val="1"/>
                <w:color w:val="auto"/>
              </w:rPr>
            </w:pPr>
          </w:p>
        </w:tc>
        <w:tc>
          <w:tcPr>
            <w:tcW w:w="520" w:type="dxa"/>
            <w:vAlign w:val="bottom"/>
            <w:tcBorders>
              <w:left w:val="single" w:sz="8" w:color="0563C1"/>
            </w:tcBorders>
            <w:gridSpan w:val="5"/>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18</w:t>
            </w:r>
          </w:p>
        </w:tc>
        <w:tc>
          <w:tcPr>
            <w:tcW w:w="200" w:type="dxa"/>
            <w:vAlign w:val="bottom"/>
          </w:tcPr>
          <w:p>
            <w:pPr>
              <w:spacing w:after="0"/>
              <w:rPr>
                <w:sz w:val="18"/>
                <w:szCs w:val="18"/>
                <w:color w:val="auto"/>
              </w:rPr>
            </w:pPr>
          </w:p>
        </w:tc>
        <w:tc>
          <w:tcPr>
            <w:tcW w:w="2260" w:type="dxa"/>
            <w:vAlign w:val="bottom"/>
            <w:gridSpan w:val="22"/>
          </w:tcPr>
          <w:p>
            <w:pPr>
              <w:ind w:left="20"/>
              <w:spacing w:after="0" w:line="209" w:lineRule="exact"/>
              <w:rPr>
                <w:sz w:val="20"/>
                <w:szCs w:val="20"/>
                <w:color w:val="auto"/>
              </w:rPr>
            </w:pPr>
            <w:r>
              <w:rPr>
                <w:rFonts w:ascii="Times New Roman" w:cs="Times New Roman" w:eastAsia="Times New Roman" w:hAnsi="Times New Roman"/>
                <w:sz w:val="20"/>
                <w:szCs w:val="20"/>
                <w:color w:val="0563C1"/>
              </w:rPr>
              <w:t>Sustainability Adjustments</w:t>
            </w:r>
          </w:p>
        </w:tc>
        <w:tc>
          <w:tcPr>
            <w:tcW w:w="3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40" w:type="dxa"/>
            <w:vAlign w:val="bottom"/>
            <w:gridSpan w:val="7"/>
            <w:shd w:val="clear" w:color="auto" w:fill="0563C1"/>
          </w:tcPr>
          <w:p>
            <w:pPr>
              <w:spacing w:after="0" w:line="20" w:lineRule="exact"/>
              <w:rPr>
                <w:sz w:val="1"/>
                <w:szCs w:val="1"/>
                <w:color w:val="auto"/>
              </w:rPr>
            </w:pPr>
          </w:p>
        </w:tc>
        <w:tc>
          <w:tcPr>
            <w:tcW w:w="760" w:type="dxa"/>
            <w:vAlign w:val="bottom"/>
            <w:tcBorders>
              <w:left w:val="single" w:sz="8" w:color="0563C1"/>
            </w:tcBorders>
            <w:gridSpan w:val="6"/>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00" w:type="dxa"/>
            <w:vAlign w:val="bottom"/>
            <w:gridSpan w:val="40"/>
          </w:tcPr>
          <w:p>
            <w:pPr>
              <w:spacing w:after="0"/>
              <w:rPr>
                <w:sz w:val="20"/>
                <w:szCs w:val="20"/>
                <w:color w:val="auto"/>
              </w:rPr>
            </w:pPr>
            <w:r>
              <w:rPr>
                <w:rFonts w:ascii="Times New Roman" w:cs="Times New Roman" w:eastAsia="Times New Roman" w:hAnsi="Times New Roman"/>
                <w:sz w:val="20"/>
                <w:szCs w:val="20"/>
                <w:color w:val="0563C1"/>
              </w:rPr>
              <w:t>ARTICLE III. TAXES, YIELD PROTECTION AND ILLEGALITY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01</w:t>
            </w:r>
          </w:p>
        </w:tc>
        <w:tc>
          <w:tcPr>
            <w:tcW w:w="200" w:type="dxa"/>
            <w:vAlign w:val="bottom"/>
            <w:tcBorders>
              <w:top w:val="single" w:sz="8" w:color="0563C1"/>
            </w:tcBorders>
          </w:tcPr>
          <w:p>
            <w:pPr>
              <w:spacing w:after="0"/>
              <w:rPr>
                <w:sz w:val="24"/>
                <w:szCs w:val="24"/>
                <w:color w:val="auto"/>
              </w:rPr>
            </w:pPr>
          </w:p>
        </w:tc>
        <w:tc>
          <w:tcPr>
            <w:tcW w:w="700" w:type="dxa"/>
            <w:vAlign w:val="bottom"/>
            <w:tcBorders>
              <w:top w:val="single" w:sz="8" w:color="0563C1"/>
            </w:tcBorders>
            <w:gridSpan w:val="6"/>
          </w:tcPr>
          <w:p>
            <w:pPr>
              <w:ind w:left="20"/>
              <w:spacing w:after="0"/>
              <w:rPr>
                <w:sz w:val="20"/>
                <w:szCs w:val="20"/>
                <w:color w:val="auto"/>
              </w:rPr>
            </w:pPr>
            <w:r>
              <w:rPr>
                <w:rFonts w:ascii="Times New Roman" w:cs="Times New Roman" w:eastAsia="Times New Roman" w:hAnsi="Times New Roman"/>
                <w:sz w:val="20"/>
                <w:szCs w:val="20"/>
                <w:color w:val="0563C1"/>
              </w:rPr>
              <w:t>Taxes.</w:t>
            </w:r>
          </w:p>
        </w:tc>
        <w:tc>
          <w:tcPr>
            <w:tcW w:w="340" w:type="dxa"/>
            <w:vAlign w:val="bottom"/>
            <w:tcBorders>
              <w:top w:val="single" w:sz="8" w:color="0563C1"/>
            </w:tcBorders>
            <w:gridSpan w:val="4"/>
          </w:tcPr>
          <w:p>
            <w:pPr>
              <w:jc w:val="right"/>
              <w:ind w:right="21"/>
              <w:spacing w:after="0"/>
              <w:rPr>
                <w:sz w:val="20"/>
                <w:szCs w:val="20"/>
                <w:color w:val="auto"/>
              </w:rPr>
            </w:pPr>
            <w:r>
              <w:rPr>
                <w:rFonts w:ascii="Times New Roman" w:cs="Times New Roman" w:eastAsia="Times New Roman" w:hAnsi="Times New Roman"/>
                <w:sz w:val="20"/>
                <w:szCs w:val="20"/>
                <w:color w:val="auto"/>
                <w:w w:val="99"/>
              </w:rPr>
              <w:t>69</w:t>
            </w:r>
          </w:p>
        </w:tc>
        <w:tc>
          <w:tcPr>
            <w:tcW w:w="1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02</w:t>
            </w:r>
          </w:p>
        </w:tc>
        <w:tc>
          <w:tcPr>
            <w:tcW w:w="200" w:type="dxa"/>
            <w:vAlign w:val="bottom"/>
          </w:tcPr>
          <w:p>
            <w:pPr>
              <w:spacing w:after="0"/>
              <w:rPr>
                <w:sz w:val="18"/>
                <w:szCs w:val="18"/>
                <w:color w:val="auto"/>
              </w:rPr>
            </w:pPr>
          </w:p>
        </w:tc>
        <w:tc>
          <w:tcPr>
            <w:tcW w:w="860" w:type="dxa"/>
            <w:vAlign w:val="bottom"/>
            <w:gridSpan w:val="9"/>
          </w:tcPr>
          <w:p>
            <w:pPr>
              <w:ind w:left="20"/>
              <w:spacing w:after="0" w:line="209" w:lineRule="exact"/>
              <w:rPr>
                <w:sz w:val="20"/>
                <w:szCs w:val="20"/>
                <w:color w:val="auto"/>
              </w:rPr>
            </w:pPr>
            <w:r>
              <w:rPr>
                <w:rFonts w:ascii="Times New Roman" w:cs="Times New Roman" w:eastAsia="Times New Roman" w:hAnsi="Times New Roman"/>
                <w:sz w:val="20"/>
                <w:szCs w:val="20"/>
                <w:color w:val="0563C1"/>
              </w:rPr>
              <w:t>Illegality</w:t>
            </w:r>
          </w:p>
        </w:tc>
        <w:tc>
          <w:tcPr>
            <w:tcW w:w="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03</w:t>
            </w:r>
          </w:p>
        </w:tc>
        <w:tc>
          <w:tcPr>
            <w:tcW w:w="200" w:type="dxa"/>
            <w:vAlign w:val="bottom"/>
          </w:tcPr>
          <w:p>
            <w:pPr>
              <w:spacing w:after="0"/>
              <w:rPr>
                <w:sz w:val="19"/>
                <w:szCs w:val="19"/>
                <w:color w:val="auto"/>
              </w:rPr>
            </w:pPr>
          </w:p>
        </w:tc>
        <w:tc>
          <w:tcPr>
            <w:tcW w:w="2440" w:type="dxa"/>
            <w:vAlign w:val="bottom"/>
            <w:gridSpan w:val="24"/>
          </w:tcPr>
          <w:p>
            <w:pPr>
              <w:ind w:left="20"/>
              <w:spacing w:after="0" w:line="223" w:lineRule="exact"/>
              <w:rPr>
                <w:sz w:val="20"/>
                <w:szCs w:val="20"/>
                <w:color w:val="auto"/>
              </w:rPr>
            </w:pPr>
            <w:r>
              <w:rPr>
                <w:rFonts w:ascii="Times New Roman" w:cs="Times New Roman" w:eastAsia="Times New Roman" w:hAnsi="Times New Roman"/>
                <w:sz w:val="20"/>
                <w:szCs w:val="20"/>
                <w:color w:val="0563C1"/>
              </w:rPr>
              <w:t>Inability to Determine Rates</w:t>
            </w:r>
          </w:p>
        </w:tc>
        <w:tc>
          <w:tcPr>
            <w:tcW w:w="26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w w:val="99"/>
              </w:rPr>
              <w:t>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580" w:type="dxa"/>
            <w:vAlign w:val="bottom"/>
            <w:gridSpan w:val="9"/>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04</w:t>
            </w:r>
          </w:p>
        </w:tc>
        <w:tc>
          <w:tcPr>
            <w:tcW w:w="200" w:type="dxa"/>
            <w:vAlign w:val="bottom"/>
          </w:tcPr>
          <w:p>
            <w:pPr>
              <w:spacing w:after="0"/>
              <w:rPr>
                <w:sz w:val="18"/>
                <w:szCs w:val="18"/>
                <w:color w:val="auto"/>
              </w:rPr>
            </w:pPr>
          </w:p>
        </w:tc>
        <w:tc>
          <w:tcPr>
            <w:tcW w:w="1380" w:type="dxa"/>
            <w:vAlign w:val="bottom"/>
            <w:gridSpan w:val="15"/>
          </w:tcPr>
          <w:p>
            <w:pPr>
              <w:ind w:left="20"/>
              <w:spacing w:after="0" w:line="209" w:lineRule="exact"/>
              <w:rPr>
                <w:sz w:val="20"/>
                <w:szCs w:val="20"/>
                <w:color w:val="auto"/>
              </w:rPr>
            </w:pPr>
            <w:r>
              <w:rPr>
                <w:rFonts w:ascii="Times New Roman" w:cs="Times New Roman" w:eastAsia="Times New Roman" w:hAnsi="Times New Roman"/>
                <w:sz w:val="20"/>
                <w:szCs w:val="20"/>
                <w:color w:val="0563C1"/>
              </w:rPr>
              <w:t>Increased Costs</w:t>
            </w:r>
          </w:p>
        </w:tc>
        <w:tc>
          <w:tcPr>
            <w:tcW w:w="2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580" w:type="dxa"/>
            <w:vAlign w:val="bottom"/>
            <w:gridSpan w:val="9"/>
            <w:shd w:val="clear" w:color="auto" w:fill="0563C1"/>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05</w:t>
            </w:r>
          </w:p>
        </w:tc>
        <w:tc>
          <w:tcPr>
            <w:tcW w:w="200" w:type="dxa"/>
            <w:vAlign w:val="bottom"/>
          </w:tcPr>
          <w:p>
            <w:pPr>
              <w:spacing w:after="0"/>
              <w:rPr>
                <w:sz w:val="19"/>
                <w:szCs w:val="19"/>
                <w:color w:val="auto"/>
              </w:rPr>
            </w:pPr>
          </w:p>
        </w:tc>
        <w:tc>
          <w:tcPr>
            <w:tcW w:w="2260" w:type="dxa"/>
            <w:vAlign w:val="bottom"/>
            <w:gridSpan w:val="22"/>
          </w:tcPr>
          <w:p>
            <w:pPr>
              <w:ind w:left="20"/>
              <w:spacing w:after="0" w:line="223" w:lineRule="exact"/>
              <w:rPr>
                <w:sz w:val="20"/>
                <w:szCs w:val="20"/>
                <w:color w:val="auto"/>
              </w:rPr>
            </w:pPr>
            <w:r>
              <w:rPr>
                <w:rFonts w:ascii="Times New Roman" w:cs="Times New Roman" w:eastAsia="Times New Roman" w:hAnsi="Times New Roman"/>
                <w:sz w:val="20"/>
                <w:szCs w:val="20"/>
                <w:color w:val="0563C1"/>
              </w:rPr>
              <w:t>Compensation for Losses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73"/>
              </w:rPr>
              <w:t>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1340" w:type="dxa"/>
            <w:vAlign w:val="bottom"/>
            <w:gridSpan w:val="15"/>
            <w:shd w:val="clear" w:color="auto" w:fill="0563C1"/>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06</w:t>
            </w:r>
          </w:p>
        </w:tc>
        <w:tc>
          <w:tcPr>
            <w:tcW w:w="200" w:type="dxa"/>
            <w:vAlign w:val="bottom"/>
          </w:tcPr>
          <w:p>
            <w:pPr>
              <w:spacing w:after="0"/>
              <w:rPr>
                <w:sz w:val="19"/>
                <w:szCs w:val="19"/>
                <w:color w:val="auto"/>
              </w:rPr>
            </w:pPr>
          </w:p>
        </w:tc>
        <w:tc>
          <w:tcPr>
            <w:tcW w:w="4440" w:type="dxa"/>
            <w:vAlign w:val="bottom"/>
            <w:gridSpan w:val="35"/>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Mitigation Obligations; Replacement of Lenders.  </w:t>
            </w:r>
            <w:r>
              <w:rPr>
                <w:rFonts w:ascii="Times New Roman" w:cs="Times New Roman" w:eastAsia="Times New Roman" w:hAnsi="Times New Roman"/>
                <w:sz w:val="20"/>
                <w:szCs w:val="20"/>
                <w:color w:val="000000"/>
              </w:rPr>
              <w:t>79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60" w:type="dxa"/>
            <w:vAlign w:val="bottom"/>
            <w:tcBorders>
              <w:right w:val="single" w:sz="8" w:color="0563C1"/>
            </w:tcBorders>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07</w:t>
            </w:r>
          </w:p>
        </w:tc>
        <w:tc>
          <w:tcPr>
            <w:tcW w:w="200" w:type="dxa"/>
            <w:vAlign w:val="bottom"/>
          </w:tcPr>
          <w:p>
            <w:pPr>
              <w:spacing w:after="0"/>
              <w:rPr>
                <w:sz w:val="18"/>
                <w:szCs w:val="18"/>
                <w:color w:val="auto"/>
              </w:rPr>
            </w:pPr>
          </w:p>
        </w:tc>
        <w:tc>
          <w:tcPr>
            <w:tcW w:w="700" w:type="dxa"/>
            <w:vAlign w:val="bottom"/>
            <w:gridSpan w:val="6"/>
          </w:tcPr>
          <w:p>
            <w:pPr>
              <w:ind w:left="20"/>
              <w:spacing w:after="0" w:line="209" w:lineRule="exact"/>
              <w:rPr>
                <w:sz w:val="20"/>
                <w:szCs w:val="20"/>
                <w:color w:val="auto"/>
              </w:rPr>
            </w:pPr>
            <w:r>
              <w:rPr>
                <w:rFonts w:ascii="Times New Roman" w:cs="Times New Roman" w:eastAsia="Times New Roman" w:hAnsi="Times New Roman"/>
                <w:sz w:val="20"/>
                <w:szCs w:val="20"/>
                <w:color w:val="0563C1"/>
                <w:w w:val="97"/>
              </w:rPr>
              <w:t>Survival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2"/>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2120" w:type="dxa"/>
            <w:vAlign w:val="bottom"/>
            <w:gridSpan w:val="2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80" w:type="dxa"/>
            <w:vAlign w:val="bottom"/>
            <w:gridSpan w:val="44"/>
          </w:tcPr>
          <w:p>
            <w:pPr>
              <w:spacing w:after="0"/>
              <w:rPr>
                <w:sz w:val="20"/>
                <w:szCs w:val="20"/>
                <w:color w:val="auto"/>
              </w:rPr>
            </w:pPr>
            <w:r>
              <w:rPr>
                <w:rFonts w:ascii="Times New Roman" w:cs="Times New Roman" w:eastAsia="Times New Roman" w:hAnsi="Times New Roman"/>
                <w:sz w:val="20"/>
                <w:szCs w:val="20"/>
                <w:color w:val="0563C1"/>
              </w:rPr>
              <w:t xml:space="preserve">ARTICLE IV. CONDITIONS PRECEDENT TO CREDIT EXTENSIONS  </w:t>
            </w:r>
            <w:r>
              <w:rPr>
                <w:rFonts w:ascii="Times New Roman" w:cs="Times New Roman" w:eastAsia="Times New Roman" w:hAnsi="Times New Roman"/>
                <w:sz w:val="20"/>
                <w:szCs w:val="20"/>
                <w:color w:val="000000"/>
              </w:rPr>
              <w:t>80</w:t>
            </w:r>
          </w:p>
        </w:tc>
        <w:tc>
          <w:tcPr>
            <w:tcW w:w="0" w:type="dxa"/>
            <w:vAlign w:val="bottom"/>
          </w:tcPr>
          <w:p>
            <w:pPr>
              <w:spacing w:after="0"/>
              <w:rPr>
                <w:sz w:val="1"/>
                <w:szCs w:val="1"/>
                <w:color w:val="auto"/>
              </w:rPr>
            </w:pPr>
          </w:p>
        </w:tc>
      </w:tr>
      <w:tr>
        <w:trPr>
          <w:trHeight w:val="318"/>
        </w:trPr>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4.</w:t>
            </w:r>
            <w:r>
              <w:rPr>
                <w:rFonts w:ascii="Times New Roman" w:cs="Times New Roman" w:eastAsia="Times New Roman" w:hAnsi="Times New Roman"/>
                <w:sz w:val="20"/>
                <w:szCs w:val="20"/>
                <w:u w:val="single" w:color="auto"/>
                <w:color w:val="0563C1"/>
                <w:w w:val="85"/>
              </w:rPr>
              <w:t>01</w:t>
            </w:r>
          </w:p>
        </w:tc>
        <w:tc>
          <w:tcPr>
            <w:tcW w:w="200" w:type="dxa"/>
            <w:vAlign w:val="bottom"/>
            <w:tcBorders>
              <w:top w:val="single" w:sz="8" w:color="0563C1"/>
            </w:tcBorders>
          </w:tcPr>
          <w:p>
            <w:pPr>
              <w:spacing w:after="0"/>
              <w:rPr>
                <w:sz w:val="24"/>
                <w:szCs w:val="24"/>
                <w:color w:val="auto"/>
              </w:rPr>
            </w:pPr>
          </w:p>
        </w:tc>
        <w:tc>
          <w:tcPr>
            <w:tcW w:w="4440" w:type="dxa"/>
            <w:vAlign w:val="bottom"/>
            <w:tcBorders>
              <w:top w:val="single" w:sz="8" w:color="0563C1"/>
            </w:tcBorders>
            <w:gridSpan w:val="35"/>
          </w:tcPr>
          <w:p>
            <w:pPr>
              <w:ind w:left="20"/>
              <w:spacing w:after="0"/>
              <w:rPr>
                <w:sz w:val="20"/>
                <w:szCs w:val="20"/>
                <w:color w:val="auto"/>
              </w:rPr>
            </w:pPr>
            <w:r>
              <w:rPr>
                <w:rFonts w:ascii="Times New Roman" w:cs="Times New Roman" w:eastAsia="Times New Roman" w:hAnsi="Times New Roman"/>
                <w:sz w:val="20"/>
                <w:szCs w:val="20"/>
                <w:color w:val="0563C1"/>
              </w:rPr>
              <w:t xml:space="preserve">Conditions of Initial Credit Extension  </w:t>
            </w:r>
            <w:r>
              <w:rPr>
                <w:rFonts w:ascii="Times New Roman" w:cs="Times New Roman" w:eastAsia="Times New Roman" w:hAnsi="Times New Roman"/>
                <w:sz w:val="20"/>
                <w:szCs w:val="20"/>
                <w:color w:val="000000"/>
              </w:rPr>
              <w:t>80</w:t>
            </w:r>
          </w:p>
        </w:tc>
        <w:tc>
          <w:tcPr>
            <w:tcW w:w="4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26"/>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4.</w:t>
            </w:r>
            <w:r>
              <w:rPr>
                <w:rFonts w:ascii="Times New Roman" w:cs="Times New Roman" w:eastAsia="Times New Roman" w:hAnsi="Times New Roman"/>
                <w:sz w:val="20"/>
                <w:szCs w:val="20"/>
                <w:u w:val="single" w:color="auto"/>
                <w:color w:val="0563C1"/>
                <w:w w:val="85"/>
              </w:rPr>
              <w:t>02</w:t>
            </w:r>
          </w:p>
        </w:tc>
        <w:tc>
          <w:tcPr>
            <w:tcW w:w="200" w:type="dxa"/>
            <w:vAlign w:val="bottom"/>
          </w:tcPr>
          <w:p>
            <w:pPr>
              <w:spacing w:after="0"/>
              <w:rPr>
                <w:sz w:val="19"/>
                <w:szCs w:val="19"/>
                <w:color w:val="auto"/>
              </w:rPr>
            </w:pPr>
          </w:p>
        </w:tc>
        <w:tc>
          <w:tcPr>
            <w:tcW w:w="2860" w:type="dxa"/>
            <w:vAlign w:val="bottom"/>
            <w:gridSpan w:val="28"/>
          </w:tcPr>
          <w:p>
            <w:pPr>
              <w:ind w:left="20"/>
              <w:spacing w:after="0" w:line="223" w:lineRule="exact"/>
              <w:rPr>
                <w:sz w:val="20"/>
                <w:szCs w:val="20"/>
                <w:color w:val="auto"/>
              </w:rPr>
            </w:pPr>
            <w:r>
              <w:rPr>
                <w:rFonts w:ascii="Times New Roman" w:cs="Times New Roman" w:eastAsia="Times New Roman" w:hAnsi="Times New Roman"/>
                <w:sz w:val="20"/>
                <w:szCs w:val="20"/>
                <w:color w:val="0563C1"/>
              </w:rPr>
              <w:t>Conditions to all Credit Extensions</w:t>
            </w:r>
          </w:p>
        </w:tc>
        <w:tc>
          <w:tcPr>
            <w:tcW w:w="600" w:type="dxa"/>
            <w:vAlign w:val="bottom"/>
            <w:gridSpan w:val="2"/>
          </w:tcPr>
          <w:p>
            <w:pPr>
              <w:jc w:val="right"/>
              <w:ind w:right="280"/>
              <w:spacing w:after="0" w:line="223" w:lineRule="exact"/>
              <w:rPr>
                <w:sz w:val="20"/>
                <w:szCs w:val="20"/>
                <w:color w:val="auto"/>
              </w:rPr>
            </w:pPr>
            <w:r>
              <w:rPr>
                <w:rFonts w:ascii="Times New Roman" w:cs="Times New Roman" w:eastAsia="Times New Roman" w:hAnsi="Times New Roman"/>
                <w:sz w:val="20"/>
                <w:szCs w:val="20"/>
                <w:color w:val="auto"/>
              </w:rPr>
              <w:t>82</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4880" w:val="left"/>
        </w:tabs>
        <w:rPr>
          <w:sz w:val="20"/>
          <w:szCs w:val="20"/>
          <w:color w:val="auto"/>
        </w:rPr>
      </w:pPr>
      <w:r>
        <w:rPr>
          <w:rFonts w:ascii="Times New Roman" w:cs="Times New Roman" w:eastAsia="Times New Roman" w:hAnsi="Times New Roman"/>
          <w:sz w:val="20"/>
          <w:szCs w:val="20"/>
          <w:u w:val="single" w:color="auto"/>
          <w:color w:val="0563C1"/>
        </w:rPr>
        <w:t>ARTICLE V. REPRESENTATIONS AND WARRANTIES</w:t>
      </w:r>
      <w:r>
        <w:rPr>
          <w:sz w:val="20"/>
          <w:szCs w:val="20"/>
          <w:color w:val="auto"/>
        </w:rPr>
        <w:tab/>
      </w:r>
      <w:r>
        <w:rPr>
          <w:rFonts w:ascii="Times New Roman" w:cs="Times New Roman" w:eastAsia="Times New Roman" w:hAnsi="Times New Roman"/>
          <w:sz w:val="20"/>
          <w:szCs w:val="20"/>
          <w:color w:val="auto"/>
        </w:rPr>
        <w:t>82</w:t>
      </w:r>
    </w:p>
    <w:p>
      <w:pPr>
        <w:sectPr>
          <w:pgSz w:w="11900" w:h="16838" w:orient="portrait"/>
          <w:cols w:equalWidth="0" w:num="1">
            <w:col w:w="10139"/>
          </w:cols>
          <w:pgMar w:left="32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39"/>
          </w:cols>
          <w:pgMar w:left="320" w:top="140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01</w:t>
            </w:r>
          </w:p>
        </w:tc>
        <w:tc>
          <w:tcPr>
            <w:tcW w:w="200" w:type="dxa"/>
            <w:vAlign w:val="bottom"/>
          </w:tcPr>
          <w:p>
            <w:pPr>
              <w:spacing w:after="0"/>
              <w:rPr>
                <w:sz w:val="19"/>
                <w:szCs w:val="19"/>
                <w:color w:val="auto"/>
              </w:rPr>
            </w:pPr>
          </w:p>
        </w:tc>
        <w:tc>
          <w:tcPr>
            <w:tcW w:w="2980" w:type="dxa"/>
            <w:vAlign w:val="bottom"/>
            <w:gridSpan w:val="27"/>
          </w:tcPr>
          <w:p>
            <w:pPr>
              <w:ind w:left="20"/>
              <w:spacing w:after="0"/>
              <w:rPr>
                <w:sz w:val="20"/>
                <w:szCs w:val="20"/>
                <w:color w:val="auto"/>
              </w:rPr>
            </w:pPr>
            <w:r>
              <w:rPr>
                <w:rFonts w:ascii="Times New Roman" w:cs="Times New Roman" w:eastAsia="Times New Roman" w:hAnsi="Times New Roman"/>
                <w:sz w:val="20"/>
                <w:szCs w:val="20"/>
                <w:color w:val="0563C1"/>
              </w:rPr>
              <w:t>Existence, Qualification and Power</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9"/>
              </w:rPr>
              <w:t>82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02</w:t>
            </w:r>
          </w:p>
        </w:tc>
        <w:tc>
          <w:tcPr>
            <w:tcW w:w="200" w:type="dxa"/>
            <w:vAlign w:val="bottom"/>
          </w:tcPr>
          <w:p>
            <w:pPr>
              <w:spacing w:after="0"/>
              <w:rPr>
                <w:sz w:val="19"/>
                <w:szCs w:val="19"/>
                <w:color w:val="auto"/>
              </w:rPr>
            </w:pPr>
          </w:p>
        </w:tc>
        <w:tc>
          <w:tcPr>
            <w:tcW w:w="3260" w:type="dxa"/>
            <w:vAlign w:val="bottom"/>
            <w:gridSpan w:val="30"/>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Authorization; No Contravention  </w:t>
            </w:r>
            <w:r>
              <w:rPr>
                <w:rFonts w:ascii="Times New Roman" w:cs="Times New Roman" w:eastAsia="Times New Roman" w:hAnsi="Times New Roman"/>
                <w:sz w:val="20"/>
                <w:szCs w:val="20"/>
                <w:color w:val="000000"/>
              </w:rPr>
              <w:t>83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03</w:t>
            </w:r>
          </w:p>
        </w:tc>
        <w:tc>
          <w:tcPr>
            <w:tcW w:w="200" w:type="dxa"/>
            <w:vAlign w:val="bottom"/>
          </w:tcPr>
          <w:p>
            <w:pPr>
              <w:spacing w:after="0"/>
              <w:rPr>
                <w:sz w:val="18"/>
                <w:szCs w:val="18"/>
                <w:color w:val="auto"/>
              </w:rPr>
            </w:pPr>
          </w:p>
        </w:tc>
        <w:tc>
          <w:tcPr>
            <w:tcW w:w="3780" w:type="dxa"/>
            <w:vAlign w:val="bottom"/>
            <w:gridSpan w:val="33"/>
          </w:tcPr>
          <w:p>
            <w:pPr>
              <w:ind w:left="20"/>
              <w:spacing w:after="0" w:line="209" w:lineRule="exact"/>
              <w:rPr>
                <w:sz w:val="20"/>
                <w:szCs w:val="20"/>
                <w:color w:val="auto"/>
              </w:rPr>
            </w:pPr>
            <w:r>
              <w:rPr>
                <w:rFonts w:ascii="Times New Roman" w:cs="Times New Roman" w:eastAsia="Times New Roman" w:hAnsi="Times New Roman"/>
                <w:sz w:val="20"/>
                <w:szCs w:val="20"/>
                <w:color w:val="0563C1"/>
              </w:rPr>
              <w:t>Governmental Authorization; Other Consents</w:t>
            </w:r>
          </w:p>
        </w:tc>
        <w:tc>
          <w:tcPr>
            <w:tcW w:w="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04</w:t>
            </w:r>
          </w:p>
        </w:tc>
        <w:tc>
          <w:tcPr>
            <w:tcW w:w="200" w:type="dxa"/>
            <w:vAlign w:val="bottom"/>
          </w:tcPr>
          <w:p>
            <w:pPr>
              <w:spacing w:after="0"/>
              <w:rPr>
                <w:sz w:val="19"/>
                <w:szCs w:val="19"/>
                <w:color w:val="auto"/>
              </w:rPr>
            </w:pPr>
          </w:p>
        </w:tc>
        <w:tc>
          <w:tcPr>
            <w:tcW w:w="178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Binding Effect  </w:t>
            </w:r>
            <w:r>
              <w:rPr>
                <w:rFonts w:ascii="Times New Roman" w:cs="Times New Roman" w:eastAsia="Times New Roman" w:hAnsi="Times New Roman"/>
                <w:sz w:val="20"/>
                <w:szCs w:val="20"/>
                <w:color w:val="000000"/>
              </w:rPr>
              <w:t>83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w w:val="99"/>
              </w:rPr>
              <w:t>83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05</w:t>
            </w:r>
          </w:p>
        </w:tc>
        <w:tc>
          <w:tcPr>
            <w:tcW w:w="200" w:type="dxa"/>
            <w:vAlign w:val="bottom"/>
          </w:tcPr>
          <w:p>
            <w:pPr>
              <w:spacing w:after="0"/>
              <w:rPr>
                <w:sz w:val="18"/>
                <w:szCs w:val="18"/>
                <w:color w:val="auto"/>
              </w:rPr>
            </w:pPr>
          </w:p>
        </w:tc>
        <w:tc>
          <w:tcPr>
            <w:tcW w:w="4140" w:type="dxa"/>
            <w:vAlign w:val="bottom"/>
            <w:gridSpan w:val="37"/>
          </w:tcPr>
          <w:p>
            <w:pPr>
              <w:ind w:left="20"/>
              <w:spacing w:after="0" w:line="209" w:lineRule="exact"/>
              <w:rPr>
                <w:sz w:val="20"/>
                <w:szCs w:val="20"/>
                <w:color w:val="auto"/>
              </w:rPr>
            </w:pPr>
            <w:r>
              <w:rPr>
                <w:rFonts w:ascii="Times New Roman" w:cs="Times New Roman" w:eastAsia="Times New Roman" w:hAnsi="Times New Roman"/>
                <w:sz w:val="20"/>
                <w:szCs w:val="20"/>
                <w:color w:val="0563C1"/>
              </w:rPr>
              <w:t>Financial Statements; No Material Adverse Effect</w:t>
            </w:r>
          </w:p>
        </w:tc>
        <w:tc>
          <w:tcPr>
            <w:tcW w:w="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06</w:t>
            </w:r>
          </w:p>
        </w:tc>
        <w:tc>
          <w:tcPr>
            <w:tcW w:w="200" w:type="dxa"/>
            <w:vAlign w:val="bottom"/>
          </w:tcPr>
          <w:p>
            <w:pPr>
              <w:spacing w:after="0"/>
              <w:rPr>
                <w:sz w:val="19"/>
                <w:szCs w:val="19"/>
                <w:color w:val="auto"/>
              </w:rPr>
            </w:pPr>
          </w:p>
        </w:tc>
        <w:tc>
          <w:tcPr>
            <w:tcW w:w="860" w:type="dxa"/>
            <w:vAlign w:val="bottom"/>
            <w:gridSpan w:val="8"/>
          </w:tcPr>
          <w:p>
            <w:pPr>
              <w:ind w:left="20"/>
              <w:spacing w:after="0" w:line="223" w:lineRule="exact"/>
              <w:rPr>
                <w:sz w:val="20"/>
                <w:szCs w:val="20"/>
                <w:color w:val="auto"/>
              </w:rPr>
            </w:pPr>
            <w:r>
              <w:rPr>
                <w:rFonts w:ascii="Times New Roman" w:cs="Times New Roman" w:eastAsia="Times New Roman" w:hAnsi="Times New Roman"/>
                <w:sz w:val="20"/>
                <w:szCs w:val="20"/>
                <w:color w:val="0563C1"/>
              </w:rPr>
              <w:t>Litigation</w:t>
            </w:r>
          </w:p>
        </w:tc>
        <w:tc>
          <w:tcPr>
            <w:tcW w:w="50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07</w:t>
            </w:r>
          </w:p>
        </w:tc>
        <w:tc>
          <w:tcPr>
            <w:tcW w:w="200" w:type="dxa"/>
            <w:vAlign w:val="bottom"/>
          </w:tcPr>
          <w:p>
            <w:pPr>
              <w:spacing w:after="0"/>
              <w:rPr>
                <w:sz w:val="19"/>
                <w:szCs w:val="19"/>
                <w:color w:val="auto"/>
              </w:rPr>
            </w:pPr>
          </w:p>
        </w:tc>
        <w:tc>
          <w:tcPr>
            <w:tcW w:w="860" w:type="dxa"/>
            <w:vAlign w:val="bottom"/>
            <w:gridSpan w:val="8"/>
          </w:tcPr>
          <w:p>
            <w:pPr>
              <w:ind w:left="20"/>
              <w:spacing w:after="0" w:line="223" w:lineRule="exact"/>
              <w:rPr>
                <w:sz w:val="20"/>
                <w:szCs w:val="20"/>
                <w:color w:val="auto"/>
              </w:rPr>
            </w:pPr>
            <w:r>
              <w:rPr>
                <w:rFonts w:ascii="Times New Roman" w:cs="Times New Roman" w:eastAsia="Times New Roman" w:hAnsi="Times New Roman"/>
                <w:sz w:val="20"/>
                <w:szCs w:val="20"/>
                <w:color w:val="0563C1"/>
                <w:w w:val="89"/>
              </w:rPr>
              <w:t>No Default</w:t>
            </w:r>
          </w:p>
        </w:tc>
        <w:tc>
          <w:tcPr>
            <w:tcW w:w="5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84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tcBorders>
              <w:left w:val="single" w:sz="8" w:color="0563C1"/>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08</w:t>
            </w:r>
          </w:p>
        </w:tc>
        <w:tc>
          <w:tcPr>
            <w:tcW w:w="200" w:type="dxa"/>
            <w:vAlign w:val="bottom"/>
          </w:tcPr>
          <w:p>
            <w:pPr>
              <w:spacing w:after="0"/>
              <w:rPr>
                <w:sz w:val="18"/>
                <w:szCs w:val="18"/>
                <w:color w:val="auto"/>
              </w:rPr>
            </w:pPr>
          </w:p>
        </w:tc>
        <w:tc>
          <w:tcPr>
            <w:tcW w:w="2520" w:type="dxa"/>
            <w:vAlign w:val="bottom"/>
            <w:gridSpan w:val="23"/>
          </w:tcPr>
          <w:p>
            <w:pPr>
              <w:ind w:left="20"/>
              <w:spacing w:after="0" w:line="209" w:lineRule="exact"/>
              <w:rPr>
                <w:sz w:val="20"/>
                <w:szCs w:val="20"/>
                <w:color w:val="auto"/>
              </w:rPr>
            </w:pPr>
            <w:r>
              <w:rPr>
                <w:rFonts w:ascii="Times New Roman" w:cs="Times New Roman" w:eastAsia="Times New Roman" w:hAnsi="Times New Roman"/>
                <w:sz w:val="20"/>
                <w:szCs w:val="20"/>
                <w:color w:val="0563C1"/>
              </w:rPr>
              <w:t>Ownership of Property; Liens</w:t>
            </w:r>
          </w:p>
        </w:tc>
        <w:tc>
          <w:tcPr>
            <w:tcW w:w="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09</w:t>
            </w:r>
          </w:p>
        </w:tc>
        <w:tc>
          <w:tcPr>
            <w:tcW w:w="200" w:type="dxa"/>
            <w:vAlign w:val="bottom"/>
          </w:tcPr>
          <w:p>
            <w:pPr>
              <w:spacing w:after="0"/>
              <w:rPr>
                <w:sz w:val="19"/>
                <w:szCs w:val="19"/>
                <w:color w:val="auto"/>
              </w:rPr>
            </w:pPr>
          </w:p>
        </w:tc>
        <w:tc>
          <w:tcPr>
            <w:tcW w:w="226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0563C1"/>
              </w:rPr>
              <w:t>Environmental Compliance</w:t>
            </w:r>
          </w:p>
        </w:tc>
        <w:tc>
          <w:tcPr>
            <w:tcW w:w="38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auto"/>
              </w:rPr>
              <w:t>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10</w:t>
            </w:r>
          </w:p>
        </w:tc>
        <w:tc>
          <w:tcPr>
            <w:tcW w:w="200" w:type="dxa"/>
            <w:vAlign w:val="bottom"/>
          </w:tcPr>
          <w:p>
            <w:pPr>
              <w:spacing w:after="0"/>
              <w:rPr>
                <w:sz w:val="18"/>
                <w:szCs w:val="18"/>
                <w:color w:val="auto"/>
              </w:rPr>
            </w:pPr>
          </w:p>
        </w:tc>
        <w:tc>
          <w:tcPr>
            <w:tcW w:w="860" w:type="dxa"/>
            <w:vAlign w:val="bottom"/>
            <w:gridSpan w:val="8"/>
          </w:tcPr>
          <w:p>
            <w:pPr>
              <w:ind w:left="20"/>
              <w:spacing w:after="0" w:line="209" w:lineRule="exact"/>
              <w:rPr>
                <w:sz w:val="20"/>
                <w:szCs w:val="20"/>
                <w:color w:val="auto"/>
              </w:rPr>
            </w:pPr>
            <w:r>
              <w:rPr>
                <w:rFonts w:ascii="Times New Roman" w:cs="Times New Roman" w:eastAsia="Times New Roman" w:hAnsi="Times New Roman"/>
                <w:sz w:val="20"/>
                <w:szCs w:val="20"/>
                <w:color w:val="0563C1"/>
              </w:rPr>
              <w:t>Insurance</w:t>
            </w:r>
          </w:p>
        </w:tc>
        <w:tc>
          <w:tcPr>
            <w:tcW w:w="3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11</w:t>
            </w:r>
          </w:p>
        </w:tc>
        <w:tc>
          <w:tcPr>
            <w:tcW w:w="200" w:type="dxa"/>
            <w:vAlign w:val="bottom"/>
          </w:tcPr>
          <w:p>
            <w:pPr>
              <w:spacing w:after="0"/>
              <w:rPr>
                <w:sz w:val="19"/>
                <w:szCs w:val="19"/>
                <w:color w:val="auto"/>
              </w:rPr>
            </w:pPr>
          </w:p>
        </w:tc>
        <w:tc>
          <w:tcPr>
            <w:tcW w:w="64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0563C1"/>
              </w:rPr>
              <w:t>Taxes</w:t>
            </w: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84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12</w:t>
            </w:r>
          </w:p>
        </w:tc>
        <w:tc>
          <w:tcPr>
            <w:tcW w:w="200" w:type="dxa"/>
            <w:vAlign w:val="bottom"/>
          </w:tcPr>
          <w:p>
            <w:pPr>
              <w:spacing w:after="0"/>
              <w:rPr>
                <w:sz w:val="19"/>
                <w:szCs w:val="19"/>
                <w:color w:val="auto"/>
              </w:rPr>
            </w:pPr>
          </w:p>
        </w:tc>
        <w:tc>
          <w:tcPr>
            <w:tcW w:w="178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0563C1"/>
              </w:rPr>
              <w:t>ERISA Compliance</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563C1"/>
            </w:tcBorders>
            <w:vMerge w:val="restart"/>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13</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563C1"/>
            </w:tcBorders>
            <w:gridSpan w:val="2"/>
            <w:shd w:val="clear" w:color="auto" w:fill="0563C1"/>
          </w:tcPr>
          <w:p>
            <w:pPr>
              <w:spacing w:after="0" w:line="20" w:lineRule="exact"/>
              <w:rPr>
                <w:sz w:val="1"/>
                <w:szCs w:val="1"/>
                <w:color w:val="auto"/>
              </w:rPr>
            </w:pPr>
          </w:p>
        </w:tc>
        <w:tc>
          <w:tcPr>
            <w:tcW w:w="10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gridSpan w:val="2"/>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500" w:type="dxa"/>
            <w:vAlign w:val="bottom"/>
            <w:tcBorders>
              <w:top w:val="single" w:sz="8" w:color="0563C1"/>
              <w:left w:val="single" w:sz="8" w:color="0563C1"/>
              <w:right w:val="single" w:sz="8" w:color="0563C1"/>
            </w:tcBorders>
            <w:gridSpan w:val="2"/>
            <w:shd w:val="clear" w:color="auto" w:fill="0563C1"/>
          </w:tcPr>
          <w:p>
            <w:pPr>
              <w:spacing w:after="0" w:line="20" w:lineRule="exact"/>
              <w:rPr>
                <w:sz w:val="1"/>
                <w:szCs w:val="1"/>
                <w:color w:val="auto"/>
              </w:rPr>
            </w:pPr>
          </w:p>
        </w:tc>
        <w:tc>
          <w:tcPr>
            <w:tcW w:w="200" w:type="dxa"/>
            <w:vAlign w:val="bottom"/>
            <w:tcBorders>
              <w:top w:val="single" w:sz="8" w:color="0563C1"/>
              <w:left w:val="single" w:sz="8" w:color="0563C1"/>
            </w:tcBorders>
            <w:gridSpan w:val="2"/>
            <w:shd w:val="clear" w:color="auto" w:fill="0563C1"/>
          </w:tcPr>
          <w:p>
            <w:pPr>
              <w:spacing w:after="0" w:line="20" w:lineRule="exact"/>
              <w:rPr>
                <w:sz w:val="1"/>
                <w:szCs w:val="1"/>
                <w:color w:val="auto"/>
              </w:rPr>
            </w:pPr>
          </w:p>
        </w:tc>
        <w:tc>
          <w:tcPr>
            <w:tcW w:w="20" w:type="dxa"/>
            <w:vAlign w:val="bottom"/>
            <w:tcBorders>
              <w:top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vMerge w:val="restart"/>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w w:val="89"/>
              </w:rPr>
              <w:t>85</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23"/>
          </w:tcPr>
          <w:p>
            <w:pPr>
              <w:ind w:left="20"/>
              <w:spacing w:after="0" w:line="189" w:lineRule="exact"/>
              <w:rPr>
                <w:sz w:val="20"/>
                <w:szCs w:val="20"/>
                <w:color w:val="auto"/>
              </w:rPr>
            </w:pPr>
            <w:r>
              <w:rPr>
                <w:rFonts w:ascii="Times New Roman" w:cs="Times New Roman" w:eastAsia="Times New Roman" w:hAnsi="Times New Roman"/>
                <w:sz w:val="20"/>
                <w:szCs w:val="20"/>
                <w:color w:val="0563C1"/>
              </w:rPr>
              <w:t>Subsidiaries; Equity Interests</w:t>
            </w: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14</w:t>
            </w:r>
          </w:p>
        </w:tc>
        <w:tc>
          <w:tcPr>
            <w:tcW w:w="200" w:type="dxa"/>
            <w:vAlign w:val="bottom"/>
          </w:tcPr>
          <w:p>
            <w:pPr>
              <w:spacing w:after="0"/>
              <w:rPr>
                <w:sz w:val="19"/>
                <w:szCs w:val="19"/>
                <w:color w:val="auto"/>
              </w:rPr>
            </w:pPr>
          </w:p>
        </w:tc>
        <w:tc>
          <w:tcPr>
            <w:tcW w:w="3780" w:type="dxa"/>
            <w:vAlign w:val="bottom"/>
            <w:gridSpan w:val="33"/>
          </w:tcPr>
          <w:p>
            <w:pPr>
              <w:ind w:left="20"/>
              <w:spacing w:after="0" w:line="223" w:lineRule="exact"/>
              <w:rPr>
                <w:sz w:val="20"/>
                <w:szCs w:val="20"/>
                <w:color w:val="auto"/>
              </w:rPr>
            </w:pPr>
            <w:r>
              <w:rPr>
                <w:rFonts w:ascii="Times New Roman" w:cs="Times New Roman" w:eastAsia="Times New Roman" w:hAnsi="Times New Roman"/>
                <w:sz w:val="20"/>
                <w:szCs w:val="20"/>
                <w:color w:val="0563C1"/>
                <w:w w:val="99"/>
              </w:rPr>
              <w:t>Margin Regulations; Investment Company Act</w:t>
            </w:r>
          </w:p>
        </w:tc>
        <w:tc>
          <w:tcPr>
            <w:tcW w:w="3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563C1"/>
            </w:tcBorders>
            <w:vMerge w:val="restart"/>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15</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563C1"/>
            </w:tcBorders>
            <w:gridSpan w:val="2"/>
            <w:shd w:val="clear" w:color="auto" w:fill="0563C1"/>
          </w:tcPr>
          <w:p>
            <w:pPr>
              <w:spacing w:after="0" w:line="20" w:lineRule="exact"/>
              <w:rPr>
                <w:sz w:val="1"/>
                <w:szCs w:val="1"/>
                <w:color w:val="auto"/>
              </w:rPr>
            </w:pPr>
          </w:p>
        </w:tc>
        <w:tc>
          <w:tcPr>
            <w:tcW w:w="10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gridSpan w:val="2"/>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500" w:type="dxa"/>
            <w:vAlign w:val="bottom"/>
            <w:tcBorders>
              <w:top w:val="single" w:sz="8" w:color="0563C1"/>
              <w:left w:val="single" w:sz="8" w:color="0563C1"/>
              <w:right w:val="single" w:sz="8" w:color="0563C1"/>
            </w:tcBorders>
            <w:gridSpan w:val="2"/>
            <w:shd w:val="clear" w:color="auto" w:fill="0563C1"/>
          </w:tcPr>
          <w:p>
            <w:pPr>
              <w:spacing w:after="0" w:line="20" w:lineRule="exact"/>
              <w:rPr>
                <w:sz w:val="1"/>
                <w:szCs w:val="1"/>
                <w:color w:val="auto"/>
              </w:rPr>
            </w:pPr>
          </w:p>
        </w:tc>
        <w:tc>
          <w:tcPr>
            <w:tcW w:w="200" w:type="dxa"/>
            <w:vAlign w:val="bottom"/>
            <w:tcBorders>
              <w:top w:val="single" w:sz="8" w:color="0563C1"/>
              <w:left w:val="single" w:sz="8" w:color="0563C1"/>
            </w:tcBorders>
            <w:gridSpan w:val="2"/>
            <w:shd w:val="clear" w:color="auto" w:fill="0563C1"/>
          </w:tcPr>
          <w:p>
            <w:pPr>
              <w:spacing w:after="0" w:line="20" w:lineRule="exact"/>
              <w:rPr>
                <w:sz w:val="1"/>
                <w:szCs w:val="1"/>
                <w:color w:val="auto"/>
              </w:rPr>
            </w:pPr>
          </w:p>
        </w:tc>
        <w:tc>
          <w:tcPr>
            <w:tcW w:w="20" w:type="dxa"/>
            <w:vAlign w:val="bottom"/>
            <w:tcBorders>
              <w:top w:val="single" w:sz="8" w:color="0563C1"/>
            </w:tcBorders>
            <w:shd w:val="clear" w:color="auto" w:fill="0563C1"/>
          </w:tcPr>
          <w:p>
            <w:pPr>
              <w:spacing w:after="0" w:line="20" w:lineRule="exact"/>
              <w:rPr>
                <w:sz w:val="1"/>
                <w:szCs w:val="1"/>
                <w:color w:val="auto"/>
              </w:rPr>
            </w:pPr>
          </w:p>
        </w:tc>
        <w:tc>
          <w:tcPr>
            <w:tcW w:w="6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10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40" w:type="dxa"/>
            <w:vAlign w:val="bottom"/>
            <w:tcBorders>
              <w:top w:val="single" w:sz="8" w:color="0563C1"/>
            </w:tcBorders>
            <w:shd w:val="clear" w:color="auto" w:fill="0563C1"/>
          </w:tcPr>
          <w:p>
            <w:pPr>
              <w:spacing w:after="0" w:line="20" w:lineRule="exact"/>
              <w:rPr>
                <w:sz w:val="1"/>
                <w:szCs w:val="1"/>
                <w:color w:val="auto"/>
              </w:rPr>
            </w:pPr>
          </w:p>
        </w:tc>
        <w:tc>
          <w:tcPr>
            <w:tcW w:w="28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14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200" w:type="dxa"/>
            <w:vAlign w:val="bottom"/>
            <w:tcBorders>
              <w:top w:val="single" w:sz="8" w:color="0563C1"/>
              <w:left w:val="single" w:sz="8" w:color="0563C1"/>
            </w:tcBorders>
            <w:gridSpan w:val="3"/>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460" w:type="dxa"/>
            <w:vAlign w:val="bottom"/>
            <w:tcBorders>
              <w:top w:val="single" w:sz="8" w:color="0563C1"/>
            </w:tcBorders>
            <w:gridSpan w:val="4"/>
            <w:shd w:val="clear" w:color="auto" w:fill="0563C1"/>
          </w:tcPr>
          <w:p>
            <w:pPr>
              <w:spacing w:after="0" w:line="20" w:lineRule="exact"/>
              <w:rPr>
                <w:sz w:val="1"/>
                <w:szCs w:val="1"/>
                <w:color w:val="auto"/>
              </w:rPr>
            </w:pPr>
          </w:p>
        </w:tc>
        <w:tc>
          <w:tcPr>
            <w:tcW w:w="160" w:type="dxa"/>
            <w:vAlign w:val="bottom"/>
            <w:tcBorders>
              <w:top w:val="single" w:sz="8" w:color="0563C1"/>
            </w:tcBorders>
            <w:gridSpan w:val="2"/>
            <w:shd w:val="clear" w:color="auto" w:fill="0563C1"/>
          </w:tcPr>
          <w:p>
            <w:pPr>
              <w:spacing w:after="0" w:line="20" w:lineRule="exact"/>
              <w:rPr>
                <w:sz w:val="1"/>
                <w:szCs w:val="1"/>
                <w:color w:val="auto"/>
              </w:rPr>
            </w:pPr>
          </w:p>
        </w:tc>
        <w:tc>
          <w:tcPr>
            <w:tcW w:w="100" w:type="dxa"/>
            <w:vAlign w:val="bottom"/>
            <w:tcBorders>
              <w:top w:val="single" w:sz="8" w:color="0563C1"/>
            </w:tcBorders>
            <w:shd w:val="clear" w:color="auto" w:fill="0563C1"/>
          </w:tcPr>
          <w:p>
            <w:pPr>
              <w:spacing w:after="0" w:line="20" w:lineRule="exact"/>
              <w:rPr>
                <w:sz w:val="1"/>
                <w:szCs w:val="1"/>
                <w:color w:val="auto"/>
              </w:rPr>
            </w:pPr>
          </w:p>
        </w:tc>
        <w:tc>
          <w:tcPr>
            <w:tcW w:w="520" w:type="dxa"/>
            <w:vAlign w:val="bottom"/>
            <w:tcBorders>
              <w:top w:val="single" w:sz="8" w:color="0563C1"/>
            </w:tcBorders>
            <w:gridSpan w:val="3"/>
            <w:shd w:val="clear" w:color="auto" w:fill="0563C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restart"/>
          </w:tcPr>
          <w:p>
            <w:pPr>
              <w:jc w:val="right"/>
              <w:ind w:right="501"/>
              <w:spacing w:after="0" w:line="209" w:lineRule="exact"/>
              <w:rPr>
                <w:sz w:val="20"/>
                <w:szCs w:val="20"/>
                <w:color w:val="auto"/>
              </w:rPr>
            </w:pPr>
            <w:r>
              <w:rPr>
                <w:rFonts w:ascii="Times New Roman" w:cs="Times New Roman" w:eastAsia="Times New Roman" w:hAnsi="Times New Roman"/>
                <w:sz w:val="20"/>
                <w:szCs w:val="20"/>
                <w:color w:val="auto"/>
              </w:rPr>
              <w:t>85</w:t>
            </w: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140" w:type="dxa"/>
            <w:vAlign w:val="bottom"/>
            <w:gridSpan w:val="37"/>
          </w:tcPr>
          <w:p>
            <w:pPr>
              <w:ind w:left="20"/>
              <w:spacing w:after="0" w:line="189" w:lineRule="exact"/>
              <w:rPr>
                <w:sz w:val="20"/>
                <w:szCs w:val="20"/>
                <w:color w:val="auto"/>
              </w:rPr>
            </w:pPr>
            <w:r>
              <w:rPr>
                <w:rFonts w:ascii="Times New Roman" w:cs="Times New Roman" w:eastAsia="Times New Roman" w:hAnsi="Times New Roman"/>
                <w:sz w:val="20"/>
                <w:szCs w:val="20"/>
                <w:color w:val="0563C1"/>
              </w:rPr>
              <w:t>Copyrights, Patents, Trademarks and Licenses, Etc</w:t>
            </w:r>
          </w:p>
        </w:tc>
        <w:tc>
          <w:tcPr>
            <w:tcW w:w="9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16</w:t>
            </w:r>
          </w:p>
        </w:tc>
        <w:tc>
          <w:tcPr>
            <w:tcW w:w="200" w:type="dxa"/>
            <w:vAlign w:val="bottom"/>
          </w:tcPr>
          <w:p>
            <w:pPr>
              <w:spacing w:after="0"/>
              <w:rPr>
                <w:sz w:val="19"/>
                <w:szCs w:val="19"/>
                <w:color w:val="auto"/>
              </w:rPr>
            </w:pPr>
          </w:p>
        </w:tc>
        <w:tc>
          <w:tcPr>
            <w:tcW w:w="860" w:type="dxa"/>
            <w:vAlign w:val="bottom"/>
            <w:gridSpan w:val="8"/>
          </w:tcPr>
          <w:p>
            <w:pPr>
              <w:ind w:left="20"/>
              <w:spacing w:after="0" w:line="223" w:lineRule="exact"/>
              <w:rPr>
                <w:sz w:val="20"/>
                <w:szCs w:val="20"/>
                <w:color w:val="auto"/>
              </w:rPr>
            </w:pPr>
            <w:r>
              <w:rPr>
                <w:rFonts w:ascii="Times New Roman" w:cs="Times New Roman" w:eastAsia="Times New Roman" w:hAnsi="Times New Roman"/>
                <w:sz w:val="20"/>
                <w:szCs w:val="20"/>
                <w:color w:val="0563C1"/>
                <w:w w:val="93"/>
              </w:rPr>
              <w:t>Disclosure</w:t>
            </w:r>
          </w:p>
        </w:tc>
        <w:tc>
          <w:tcPr>
            <w:tcW w:w="50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17</w:t>
            </w:r>
          </w:p>
        </w:tc>
        <w:tc>
          <w:tcPr>
            <w:tcW w:w="200" w:type="dxa"/>
            <w:vAlign w:val="bottom"/>
          </w:tcPr>
          <w:p>
            <w:pPr>
              <w:spacing w:after="0"/>
              <w:rPr>
                <w:sz w:val="19"/>
                <w:szCs w:val="19"/>
                <w:color w:val="auto"/>
              </w:rPr>
            </w:pPr>
          </w:p>
        </w:tc>
        <w:tc>
          <w:tcPr>
            <w:tcW w:w="226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Compliance with Laws  </w:t>
            </w:r>
            <w:r>
              <w:rPr>
                <w:rFonts w:ascii="Times New Roman" w:cs="Times New Roman" w:eastAsia="Times New Roman" w:hAnsi="Times New Roman"/>
                <w:sz w:val="20"/>
                <w:szCs w:val="20"/>
                <w:color w:val="000000"/>
              </w:rPr>
              <w:t>86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18</w:t>
            </w:r>
          </w:p>
        </w:tc>
        <w:tc>
          <w:tcPr>
            <w:tcW w:w="200" w:type="dxa"/>
            <w:vAlign w:val="bottom"/>
          </w:tcPr>
          <w:p>
            <w:pPr>
              <w:spacing w:after="0"/>
              <w:rPr>
                <w:sz w:val="18"/>
                <w:szCs w:val="18"/>
                <w:color w:val="auto"/>
              </w:rPr>
            </w:pPr>
          </w:p>
        </w:tc>
        <w:tc>
          <w:tcPr>
            <w:tcW w:w="3260" w:type="dxa"/>
            <w:vAlign w:val="bottom"/>
            <w:gridSpan w:val="30"/>
          </w:tcPr>
          <w:p>
            <w:pPr>
              <w:ind w:left="20"/>
              <w:spacing w:after="0" w:line="209" w:lineRule="exact"/>
              <w:rPr>
                <w:sz w:val="20"/>
                <w:szCs w:val="20"/>
                <w:color w:val="auto"/>
              </w:rPr>
            </w:pPr>
            <w:r>
              <w:rPr>
                <w:rFonts w:ascii="Times New Roman" w:cs="Times New Roman" w:eastAsia="Times New Roman" w:hAnsi="Times New Roman"/>
                <w:sz w:val="20"/>
                <w:szCs w:val="20"/>
                <w:color w:val="0563C1"/>
              </w:rPr>
              <w:t>Representations as to Foreign Obligors</w:t>
            </w: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60" w:type="dxa"/>
            <w:vAlign w:val="bottom"/>
            <w:gridSpan w:val="4"/>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19</w:t>
            </w:r>
          </w:p>
        </w:tc>
        <w:tc>
          <w:tcPr>
            <w:tcW w:w="200" w:type="dxa"/>
            <w:vAlign w:val="bottom"/>
          </w:tcPr>
          <w:p>
            <w:pPr>
              <w:spacing w:after="0"/>
              <w:rPr>
                <w:sz w:val="19"/>
                <w:szCs w:val="19"/>
                <w:color w:val="auto"/>
              </w:rPr>
            </w:pPr>
          </w:p>
        </w:tc>
        <w:tc>
          <w:tcPr>
            <w:tcW w:w="5440" w:type="dxa"/>
            <w:vAlign w:val="bottom"/>
            <w:gridSpan w:val="39"/>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Taxpayer Identification Number; Other Identifying Information  </w:t>
            </w:r>
            <w:r>
              <w:rPr>
                <w:rFonts w:ascii="Times New Roman" w:cs="Times New Roman" w:eastAsia="Times New Roman" w:hAnsi="Times New Roman"/>
                <w:sz w:val="20"/>
                <w:szCs w:val="20"/>
                <w:color w:val="000000"/>
              </w:rPr>
              <w:t>87</w:t>
            </w: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20</w:t>
            </w:r>
          </w:p>
        </w:tc>
        <w:tc>
          <w:tcPr>
            <w:tcW w:w="200" w:type="dxa"/>
            <w:vAlign w:val="bottom"/>
          </w:tcPr>
          <w:p>
            <w:pPr>
              <w:spacing w:after="0"/>
              <w:rPr>
                <w:sz w:val="18"/>
                <w:szCs w:val="18"/>
                <w:color w:val="auto"/>
              </w:rPr>
            </w:pPr>
          </w:p>
        </w:tc>
        <w:tc>
          <w:tcPr>
            <w:tcW w:w="640" w:type="dxa"/>
            <w:vAlign w:val="bottom"/>
            <w:gridSpan w:val="5"/>
          </w:tcPr>
          <w:p>
            <w:pPr>
              <w:ind w:left="20"/>
              <w:spacing w:after="0" w:line="209" w:lineRule="exact"/>
              <w:rPr>
                <w:sz w:val="20"/>
                <w:szCs w:val="20"/>
                <w:color w:val="auto"/>
              </w:rPr>
            </w:pPr>
            <w:r>
              <w:rPr>
                <w:rFonts w:ascii="Times New Roman" w:cs="Times New Roman" w:eastAsia="Times New Roman" w:hAnsi="Times New Roman"/>
                <w:sz w:val="20"/>
                <w:szCs w:val="20"/>
                <w:color w:val="0563C1"/>
              </w:rPr>
              <w:t>OFAC</w:t>
            </w:r>
          </w:p>
        </w:tc>
        <w:tc>
          <w:tcPr>
            <w:tcW w:w="540" w:type="dxa"/>
            <w:vAlign w:val="bottom"/>
            <w:gridSpan w:val="4"/>
          </w:tcPr>
          <w:p>
            <w:pPr>
              <w:jc w:val="right"/>
              <w:ind w:right="161"/>
              <w:spacing w:after="0" w:line="209" w:lineRule="exact"/>
              <w:rPr>
                <w:sz w:val="20"/>
                <w:szCs w:val="20"/>
                <w:color w:val="auto"/>
              </w:rPr>
            </w:pPr>
            <w:r>
              <w:rPr>
                <w:rFonts w:ascii="Times New Roman" w:cs="Times New Roman" w:eastAsia="Times New Roman" w:hAnsi="Times New Roman"/>
                <w:sz w:val="20"/>
                <w:szCs w:val="20"/>
                <w:color w:val="auto"/>
              </w:rPr>
              <w:t>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21</w:t>
            </w:r>
          </w:p>
        </w:tc>
        <w:tc>
          <w:tcPr>
            <w:tcW w:w="200" w:type="dxa"/>
            <w:vAlign w:val="bottom"/>
          </w:tcPr>
          <w:p>
            <w:pPr>
              <w:spacing w:after="0"/>
              <w:rPr>
                <w:sz w:val="19"/>
                <w:szCs w:val="19"/>
                <w:color w:val="auto"/>
              </w:rPr>
            </w:pPr>
          </w:p>
        </w:tc>
        <w:tc>
          <w:tcPr>
            <w:tcW w:w="178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0563C1"/>
                <w:w w:val="96"/>
              </w:rPr>
              <w:t>Anti-Corruption Laws</w:t>
            </w:r>
          </w:p>
        </w:tc>
        <w:tc>
          <w:tcPr>
            <w:tcW w:w="42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22</w:t>
            </w:r>
          </w:p>
        </w:tc>
        <w:tc>
          <w:tcPr>
            <w:tcW w:w="200" w:type="dxa"/>
            <w:vAlign w:val="bottom"/>
          </w:tcPr>
          <w:p>
            <w:pPr>
              <w:spacing w:after="0"/>
              <w:rPr>
                <w:sz w:val="18"/>
                <w:szCs w:val="18"/>
                <w:color w:val="auto"/>
              </w:rPr>
            </w:pPr>
          </w:p>
        </w:tc>
        <w:tc>
          <w:tcPr>
            <w:tcW w:w="1780" w:type="dxa"/>
            <w:vAlign w:val="bottom"/>
            <w:gridSpan w:val="16"/>
          </w:tcPr>
          <w:p>
            <w:pPr>
              <w:ind w:left="20"/>
              <w:spacing w:after="0" w:line="209" w:lineRule="exact"/>
              <w:rPr>
                <w:sz w:val="20"/>
                <w:szCs w:val="20"/>
                <w:color w:val="auto"/>
              </w:rPr>
            </w:pPr>
            <w:r>
              <w:rPr>
                <w:rFonts w:ascii="Times New Roman" w:cs="Times New Roman" w:eastAsia="Times New Roman" w:hAnsi="Times New Roman"/>
                <w:sz w:val="20"/>
                <w:szCs w:val="20"/>
                <w:color w:val="0563C1"/>
                <w:w w:val="98"/>
              </w:rPr>
              <w:t>Beneficial Ownership</w:t>
            </w:r>
          </w:p>
        </w:tc>
        <w:tc>
          <w:tcPr>
            <w:tcW w:w="4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23</w:t>
            </w:r>
          </w:p>
        </w:tc>
        <w:tc>
          <w:tcPr>
            <w:tcW w:w="200" w:type="dxa"/>
            <w:vAlign w:val="bottom"/>
          </w:tcPr>
          <w:p>
            <w:pPr>
              <w:spacing w:after="0"/>
              <w:rPr>
                <w:sz w:val="19"/>
                <w:szCs w:val="19"/>
                <w:color w:val="auto"/>
              </w:rPr>
            </w:pPr>
          </w:p>
        </w:tc>
        <w:tc>
          <w:tcPr>
            <w:tcW w:w="1440" w:type="dxa"/>
            <w:vAlign w:val="bottom"/>
            <w:gridSpan w:val="11"/>
          </w:tcPr>
          <w:p>
            <w:pPr>
              <w:ind w:left="20"/>
              <w:spacing w:after="0" w:line="223" w:lineRule="exact"/>
              <w:rPr>
                <w:sz w:val="20"/>
                <w:szCs w:val="20"/>
                <w:color w:val="auto"/>
              </w:rPr>
            </w:pPr>
            <w:r>
              <w:rPr>
                <w:rFonts w:ascii="Times New Roman" w:cs="Times New Roman" w:eastAsia="Times New Roman" w:hAnsi="Times New Roman"/>
                <w:sz w:val="20"/>
                <w:szCs w:val="20"/>
                <w:color w:val="0563C1"/>
              </w:rPr>
              <w:t>Covered Entity. .</w:t>
            </w:r>
          </w:p>
        </w:tc>
        <w:tc>
          <w:tcPr>
            <w:tcW w:w="340" w:type="dxa"/>
            <w:vAlign w:val="bottom"/>
            <w:gridSpan w:val="5"/>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88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2"/>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800" w:type="dxa"/>
            <w:vAlign w:val="bottom"/>
            <w:gridSpan w:val="32"/>
          </w:tcPr>
          <w:p>
            <w:pPr>
              <w:spacing w:after="0"/>
              <w:rPr>
                <w:sz w:val="20"/>
                <w:szCs w:val="20"/>
                <w:color w:val="auto"/>
              </w:rPr>
            </w:pPr>
            <w:r>
              <w:rPr>
                <w:rFonts w:ascii="Times New Roman" w:cs="Times New Roman" w:eastAsia="Times New Roman" w:hAnsi="Times New Roman"/>
                <w:sz w:val="20"/>
                <w:szCs w:val="20"/>
                <w:color w:val="0563C1"/>
                <w:w w:val="99"/>
              </w:rPr>
              <w:t>ARTICLE VI. AFFIRMATIVE COVENANTS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01</w:t>
            </w:r>
          </w:p>
        </w:tc>
        <w:tc>
          <w:tcPr>
            <w:tcW w:w="200" w:type="dxa"/>
            <w:vAlign w:val="bottom"/>
            <w:tcBorders>
              <w:top w:val="single" w:sz="8" w:color="0563C1"/>
            </w:tcBorders>
          </w:tcPr>
          <w:p>
            <w:pPr>
              <w:spacing w:after="0"/>
              <w:rPr>
                <w:sz w:val="24"/>
                <w:szCs w:val="24"/>
                <w:color w:val="auto"/>
              </w:rPr>
            </w:pPr>
          </w:p>
        </w:tc>
        <w:tc>
          <w:tcPr>
            <w:tcW w:w="1780" w:type="dxa"/>
            <w:vAlign w:val="bottom"/>
            <w:tcBorders>
              <w:top w:val="single" w:sz="8" w:color="0563C1"/>
            </w:tcBorders>
            <w:gridSpan w:val="16"/>
          </w:tcPr>
          <w:p>
            <w:pPr>
              <w:ind w:left="20"/>
              <w:spacing w:after="0"/>
              <w:rPr>
                <w:sz w:val="20"/>
                <w:szCs w:val="20"/>
                <w:color w:val="auto"/>
              </w:rPr>
            </w:pPr>
            <w:r>
              <w:rPr>
                <w:rFonts w:ascii="Times New Roman" w:cs="Times New Roman" w:eastAsia="Times New Roman" w:hAnsi="Times New Roman"/>
                <w:sz w:val="20"/>
                <w:szCs w:val="20"/>
                <w:color w:val="0563C1"/>
              </w:rPr>
              <w:t>Financial Statements</w:t>
            </w:r>
          </w:p>
        </w:tc>
        <w:tc>
          <w:tcPr>
            <w:tcW w:w="280" w:type="dxa"/>
            <w:vAlign w:val="bottom"/>
            <w:tcBorders>
              <w:top w:val="single" w:sz="8" w:color="0563C1"/>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02</w:t>
            </w:r>
          </w:p>
        </w:tc>
        <w:tc>
          <w:tcPr>
            <w:tcW w:w="200" w:type="dxa"/>
            <w:vAlign w:val="bottom"/>
          </w:tcPr>
          <w:p>
            <w:pPr>
              <w:spacing w:after="0"/>
              <w:rPr>
                <w:sz w:val="19"/>
                <w:szCs w:val="19"/>
                <w:color w:val="auto"/>
              </w:rPr>
            </w:pPr>
          </w:p>
        </w:tc>
        <w:tc>
          <w:tcPr>
            <w:tcW w:w="252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0"/>
                <w:szCs w:val="20"/>
                <w:color w:val="0563C1"/>
                <w:w w:val="99"/>
              </w:rPr>
              <w:t>Certificates; Other Information</w:t>
            </w:r>
          </w:p>
        </w:tc>
        <w:tc>
          <w:tcPr>
            <w:tcW w:w="42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89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03</w:t>
            </w:r>
          </w:p>
        </w:tc>
        <w:tc>
          <w:tcPr>
            <w:tcW w:w="200" w:type="dxa"/>
            <w:vAlign w:val="bottom"/>
          </w:tcPr>
          <w:p>
            <w:pPr>
              <w:spacing w:after="0"/>
              <w:rPr>
                <w:sz w:val="18"/>
                <w:szCs w:val="18"/>
                <w:color w:val="auto"/>
              </w:rPr>
            </w:pPr>
          </w:p>
        </w:tc>
        <w:tc>
          <w:tcPr>
            <w:tcW w:w="640" w:type="dxa"/>
            <w:vAlign w:val="bottom"/>
            <w:gridSpan w:val="5"/>
          </w:tcPr>
          <w:p>
            <w:pPr>
              <w:ind w:left="20"/>
              <w:spacing w:after="0" w:line="209" w:lineRule="exact"/>
              <w:rPr>
                <w:sz w:val="20"/>
                <w:szCs w:val="20"/>
                <w:color w:val="auto"/>
              </w:rPr>
            </w:pPr>
            <w:r>
              <w:rPr>
                <w:rFonts w:ascii="Times New Roman" w:cs="Times New Roman" w:eastAsia="Times New Roman" w:hAnsi="Times New Roman"/>
                <w:sz w:val="20"/>
                <w:szCs w:val="20"/>
                <w:color w:val="0563C1"/>
                <w:w w:val="98"/>
              </w:rPr>
              <w:t>Notices</w:t>
            </w:r>
          </w:p>
        </w:tc>
        <w:tc>
          <w:tcPr>
            <w:tcW w:w="540" w:type="dxa"/>
            <w:vAlign w:val="bottom"/>
            <w:gridSpan w:val="4"/>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04</w:t>
            </w:r>
          </w:p>
        </w:tc>
        <w:tc>
          <w:tcPr>
            <w:tcW w:w="200" w:type="dxa"/>
            <w:vAlign w:val="bottom"/>
          </w:tcPr>
          <w:p>
            <w:pPr>
              <w:spacing w:after="0"/>
              <w:rPr>
                <w:sz w:val="19"/>
                <w:szCs w:val="19"/>
                <w:color w:val="auto"/>
              </w:rPr>
            </w:pPr>
          </w:p>
        </w:tc>
        <w:tc>
          <w:tcPr>
            <w:tcW w:w="178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0563C1"/>
                <w:w w:val="96"/>
              </w:rPr>
              <w:t>Anti-Corruption Laws</w:t>
            </w:r>
          </w:p>
        </w:tc>
        <w:tc>
          <w:tcPr>
            <w:tcW w:w="42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05</w:t>
            </w:r>
          </w:p>
        </w:tc>
        <w:tc>
          <w:tcPr>
            <w:tcW w:w="200" w:type="dxa"/>
            <w:vAlign w:val="bottom"/>
          </w:tcPr>
          <w:p>
            <w:pPr>
              <w:spacing w:after="0"/>
              <w:rPr>
                <w:sz w:val="19"/>
                <w:szCs w:val="19"/>
                <w:color w:val="auto"/>
              </w:rPr>
            </w:pPr>
          </w:p>
        </w:tc>
        <w:tc>
          <w:tcPr>
            <w:tcW w:w="252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0"/>
                <w:szCs w:val="20"/>
                <w:color w:val="0563C1"/>
              </w:rPr>
              <w:t>Preservation of Existence, Etc</w:t>
            </w:r>
          </w:p>
        </w:tc>
        <w:tc>
          <w:tcPr>
            <w:tcW w:w="30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91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06</w:t>
            </w:r>
          </w:p>
        </w:tc>
        <w:tc>
          <w:tcPr>
            <w:tcW w:w="200" w:type="dxa"/>
            <w:vAlign w:val="bottom"/>
          </w:tcPr>
          <w:p>
            <w:pPr>
              <w:spacing w:after="0"/>
              <w:rPr>
                <w:sz w:val="18"/>
                <w:szCs w:val="18"/>
                <w:color w:val="auto"/>
              </w:rPr>
            </w:pPr>
          </w:p>
        </w:tc>
        <w:tc>
          <w:tcPr>
            <w:tcW w:w="2260" w:type="dxa"/>
            <w:vAlign w:val="bottom"/>
            <w:gridSpan w:val="19"/>
          </w:tcPr>
          <w:p>
            <w:pPr>
              <w:ind w:left="20"/>
              <w:spacing w:after="0" w:line="209" w:lineRule="exact"/>
              <w:rPr>
                <w:sz w:val="20"/>
                <w:szCs w:val="20"/>
                <w:color w:val="auto"/>
              </w:rPr>
            </w:pPr>
            <w:r>
              <w:rPr>
                <w:rFonts w:ascii="Times New Roman" w:cs="Times New Roman" w:eastAsia="Times New Roman" w:hAnsi="Times New Roman"/>
                <w:sz w:val="20"/>
                <w:szCs w:val="20"/>
                <w:color w:val="0563C1"/>
              </w:rPr>
              <w:t>Maintenance of Properties</w:t>
            </w:r>
          </w:p>
        </w:tc>
        <w:tc>
          <w:tcPr>
            <w:tcW w:w="260" w:type="dxa"/>
            <w:vAlign w:val="bottom"/>
            <w:gridSpan w:val="4"/>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07</w:t>
            </w:r>
          </w:p>
        </w:tc>
        <w:tc>
          <w:tcPr>
            <w:tcW w:w="200" w:type="dxa"/>
            <w:vAlign w:val="bottom"/>
          </w:tcPr>
          <w:p>
            <w:pPr>
              <w:spacing w:after="0"/>
              <w:rPr>
                <w:sz w:val="19"/>
                <w:szCs w:val="19"/>
                <w:color w:val="auto"/>
              </w:rPr>
            </w:pPr>
          </w:p>
        </w:tc>
        <w:tc>
          <w:tcPr>
            <w:tcW w:w="226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0563C1"/>
              </w:rPr>
              <w:t>Maintenance of Insurance</w:t>
            </w:r>
          </w:p>
        </w:tc>
        <w:tc>
          <w:tcPr>
            <w:tcW w:w="220" w:type="dxa"/>
            <w:vAlign w:val="bottom"/>
            <w:gridSpan w:val="3"/>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89"/>
              </w:rPr>
              <w:t>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tcPr>
          <w:p>
            <w:pPr>
              <w:jc w:val="right"/>
              <w:ind w:right="421"/>
              <w:spacing w:after="0"/>
              <w:rPr>
                <w:sz w:val="20"/>
                <w:szCs w:val="20"/>
                <w:color w:val="auto"/>
              </w:rPr>
            </w:pPr>
            <w:r>
              <w:rPr>
                <w:rFonts w:ascii="Times New Roman" w:cs="Times New Roman" w:eastAsia="Times New Roman" w:hAnsi="Times New Roman"/>
                <w:sz w:val="20"/>
                <w:szCs w:val="20"/>
                <w:color w:val="auto"/>
              </w:rPr>
              <w:t>91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08</w:t>
            </w:r>
          </w:p>
        </w:tc>
        <w:tc>
          <w:tcPr>
            <w:tcW w:w="200" w:type="dxa"/>
            <w:vAlign w:val="bottom"/>
          </w:tcPr>
          <w:p>
            <w:pPr>
              <w:spacing w:after="0"/>
              <w:rPr>
                <w:sz w:val="18"/>
                <w:szCs w:val="18"/>
                <w:color w:val="auto"/>
              </w:rPr>
            </w:pPr>
          </w:p>
        </w:tc>
        <w:tc>
          <w:tcPr>
            <w:tcW w:w="4140" w:type="dxa"/>
            <w:vAlign w:val="bottom"/>
            <w:gridSpan w:val="37"/>
          </w:tcPr>
          <w:p>
            <w:pPr>
              <w:ind w:left="20"/>
              <w:spacing w:after="0" w:line="209" w:lineRule="exact"/>
              <w:rPr>
                <w:sz w:val="20"/>
                <w:szCs w:val="20"/>
                <w:color w:val="auto"/>
              </w:rPr>
            </w:pPr>
            <w:r>
              <w:rPr>
                <w:rFonts w:ascii="Times New Roman" w:cs="Times New Roman" w:eastAsia="Times New Roman" w:hAnsi="Times New Roman"/>
                <w:sz w:val="20"/>
                <w:szCs w:val="20"/>
                <w:color w:val="0563C1"/>
                <w:w w:val="98"/>
              </w:rPr>
              <w:t>Compliance with Laws and Contractual Obligations</w:t>
            </w:r>
          </w:p>
        </w:tc>
        <w:tc>
          <w:tcPr>
            <w:tcW w:w="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09</w:t>
            </w:r>
          </w:p>
        </w:tc>
        <w:tc>
          <w:tcPr>
            <w:tcW w:w="200" w:type="dxa"/>
            <w:vAlign w:val="bottom"/>
          </w:tcPr>
          <w:p>
            <w:pPr>
              <w:spacing w:after="0"/>
              <w:rPr>
                <w:sz w:val="19"/>
                <w:szCs w:val="19"/>
                <w:color w:val="auto"/>
              </w:rPr>
            </w:pPr>
          </w:p>
        </w:tc>
        <w:tc>
          <w:tcPr>
            <w:tcW w:w="226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Books and Records  </w:t>
            </w:r>
            <w:r>
              <w:rPr>
                <w:rFonts w:ascii="Times New Roman" w:cs="Times New Roman" w:eastAsia="Times New Roman" w:hAnsi="Times New Roman"/>
                <w:sz w:val="20"/>
                <w:szCs w:val="20"/>
                <w:color w:val="000000"/>
              </w:rPr>
              <w:t>92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10</w:t>
            </w:r>
          </w:p>
        </w:tc>
        <w:tc>
          <w:tcPr>
            <w:tcW w:w="200" w:type="dxa"/>
            <w:vAlign w:val="bottom"/>
          </w:tcPr>
          <w:p>
            <w:pPr>
              <w:spacing w:after="0"/>
              <w:rPr>
                <w:sz w:val="19"/>
                <w:szCs w:val="19"/>
                <w:color w:val="auto"/>
              </w:rPr>
            </w:pPr>
          </w:p>
        </w:tc>
        <w:tc>
          <w:tcPr>
            <w:tcW w:w="1440" w:type="dxa"/>
            <w:vAlign w:val="bottom"/>
            <w:gridSpan w:val="11"/>
          </w:tcPr>
          <w:p>
            <w:pPr>
              <w:ind w:left="20"/>
              <w:spacing w:after="0" w:line="223" w:lineRule="exact"/>
              <w:rPr>
                <w:sz w:val="20"/>
                <w:szCs w:val="20"/>
                <w:color w:val="auto"/>
              </w:rPr>
            </w:pPr>
            <w:r>
              <w:rPr>
                <w:rFonts w:ascii="Times New Roman" w:cs="Times New Roman" w:eastAsia="Times New Roman" w:hAnsi="Times New Roman"/>
                <w:sz w:val="20"/>
                <w:szCs w:val="20"/>
                <w:color w:val="0563C1"/>
                <w:w w:val="99"/>
              </w:rPr>
              <w:t>Inspection Rights</w:t>
            </w:r>
          </w:p>
        </w:tc>
        <w:tc>
          <w:tcPr>
            <w:tcW w:w="34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auto"/>
              </w:rPr>
              <w:t>92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2"/>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3"/>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Borders>
              <w:bottom w:val="single" w:sz="8" w:color="0563C1"/>
            </w:tcBorders>
          </w:tcPr>
          <w:p>
            <w:pPr>
              <w:spacing w:after="0" w:line="209"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11</w:t>
            </w:r>
          </w:p>
        </w:tc>
        <w:tc>
          <w:tcPr>
            <w:tcW w:w="200" w:type="dxa"/>
            <w:vAlign w:val="bottom"/>
          </w:tcPr>
          <w:p>
            <w:pPr>
              <w:spacing w:after="0"/>
              <w:rPr>
                <w:sz w:val="18"/>
                <w:szCs w:val="18"/>
                <w:color w:val="auto"/>
              </w:rPr>
            </w:pPr>
          </w:p>
        </w:tc>
        <w:tc>
          <w:tcPr>
            <w:tcW w:w="1360" w:type="dxa"/>
            <w:vAlign w:val="bottom"/>
            <w:tcBorders>
              <w:bottom w:val="single" w:sz="8" w:color="0563C1"/>
            </w:tcBorders>
            <w:gridSpan w:val="10"/>
          </w:tcPr>
          <w:p>
            <w:pPr>
              <w:spacing w:after="0" w:line="209" w:lineRule="exact"/>
              <w:rPr>
                <w:sz w:val="20"/>
                <w:szCs w:val="20"/>
                <w:color w:val="auto"/>
              </w:rPr>
            </w:pPr>
            <w:r>
              <w:rPr>
                <w:rFonts w:ascii="Times New Roman" w:cs="Times New Roman" w:eastAsia="Times New Roman" w:hAnsi="Times New Roman"/>
                <w:sz w:val="20"/>
                <w:szCs w:val="20"/>
                <w:color w:val="0563C1"/>
              </w:rPr>
              <w:t>Use of Proceeds</w:t>
            </w:r>
          </w:p>
        </w:tc>
        <w:tc>
          <w:tcPr>
            <w:tcW w:w="80" w:type="dxa"/>
            <w:vAlign w:val="bottom"/>
          </w:tcPr>
          <w:p>
            <w:pPr>
              <w:spacing w:after="0"/>
              <w:rPr>
                <w:sz w:val="18"/>
                <w:szCs w:val="18"/>
                <w:color w:val="auto"/>
              </w:rPr>
            </w:pPr>
          </w:p>
        </w:tc>
        <w:tc>
          <w:tcPr>
            <w:tcW w:w="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12</w:t>
            </w:r>
          </w:p>
        </w:tc>
        <w:tc>
          <w:tcPr>
            <w:tcW w:w="200" w:type="dxa"/>
            <w:vAlign w:val="bottom"/>
          </w:tcPr>
          <w:p>
            <w:pPr>
              <w:spacing w:after="0"/>
              <w:rPr>
                <w:sz w:val="19"/>
                <w:szCs w:val="19"/>
                <w:color w:val="auto"/>
              </w:rPr>
            </w:pPr>
          </w:p>
        </w:tc>
        <w:tc>
          <w:tcPr>
            <w:tcW w:w="252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0"/>
                <w:szCs w:val="20"/>
                <w:color w:val="0563C1"/>
              </w:rPr>
              <w:t>Approvals and Authorizations</w:t>
            </w:r>
          </w:p>
        </w:tc>
        <w:tc>
          <w:tcPr>
            <w:tcW w:w="30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92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2"/>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0" w:type="dxa"/>
            <w:vAlign w:val="bottom"/>
            <w:tcBorders>
              <w:left w:val="single" w:sz="8" w:color="0563C1"/>
            </w:tcBorders>
            <w:gridSpan w:val="6"/>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20" w:type="dxa"/>
            <w:vAlign w:val="bottom"/>
            <w:gridSpan w:val="29"/>
          </w:tcPr>
          <w:p>
            <w:pPr>
              <w:spacing w:after="0"/>
              <w:rPr>
                <w:sz w:val="20"/>
                <w:szCs w:val="20"/>
                <w:color w:val="auto"/>
              </w:rPr>
            </w:pPr>
            <w:r>
              <w:rPr>
                <w:rFonts w:ascii="Times New Roman" w:cs="Times New Roman" w:eastAsia="Times New Roman" w:hAnsi="Times New Roman"/>
                <w:sz w:val="20"/>
                <w:szCs w:val="20"/>
                <w:color w:val="0563C1"/>
                <w:w w:val="98"/>
              </w:rPr>
              <w:t>ARTICLE VII. NEGATIVE COVENANTS</w:t>
            </w:r>
          </w:p>
        </w:tc>
        <w:tc>
          <w:tcPr>
            <w:tcW w:w="640" w:type="dxa"/>
            <w:vAlign w:val="bottom"/>
            <w:gridSpan w:val="4"/>
          </w:tcPr>
          <w:p>
            <w:pPr>
              <w:jc w:val="right"/>
              <w:ind w:right="181"/>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01</w:t>
            </w:r>
          </w:p>
        </w:tc>
        <w:tc>
          <w:tcPr>
            <w:tcW w:w="200" w:type="dxa"/>
            <w:vAlign w:val="bottom"/>
            <w:tcBorders>
              <w:top w:val="single" w:sz="8" w:color="0563C1"/>
            </w:tcBorders>
          </w:tcPr>
          <w:p>
            <w:pPr>
              <w:spacing w:after="0"/>
              <w:rPr>
                <w:sz w:val="24"/>
                <w:szCs w:val="24"/>
                <w:color w:val="auto"/>
              </w:rPr>
            </w:pPr>
          </w:p>
        </w:tc>
        <w:tc>
          <w:tcPr>
            <w:tcW w:w="1780" w:type="dxa"/>
            <w:vAlign w:val="bottom"/>
            <w:tcBorders>
              <w:top w:val="single" w:sz="8" w:color="0563C1"/>
            </w:tcBorders>
            <w:gridSpan w:val="16"/>
          </w:tcPr>
          <w:p>
            <w:pPr>
              <w:ind w:left="20"/>
              <w:spacing w:after="0"/>
              <w:rPr>
                <w:sz w:val="20"/>
                <w:szCs w:val="20"/>
                <w:color w:val="auto"/>
              </w:rPr>
            </w:pPr>
            <w:r>
              <w:rPr>
                <w:rFonts w:ascii="Times New Roman" w:cs="Times New Roman" w:eastAsia="Times New Roman" w:hAnsi="Times New Roman"/>
                <w:sz w:val="20"/>
                <w:szCs w:val="20"/>
                <w:color w:val="0563C1"/>
              </w:rPr>
              <w:t>Limitation on Liens</w:t>
            </w:r>
          </w:p>
        </w:tc>
        <w:tc>
          <w:tcPr>
            <w:tcW w:w="280" w:type="dxa"/>
            <w:vAlign w:val="bottom"/>
            <w:tcBorders>
              <w:top w:val="single" w:sz="8" w:color="0563C1"/>
            </w:tcBorders>
          </w:tcPr>
          <w:p>
            <w:pPr>
              <w:jc w:val="right"/>
              <w:spacing w:after="0"/>
              <w:rPr>
                <w:sz w:val="20"/>
                <w:szCs w:val="20"/>
                <w:color w:val="auto"/>
              </w:rPr>
            </w:pPr>
            <w:r>
              <w:rPr>
                <w:rFonts w:ascii="Times New Roman" w:cs="Times New Roman" w:eastAsia="Times New Roman" w:hAnsi="Times New Roman"/>
                <w:sz w:val="20"/>
                <w:szCs w:val="20"/>
                <w:color w:val="auto"/>
                <w:w w:val="89"/>
              </w:rPr>
              <w:t>93</w:t>
            </w:r>
          </w:p>
        </w:tc>
        <w:tc>
          <w:tcPr>
            <w:tcW w:w="1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0" w:type="dxa"/>
            <w:vAlign w:val="bottom"/>
            <w:tcBorders>
              <w:left w:val="single" w:sz="8" w:color="0563C1"/>
            </w:tcBorders>
            <w:gridSpan w:val="6"/>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02</w:t>
            </w:r>
          </w:p>
        </w:tc>
        <w:tc>
          <w:tcPr>
            <w:tcW w:w="200" w:type="dxa"/>
            <w:vAlign w:val="bottom"/>
          </w:tcPr>
          <w:p>
            <w:pPr>
              <w:spacing w:after="0"/>
              <w:rPr>
                <w:sz w:val="19"/>
                <w:szCs w:val="19"/>
                <w:color w:val="auto"/>
              </w:rPr>
            </w:pPr>
          </w:p>
        </w:tc>
        <w:tc>
          <w:tcPr>
            <w:tcW w:w="178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0563C1"/>
              </w:rPr>
              <w:t>Disposition of Assets</w:t>
            </w:r>
          </w:p>
        </w:tc>
        <w:tc>
          <w:tcPr>
            <w:tcW w:w="42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19"/>
                <w:szCs w:val="19"/>
                <w:color w:val="auto"/>
              </w:rPr>
            </w:pPr>
          </w:p>
        </w:tc>
        <w:tc>
          <w:tcPr>
            <w:tcW w:w="3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60" w:type="dxa"/>
            <w:vAlign w:val="bottom"/>
            <w:tcBorders>
              <w:left w:val="single" w:sz="8" w:color="0563C1"/>
            </w:tcBorders>
            <w:gridSpan w:val="7"/>
            <w:shd w:val="clear" w:color="auto" w:fill="0563C1"/>
          </w:tcPr>
          <w:p>
            <w:pPr>
              <w:spacing w:after="0" w:line="20" w:lineRule="exact"/>
              <w:rPr>
                <w:sz w:val="1"/>
                <w:szCs w:val="1"/>
                <w:color w:val="auto"/>
              </w:rPr>
            </w:pPr>
          </w:p>
        </w:tc>
        <w:tc>
          <w:tcPr>
            <w:tcW w:w="420" w:type="dxa"/>
            <w:vAlign w:val="bottom"/>
            <w:tcBorders>
              <w:left w:val="single" w:sz="8" w:color="0563C1"/>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03</w:t>
            </w:r>
          </w:p>
        </w:tc>
        <w:tc>
          <w:tcPr>
            <w:tcW w:w="200" w:type="dxa"/>
            <w:vAlign w:val="bottom"/>
          </w:tcPr>
          <w:p>
            <w:pPr>
              <w:spacing w:after="0"/>
              <w:rPr>
                <w:sz w:val="18"/>
                <w:szCs w:val="18"/>
                <w:color w:val="auto"/>
              </w:rPr>
            </w:pPr>
          </w:p>
        </w:tc>
        <w:tc>
          <w:tcPr>
            <w:tcW w:w="2260" w:type="dxa"/>
            <w:vAlign w:val="bottom"/>
            <w:gridSpan w:val="19"/>
          </w:tcPr>
          <w:p>
            <w:pPr>
              <w:ind w:left="20"/>
              <w:spacing w:after="0" w:line="209" w:lineRule="exact"/>
              <w:rPr>
                <w:sz w:val="20"/>
                <w:szCs w:val="20"/>
                <w:color w:val="auto"/>
              </w:rPr>
            </w:pPr>
            <w:r>
              <w:rPr>
                <w:rFonts w:ascii="Times New Roman" w:cs="Times New Roman" w:eastAsia="Times New Roman" w:hAnsi="Times New Roman"/>
                <w:sz w:val="20"/>
                <w:szCs w:val="20"/>
                <w:color w:val="0563C1"/>
                <w:w w:val="98"/>
              </w:rPr>
              <w:t>Consolidations and Mergers</w:t>
            </w:r>
          </w:p>
        </w:tc>
        <w:tc>
          <w:tcPr>
            <w:tcW w:w="38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60" w:type="dxa"/>
            <w:vAlign w:val="bottom"/>
            <w:tcBorders>
              <w:left w:val="single" w:sz="8" w:color="0563C1"/>
            </w:tcBorders>
            <w:gridSpan w:val="7"/>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04</w:t>
            </w:r>
          </w:p>
        </w:tc>
        <w:tc>
          <w:tcPr>
            <w:tcW w:w="200" w:type="dxa"/>
            <w:vAlign w:val="bottom"/>
          </w:tcPr>
          <w:p>
            <w:pPr>
              <w:spacing w:after="0"/>
              <w:rPr>
                <w:sz w:val="19"/>
                <w:szCs w:val="19"/>
                <w:color w:val="auto"/>
              </w:rPr>
            </w:pPr>
          </w:p>
        </w:tc>
        <w:tc>
          <w:tcPr>
            <w:tcW w:w="178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0563C1"/>
              </w:rPr>
              <w:t>Restricted Payments</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60" w:type="dxa"/>
            <w:vAlign w:val="bottom"/>
            <w:tcBorders>
              <w:left w:val="single" w:sz="8" w:color="0563C1"/>
            </w:tcBorders>
            <w:gridSpan w:val="7"/>
            <w:shd w:val="clear" w:color="auto" w:fill="0563C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05</w:t>
            </w:r>
          </w:p>
        </w:tc>
        <w:tc>
          <w:tcPr>
            <w:tcW w:w="200" w:type="dxa"/>
            <w:vAlign w:val="bottom"/>
          </w:tcPr>
          <w:p>
            <w:pPr>
              <w:spacing w:after="0"/>
              <w:rPr>
                <w:sz w:val="18"/>
                <w:szCs w:val="18"/>
                <w:color w:val="auto"/>
              </w:rPr>
            </w:pPr>
          </w:p>
        </w:tc>
        <w:tc>
          <w:tcPr>
            <w:tcW w:w="2260" w:type="dxa"/>
            <w:vAlign w:val="bottom"/>
            <w:gridSpan w:val="19"/>
          </w:tcPr>
          <w:p>
            <w:pPr>
              <w:ind w:left="20"/>
              <w:spacing w:after="0" w:line="209" w:lineRule="exact"/>
              <w:rPr>
                <w:sz w:val="20"/>
                <w:szCs w:val="20"/>
                <w:color w:val="auto"/>
              </w:rPr>
            </w:pPr>
            <w:r>
              <w:rPr>
                <w:rFonts w:ascii="Times New Roman" w:cs="Times New Roman" w:eastAsia="Times New Roman" w:hAnsi="Times New Roman"/>
                <w:sz w:val="20"/>
                <w:szCs w:val="20"/>
                <w:color w:val="0563C1"/>
              </w:rPr>
              <w:t>Maximum Leverage Ratio</w:t>
            </w:r>
          </w:p>
        </w:tc>
        <w:tc>
          <w:tcPr>
            <w:tcW w:w="2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06</w:t>
            </w:r>
          </w:p>
        </w:tc>
        <w:tc>
          <w:tcPr>
            <w:tcW w:w="200" w:type="dxa"/>
            <w:vAlign w:val="bottom"/>
          </w:tcPr>
          <w:p>
            <w:pPr>
              <w:spacing w:after="0"/>
              <w:rPr>
                <w:sz w:val="19"/>
                <w:szCs w:val="19"/>
                <w:color w:val="auto"/>
              </w:rPr>
            </w:pPr>
          </w:p>
        </w:tc>
        <w:tc>
          <w:tcPr>
            <w:tcW w:w="860" w:type="dxa"/>
            <w:vAlign w:val="bottom"/>
            <w:gridSpan w:val="8"/>
          </w:tcPr>
          <w:p>
            <w:pPr>
              <w:ind w:left="20"/>
              <w:spacing w:after="0" w:line="223" w:lineRule="exact"/>
              <w:rPr>
                <w:sz w:val="20"/>
                <w:szCs w:val="20"/>
                <w:color w:val="auto"/>
              </w:rPr>
            </w:pPr>
            <w:r>
              <w:rPr>
                <w:rFonts w:ascii="Times New Roman" w:cs="Times New Roman" w:eastAsia="Times New Roman" w:hAnsi="Times New Roman"/>
                <w:sz w:val="20"/>
                <w:szCs w:val="20"/>
                <w:color w:val="0563C1"/>
              </w:rPr>
              <w:t>Red Iron</w:t>
            </w:r>
          </w:p>
        </w:tc>
        <w:tc>
          <w:tcPr>
            <w:tcW w:w="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07</w:t>
            </w:r>
          </w:p>
        </w:tc>
        <w:tc>
          <w:tcPr>
            <w:tcW w:w="200" w:type="dxa"/>
            <w:vAlign w:val="bottom"/>
          </w:tcPr>
          <w:p>
            <w:pPr>
              <w:spacing w:after="0"/>
              <w:rPr>
                <w:sz w:val="19"/>
                <w:szCs w:val="19"/>
                <w:color w:val="auto"/>
              </w:rPr>
            </w:pPr>
          </w:p>
        </w:tc>
        <w:tc>
          <w:tcPr>
            <w:tcW w:w="860" w:type="dxa"/>
            <w:vAlign w:val="bottom"/>
            <w:gridSpan w:val="8"/>
          </w:tcPr>
          <w:p>
            <w:pPr>
              <w:ind w:left="20"/>
              <w:spacing w:after="0" w:line="223" w:lineRule="exact"/>
              <w:rPr>
                <w:sz w:val="20"/>
                <w:szCs w:val="20"/>
                <w:color w:val="auto"/>
              </w:rPr>
            </w:pPr>
            <w:r>
              <w:rPr>
                <w:rFonts w:ascii="Times New Roman" w:cs="Times New Roman" w:eastAsia="Times New Roman" w:hAnsi="Times New Roman"/>
                <w:sz w:val="20"/>
                <w:szCs w:val="20"/>
                <w:color w:val="0563C1"/>
              </w:rPr>
              <w:t>Sanctions</w:t>
            </w:r>
          </w:p>
        </w:tc>
        <w:tc>
          <w:tcPr>
            <w:tcW w:w="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6"/>
            <w:shd w:val="clear" w:color="auto" w:fill="0563C1"/>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08</w:t>
            </w:r>
          </w:p>
        </w:tc>
        <w:tc>
          <w:tcPr>
            <w:tcW w:w="200" w:type="dxa"/>
            <w:vAlign w:val="bottom"/>
          </w:tcPr>
          <w:p>
            <w:pPr>
              <w:spacing w:after="0"/>
              <w:rPr>
                <w:sz w:val="18"/>
                <w:szCs w:val="18"/>
                <w:color w:val="auto"/>
              </w:rPr>
            </w:pPr>
          </w:p>
        </w:tc>
        <w:tc>
          <w:tcPr>
            <w:tcW w:w="1780" w:type="dxa"/>
            <w:vAlign w:val="bottom"/>
            <w:gridSpan w:val="16"/>
          </w:tcPr>
          <w:p>
            <w:pPr>
              <w:ind w:left="20"/>
              <w:spacing w:after="0" w:line="209" w:lineRule="exact"/>
              <w:rPr>
                <w:sz w:val="20"/>
                <w:szCs w:val="20"/>
                <w:color w:val="auto"/>
              </w:rPr>
            </w:pPr>
            <w:r>
              <w:rPr>
                <w:rFonts w:ascii="Times New Roman" w:cs="Times New Roman" w:eastAsia="Times New Roman" w:hAnsi="Times New Roman"/>
                <w:sz w:val="20"/>
                <w:szCs w:val="20"/>
                <w:color w:val="0563C1"/>
                <w:w w:val="96"/>
              </w:rPr>
              <w:t>Anti-Corruption Laws</w:t>
            </w:r>
          </w:p>
        </w:tc>
        <w:tc>
          <w:tcPr>
            <w:tcW w:w="4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5000" w:val="left"/>
        </w:tabs>
        <w:rPr>
          <w:sz w:val="20"/>
          <w:szCs w:val="20"/>
          <w:color w:val="auto"/>
        </w:rPr>
      </w:pPr>
      <w:r>
        <w:rPr>
          <w:rFonts w:ascii="Times New Roman" w:cs="Times New Roman" w:eastAsia="Times New Roman" w:hAnsi="Times New Roman"/>
          <w:sz w:val="20"/>
          <w:szCs w:val="20"/>
          <w:u w:val="single" w:color="auto"/>
          <w:color w:val="0563C1"/>
        </w:rPr>
        <w:t>ARTICLE VIII. EVENTS OF DEFAULT AND REMEDIES</w:t>
      </w:r>
      <w:r>
        <w:rPr>
          <w:sz w:val="20"/>
          <w:szCs w:val="20"/>
          <w:color w:val="auto"/>
        </w:rPr>
        <w:tab/>
      </w:r>
      <w:r>
        <w:rPr>
          <w:rFonts w:ascii="Times New Roman" w:cs="Times New Roman" w:eastAsia="Times New Roman" w:hAnsi="Times New Roman"/>
          <w:sz w:val="20"/>
          <w:szCs w:val="20"/>
          <w:color w:val="auto"/>
        </w:rPr>
        <w:t>97</w:t>
      </w:r>
    </w:p>
    <w:p>
      <w:pPr>
        <w:sectPr>
          <w:pgSz w:w="11900" w:h="16838" w:orient="portrait"/>
          <w:cols w:equalWidth="0" w:num="1">
            <w:col w:w="10139"/>
          </w:cols>
          <w:pgMar w:left="32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395"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13"/>
          </w:tcPr>
          <w:p>
            <w:pPr>
              <w:ind w:left="20"/>
              <w:spacing w:after="0"/>
              <w:rPr>
                <w:sz w:val="20"/>
                <w:szCs w:val="20"/>
                <w:color w:val="auto"/>
              </w:rPr>
            </w:pPr>
            <w:r>
              <w:rPr>
                <w:rFonts w:ascii="Times New Roman" w:cs="Times New Roman" w:eastAsia="Times New Roman" w:hAnsi="Times New Roman"/>
                <w:sz w:val="20"/>
                <w:szCs w:val="20"/>
                <w:color w:val="0563C1"/>
              </w:rPr>
              <w:t>Events of Default</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29"/>
          </w:tcPr>
          <w:p>
            <w:pPr>
              <w:ind w:left="20"/>
              <w:spacing w:after="0" w:line="223" w:lineRule="exact"/>
              <w:rPr>
                <w:sz w:val="20"/>
                <w:szCs w:val="20"/>
                <w:color w:val="auto"/>
              </w:rPr>
            </w:pPr>
            <w:r>
              <w:rPr>
                <w:rFonts w:ascii="Times New Roman" w:cs="Times New Roman" w:eastAsia="Times New Roman" w:hAnsi="Times New Roman"/>
                <w:sz w:val="20"/>
                <w:szCs w:val="20"/>
                <w:color w:val="0563C1"/>
              </w:rPr>
              <w:t>Remedies Upon Event of Default</w:t>
            </w:r>
          </w:p>
        </w:tc>
        <w:tc>
          <w:tcPr>
            <w:tcW w:w="3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color w:val="auto"/>
              </w:rPr>
              <w:t>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563C1"/>
            </w:tcBorders>
            <w:vMerge w:val="restart"/>
          </w:tcPr>
          <w:p>
            <w:pPr>
              <w:spacing w:after="0" w:line="209" w:lineRule="exact"/>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03</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563C1"/>
              <w:right w:val="single" w:sz="8" w:color="0563C1"/>
            </w:tcBorders>
            <w:shd w:val="clear" w:color="auto" w:fill="0563C1"/>
          </w:tcPr>
          <w:p>
            <w:pPr>
              <w:spacing w:after="0" w:line="20" w:lineRule="exact"/>
              <w:rPr>
                <w:sz w:val="1"/>
                <w:szCs w:val="1"/>
                <w:color w:val="auto"/>
              </w:rPr>
            </w:pPr>
          </w:p>
        </w:tc>
        <w:tc>
          <w:tcPr>
            <w:tcW w:w="86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140" w:type="dxa"/>
            <w:vAlign w:val="bottom"/>
            <w:tcBorders>
              <w:top w:val="single" w:sz="8" w:color="0563C1"/>
            </w:tcBorders>
            <w:gridSpan w:val="2"/>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140" w:type="dxa"/>
            <w:vAlign w:val="bottom"/>
            <w:tcBorders>
              <w:top w:val="single" w:sz="8" w:color="0563C1"/>
            </w:tcBorders>
            <w:gridSpan w:val="3"/>
            <w:shd w:val="clear" w:color="auto" w:fill="0563C1"/>
          </w:tcPr>
          <w:p>
            <w:pPr>
              <w:spacing w:after="0" w:line="20" w:lineRule="exact"/>
              <w:rPr>
                <w:sz w:val="1"/>
                <w:szCs w:val="1"/>
                <w:color w:val="auto"/>
              </w:rPr>
            </w:pPr>
          </w:p>
        </w:tc>
        <w:tc>
          <w:tcPr>
            <w:tcW w:w="20" w:type="dxa"/>
            <w:vAlign w:val="bottom"/>
            <w:tcBorders>
              <w:top w:val="single" w:sz="8" w:color="0563C1"/>
            </w:tcBorders>
            <w:shd w:val="clear" w:color="auto" w:fill="0563C1"/>
          </w:tcPr>
          <w:p>
            <w:pPr>
              <w:spacing w:after="0" w:line="20" w:lineRule="exact"/>
              <w:rPr>
                <w:sz w:val="1"/>
                <w:szCs w:val="1"/>
                <w:color w:val="auto"/>
              </w:rPr>
            </w:pPr>
          </w:p>
        </w:tc>
        <w:tc>
          <w:tcPr>
            <w:tcW w:w="160" w:type="dxa"/>
            <w:vAlign w:val="bottom"/>
            <w:tcBorders>
              <w:top w:val="single" w:sz="8" w:color="0563C1"/>
              <w:right w:val="single" w:sz="8" w:color="0563C1"/>
            </w:tcBorders>
            <w:gridSpan w:val="2"/>
            <w:shd w:val="clear" w:color="auto" w:fill="0563C1"/>
          </w:tcPr>
          <w:p>
            <w:pPr>
              <w:spacing w:after="0" w:line="20" w:lineRule="exact"/>
              <w:rPr>
                <w:sz w:val="1"/>
                <w:szCs w:val="1"/>
                <w:color w:val="auto"/>
              </w:rPr>
            </w:pPr>
          </w:p>
        </w:tc>
        <w:tc>
          <w:tcPr>
            <w:tcW w:w="6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100" w:type="dxa"/>
            <w:vAlign w:val="bottom"/>
            <w:tcBorders>
              <w:top w:val="single" w:sz="8" w:color="0563C1"/>
            </w:tcBorders>
            <w:shd w:val="clear" w:color="auto" w:fill="0563C1"/>
          </w:tcPr>
          <w:p>
            <w:pPr>
              <w:spacing w:after="0" w:line="20" w:lineRule="exact"/>
              <w:rPr>
                <w:sz w:val="1"/>
                <w:szCs w:val="1"/>
                <w:color w:val="auto"/>
              </w:rPr>
            </w:pPr>
          </w:p>
        </w:tc>
        <w:tc>
          <w:tcPr>
            <w:tcW w:w="20" w:type="dxa"/>
            <w:vAlign w:val="bottom"/>
            <w:tcBorders>
              <w:top w:val="single" w:sz="8" w:color="0563C1"/>
            </w:tcBorders>
            <w:shd w:val="clear" w:color="auto" w:fill="0563C1"/>
          </w:tcPr>
          <w:p>
            <w:pPr>
              <w:spacing w:after="0" w:line="20" w:lineRule="exact"/>
              <w:rPr>
                <w:sz w:val="1"/>
                <w:szCs w:val="1"/>
                <w:color w:val="auto"/>
              </w:rPr>
            </w:pPr>
          </w:p>
        </w:tc>
        <w:tc>
          <w:tcPr>
            <w:tcW w:w="120" w:type="dxa"/>
            <w:vAlign w:val="bottom"/>
            <w:tcBorders>
              <w:top w:val="single" w:sz="8" w:color="0563C1"/>
            </w:tcBorders>
            <w:shd w:val="clear" w:color="auto" w:fill="0563C1"/>
          </w:tcPr>
          <w:p>
            <w:pPr>
              <w:spacing w:after="0" w:line="20" w:lineRule="exact"/>
              <w:rPr>
                <w:sz w:val="1"/>
                <w:szCs w:val="1"/>
                <w:color w:val="auto"/>
              </w:rPr>
            </w:pPr>
          </w:p>
        </w:tc>
        <w:tc>
          <w:tcPr>
            <w:tcW w:w="40" w:type="dxa"/>
            <w:vAlign w:val="bottom"/>
            <w:tcBorders>
              <w:top w:val="single" w:sz="8" w:color="0563C1"/>
              <w:right w:val="single" w:sz="8" w:color="0563C1"/>
            </w:tcBorders>
            <w:shd w:val="clear" w:color="auto" w:fill="0563C1"/>
          </w:tcPr>
          <w:p>
            <w:pPr>
              <w:spacing w:after="0" w:line="20" w:lineRule="exact"/>
              <w:rPr>
                <w:sz w:val="1"/>
                <w:szCs w:val="1"/>
                <w:color w:val="auto"/>
              </w:rPr>
            </w:pPr>
          </w:p>
        </w:tc>
        <w:tc>
          <w:tcPr>
            <w:tcW w:w="20" w:type="dxa"/>
            <w:vAlign w:val="bottom"/>
            <w:tcBorders>
              <w:top w:val="single" w:sz="8" w:color="0563C1"/>
            </w:tcBorders>
            <w:shd w:val="clear" w:color="auto" w:fill="0563C1"/>
          </w:tcPr>
          <w:p>
            <w:pPr>
              <w:spacing w:after="0" w:line="20" w:lineRule="exact"/>
              <w:rPr>
                <w:sz w:val="1"/>
                <w:szCs w:val="1"/>
                <w:color w:val="auto"/>
              </w:rPr>
            </w:pPr>
          </w:p>
        </w:tc>
        <w:tc>
          <w:tcPr>
            <w:tcW w:w="10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Borders>
              <w:top w:val="single" w:sz="8" w:color="0563C1"/>
            </w:tcBorders>
            <w:shd w:val="clear" w:color="auto" w:fill="0563C1"/>
          </w:tcPr>
          <w:p>
            <w:pPr>
              <w:spacing w:after="0" w:line="20" w:lineRule="exact"/>
              <w:rPr>
                <w:sz w:val="1"/>
                <w:szCs w:val="1"/>
                <w:color w:val="auto"/>
              </w:rPr>
            </w:pPr>
          </w:p>
        </w:tc>
        <w:tc>
          <w:tcPr>
            <w:tcW w:w="40" w:type="dxa"/>
            <w:vAlign w:val="bottom"/>
            <w:tcBorders>
              <w:top w:val="single" w:sz="8" w:color="0563C1"/>
            </w:tcBorders>
            <w:shd w:val="clear" w:color="auto" w:fill="0563C1"/>
          </w:tcPr>
          <w:p>
            <w:pPr>
              <w:spacing w:after="0" w:line="20" w:lineRule="exact"/>
              <w:rPr>
                <w:sz w:val="1"/>
                <w:szCs w:val="1"/>
                <w:color w:val="auto"/>
              </w:rPr>
            </w:pPr>
          </w:p>
        </w:tc>
        <w:tc>
          <w:tcPr>
            <w:tcW w:w="20" w:type="dxa"/>
            <w:vAlign w:val="bottom"/>
            <w:tcBorders>
              <w:top w:val="single" w:sz="8" w:color="0563C1"/>
            </w:tcBorders>
            <w:shd w:val="clear" w:color="auto" w:fill="0563C1"/>
          </w:tcPr>
          <w:p>
            <w:pPr>
              <w:spacing w:after="0" w:line="20" w:lineRule="exact"/>
              <w:rPr>
                <w:sz w:val="1"/>
                <w:szCs w:val="1"/>
                <w:color w:val="auto"/>
              </w:rPr>
            </w:pPr>
          </w:p>
        </w:tc>
        <w:tc>
          <w:tcPr>
            <w:tcW w:w="320" w:type="dxa"/>
            <w:vAlign w:val="bottom"/>
            <w:tcBorders>
              <w:top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16"/>
          </w:tcPr>
          <w:p>
            <w:pPr>
              <w:ind w:left="20"/>
              <w:spacing w:after="0" w:line="189" w:lineRule="exact"/>
              <w:rPr>
                <w:sz w:val="20"/>
                <w:szCs w:val="20"/>
                <w:color w:val="auto"/>
              </w:rPr>
            </w:pPr>
            <w:r>
              <w:rPr>
                <w:rFonts w:ascii="Times New Roman" w:cs="Times New Roman" w:eastAsia="Times New Roman" w:hAnsi="Times New Roman"/>
                <w:sz w:val="20"/>
                <w:szCs w:val="20"/>
                <w:color w:val="0563C1"/>
              </w:rPr>
              <w:t>Application of Funds</w:t>
            </w:r>
          </w:p>
        </w:tc>
        <w:tc>
          <w:tcPr>
            <w:tcW w:w="300" w:type="dxa"/>
            <w:vAlign w:val="bottom"/>
            <w:gridSpan w:val="5"/>
          </w:tcPr>
          <w:p>
            <w:pPr>
              <w:ind w:left="60"/>
              <w:spacing w:after="0" w:line="189" w:lineRule="exact"/>
              <w:rPr>
                <w:sz w:val="20"/>
                <w:szCs w:val="20"/>
                <w:color w:val="auto"/>
              </w:rPr>
            </w:pPr>
            <w:r>
              <w:rPr>
                <w:rFonts w:ascii="Times New Roman" w:cs="Times New Roman" w:eastAsia="Times New Roman" w:hAnsi="Times New Roman"/>
                <w:sz w:val="20"/>
                <w:szCs w:val="20"/>
                <w:color w:val="auto"/>
              </w:rPr>
              <w:t>99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60" w:type="dxa"/>
            <w:vAlign w:val="bottom"/>
            <w:gridSpan w:val="38"/>
          </w:tcPr>
          <w:p>
            <w:pPr>
              <w:spacing w:after="0"/>
              <w:rPr>
                <w:sz w:val="20"/>
                <w:szCs w:val="20"/>
                <w:color w:val="auto"/>
              </w:rPr>
            </w:pPr>
            <w:r>
              <w:rPr>
                <w:rFonts w:ascii="Times New Roman" w:cs="Times New Roman" w:eastAsia="Times New Roman" w:hAnsi="Times New Roman"/>
                <w:sz w:val="20"/>
                <w:szCs w:val="20"/>
                <w:color w:val="0563C1"/>
              </w:rPr>
              <w:t xml:space="preserve">ARTICLE IX. ADMINISTRATIVE AGENT  </w:t>
            </w:r>
            <w:r>
              <w:rPr>
                <w:rFonts w:ascii="Times New Roman" w:cs="Times New Roman" w:eastAsia="Times New Roman" w:hAnsi="Times New Roman"/>
                <w:sz w:val="20"/>
                <w:szCs w:val="20"/>
                <w:color w:val="000000"/>
              </w:rPr>
              <w:t>100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01</w:t>
            </w: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2320" w:type="dxa"/>
            <w:vAlign w:val="bottom"/>
            <w:tcBorders>
              <w:top w:val="single" w:sz="8" w:color="0563C1"/>
            </w:tcBorders>
            <w:gridSpan w:val="25"/>
          </w:tcPr>
          <w:p>
            <w:pPr>
              <w:ind w:left="20"/>
              <w:spacing w:after="0"/>
              <w:rPr>
                <w:sz w:val="20"/>
                <w:szCs w:val="20"/>
                <w:color w:val="auto"/>
              </w:rPr>
            </w:pPr>
            <w:r>
              <w:rPr>
                <w:rFonts w:ascii="Times New Roman" w:cs="Times New Roman" w:eastAsia="Times New Roman" w:hAnsi="Times New Roman"/>
                <w:sz w:val="20"/>
                <w:szCs w:val="20"/>
                <w:color w:val="0563C1"/>
              </w:rPr>
              <w:t>Appointment and Authority</w:t>
            </w:r>
          </w:p>
        </w:tc>
        <w:tc>
          <w:tcPr>
            <w:tcW w:w="340" w:type="dxa"/>
            <w:vAlign w:val="bottom"/>
            <w:tcBorders>
              <w:top w:val="single" w:sz="8" w:color="0563C1"/>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13"/>
          </w:tcPr>
          <w:p>
            <w:pPr>
              <w:ind w:left="20"/>
              <w:spacing w:after="0" w:line="223" w:lineRule="exact"/>
              <w:rPr>
                <w:sz w:val="20"/>
                <w:szCs w:val="20"/>
                <w:color w:val="auto"/>
              </w:rPr>
            </w:pPr>
            <w:r>
              <w:rPr>
                <w:rFonts w:ascii="Times New Roman" w:cs="Times New Roman" w:eastAsia="Times New Roman" w:hAnsi="Times New Roman"/>
                <w:sz w:val="20"/>
                <w:szCs w:val="20"/>
                <w:color w:val="0563C1"/>
              </w:rPr>
              <w:t>Rights as a Lender</w:t>
            </w:r>
          </w:p>
        </w:tc>
        <w:tc>
          <w:tcPr>
            <w:tcW w:w="480" w:type="dxa"/>
            <w:vAlign w:val="bottom"/>
            <w:gridSpan w:val="6"/>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3"/>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29"/>
          </w:tcPr>
          <w:p>
            <w:pPr>
              <w:ind w:left="20"/>
              <w:spacing w:after="0" w:line="223" w:lineRule="exact"/>
              <w:rPr>
                <w:sz w:val="20"/>
                <w:szCs w:val="20"/>
                <w:color w:val="auto"/>
              </w:rPr>
            </w:pPr>
            <w:r>
              <w:rPr>
                <w:rFonts w:ascii="Times New Roman" w:cs="Times New Roman" w:eastAsia="Times New Roman" w:hAnsi="Times New Roman"/>
                <w:sz w:val="20"/>
                <w:szCs w:val="20"/>
                <w:color w:val="0563C1"/>
              </w:rPr>
              <w:t xml:space="preserve">Exculpatory Provisions  </w:t>
            </w:r>
            <w:r>
              <w:rPr>
                <w:rFonts w:ascii="Times New Roman" w:cs="Times New Roman" w:eastAsia="Times New Roman" w:hAnsi="Times New Roman"/>
                <w:sz w:val="20"/>
                <w:szCs w:val="20"/>
                <w:color w:val="000000"/>
              </w:rPr>
              <w:t>101</w:t>
            </w:r>
          </w:p>
        </w:tc>
        <w:tc>
          <w:tcPr>
            <w:tcW w:w="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102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29"/>
          </w:tcPr>
          <w:p>
            <w:pPr>
              <w:ind w:left="20"/>
              <w:spacing w:after="0" w:line="209" w:lineRule="exact"/>
              <w:rPr>
                <w:sz w:val="20"/>
                <w:szCs w:val="20"/>
                <w:color w:val="auto"/>
              </w:rPr>
            </w:pPr>
            <w:r>
              <w:rPr>
                <w:rFonts w:ascii="Times New Roman" w:cs="Times New Roman" w:eastAsia="Times New Roman" w:hAnsi="Times New Roman"/>
                <w:sz w:val="20"/>
                <w:szCs w:val="20"/>
                <w:color w:val="0563C1"/>
              </w:rPr>
              <w:t>Reliance by Administrative Agent</w:t>
            </w:r>
          </w:p>
        </w:tc>
        <w:tc>
          <w:tcPr>
            <w:tcW w:w="5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0563C1"/>
              </w:rPr>
              <w:t>Delegation of Duties</w:t>
            </w:r>
          </w:p>
        </w:tc>
        <w:tc>
          <w:tcPr>
            <w:tcW w:w="380" w:type="dxa"/>
            <w:vAlign w:val="bottom"/>
            <w:gridSpan w:val="6"/>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99"/>
              </w:rPr>
              <w:t>102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20"/>
                <w:szCs w:val="20"/>
                <w:color w:val="auto"/>
              </w:rPr>
              <w:t>102</w:t>
            </w: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gridSpan w:val="40"/>
          </w:tcPr>
          <w:p>
            <w:pPr>
              <w:ind w:left="20"/>
              <w:spacing w:after="0" w:line="209" w:lineRule="exact"/>
              <w:rPr>
                <w:sz w:val="20"/>
                <w:szCs w:val="20"/>
                <w:color w:val="auto"/>
              </w:rPr>
            </w:pPr>
            <w:r>
              <w:rPr>
                <w:rFonts w:ascii="Times New Roman" w:cs="Times New Roman" w:eastAsia="Times New Roman" w:hAnsi="Times New Roman"/>
                <w:sz w:val="20"/>
                <w:szCs w:val="20"/>
                <w:color w:val="0563C1"/>
              </w:rPr>
              <w:t>Resignation or Removal of Administrative Agent</w:t>
            </w:r>
          </w:p>
        </w:tc>
        <w:tc>
          <w:tcPr>
            <w:tcW w:w="14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400" w:type="dxa"/>
            <w:vAlign w:val="bottom"/>
            <w:tcBorders>
              <w:righ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80" w:type="dxa"/>
            <w:vAlign w:val="bottom"/>
            <w:gridSpan w:val="45"/>
          </w:tcPr>
          <w:p>
            <w:pPr>
              <w:ind w:left="20"/>
              <w:spacing w:after="0" w:line="223" w:lineRule="exact"/>
              <w:rPr>
                <w:sz w:val="20"/>
                <w:szCs w:val="20"/>
                <w:color w:val="auto"/>
              </w:rPr>
            </w:pPr>
            <w:r>
              <w:rPr>
                <w:rFonts w:ascii="Times New Roman" w:cs="Times New Roman" w:eastAsia="Times New Roman" w:hAnsi="Times New Roman"/>
                <w:sz w:val="20"/>
                <w:szCs w:val="20"/>
                <w:color w:val="0563C1"/>
                <w:w w:val="99"/>
              </w:rPr>
              <w:t xml:space="preserve">Non-Reliance on the Administrative Agent, the Sustainability Coordinator, the Arrangers and the Other Lenders  </w:t>
            </w:r>
            <w:r>
              <w:rPr>
                <w:rFonts w:ascii="Times New Roman" w:cs="Times New Roman" w:eastAsia="Times New Roman" w:hAnsi="Times New Roman"/>
                <w:sz w:val="20"/>
                <w:szCs w:val="20"/>
                <w:color w:val="000000"/>
                <w:w w:val="99"/>
              </w:rPr>
              <w:t>103</w:t>
            </w: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2420" w:type="dxa"/>
            <w:vAlign w:val="bottom"/>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16"/>
          </w:tcPr>
          <w:p>
            <w:pPr>
              <w:ind w:left="20"/>
              <w:spacing w:after="0" w:line="223" w:lineRule="exact"/>
              <w:rPr>
                <w:sz w:val="20"/>
                <w:szCs w:val="20"/>
                <w:color w:val="auto"/>
              </w:rPr>
            </w:pPr>
            <w:r>
              <w:rPr>
                <w:rFonts w:ascii="Times New Roman" w:cs="Times New Roman" w:eastAsia="Times New Roman" w:hAnsi="Times New Roman"/>
                <w:sz w:val="20"/>
                <w:szCs w:val="20"/>
                <w:color w:val="0563C1"/>
              </w:rPr>
              <w:t>No Other Duties, Etc</w:t>
            </w:r>
          </w:p>
        </w:tc>
        <w:tc>
          <w:tcPr>
            <w:tcW w:w="380" w:type="dxa"/>
            <w:vAlign w:val="bottom"/>
            <w:gridSpan w:val="6"/>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104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563C1"/>
            </w:tcBorders>
            <w:vMerge w:val="restart"/>
          </w:tcPr>
          <w:p>
            <w:pPr>
              <w:spacing w:after="0" w:line="209"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09</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563C1"/>
              <w:right w:val="single" w:sz="8" w:color="0563C1"/>
            </w:tcBorders>
            <w:shd w:val="clear" w:color="auto" w:fill="0563C1"/>
          </w:tcPr>
          <w:p>
            <w:pPr>
              <w:spacing w:after="0" w:line="20" w:lineRule="exact"/>
              <w:rPr>
                <w:sz w:val="1"/>
                <w:szCs w:val="1"/>
                <w:color w:val="auto"/>
              </w:rPr>
            </w:pPr>
          </w:p>
        </w:tc>
        <w:tc>
          <w:tcPr>
            <w:tcW w:w="86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140" w:type="dxa"/>
            <w:vAlign w:val="bottom"/>
            <w:tcBorders>
              <w:top w:val="single" w:sz="8" w:color="0563C1"/>
            </w:tcBorders>
            <w:gridSpan w:val="2"/>
            <w:shd w:val="clear" w:color="auto" w:fill="0563C1"/>
          </w:tcPr>
          <w:p>
            <w:pPr>
              <w:spacing w:after="0" w:line="20" w:lineRule="exact"/>
              <w:rPr>
                <w:sz w:val="1"/>
                <w:szCs w:val="1"/>
                <w:color w:val="auto"/>
              </w:rPr>
            </w:pPr>
          </w:p>
        </w:tc>
        <w:tc>
          <w:tcPr>
            <w:tcW w:w="80" w:type="dxa"/>
            <w:vAlign w:val="bottom"/>
            <w:tcBorders>
              <w:top w:val="single" w:sz="8" w:color="0563C1"/>
            </w:tcBorders>
            <w:shd w:val="clear" w:color="auto" w:fill="0563C1"/>
          </w:tcPr>
          <w:p>
            <w:pPr>
              <w:spacing w:after="0" w:line="20" w:lineRule="exact"/>
              <w:rPr>
                <w:sz w:val="1"/>
                <w:szCs w:val="1"/>
                <w:color w:val="auto"/>
              </w:rPr>
            </w:pPr>
          </w:p>
        </w:tc>
        <w:tc>
          <w:tcPr>
            <w:tcW w:w="80" w:type="dxa"/>
            <w:vAlign w:val="bottom"/>
            <w:tcBorders>
              <w:top w:val="single" w:sz="8" w:color="0563C1"/>
              <w:left w:val="single" w:sz="8" w:color="0563C1"/>
            </w:tcBorders>
            <w:shd w:val="clear" w:color="auto" w:fill="0563C1"/>
          </w:tcPr>
          <w:p>
            <w:pPr>
              <w:spacing w:after="0" w:line="20" w:lineRule="exact"/>
              <w:rPr>
                <w:sz w:val="1"/>
                <w:szCs w:val="1"/>
                <w:color w:val="auto"/>
              </w:rPr>
            </w:pPr>
          </w:p>
        </w:tc>
        <w:tc>
          <w:tcPr>
            <w:tcW w:w="160" w:type="dxa"/>
            <w:vAlign w:val="bottom"/>
            <w:tcBorders>
              <w:top w:val="single" w:sz="8" w:color="0563C1"/>
            </w:tcBorders>
            <w:gridSpan w:val="4"/>
            <w:shd w:val="clear" w:color="auto" w:fill="0563C1"/>
          </w:tcPr>
          <w:p>
            <w:pPr>
              <w:spacing w:after="0" w:line="20" w:lineRule="exact"/>
              <w:rPr>
                <w:sz w:val="1"/>
                <w:szCs w:val="1"/>
                <w:color w:val="auto"/>
              </w:rPr>
            </w:pPr>
          </w:p>
        </w:tc>
        <w:tc>
          <w:tcPr>
            <w:tcW w:w="160" w:type="dxa"/>
            <w:vAlign w:val="bottom"/>
            <w:tcBorders>
              <w:top w:val="single" w:sz="8" w:color="0563C1"/>
              <w:righ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80" w:type="dxa"/>
            <w:vAlign w:val="bottom"/>
            <w:gridSpan w:val="45"/>
          </w:tcPr>
          <w:p>
            <w:pPr>
              <w:ind w:left="20"/>
              <w:spacing w:after="0" w:line="189" w:lineRule="exact"/>
              <w:rPr>
                <w:sz w:val="20"/>
                <w:szCs w:val="20"/>
                <w:color w:val="auto"/>
              </w:rPr>
            </w:pPr>
            <w:r>
              <w:rPr>
                <w:rFonts w:ascii="Times New Roman" w:cs="Times New Roman" w:eastAsia="Times New Roman" w:hAnsi="Times New Roman"/>
                <w:sz w:val="20"/>
                <w:szCs w:val="20"/>
                <w:color w:val="0563C1"/>
              </w:rPr>
              <w:t xml:space="preserve">Administrative Agent May File Proofs of Claim  </w:t>
            </w:r>
            <w:r>
              <w:rPr>
                <w:rFonts w:ascii="Times New Roman" w:cs="Times New Roman" w:eastAsia="Times New Roman" w:hAnsi="Times New Roman"/>
                <w:sz w:val="20"/>
                <w:szCs w:val="20"/>
                <w:color w:val="000000"/>
              </w:rPr>
              <w:t>104</w:t>
            </w: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80" w:type="dxa"/>
            <w:vAlign w:val="bottom"/>
            <w:tcBorders>
              <w:righ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29"/>
          </w:tcPr>
          <w:p>
            <w:pPr>
              <w:ind w:left="20"/>
              <w:spacing w:after="0" w:line="223" w:lineRule="exact"/>
              <w:rPr>
                <w:sz w:val="20"/>
                <w:szCs w:val="20"/>
                <w:color w:val="auto"/>
              </w:rPr>
            </w:pPr>
            <w:r>
              <w:rPr>
                <w:rFonts w:ascii="Times New Roman" w:cs="Times New Roman" w:eastAsia="Times New Roman" w:hAnsi="Times New Roman"/>
                <w:sz w:val="20"/>
                <w:szCs w:val="20"/>
                <w:color w:val="0563C1"/>
              </w:rPr>
              <w:t>Recovery of Erroneous Payments</w:t>
            </w:r>
          </w:p>
        </w:tc>
        <w:tc>
          <w:tcPr>
            <w:tcW w:w="38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20"/>
                <w:szCs w:val="20"/>
                <w:color w:val="auto"/>
                <w:w w:val="99"/>
              </w:rPr>
              <w:t>105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gridSpan w:val="38"/>
          </w:tcPr>
          <w:p>
            <w:pPr>
              <w:spacing w:after="0" w:line="209" w:lineRule="exact"/>
              <w:rPr>
                <w:sz w:val="20"/>
                <w:szCs w:val="20"/>
                <w:color w:val="auto"/>
              </w:rPr>
            </w:pPr>
            <w:r>
              <w:rPr>
                <w:rFonts w:ascii="Times New Roman" w:cs="Times New Roman" w:eastAsia="Times New Roman" w:hAnsi="Times New Roman"/>
                <w:sz w:val="20"/>
                <w:szCs w:val="20"/>
                <w:color w:val="0563C1"/>
              </w:rPr>
              <w:t>9.</w:t>
            </w:r>
            <w:r>
              <w:rPr>
                <w:rFonts w:ascii="Times New Roman" w:cs="Times New Roman" w:eastAsia="Times New Roman" w:hAnsi="Times New Roman"/>
                <w:sz w:val="20"/>
                <w:szCs w:val="20"/>
                <w:u w:val="single" w:color="auto"/>
                <w:color w:val="0563C1"/>
              </w:rPr>
              <w:t>11</w:t>
            </w:r>
            <w:r>
              <w:rPr>
                <w:rFonts w:ascii="Times New Roman" w:cs="Times New Roman" w:eastAsia="Times New Roman" w:hAnsi="Times New Roman"/>
                <w:sz w:val="20"/>
                <w:szCs w:val="20"/>
                <w:color w:val="0563C1"/>
              </w:rPr>
              <w:t xml:space="preserve">  No Lender is an Employee Benefit Plan.  </w:t>
            </w:r>
            <w:r>
              <w:rPr>
                <w:rFonts w:ascii="Times New Roman" w:cs="Times New Roman" w:eastAsia="Times New Roman" w:hAnsi="Times New Roman"/>
                <w:sz w:val="20"/>
                <w:szCs w:val="20"/>
                <w:color w:val="000000"/>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563C1"/>
            </w:tcBorders>
            <w:gridSpan w:val="2"/>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380" w:type="dxa"/>
            <w:vAlign w:val="bottom"/>
            <w:gridSpan w:val="19"/>
          </w:tcPr>
          <w:p>
            <w:pPr>
              <w:spacing w:after="0"/>
              <w:rPr>
                <w:sz w:val="20"/>
                <w:szCs w:val="20"/>
                <w:color w:val="auto"/>
              </w:rPr>
            </w:pPr>
            <w:r>
              <w:rPr>
                <w:rFonts w:ascii="Times New Roman" w:cs="Times New Roman" w:eastAsia="Times New Roman" w:hAnsi="Times New Roman"/>
                <w:sz w:val="20"/>
                <w:szCs w:val="20"/>
                <w:color w:val="0563C1"/>
              </w:rPr>
              <w:t>ARTICLE X. GUARANTY</w:t>
            </w:r>
          </w:p>
        </w:tc>
        <w:tc>
          <w:tcPr>
            <w:tcW w:w="3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3"/>
              </w:rPr>
              <w:t>106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40" w:type="dxa"/>
            <w:vAlign w:val="bottom"/>
            <w:tcBorders>
              <w:top w:val="single" w:sz="8" w:color="0563C1"/>
            </w:tcBorders>
            <w:gridSpan w:val="2"/>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01</w:t>
            </w:r>
          </w:p>
        </w:tc>
        <w:tc>
          <w:tcPr>
            <w:tcW w:w="1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260" w:type="dxa"/>
            <w:vAlign w:val="bottom"/>
            <w:tcBorders>
              <w:top w:val="single" w:sz="8" w:color="0563C1"/>
            </w:tcBorders>
            <w:gridSpan w:val="7"/>
          </w:tcPr>
          <w:p>
            <w:pPr>
              <w:spacing w:after="0"/>
              <w:rPr>
                <w:sz w:val="20"/>
                <w:szCs w:val="20"/>
                <w:color w:val="auto"/>
              </w:rPr>
            </w:pPr>
            <w:r>
              <w:rPr>
                <w:rFonts w:ascii="Times New Roman" w:cs="Times New Roman" w:eastAsia="Times New Roman" w:hAnsi="Times New Roman"/>
                <w:sz w:val="20"/>
                <w:szCs w:val="20"/>
                <w:color w:val="0563C1"/>
              </w:rPr>
              <w:t>The Guaranty</w:t>
            </w:r>
          </w:p>
        </w:tc>
        <w:tc>
          <w:tcPr>
            <w:tcW w:w="300" w:type="dxa"/>
            <w:vAlign w:val="bottom"/>
            <w:tcBorders>
              <w:top w:val="single" w:sz="8" w:color="0563C1"/>
            </w:tcBorders>
            <w:gridSpan w:val="5"/>
          </w:tcPr>
          <w:p>
            <w:pPr>
              <w:jc w:val="right"/>
              <w:spacing w:after="0"/>
              <w:rPr>
                <w:sz w:val="20"/>
                <w:szCs w:val="20"/>
                <w:color w:val="auto"/>
              </w:rPr>
            </w:pPr>
            <w:r>
              <w:rPr>
                <w:rFonts w:ascii="Times New Roman" w:cs="Times New Roman" w:eastAsia="Times New Roman" w:hAnsi="Times New Roman"/>
                <w:sz w:val="20"/>
                <w:szCs w:val="20"/>
                <w:color w:val="auto"/>
                <w:w w:val="99"/>
              </w:rPr>
              <w:t>106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4"/>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93"/>
              </w:rPr>
              <w:t>106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0"/>
          </w:tcPr>
          <w:p>
            <w:pPr>
              <w:spacing w:after="0" w:line="209" w:lineRule="exact"/>
              <w:rPr>
                <w:sz w:val="20"/>
                <w:szCs w:val="20"/>
                <w:color w:val="auto"/>
              </w:rPr>
            </w:pPr>
            <w:r>
              <w:rPr>
                <w:rFonts w:ascii="Times New Roman" w:cs="Times New Roman" w:eastAsia="Times New Roman" w:hAnsi="Times New Roman"/>
                <w:sz w:val="20"/>
                <w:szCs w:val="20"/>
                <w:color w:val="0563C1"/>
              </w:rPr>
              <w:t>Guaranty Unconditional</w:t>
            </w:r>
          </w:p>
        </w:tc>
        <w:tc>
          <w:tcPr>
            <w:tcW w:w="4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shd w:val="clear" w:color="auto" w:fill="0563C1"/>
          </w:tcPr>
          <w:p>
            <w:pPr>
              <w:spacing w:after="0" w:line="20" w:lineRule="exact"/>
              <w:rPr>
                <w:sz w:val="1"/>
                <w:szCs w:val="1"/>
                <w:color w:val="auto"/>
              </w:rPr>
            </w:pPr>
          </w:p>
        </w:tc>
        <w:tc>
          <w:tcPr>
            <w:tcW w:w="160" w:type="dxa"/>
            <w:vAlign w:val="bottom"/>
            <w:tcBorders>
              <w:righ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60" w:type="dxa"/>
            <w:vAlign w:val="bottom"/>
            <w:gridSpan w:val="43"/>
          </w:tcPr>
          <w:p>
            <w:pPr>
              <w:spacing w:after="0" w:line="223" w:lineRule="exact"/>
              <w:rPr>
                <w:sz w:val="20"/>
                <w:szCs w:val="20"/>
                <w:color w:val="auto"/>
              </w:rPr>
            </w:pPr>
            <w:r>
              <w:rPr>
                <w:rFonts w:ascii="Times New Roman" w:cs="Times New Roman" w:eastAsia="Times New Roman" w:hAnsi="Times New Roman"/>
                <w:sz w:val="20"/>
                <w:szCs w:val="20"/>
                <w:color w:val="0563C1"/>
              </w:rPr>
              <w:t xml:space="preserve">Discharge Only Upon Payment In Full; Reinstatement In Certain Circumstances  </w:t>
            </w:r>
            <w:r>
              <w:rPr>
                <w:rFonts w:ascii="Times New Roman" w:cs="Times New Roman" w:eastAsia="Times New Roman" w:hAnsi="Times New Roman"/>
                <w:sz w:val="20"/>
                <w:szCs w:val="20"/>
                <w:color w:val="000000"/>
              </w:rPr>
              <w:t>107</w:t>
            </w:r>
          </w:p>
        </w:tc>
        <w:tc>
          <w:tcPr>
            <w:tcW w:w="0" w:type="dxa"/>
            <w:vAlign w:val="bottom"/>
          </w:tcPr>
          <w:p>
            <w:pPr>
              <w:spacing w:after="0"/>
              <w:rPr>
                <w:sz w:val="1"/>
                <w:szCs w:val="1"/>
                <w:color w:val="auto"/>
              </w:rPr>
            </w:pPr>
          </w:p>
        </w:tc>
      </w:tr>
      <w:tr>
        <w:trPr>
          <w:trHeight w:val="209"/>
        </w:trPr>
        <w:tc>
          <w:tcPr>
            <w:tcW w:w="440" w:type="dxa"/>
            <w:vAlign w:val="bottom"/>
            <w:tcBorders>
              <w:top w:val="single" w:sz="8" w:color="0563C1"/>
            </w:tcBorders>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0563C1"/>
            </w:tcBorders>
            <w:gridSpan w:val="7"/>
          </w:tcPr>
          <w:p>
            <w:pPr>
              <w:spacing w:after="0" w:line="209" w:lineRule="exact"/>
              <w:rPr>
                <w:sz w:val="20"/>
                <w:szCs w:val="20"/>
                <w:color w:val="auto"/>
              </w:rPr>
            </w:pPr>
            <w:r>
              <w:rPr>
                <w:rFonts w:ascii="Times New Roman" w:cs="Times New Roman" w:eastAsia="Times New Roman" w:hAnsi="Times New Roman"/>
                <w:sz w:val="20"/>
                <w:szCs w:val="20"/>
                <w:color w:val="0563C1"/>
                <w:w w:val="97"/>
              </w:rPr>
              <w:t>Waiver by Toro</w:t>
            </w:r>
          </w:p>
        </w:tc>
        <w:tc>
          <w:tcPr>
            <w:tcW w:w="2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300" w:type="dxa"/>
            <w:vAlign w:val="bottom"/>
            <w:tcBorders>
              <w:top w:val="single" w:sz="8" w:color="0563C1"/>
            </w:tcBorders>
            <w:gridSpan w:val="3"/>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107</w:t>
            </w:r>
          </w:p>
        </w:tc>
        <w:tc>
          <w:tcPr>
            <w:tcW w:w="20" w:type="dxa"/>
            <w:vAlign w:val="bottom"/>
            <w:tcBorders>
              <w:top w:val="single" w:sz="8" w:color="0563C1"/>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4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80" w:type="dxa"/>
            <w:vAlign w:val="bottom"/>
            <w:tcBorders>
              <w:top w:val="single" w:sz="8" w:color="0563C1"/>
            </w:tcBorders>
          </w:tcPr>
          <w:p>
            <w:pPr>
              <w:spacing w:after="0"/>
              <w:rPr>
                <w:sz w:val="18"/>
                <w:szCs w:val="18"/>
                <w:color w:val="auto"/>
              </w:rPr>
            </w:pPr>
          </w:p>
        </w:tc>
        <w:tc>
          <w:tcPr>
            <w:tcW w:w="40" w:type="dxa"/>
            <w:vAlign w:val="bottom"/>
            <w:tcBorders>
              <w:top w:val="single" w:sz="8" w:color="0563C1"/>
            </w:tcBorders>
          </w:tcPr>
          <w:p>
            <w:pPr>
              <w:spacing w:after="0"/>
              <w:rPr>
                <w:sz w:val="18"/>
                <w:szCs w:val="18"/>
                <w:color w:val="auto"/>
              </w:rPr>
            </w:pPr>
          </w:p>
        </w:tc>
        <w:tc>
          <w:tcPr>
            <w:tcW w:w="4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32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14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220" w:type="dxa"/>
            <w:vAlign w:val="bottom"/>
            <w:tcBorders>
              <w:top w:val="single" w:sz="8" w:color="0563C1"/>
            </w:tcBorders>
          </w:tcPr>
          <w:p>
            <w:pPr>
              <w:spacing w:after="0"/>
              <w:rPr>
                <w:sz w:val="18"/>
                <w:szCs w:val="18"/>
                <w:color w:val="auto"/>
              </w:rPr>
            </w:pPr>
          </w:p>
        </w:tc>
        <w:tc>
          <w:tcPr>
            <w:tcW w:w="160" w:type="dxa"/>
            <w:vAlign w:val="bottom"/>
            <w:tcBorders>
              <w:top w:val="single" w:sz="8" w:color="0563C1"/>
            </w:tcBorders>
          </w:tcPr>
          <w:p>
            <w:pPr>
              <w:spacing w:after="0"/>
              <w:rPr>
                <w:sz w:val="18"/>
                <w:szCs w:val="18"/>
                <w:color w:val="auto"/>
              </w:rPr>
            </w:pPr>
          </w:p>
        </w:tc>
        <w:tc>
          <w:tcPr>
            <w:tcW w:w="140" w:type="dxa"/>
            <w:vAlign w:val="bottom"/>
            <w:tcBorders>
              <w:top w:val="single" w:sz="8" w:color="0563C1"/>
            </w:tcBorders>
          </w:tcPr>
          <w:p>
            <w:pPr>
              <w:spacing w:after="0"/>
              <w:rPr>
                <w:sz w:val="18"/>
                <w:szCs w:val="18"/>
                <w:color w:val="auto"/>
              </w:rPr>
            </w:pPr>
          </w:p>
        </w:tc>
        <w:tc>
          <w:tcPr>
            <w:tcW w:w="20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8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80" w:type="dxa"/>
            <w:vAlign w:val="bottom"/>
            <w:tcBorders>
              <w:top w:val="single" w:sz="8" w:color="0563C1"/>
            </w:tcBorders>
          </w:tcPr>
          <w:p>
            <w:pPr>
              <w:spacing w:after="0"/>
              <w:rPr>
                <w:sz w:val="18"/>
                <w:szCs w:val="18"/>
                <w:color w:val="auto"/>
              </w:rPr>
            </w:pPr>
          </w:p>
        </w:tc>
        <w:tc>
          <w:tcPr>
            <w:tcW w:w="1320" w:type="dxa"/>
            <w:vAlign w:val="bottom"/>
            <w:tcBorders>
              <w:top w:val="single" w:sz="8" w:color="0563C1"/>
            </w:tcBorders>
          </w:tcPr>
          <w:p>
            <w:pPr>
              <w:spacing w:after="0"/>
              <w:rPr>
                <w:sz w:val="18"/>
                <w:szCs w:val="18"/>
                <w:color w:val="auto"/>
              </w:rPr>
            </w:pPr>
          </w:p>
        </w:tc>
        <w:tc>
          <w:tcPr>
            <w:tcW w:w="980" w:type="dxa"/>
            <w:vAlign w:val="bottom"/>
            <w:tcBorders>
              <w:top w:val="single" w:sz="8" w:color="0563C1"/>
            </w:tcBorders>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7"/>
          </w:tcPr>
          <w:p>
            <w:pPr>
              <w:spacing w:after="0" w:line="223" w:lineRule="exact"/>
              <w:rPr>
                <w:sz w:val="20"/>
                <w:szCs w:val="20"/>
                <w:color w:val="auto"/>
              </w:rPr>
            </w:pPr>
            <w:r>
              <w:rPr>
                <w:rFonts w:ascii="Times New Roman" w:cs="Times New Roman" w:eastAsia="Times New Roman" w:hAnsi="Times New Roman"/>
                <w:sz w:val="20"/>
                <w:szCs w:val="20"/>
                <w:color w:val="0563C1"/>
                <w:w w:val="97"/>
              </w:rPr>
              <w:t>No Subrogation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4"/>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107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0563C1"/>
            </w:tcBorders>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06</w:t>
            </w:r>
          </w:p>
        </w:tc>
        <w:tc>
          <w:tcPr>
            <w:tcW w:w="100" w:type="dxa"/>
            <w:vAlign w:val="bottom"/>
            <w:tcBorders>
              <w:bottom w:val="single" w:sz="8" w:color="0563C1"/>
            </w:tcBorders>
          </w:tcPr>
          <w:p>
            <w:pPr>
              <w:spacing w:after="0"/>
              <w:rPr>
                <w:sz w:val="18"/>
                <w:szCs w:val="18"/>
                <w:color w:val="auto"/>
              </w:rPr>
            </w:pPr>
          </w:p>
        </w:tc>
        <w:tc>
          <w:tcPr>
            <w:tcW w:w="20" w:type="dxa"/>
            <w:vAlign w:val="bottom"/>
            <w:tcBorders>
              <w:bottom w:val="single" w:sz="8" w:color="0563C1"/>
            </w:tcBorders>
          </w:tcPr>
          <w:p>
            <w:pPr>
              <w:spacing w:after="0"/>
              <w:rPr>
                <w:sz w:val="18"/>
                <w:szCs w:val="18"/>
                <w:color w:val="auto"/>
              </w:rPr>
            </w:pPr>
          </w:p>
        </w:tc>
        <w:tc>
          <w:tcPr>
            <w:tcW w:w="100" w:type="dxa"/>
            <w:vAlign w:val="bottom"/>
            <w:tcBorders>
              <w:bottom w:val="single" w:sz="8" w:color="0563C1"/>
            </w:tcBorders>
          </w:tcPr>
          <w:p>
            <w:pPr>
              <w:spacing w:after="0"/>
              <w:rPr>
                <w:sz w:val="18"/>
                <w:szCs w:val="18"/>
                <w:color w:val="auto"/>
              </w:rPr>
            </w:pPr>
          </w:p>
        </w:tc>
        <w:tc>
          <w:tcPr>
            <w:tcW w:w="1620" w:type="dxa"/>
            <w:vAlign w:val="bottom"/>
            <w:tcBorders>
              <w:bottom w:val="single" w:sz="8" w:color="0563C1"/>
            </w:tcBorders>
            <w:gridSpan w:val="13"/>
          </w:tcPr>
          <w:p>
            <w:pPr>
              <w:spacing w:after="0" w:line="209" w:lineRule="exact"/>
              <w:rPr>
                <w:sz w:val="20"/>
                <w:szCs w:val="20"/>
                <w:color w:val="auto"/>
              </w:rPr>
            </w:pPr>
            <w:r>
              <w:rPr>
                <w:rFonts w:ascii="Times New Roman" w:cs="Times New Roman" w:eastAsia="Times New Roman" w:hAnsi="Times New Roman"/>
                <w:sz w:val="20"/>
                <w:szCs w:val="20"/>
                <w:color w:val="0563C1"/>
                <w:w w:val="97"/>
              </w:rPr>
              <w:t>Stay of Acceleration</w:t>
            </w:r>
          </w:p>
        </w:tc>
        <w:tc>
          <w:tcPr>
            <w:tcW w:w="100" w:type="dxa"/>
            <w:vAlign w:val="bottom"/>
          </w:tcPr>
          <w:p>
            <w:pPr>
              <w:spacing w:after="0"/>
              <w:rPr>
                <w:sz w:val="18"/>
                <w:szCs w:val="18"/>
                <w:color w:val="auto"/>
              </w:rPr>
            </w:pPr>
          </w:p>
        </w:tc>
        <w:tc>
          <w:tcPr>
            <w:tcW w:w="420" w:type="dxa"/>
            <w:vAlign w:val="bottom"/>
            <w:gridSpan w:val="7"/>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860" w:type="dxa"/>
            <w:vAlign w:val="bottom"/>
            <w:gridSpan w:val="28"/>
          </w:tcPr>
          <w:p>
            <w:pPr>
              <w:spacing w:after="0"/>
              <w:rPr>
                <w:sz w:val="20"/>
                <w:szCs w:val="20"/>
                <w:color w:val="auto"/>
              </w:rPr>
            </w:pPr>
            <w:r>
              <w:rPr>
                <w:rFonts w:ascii="Times New Roman" w:cs="Times New Roman" w:eastAsia="Times New Roman" w:hAnsi="Times New Roman"/>
                <w:sz w:val="20"/>
                <w:szCs w:val="20"/>
                <w:color w:val="0563C1"/>
                <w:w w:val="98"/>
              </w:rPr>
              <w:t>ARTICLE XI. MISCELLANEOUS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40" w:type="dxa"/>
            <w:vAlign w:val="bottom"/>
            <w:tcBorders>
              <w:top w:val="single" w:sz="8" w:color="0563C1"/>
            </w:tcBorders>
            <w:gridSpan w:val="2"/>
          </w:tcPr>
          <w:p>
            <w:pPr>
              <w:spacing w:after="0"/>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01</w:t>
            </w:r>
          </w:p>
        </w:tc>
        <w:tc>
          <w:tcPr>
            <w:tcW w:w="1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420" w:type="dxa"/>
            <w:vAlign w:val="bottom"/>
            <w:tcBorders>
              <w:top w:val="single" w:sz="8" w:color="0563C1"/>
            </w:tcBorders>
            <w:gridSpan w:val="11"/>
          </w:tcPr>
          <w:p>
            <w:pPr>
              <w:spacing w:after="0"/>
              <w:rPr>
                <w:sz w:val="20"/>
                <w:szCs w:val="20"/>
                <w:color w:val="auto"/>
              </w:rPr>
            </w:pPr>
            <w:r>
              <w:rPr>
                <w:rFonts w:ascii="Times New Roman" w:cs="Times New Roman" w:eastAsia="Times New Roman" w:hAnsi="Times New Roman"/>
                <w:sz w:val="20"/>
                <w:szCs w:val="20"/>
                <w:color w:val="0563C1"/>
                <w:w w:val="97"/>
              </w:rPr>
              <w:t>Amendments, Etc</w:t>
            </w:r>
          </w:p>
        </w:tc>
        <w:tc>
          <w:tcPr>
            <w:tcW w:w="480" w:type="dxa"/>
            <w:vAlign w:val="bottom"/>
            <w:tcBorders>
              <w:top w:val="single" w:sz="8" w:color="0563C1"/>
            </w:tcBorders>
            <w:gridSpan w:val="6"/>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240" w:type="dxa"/>
            <w:vAlign w:val="bottom"/>
            <w:tcBorders>
              <w:left w:val="single" w:sz="8" w:color="0563C1"/>
            </w:tcBorders>
            <w:gridSpan w:val="5"/>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60" w:type="dxa"/>
            <w:vAlign w:val="bottom"/>
            <w:gridSpan w:val="43"/>
          </w:tcPr>
          <w:p>
            <w:pPr>
              <w:spacing w:after="0" w:line="209" w:lineRule="exact"/>
              <w:rPr>
                <w:sz w:val="20"/>
                <w:szCs w:val="20"/>
                <w:color w:val="auto"/>
              </w:rPr>
            </w:pPr>
            <w:r>
              <w:rPr>
                <w:rFonts w:ascii="Times New Roman" w:cs="Times New Roman" w:eastAsia="Times New Roman" w:hAnsi="Times New Roman"/>
                <w:sz w:val="20"/>
                <w:szCs w:val="20"/>
                <w:color w:val="0563C1"/>
              </w:rPr>
              <w:t xml:space="preserve">Notices; Effectiveness; Electronic Communication.  </w:t>
            </w:r>
            <w:r>
              <w:rPr>
                <w:rFonts w:ascii="Times New Roman" w:cs="Times New Roman" w:eastAsia="Times New Roman" w:hAnsi="Times New Roman"/>
                <w:sz w:val="20"/>
                <w:szCs w:val="20"/>
                <w:color w:val="000000"/>
              </w:rPr>
              <w:t>110</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0" w:type="dxa"/>
            <w:vAlign w:val="bottom"/>
            <w:tcBorders>
              <w:left w:val="single" w:sz="8" w:color="0563C1"/>
              <w:right w:val="single" w:sz="8" w:color="0563C1"/>
            </w:tcBorders>
            <w:gridSpan w:val="7"/>
            <w:shd w:val="clear" w:color="auto" w:fill="0563C1"/>
          </w:tcPr>
          <w:p>
            <w:pPr>
              <w:spacing w:after="0" w:line="20" w:lineRule="exact"/>
              <w:rPr>
                <w:sz w:val="1"/>
                <w:szCs w:val="1"/>
                <w:color w:val="auto"/>
              </w:rPr>
            </w:pPr>
          </w:p>
        </w:tc>
        <w:tc>
          <w:tcPr>
            <w:tcW w:w="300" w:type="dxa"/>
            <w:vAlign w:val="bottom"/>
            <w:tcBorders>
              <w:left w:val="single" w:sz="8" w:color="0563C1"/>
            </w:tcBorders>
            <w:gridSpan w:val="4"/>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40" w:type="dxa"/>
            <w:vAlign w:val="bottom"/>
            <w:gridSpan w:val="5"/>
            <w:shd w:val="clear" w:color="auto" w:fill="0563C1"/>
          </w:tcPr>
          <w:p>
            <w:pPr>
              <w:spacing w:after="0" w:line="20" w:lineRule="exact"/>
              <w:rPr>
                <w:sz w:val="1"/>
                <w:szCs w:val="1"/>
                <w:color w:val="auto"/>
              </w:rPr>
            </w:pPr>
          </w:p>
        </w:tc>
        <w:tc>
          <w:tcPr>
            <w:tcW w:w="400" w:type="dxa"/>
            <w:vAlign w:val="bottom"/>
            <w:tcBorders>
              <w:righ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gridSpan w:val="4"/>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gridSpan w:val="38"/>
          </w:tcPr>
          <w:p>
            <w:pPr>
              <w:spacing w:after="0" w:line="223" w:lineRule="exact"/>
              <w:rPr>
                <w:sz w:val="20"/>
                <w:szCs w:val="20"/>
                <w:color w:val="auto"/>
              </w:rPr>
            </w:pPr>
            <w:r>
              <w:rPr>
                <w:rFonts w:ascii="Times New Roman" w:cs="Times New Roman" w:eastAsia="Times New Roman" w:hAnsi="Times New Roman"/>
                <w:sz w:val="20"/>
                <w:szCs w:val="20"/>
                <w:color w:val="0563C1"/>
              </w:rPr>
              <w:t>No Waiver; Cumulative Remedies; Enforcement</w:t>
            </w:r>
          </w:p>
        </w:tc>
        <w:tc>
          <w:tcPr>
            <w:tcW w:w="1400" w:type="dxa"/>
            <w:vAlign w:val="bottom"/>
            <w:gridSpan w:val="2"/>
          </w:tcPr>
          <w:p>
            <w:pPr>
              <w:jc w:val="right"/>
              <w:ind w:right="1040"/>
              <w:spacing w:after="0" w:line="223" w:lineRule="exact"/>
              <w:rPr>
                <w:sz w:val="20"/>
                <w:szCs w:val="20"/>
                <w:color w:val="auto"/>
              </w:rPr>
            </w:pPr>
            <w:r>
              <w:rPr>
                <w:rFonts w:ascii="Times New Roman" w:cs="Times New Roman" w:eastAsia="Times New Roman" w:hAnsi="Times New Roman"/>
                <w:sz w:val="20"/>
                <w:szCs w:val="20"/>
                <w:color w:val="auto"/>
              </w:rPr>
              <w:t>112</w:t>
            </w: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Borders>
              <w:top w:val="single" w:sz="8" w:color="0563C1"/>
            </w:tcBorders>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Borders>
              <w:top w:val="single" w:sz="8" w:color="0563C1"/>
            </w:tcBorders>
            <w:gridSpan w:val="30"/>
          </w:tcPr>
          <w:p>
            <w:pPr>
              <w:spacing w:after="0" w:line="209" w:lineRule="exact"/>
              <w:rPr>
                <w:sz w:val="20"/>
                <w:szCs w:val="20"/>
                <w:color w:val="auto"/>
              </w:rPr>
            </w:pPr>
            <w:r>
              <w:rPr>
                <w:rFonts w:ascii="Times New Roman" w:cs="Times New Roman" w:eastAsia="Times New Roman" w:hAnsi="Times New Roman"/>
                <w:sz w:val="20"/>
                <w:szCs w:val="20"/>
                <w:color w:val="0563C1"/>
              </w:rPr>
              <w:t>Expenses; Indemnity; Damage Waiver</w:t>
            </w:r>
          </w:p>
        </w:tc>
        <w:tc>
          <w:tcPr>
            <w:tcW w:w="300" w:type="dxa"/>
            <w:vAlign w:val="bottom"/>
            <w:tcBorders>
              <w:top w:val="single" w:sz="8" w:color="0563C1"/>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w w:val="93"/>
              </w:rPr>
              <w:t>112</w:t>
            </w:r>
          </w:p>
        </w:tc>
        <w:tc>
          <w:tcPr>
            <w:tcW w:w="8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0563C1"/>
            </w:tcBorders>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0563C1"/>
            </w:tcBorders>
            <w:gridSpan w:val="14"/>
          </w:tcPr>
          <w:p>
            <w:pPr>
              <w:spacing w:after="0" w:line="223" w:lineRule="exact"/>
              <w:rPr>
                <w:sz w:val="20"/>
                <w:szCs w:val="20"/>
                <w:color w:val="auto"/>
              </w:rPr>
            </w:pPr>
            <w:r>
              <w:rPr>
                <w:rFonts w:ascii="Times New Roman" w:cs="Times New Roman" w:eastAsia="Times New Roman" w:hAnsi="Times New Roman"/>
                <w:sz w:val="20"/>
                <w:szCs w:val="20"/>
                <w:color w:val="0563C1"/>
              </w:rPr>
              <w:t>Payments Set Aside</w:t>
            </w:r>
          </w:p>
        </w:tc>
        <w:tc>
          <w:tcPr>
            <w:tcW w:w="380" w:type="dxa"/>
            <w:vAlign w:val="bottom"/>
            <w:tcBorders>
              <w:top w:val="single" w:sz="8" w:color="0563C1"/>
            </w:tcBorders>
            <w:gridSpan w:val="6"/>
          </w:tcPr>
          <w:p>
            <w:pPr>
              <w:ind w:left="40"/>
              <w:spacing w:after="0" w:line="223" w:lineRule="exact"/>
              <w:rPr>
                <w:sz w:val="20"/>
                <w:szCs w:val="20"/>
                <w:color w:val="auto"/>
              </w:rPr>
            </w:pPr>
            <w:r>
              <w:rPr>
                <w:rFonts w:ascii="Times New Roman" w:cs="Times New Roman" w:eastAsia="Times New Roman" w:hAnsi="Times New Roman"/>
                <w:sz w:val="20"/>
                <w:szCs w:val="20"/>
                <w:color w:val="auto"/>
                <w:w w:val="99"/>
              </w:rPr>
              <w:t>114</w:t>
            </w: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0" w:type="dxa"/>
            <w:vAlign w:val="bottom"/>
            <w:tcBorders>
              <w:left w:val="single" w:sz="8" w:color="0563C1"/>
              <w:right w:val="single" w:sz="8" w:color="0563C1"/>
            </w:tcBorders>
            <w:gridSpan w:val="7"/>
            <w:shd w:val="clear" w:color="auto" w:fill="0563C1"/>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0"/>
          </w:tcPr>
          <w:p>
            <w:pPr>
              <w:spacing w:after="0" w:line="223" w:lineRule="exact"/>
              <w:rPr>
                <w:sz w:val="20"/>
                <w:szCs w:val="20"/>
                <w:color w:val="auto"/>
              </w:rPr>
            </w:pPr>
            <w:r>
              <w:rPr>
                <w:rFonts w:ascii="Times New Roman" w:cs="Times New Roman" w:eastAsia="Times New Roman" w:hAnsi="Times New Roman"/>
                <w:sz w:val="20"/>
                <w:szCs w:val="20"/>
                <w:color w:val="0563C1"/>
              </w:rPr>
              <w:t>Successors and Assigns</w:t>
            </w:r>
          </w:p>
        </w:tc>
        <w:tc>
          <w:tcPr>
            <w:tcW w:w="420" w:type="dxa"/>
            <w:vAlign w:val="bottom"/>
            <w:gridSpan w:val="4"/>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w w:val="79"/>
              </w:rPr>
              <w:t>114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20"/>
                <w:szCs w:val="20"/>
                <w:color w:val="auto"/>
              </w:rPr>
              <w:t>119</w:t>
            </w: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0" w:type="dxa"/>
            <w:vAlign w:val="bottom"/>
            <w:tcBorders>
              <w:left w:val="single" w:sz="8" w:color="0563C1"/>
              <w:right w:val="single" w:sz="8" w:color="0563C1"/>
            </w:tcBorders>
            <w:gridSpan w:val="7"/>
            <w:shd w:val="clear" w:color="auto" w:fill="0563C1"/>
          </w:tcPr>
          <w:p>
            <w:pPr>
              <w:spacing w:after="0" w:line="20" w:lineRule="exact"/>
              <w:rPr>
                <w:sz w:val="1"/>
                <w:szCs w:val="1"/>
                <w:color w:val="auto"/>
              </w:rPr>
            </w:pPr>
          </w:p>
        </w:tc>
        <w:tc>
          <w:tcPr>
            <w:tcW w:w="300" w:type="dxa"/>
            <w:vAlign w:val="bottom"/>
            <w:tcBorders>
              <w:left w:val="single" w:sz="8" w:color="0563C1"/>
            </w:tcBorders>
            <w:gridSpan w:val="4"/>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38"/>
          </w:tcPr>
          <w:p>
            <w:pPr>
              <w:spacing w:after="0" w:line="209" w:lineRule="exact"/>
              <w:rPr>
                <w:sz w:val="20"/>
                <w:szCs w:val="20"/>
                <w:color w:val="auto"/>
              </w:rPr>
            </w:pPr>
            <w:r>
              <w:rPr>
                <w:rFonts w:ascii="Times New Roman" w:cs="Times New Roman" w:eastAsia="Times New Roman" w:hAnsi="Times New Roman"/>
                <w:sz w:val="20"/>
                <w:szCs w:val="20"/>
                <w:color w:val="0563C1"/>
                <w:w w:val="98"/>
              </w:rPr>
              <w:t>Treatment of Certain Information; Confidentiality</w:t>
            </w:r>
          </w:p>
        </w:tc>
        <w:tc>
          <w:tcPr>
            <w:tcW w:w="14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0563C1"/>
            </w:tcBorders>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0563C1"/>
            </w:tcBorders>
            <w:gridSpan w:val="7"/>
          </w:tcPr>
          <w:p>
            <w:pPr>
              <w:spacing w:after="0" w:line="223" w:lineRule="exact"/>
              <w:rPr>
                <w:sz w:val="20"/>
                <w:szCs w:val="20"/>
                <w:color w:val="auto"/>
              </w:rPr>
            </w:pPr>
            <w:r>
              <w:rPr>
                <w:rFonts w:ascii="Times New Roman" w:cs="Times New Roman" w:eastAsia="Times New Roman" w:hAnsi="Times New Roman"/>
                <w:sz w:val="20"/>
                <w:szCs w:val="20"/>
                <w:color w:val="0563C1"/>
              </w:rPr>
              <w:t>Right of Setoff</w:t>
            </w:r>
          </w:p>
        </w:tc>
        <w:tc>
          <w:tcPr>
            <w:tcW w:w="460" w:type="dxa"/>
            <w:vAlign w:val="bottom"/>
            <w:tcBorders>
              <w:top w:val="single" w:sz="8" w:color="0563C1"/>
            </w:tcBorders>
            <w:gridSpan w:val="7"/>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119</w:t>
            </w:r>
          </w:p>
        </w:tc>
        <w:tc>
          <w:tcPr>
            <w:tcW w:w="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gridSpan w:val="4"/>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w w:val="79"/>
              </w:rPr>
              <w:t>120</w:t>
            </w:r>
          </w:p>
        </w:tc>
        <w:tc>
          <w:tcPr>
            <w:tcW w:w="2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gridSpan w:val="3"/>
            <w:shd w:val="clear" w:color="auto" w:fill="0563C1"/>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0563C1"/>
            </w:tcBorders>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0563C1"/>
            </w:tcBorders>
            <w:gridSpan w:val="17"/>
          </w:tcPr>
          <w:p>
            <w:pPr>
              <w:spacing w:after="0" w:line="209" w:lineRule="exact"/>
              <w:rPr>
                <w:sz w:val="20"/>
                <w:szCs w:val="20"/>
                <w:color w:val="auto"/>
              </w:rPr>
            </w:pPr>
            <w:r>
              <w:rPr>
                <w:rFonts w:ascii="Times New Roman" w:cs="Times New Roman" w:eastAsia="Times New Roman" w:hAnsi="Times New Roman"/>
                <w:sz w:val="20"/>
                <w:szCs w:val="20"/>
                <w:color w:val="0563C1"/>
                <w:w w:val="97"/>
              </w:rPr>
              <w:t>Interest Rate Limitation</w:t>
            </w:r>
          </w:p>
        </w:tc>
        <w:tc>
          <w:tcPr>
            <w:tcW w:w="200" w:type="dxa"/>
            <w:vAlign w:val="bottom"/>
            <w:gridSpan w:val="3"/>
          </w:tcPr>
          <w:p>
            <w:pPr>
              <w:spacing w:after="0"/>
              <w:rPr>
                <w:sz w:val="18"/>
                <w:szCs w:val="18"/>
                <w:color w:val="auto"/>
              </w:rPr>
            </w:pPr>
          </w:p>
        </w:tc>
        <w:tc>
          <w:tcPr>
            <w:tcW w:w="4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0563C1"/>
            </w:tcBorders>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0563C1"/>
            </w:tcBorders>
            <w:gridSpan w:val="19"/>
          </w:tcPr>
          <w:p>
            <w:pPr>
              <w:spacing w:after="0" w:line="223" w:lineRule="exact"/>
              <w:rPr>
                <w:sz w:val="20"/>
                <w:szCs w:val="20"/>
                <w:color w:val="auto"/>
              </w:rPr>
            </w:pPr>
            <w:r>
              <w:rPr>
                <w:rFonts w:ascii="Times New Roman" w:cs="Times New Roman" w:eastAsia="Times New Roman" w:hAnsi="Times New Roman"/>
                <w:sz w:val="20"/>
                <w:szCs w:val="20"/>
                <w:color w:val="0563C1"/>
                <w:w w:val="97"/>
              </w:rPr>
              <w:t>Integration; Effectiveness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120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33"/>
          </w:tcPr>
          <w:p>
            <w:pPr>
              <w:spacing w:after="0" w:line="223" w:lineRule="exact"/>
              <w:rPr>
                <w:sz w:val="20"/>
                <w:szCs w:val="20"/>
                <w:color w:val="auto"/>
              </w:rPr>
            </w:pPr>
            <w:r>
              <w:rPr>
                <w:rFonts w:ascii="Times New Roman" w:cs="Times New Roman" w:eastAsia="Times New Roman" w:hAnsi="Times New Roman"/>
                <w:sz w:val="20"/>
                <w:szCs w:val="20"/>
                <w:color w:val="0563C1"/>
              </w:rPr>
              <w:t>Survival of Representations and Warranties</w:t>
            </w:r>
          </w:p>
        </w:tc>
        <w:tc>
          <w:tcPr>
            <w:tcW w:w="340" w:type="dxa"/>
            <w:vAlign w:val="bottom"/>
            <w:gridSpan w:val="4"/>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w w:val="93"/>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Borders>
              <w:top w:val="single" w:sz="8" w:color="0563C1"/>
              <w:bottom w:val="single" w:sz="8" w:color="0563C1"/>
            </w:tcBorders>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0563C1"/>
              <w:bottom w:val="single" w:sz="8" w:color="0563C1"/>
            </w:tcBorders>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95"/>
              </w:rPr>
              <w:t>Severability</w:t>
            </w:r>
          </w:p>
        </w:tc>
        <w:tc>
          <w:tcPr>
            <w:tcW w:w="60" w:type="dxa"/>
            <w:vAlign w:val="bottom"/>
            <w:tcBorders>
              <w:top w:val="single" w:sz="8" w:color="0563C1"/>
            </w:tcBorders>
          </w:tcPr>
          <w:p>
            <w:pPr>
              <w:spacing w:after="0"/>
              <w:rPr>
                <w:sz w:val="18"/>
                <w:szCs w:val="18"/>
                <w:color w:val="auto"/>
              </w:rPr>
            </w:pPr>
          </w:p>
        </w:tc>
        <w:tc>
          <w:tcPr>
            <w:tcW w:w="560" w:type="dxa"/>
            <w:vAlign w:val="bottom"/>
            <w:tcBorders>
              <w:top w:val="single" w:sz="8" w:color="0563C1"/>
            </w:tcBorders>
            <w:gridSpan w:val="9"/>
          </w:tcPr>
          <w:p>
            <w:pPr>
              <w:jc w:val="right"/>
              <w:ind w:right="21"/>
              <w:spacing w:after="0" w:line="209" w:lineRule="exact"/>
              <w:rPr>
                <w:sz w:val="20"/>
                <w:szCs w:val="20"/>
                <w:color w:val="auto"/>
              </w:rPr>
            </w:pPr>
            <w:r>
              <w:rPr>
                <w:rFonts w:ascii="Times New Roman" w:cs="Times New Roman" w:eastAsia="Times New Roman" w:hAnsi="Times New Roman"/>
                <w:sz w:val="20"/>
                <w:szCs w:val="20"/>
                <w:color w:val="auto"/>
              </w:rPr>
              <w:t>121</w:t>
            </w:r>
          </w:p>
        </w:tc>
        <w:tc>
          <w:tcPr>
            <w:tcW w:w="6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4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100" w:type="dxa"/>
            <w:vAlign w:val="bottom"/>
            <w:tcBorders>
              <w:top w:val="single" w:sz="8" w:color="0563C1"/>
            </w:tcBorders>
          </w:tcPr>
          <w:p>
            <w:pPr>
              <w:spacing w:after="0"/>
              <w:rPr>
                <w:sz w:val="18"/>
                <w:szCs w:val="18"/>
                <w:color w:val="auto"/>
              </w:rPr>
            </w:pPr>
          </w:p>
        </w:tc>
        <w:tc>
          <w:tcPr>
            <w:tcW w:w="80" w:type="dxa"/>
            <w:vAlign w:val="bottom"/>
            <w:tcBorders>
              <w:top w:val="single" w:sz="8" w:color="0563C1"/>
            </w:tcBorders>
          </w:tcPr>
          <w:p>
            <w:pPr>
              <w:spacing w:after="0"/>
              <w:rPr>
                <w:sz w:val="18"/>
                <w:szCs w:val="18"/>
                <w:color w:val="auto"/>
              </w:rPr>
            </w:pPr>
          </w:p>
        </w:tc>
        <w:tc>
          <w:tcPr>
            <w:tcW w:w="40" w:type="dxa"/>
            <w:vAlign w:val="bottom"/>
            <w:tcBorders>
              <w:top w:val="single" w:sz="8" w:color="0563C1"/>
            </w:tcBorders>
          </w:tcPr>
          <w:p>
            <w:pPr>
              <w:spacing w:after="0"/>
              <w:rPr>
                <w:sz w:val="18"/>
                <w:szCs w:val="18"/>
                <w:color w:val="auto"/>
              </w:rPr>
            </w:pPr>
          </w:p>
        </w:tc>
        <w:tc>
          <w:tcPr>
            <w:tcW w:w="4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32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140" w:type="dxa"/>
            <w:vAlign w:val="bottom"/>
            <w:tcBorders>
              <w:top w:val="single" w:sz="8" w:color="0563C1"/>
            </w:tcBorders>
          </w:tcPr>
          <w:p>
            <w:pPr>
              <w:spacing w:after="0"/>
              <w:rPr>
                <w:sz w:val="18"/>
                <w:szCs w:val="18"/>
                <w:color w:val="auto"/>
              </w:rPr>
            </w:pPr>
          </w:p>
        </w:tc>
        <w:tc>
          <w:tcPr>
            <w:tcW w:w="20" w:type="dxa"/>
            <w:vAlign w:val="bottom"/>
            <w:tcBorders>
              <w:top w:val="single" w:sz="8" w:color="0563C1"/>
            </w:tcBorders>
          </w:tcPr>
          <w:p>
            <w:pPr>
              <w:spacing w:after="0"/>
              <w:rPr>
                <w:sz w:val="18"/>
                <w:szCs w:val="18"/>
                <w:color w:val="auto"/>
              </w:rPr>
            </w:pPr>
          </w:p>
        </w:tc>
        <w:tc>
          <w:tcPr>
            <w:tcW w:w="220" w:type="dxa"/>
            <w:vAlign w:val="bottom"/>
            <w:tcBorders>
              <w:top w:val="single" w:sz="8" w:color="0563C1"/>
            </w:tcBorders>
          </w:tcPr>
          <w:p>
            <w:pPr>
              <w:spacing w:after="0"/>
              <w:rPr>
                <w:sz w:val="18"/>
                <w:szCs w:val="18"/>
                <w:color w:val="auto"/>
              </w:rPr>
            </w:pPr>
          </w:p>
        </w:tc>
        <w:tc>
          <w:tcPr>
            <w:tcW w:w="160" w:type="dxa"/>
            <w:vAlign w:val="bottom"/>
            <w:tcBorders>
              <w:top w:val="single" w:sz="8" w:color="0563C1"/>
            </w:tcBorders>
          </w:tcPr>
          <w:p>
            <w:pPr>
              <w:spacing w:after="0"/>
              <w:rPr>
                <w:sz w:val="18"/>
                <w:szCs w:val="18"/>
                <w:color w:val="auto"/>
              </w:rPr>
            </w:pPr>
          </w:p>
        </w:tc>
        <w:tc>
          <w:tcPr>
            <w:tcW w:w="140" w:type="dxa"/>
            <w:vAlign w:val="bottom"/>
            <w:tcBorders>
              <w:top w:val="single" w:sz="8" w:color="0563C1"/>
            </w:tcBorders>
          </w:tcPr>
          <w:p>
            <w:pPr>
              <w:spacing w:after="0"/>
              <w:rPr>
                <w:sz w:val="18"/>
                <w:szCs w:val="18"/>
                <w:color w:val="auto"/>
              </w:rPr>
            </w:pPr>
          </w:p>
        </w:tc>
        <w:tc>
          <w:tcPr>
            <w:tcW w:w="200" w:type="dxa"/>
            <w:vAlign w:val="bottom"/>
            <w:tcBorders>
              <w:top w:val="single" w:sz="8" w:color="0563C1"/>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0563C1"/>
            </w:tcBorders>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0563C1"/>
            </w:tcBorders>
            <w:gridSpan w:val="18"/>
          </w:tcPr>
          <w:p>
            <w:pPr>
              <w:spacing w:after="0" w:line="223" w:lineRule="exact"/>
              <w:rPr>
                <w:sz w:val="20"/>
                <w:szCs w:val="20"/>
                <w:color w:val="auto"/>
              </w:rPr>
            </w:pPr>
            <w:r>
              <w:rPr>
                <w:rFonts w:ascii="Times New Roman" w:cs="Times New Roman" w:eastAsia="Times New Roman" w:hAnsi="Times New Roman"/>
                <w:sz w:val="20"/>
                <w:szCs w:val="20"/>
                <w:color w:val="0563C1"/>
                <w:w w:val="97"/>
              </w:rPr>
              <w:t>Replacement of Lenders</w:t>
            </w:r>
          </w:p>
        </w:tc>
        <w:tc>
          <w:tcPr>
            <w:tcW w:w="180" w:type="dxa"/>
            <w:vAlign w:val="bottom"/>
            <w:gridSpan w:val="2"/>
          </w:tcPr>
          <w:p>
            <w:pPr>
              <w:spacing w:after="0"/>
              <w:rPr>
                <w:sz w:val="19"/>
                <w:szCs w:val="19"/>
                <w:color w:val="auto"/>
              </w:rPr>
            </w:pPr>
          </w:p>
        </w:tc>
        <w:tc>
          <w:tcPr>
            <w:tcW w:w="420" w:type="dxa"/>
            <w:vAlign w:val="bottom"/>
            <w:gridSpan w:val="4"/>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w w:val="99"/>
              </w:rPr>
              <w:t>121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122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7"/>
          </w:tcPr>
          <w:p>
            <w:pPr>
              <w:spacing w:after="0" w:line="209" w:lineRule="exact"/>
              <w:rPr>
                <w:sz w:val="20"/>
                <w:szCs w:val="20"/>
                <w:color w:val="auto"/>
              </w:rPr>
            </w:pPr>
            <w:r>
              <w:rPr>
                <w:rFonts w:ascii="Times New Roman" w:cs="Times New Roman" w:eastAsia="Times New Roman" w:hAnsi="Times New Roman"/>
                <w:sz w:val="20"/>
                <w:szCs w:val="20"/>
                <w:color w:val="0563C1"/>
                <w:w w:val="98"/>
              </w:rPr>
              <w:t>Governing Law; Jurisdiction; Etc.</w:t>
            </w:r>
          </w:p>
        </w:tc>
        <w:tc>
          <w:tcPr>
            <w:tcW w:w="5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0563C1"/>
            </w:tcBorders>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0563C1"/>
            </w:tcBorders>
            <w:gridSpan w:val="14"/>
          </w:tcPr>
          <w:p>
            <w:pPr>
              <w:spacing w:after="0" w:line="223" w:lineRule="exact"/>
              <w:rPr>
                <w:sz w:val="20"/>
                <w:szCs w:val="20"/>
                <w:color w:val="auto"/>
              </w:rPr>
            </w:pPr>
            <w:r>
              <w:rPr>
                <w:rFonts w:ascii="Times New Roman" w:cs="Times New Roman" w:eastAsia="Times New Roman" w:hAnsi="Times New Roman"/>
                <w:sz w:val="20"/>
                <w:szCs w:val="20"/>
                <w:color w:val="0563C1"/>
              </w:rPr>
              <w:t>Waiver of Jury Trial</w:t>
            </w:r>
          </w:p>
        </w:tc>
        <w:tc>
          <w:tcPr>
            <w:tcW w:w="380" w:type="dxa"/>
            <w:vAlign w:val="bottom"/>
            <w:tcBorders>
              <w:top w:val="single" w:sz="8" w:color="0563C1"/>
            </w:tcBorders>
            <w:gridSpan w:val="6"/>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123</w:t>
            </w: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700" w:type="dxa"/>
            <w:vAlign w:val="bottom"/>
            <w:tcBorders>
              <w:right w:val="single" w:sz="8" w:color="0563C1"/>
            </w:tcBorders>
            <w:gridSpan w:val="11"/>
            <w:shd w:val="clear" w:color="auto" w:fill="0563C1"/>
          </w:tcPr>
          <w:p>
            <w:pPr>
              <w:spacing w:after="0" w:line="20" w:lineRule="exact"/>
              <w:rPr>
                <w:sz w:val="1"/>
                <w:szCs w:val="1"/>
                <w:color w:val="auto"/>
              </w:rPr>
            </w:pPr>
          </w:p>
        </w:tc>
        <w:tc>
          <w:tcPr>
            <w:tcW w:w="540" w:type="dxa"/>
            <w:vAlign w:val="bottom"/>
            <w:tcBorders>
              <w:left w:val="single" w:sz="8" w:color="0563C1"/>
            </w:tcBorders>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23"/>
          </w:tcPr>
          <w:p>
            <w:pPr>
              <w:spacing w:after="0" w:line="223" w:lineRule="exact"/>
              <w:rPr>
                <w:sz w:val="20"/>
                <w:szCs w:val="20"/>
                <w:color w:val="auto"/>
              </w:rPr>
            </w:pPr>
            <w:r>
              <w:rPr>
                <w:rFonts w:ascii="Times New Roman" w:cs="Times New Roman" w:eastAsia="Times New Roman" w:hAnsi="Times New Roman"/>
                <w:sz w:val="20"/>
                <w:szCs w:val="20"/>
                <w:color w:val="0563C1"/>
                <w:w w:val="98"/>
              </w:rPr>
              <w:t>USA PATRIOT Act Notice</w:t>
            </w:r>
          </w:p>
        </w:tc>
        <w:tc>
          <w:tcPr>
            <w:tcW w:w="48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123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Borders>
              <w:top w:val="single" w:sz="8" w:color="0563C1"/>
              <w:bottom w:val="single" w:sz="8" w:color="0563C1"/>
            </w:tcBorders>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top w:val="single" w:sz="8" w:color="0563C1"/>
              <w:bottom w:val="single" w:sz="8" w:color="0563C1"/>
            </w:tcBorders>
            <w:gridSpan w:val="20"/>
          </w:tcPr>
          <w:p>
            <w:pPr>
              <w:spacing w:after="0" w:line="209" w:lineRule="exact"/>
              <w:rPr>
                <w:sz w:val="20"/>
                <w:szCs w:val="20"/>
                <w:color w:val="auto"/>
              </w:rPr>
            </w:pPr>
            <w:r>
              <w:rPr>
                <w:rFonts w:ascii="Times New Roman" w:cs="Times New Roman" w:eastAsia="Times New Roman" w:hAnsi="Times New Roman"/>
                <w:sz w:val="20"/>
                <w:szCs w:val="20"/>
                <w:color w:val="0563C1"/>
                <w:w w:val="98"/>
              </w:rPr>
              <w:t>Liability of the Borrowers</w:t>
            </w:r>
          </w:p>
        </w:tc>
        <w:tc>
          <w:tcPr>
            <w:tcW w:w="40" w:type="dxa"/>
            <w:vAlign w:val="bottom"/>
            <w:tcBorders>
              <w:top w:val="single" w:sz="8" w:color="0563C1"/>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123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0563C1"/>
            </w:tcBorders>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0563C1"/>
            </w:tcBorders>
            <w:gridSpan w:val="12"/>
          </w:tcPr>
          <w:p>
            <w:pPr>
              <w:spacing w:after="0" w:line="223" w:lineRule="exact"/>
              <w:rPr>
                <w:sz w:val="20"/>
                <w:szCs w:val="20"/>
                <w:color w:val="auto"/>
              </w:rPr>
            </w:pPr>
            <w:r>
              <w:rPr>
                <w:rFonts w:ascii="Times New Roman" w:cs="Times New Roman" w:eastAsia="Times New Roman" w:hAnsi="Times New Roman"/>
                <w:sz w:val="20"/>
                <w:szCs w:val="20"/>
                <w:color w:val="0563C1"/>
                <w:w w:val="96"/>
              </w:rPr>
              <w:t>Judgment Currency</w:t>
            </w:r>
          </w:p>
        </w:tc>
        <w:tc>
          <w:tcPr>
            <w:tcW w:w="160" w:type="dxa"/>
            <w:vAlign w:val="bottom"/>
            <w:gridSpan w:val="2"/>
          </w:tcPr>
          <w:p>
            <w:pPr>
              <w:spacing w:after="0"/>
              <w:rPr>
                <w:sz w:val="19"/>
                <w:szCs w:val="19"/>
                <w:color w:val="auto"/>
              </w:rPr>
            </w:pPr>
          </w:p>
        </w:tc>
        <w:tc>
          <w:tcPr>
            <w:tcW w:w="380" w:type="dxa"/>
            <w:vAlign w:val="bottom"/>
            <w:gridSpan w:val="6"/>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99"/>
              </w:rPr>
              <w:t>124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3"/>
          </w:tcPr>
          <w:p>
            <w:pPr>
              <w:spacing w:after="0" w:line="209" w:lineRule="exact"/>
              <w:rPr>
                <w:sz w:val="20"/>
                <w:szCs w:val="20"/>
                <w:color w:val="auto"/>
              </w:rPr>
            </w:pPr>
            <w:r>
              <w:rPr>
                <w:rFonts w:ascii="Times New Roman" w:cs="Times New Roman" w:eastAsia="Times New Roman" w:hAnsi="Times New Roman"/>
                <w:sz w:val="20"/>
                <w:szCs w:val="20"/>
                <w:color w:val="0563C1"/>
              </w:rPr>
              <w:t>Automatic Debits of Principal, Interest, Fees</w:t>
            </w:r>
          </w:p>
        </w:tc>
        <w:tc>
          <w:tcPr>
            <w:tcW w:w="440" w:type="dxa"/>
            <w:vAlign w:val="bottom"/>
            <w:gridSpan w:val="6"/>
            <w:vMerge w:val="continue"/>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0563C1"/>
              <w:bottom w:val="single" w:sz="8" w:color="0563C1"/>
            </w:tcBorders>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0563C1"/>
              <w:bottom w:val="single" w:sz="8" w:color="0563C1"/>
            </w:tcBorders>
          </w:tcPr>
          <w:p>
            <w:pPr>
              <w:spacing w:after="0" w:line="223" w:lineRule="exact"/>
              <w:rPr>
                <w:sz w:val="20"/>
                <w:szCs w:val="20"/>
                <w:color w:val="auto"/>
              </w:rPr>
            </w:pPr>
            <w:r>
              <w:rPr>
                <w:rFonts w:ascii="Times New Roman" w:cs="Times New Roman" w:eastAsia="Times New Roman" w:hAnsi="Times New Roman"/>
                <w:sz w:val="20"/>
                <w:szCs w:val="20"/>
                <w:color w:val="0563C1"/>
                <w:w w:val="95"/>
              </w:rPr>
              <w:t>[Reserved]</w:t>
            </w:r>
          </w:p>
        </w:tc>
        <w:tc>
          <w:tcPr>
            <w:tcW w:w="140" w:type="dxa"/>
            <w:vAlign w:val="bottom"/>
            <w:tcBorders>
              <w:top w:val="single" w:sz="8" w:color="0563C1"/>
            </w:tcBorders>
            <w:gridSpan w:val="2"/>
          </w:tcPr>
          <w:p>
            <w:pPr>
              <w:spacing w:after="0"/>
              <w:rPr>
                <w:sz w:val="19"/>
                <w:szCs w:val="19"/>
                <w:color w:val="auto"/>
              </w:rPr>
            </w:pPr>
          </w:p>
        </w:tc>
        <w:tc>
          <w:tcPr>
            <w:tcW w:w="380" w:type="dxa"/>
            <w:vAlign w:val="bottom"/>
            <w:tcBorders>
              <w:top w:val="single" w:sz="8" w:color="0563C1"/>
            </w:tcBorders>
            <w:gridSpan w:val="6"/>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125</w:t>
            </w:r>
          </w:p>
        </w:tc>
        <w:tc>
          <w:tcPr>
            <w:tcW w:w="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3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0563C1"/>
            </w:tcBorders>
            <w:gridSpan w:val="2"/>
          </w:tcPr>
          <w:p>
            <w:pPr>
              <w:spacing w:after="0" w:line="223"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tcBorders>
              <w:bottom w:val="single" w:sz="8" w:color="0563C1"/>
            </w:tcBorders>
            <w:gridSpan w:val="30"/>
          </w:tcPr>
          <w:p>
            <w:pPr>
              <w:spacing w:after="0" w:line="223" w:lineRule="exact"/>
              <w:rPr>
                <w:sz w:val="20"/>
                <w:szCs w:val="20"/>
                <w:color w:val="auto"/>
              </w:rPr>
            </w:pPr>
            <w:r>
              <w:rPr>
                <w:rFonts w:ascii="Times New Roman" w:cs="Times New Roman" w:eastAsia="Times New Roman" w:hAnsi="Times New Roman"/>
                <w:sz w:val="20"/>
                <w:szCs w:val="20"/>
                <w:color w:val="0563C1"/>
                <w:w w:val="97"/>
              </w:rPr>
              <w:t>No Advisory or Fiduciary Responsibility</w:t>
            </w:r>
          </w:p>
        </w:tc>
        <w:tc>
          <w:tcPr>
            <w:tcW w:w="580" w:type="dxa"/>
            <w:vAlign w:val="bottom"/>
            <w:gridSpan w:val="5"/>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125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563C1"/>
                <w:w w:val="88"/>
              </w:rPr>
              <w:t>11.</w:t>
            </w:r>
            <w:r>
              <w:rPr>
                <w:rFonts w:ascii="Times New Roman" w:cs="Times New Roman" w:eastAsia="Times New Roman" w:hAnsi="Times New Roman"/>
                <w:sz w:val="20"/>
                <w:szCs w:val="20"/>
                <w:u w:val="single" w:color="auto"/>
                <w:color w:val="0563C1"/>
                <w:w w:val="88"/>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60" w:type="dxa"/>
            <w:vAlign w:val="bottom"/>
            <w:gridSpan w:val="43"/>
          </w:tcPr>
          <w:p>
            <w:pPr>
              <w:spacing w:after="0" w:line="209" w:lineRule="exact"/>
              <w:rPr>
                <w:sz w:val="20"/>
                <w:szCs w:val="20"/>
                <w:color w:val="auto"/>
              </w:rPr>
            </w:pPr>
            <w:r>
              <w:rPr>
                <w:rFonts w:ascii="Times New Roman" w:cs="Times New Roman" w:eastAsia="Times New Roman" w:hAnsi="Times New Roman"/>
                <w:sz w:val="20"/>
                <w:szCs w:val="20"/>
                <w:color w:val="0563C1"/>
              </w:rPr>
              <w:t xml:space="preserve">Electronic Execution of Assignments and Certain Other Documents  </w:t>
            </w:r>
            <w:r>
              <w:rPr>
                <w:rFonts w:ascii="Times New Roman" w:cs="Times New Roman" w:eastAsia="Times New Roman" w:hAnsi="Times New Roman"/>
                <w:sz w:val="20"/>
                <w:szCs w:val="20"/>
                <w:color w:val="000000"/>
              </w:rPr>
              <w:t>125</w:t>
            </w:r>
          </w:p>
        </w:tc>
        <w:tc>
          <w:tcPr>
            <w:tcW w:w="0" w:type="dxa"/>
            <w:vAlign w:val="bottom"/>
          </w:tcPr>
          <w:p>
            <w:pPr>
              <w:spacing w:after="0"/>
              <w:rPr>
                <w:sz w:val="1"/>
                <w:szCs w:val="1"/>
                <w:color w:val="auto"/>
              </w:rPr>
            </w:pPr>
          </w:p>
        </w:tc>
      </w:tr>
      <w:tr>
        <w:trPr>
          <w:trHeight w:val="20"/>
        </w:trPr>
        <w:tc>
          <w:tcPr>
            <w:tcW w:w="3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395"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0563C1"/>
                <w:w w:val="93"/>
              </w:rPr>
              <w:t>11.</w:t>
            </w:r>
            <w:r>
              <w:rPr>
                <w:rFonts w:ascii="Times New Roman" w:cs="Times New Roman" w:eastAsia="Times New Roman" w:hAnsi="Times New Roman"/>
                <w:sz w:val="20"/>
                <w:szCs w:val="20"/>
                <w:u w:val="single" w:color="auto"/>
                <w:color w:val="0563C1"/>
                <w:w w:val="93"/>
              </w:rPr>
              <w:t>23</w:t>
            </w:r>
          </w:p>
        </w:tc>
        <w:tc>
          <w:tcPr>
            <w:tcW w:w="20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20"/>
                <w:szCs w:val="20"/>
                <w:color w:val="0563C1"/>
              </w:rPr>
              <w:t xml:space="preserve">ENTIRE AGREEMENT  </w:t>
            </w:r>
            <w:r>
              <w:rPr>
                <w:rFonts w:ascii="Times New Roman" w:cs="Times New Roman" w:eastAsia="Times New Roman" w:hAnsi="Times New Roman"/>
                <w:sz w:val="20"/>
                <w:szCs w:val="20"/>
                <w:color w:val="000000"/>
              </w:rPr>
              <w:t>126</w:t>
            </w:r>
          </w:p>
        </w:tc>
      </w:tr>
      <w:tr>
        <w:trPr>
          <w:trHeight w:val="20"/>
        </w:trPr>
        <w:tc>
          <w:tcPr>
            <w:tcW w:w="44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563C1"/>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0563C1"/>
                <w:w w:val="93"/>
              </w:rPr>
              <w:t>11.</w:t>
            </w:r>
            <w:r>
              <w:rPr>
                <w:rFonts w:ascii="Times New Roman" w:cs="Times New Roman" w:eastAsia="Times New Roman" w:hAnsi="Times New Roman"/>
                <w:sz w:val="20"/>
                <w:szCs w:val="20"/>
                <w:u w:val="single" w:color="auto"/>
                <w:color w:val="0563C1"/>
                <w:w w:val="93"/>
              </w:rPr>
              <w:t>24</w:t>
            </w:r>
          </w:p>
        </w:tc>
        <w:tc>
          <w:tcPr>
            <w:tcW w:w="200" w:type="dxa"/>
            <w:vAlign w:val="bottom"/>
          </w:tcPr>
          <w:p>
            <w:pPr>
              <w:spacing w:after="0"/>
              <w:rPr>
                <w:sz w:val="19"/>
                <w:szCs w:val="19"/>
                <w:color w:val="auto"/>
              </w:rPr>
            </w:pPr>
          </w:p>
        </w:tc>
        <w:tc>
          <w:tcPr>
            <w:tcW w:w="652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0563C1"/>
              </w:rPr>
              <w:t xml:space="preserve">Acknowledgement and Consent to Bail-In of Affected Financial Institutions  </w:t>
            </w:r>
            <w:r>
              <w:rPr>
                <w:rFonts w:ascii="Times New Roman" w:cs="Times New Roman" w:eastAsia="Times New Roman" w:hAnsi="Times New Roman"/>
                <w:sz w:val="20"/>
                <w:szCs w:val="20"/>
                <w:color w:val="000000"/>
              </w:rPr>
              <w:t>126</w:t>
            </w:r>
          </w:p>
        </w:tc>
      </w:tr>
      <w:tr>
        <w:trPr>
          <w:trHeight w:val="210"/>
        </w:trPr>
        <w:tc>
          <w:tcPr>
            <w:tcW w:w="440" w:type="dxa"/>
            <w:vAlign w:val="bottom"/>
            <w:tcBorders>
              <w:top w:val="single" w:sz="8" w:color="0563C1"/>
            </w:tcBorders>
          </w:tcPr>
          <w:p>
            <w:pPr>
              <w:jc w:val="right"/>
              <w:spacing w:after="0" w:line="209" w:lineRule="exact"/>
              <w:rPr>
                <w:sz w:val="20"/>
                <w:szCs w:val="20"/>
                <w:color w:val="auto"/>
              </w:rPr>
            </w:pPr>
            <w:r>
              <w:rPr>
                <w:rFonts w:ascii="Times New Roman" w:cs="Times New Roman" w:eastAsia="Times New Roman" w:hAnsi="Times New Roman"/>
                <w:sz w:val="20"/>
                <w:szCs w:val="20"/>
                <w:color w:val="0563C1"/>
                <w:w w:val="93"/>
              </w:rPr>
              <w:t>11.</w:t>
            </w:r>
            <w:r>
              <w:rPr>
                <w:rFonts w:ascii="Times New Roman" w:cs="Times New Roman" w:eastAsia="Times New Roman" w:hAnsi="Times New Roman"/>
                <w:sz w:val="20"/>
                <w:szCs w:val="20"/>
                <w:u w:val="single" w:color="auto"/>
                <w:color w:val="0563C1"/>
                <w:w w:val="93"/>
              </w:rPr>
              <w:t>25</w:t>
            </w:r>
          </w:p>
        </w:tc>
        <w:tc>
          <w:tcPr>
            <w:tcW w:w="200" w:type="dxa"/>
            <w:vAlign w:val="bottom"/>
          </w:tcPr>
          <w:p>
            <w:pPr>
              <w:spacing w:after="0"/>
              <w:rPr>
                <w:sz w:val="18"/>
                <w:szCs w:val="18"/>
                <w:color w:val="auto"/>
              </w:rPr>
            </w:pPr>
          </w:p>
        </w:tc>
        <w:tc>
          <w:tcPr>
            <w:tcW w:w="6020" w:type="dxa"/>
            <w:vAlign w:val="bottom"/>
            <w:tcBorders>
              <w:top w:val="single" w:sz="8" w:color="0563C1"/>
            </w:tcBorders>
            <w:gridSpan w:val="3"/>
          </w:tcPr>
          <w:p>
            <w:pPr>
              <w:spacing w:after="0" w:line="209" w:lineRule="exact"/>
              <w:rPr>
                <w:sz w:val="20"/>
                <w:szCs w:val="20"/>
                <w:color w:val="auto"/>
              </w:rPr>
            </w:pPr>
            <w:r>
              <w:rPr>
                <w:rFonts w:ascii="Times New Roman" w:cs="Times New Roman" w:eastAsia="Times New Roman" w:hAnsi="Times New Roman"/>
                <w:sz w:val="20"/>
                <w:szCs w:val="20"/>
                <w:color w:val="0563C1"/>
              </w:rPr>
              <w:t xml:space="preserve">Acknowledgement Regarding Any Supported QFCs  </w:t>
            </w:r>
            <w:r>
              <w:rPr>
                <w:rFonts w:ascii="Times New Roman" w:cs="Times New Roman" w:eastAsia="Times New Roman" w:hAnsi="Times New Roman"/>
                <w:sz w:val="20"/>
                <w:szCs w:val="20"/>
                <w:color w:val="000000"/>
              </w:rPr>
              <w:t>127</w:t>
            </w:r>
          </w:p>
        </w:tc>
        <w:tc>
          <w:tcPr>
            <w:tcW w:w="500" w:type="dxa"/>
            <w:vAlign w:val="bottom"/>
          </w:tcPr>
          <w:p>
            <w:pPr>
              <w:spacing w:after="0"/>
              <w:rPr>
                <w:sz w:val="18"/>
                <w:szCs w:val="18"/>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563C1"/>
          </w:tcPr>
          <w:p>
            <w:pPr>
              <w:spacing w:after="0" w:line="20" w:lineRule="exact"/>
              <w:rPr>
                <w:sz w:val="1"/>
                <w:szCs w:val="1"/>
                <w:color w:val="auto"/>
              </w:rPr>
            </w:pPr>
          </w:p>
        </w:tc>
        <w:tc>
          <w:tcPr>
            <w:tcW w:w="2160" w:type="dxa"/>
            <w:vAlign w:val="bottom"/>
            <w:shd w:val="clear" w:color="auto" w:fill="0563C1"/>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SIGNATURES</w:t>
        <w:tab/>
        <w:t>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39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SCHEDULES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AMP Productivity Initiative</w:t>
      </w:r>
    </w:p>
    <w:p>
      <w:pPr>
        <w:spacing w:after="0" w:line="2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20"/>
          <w:szCs w:val="20"/>
          <w:color w:val="auto"/>
        </w:rPr>
        <w:t>1.01(e)</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0"/>
          <w:szCs w:val="20"/>
          <w:color w:val="auto"/>
        </w:rPr>
        <w:t>2.01A</w:t>
      </w:r>
      <w:r>
        <w:rPr>
          <w:sz w:val="20"/>
          <w:szCs w:val="20"/>
          <w:color w:val="auto"/>
        </w:rPr>
        <w:tab/>
      </w:r>
      <w:r>
        <w:rPr>
          <w:rFonts w:ascii="Times New Roman" w:cs="Times New Roman" w:eastAsia="Times New Roman" w:hAnsi="Times New Roman"/>
          <w:sz w:val="19"/>
          <w:szCs w:val="19"/>
          <w:color w:val="auto"/>
        </w:rPr>
        <w:t>Commitments and Applicable Percentages</w:t>
      </w:r>
    </w:p>
    <w:p>
      <w:pPr>
        <w:spacing w:after="0" w:line="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0"/>
          <w:szCs w:val="20"/>
          <w:color w:val="auto"/>
        </w:rPr>
        <w:t>2.01B</w:t>
      </w:r>
      <w:r>
        <w:rPr>
          <w:sz w:val="20"/>
          <w:szCs w:val="20"/>
          <w:color w:val="auto"/>
        </w:rPr>
        <w:tab/>
      </w:r>
      <w:r>
        <w:rPr>
          <w:rFonts w:ascii="Times New Roman" w:cs="Times New Roman" w:eastAsia="Times New Roman" w:hAnsi="Times New Roman"/>
          <w:sz w:val="19"/>
          <w:szCs w:val="19"/>
          <w:color w:val="auto"/>
        </w:rPr>
        <w:t>Swing Line Commitments</w:t>
      </w:r>
    </w:p>
    <w:p>
      <w:pPr>
        <w:spacing w:after="0" w:line="6"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0"/>
          <w:szCs w:val="20"/>
          <w:color w:val="auto"/>
        </w:rPr>
        <w:t>2.01C</w:t>
      </w:r>
      <w:r>
        <w:rPr>
          <w:sz w:val="20"/>
          <w:szCs w:val="20"/>
          <w:color w:val="auto"/>
        </w:rPr>
        <w:tab/>
      </w:r>
      <w:r>
        <w:rPr>
          <w:rFonts w:ascii="Times New Roman" w:cs="Times New Roman" w:eastAsia="Times New Roman" w:hAnsi="Times New Roman"/>
          <w:sz w:val="19"/>
          <w:szCs w:val="19"/>
          <w:color w:val="auto"/>
        </w:rPr>
        <w:t>L/C Commitments</w:t>
      </w:r>
    </w:p>
    <w:p>
      <w:pPr>
        <w:spacing w:after="0" w:line="13"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Day Basis for Alternative Currencies</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5.06</w:t>
      </w:r>
      <w:r>
        <w:rPr>
          <w:sz w:val="20"/>
          <w:szCs w:val="20"/>
          <w:color w:val="auto"/>
        </w:rPr>
        <w:tab/>
      </w:r>
      <w:r>
        <w:rPr>
          <w:rFonts w:ascii="Times New Roman" w:cs="Times New Roman" w:eastAsia="Times New Roman" w:hAnsi="Times New Roman"/>
          <w:sz w:val="19"/>
          <w:szCs w:val="19"/>
          <w:color w:val="auto"/>
        </w:rPr>
        <w:t>Litigation</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5.09</w:t>
      </w:r>
      <w:r>
        <w:rPr>
          <w:sz w:val="20"/>
          <w:szCs w:val="20"/>
          <w:color w:val="auto"/>
        </w:rPr>
        <w:tab/>
      </w:r>
      <w:r>
        <w:rPr>
          <w:rFonts w:ascii="Times New Roman" w:cs="Times New Roman" w:eastAsia="Times New Roman" w:hAnsi="Times New Roman"/>
          <w:sz w:val="19"/>
          <w:szCs w:val="19"/>
          <w:color w:val="auto"/>
        </w:rPr>
        <w:t>Environmental Matters</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19"/>
          <w:szCs w:val="19"/>
          <w:color w:val="auto"/>
        </w:rPr>
        <w:t>Insurance Matters</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color w:val="auto"/>
        </w:rPr>
        <w:t>Subsidiaries and Other Equity Investments; Equity Interests in Toro</w:t>
      </w:r>
    </w:p>
    <w:p>
      <w:pPr>
        <w:spacing w:after="0" w:line="13"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19"/>
          <w:szCs w:val="19"/>
          <w:color w:val="auto"/>
        </w:rPr>
        <w:t>Identification Numbers for Foreign Obligors</w:t>
      </w:r>
    </w:p>
    <w:p>
      <w:pPr>
        <w:spacing w:after="0" w:line="6"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7.01</w:t>
      </w:r>
      <w:r>
        <w:rPr>
          <w:sz w:val="20"/>
          <w:szCs w:val="20"/>
          <w:color w:val="auto"/>
        </w:rPr>
        <w:tab/>
      </w:r>
      <w:r>
        <w:rPr>
          <w:rFonts w:ascii="Times New Roman" w:cs="Times New Roman" w:eastAsia="Times New Roman" w:hAnsi="Times New Roman"/>
          <w:sz w:val="19"/>
          <w:szCs w:val="19"/>
          <w:color w:val="auto"/>
        </w:rPr>
        <w:t>Existing Liens</w:t>
      </w:r>
    </w:p>
    <w:p>
      <w:pPr>
        <w:spacing w:after="0" w:line="6" w:lineRule="exact"/>
        <w:rPr>
          <w:sz w:val="20"/>
          <w:szCs w:val="20"/>
          <w:color w:val="auto"/>
        </w:rPr>
      </w:pPr>
    </w:p>
    <w:p>
      <w:pPr>
        <w:ind w:left="660"/>
        <w:spacing w:after="0"/>
        <w:tabs>
          <w:tab w:leader="none" w:pos="146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color w:val="auto"/>
        </w:rPr>
        <w:t>Administrative Agent’s Office; Certain Addresses for Notices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Form of</w:t>
      </w:r>
    </w:p>
    <w:p>
      <w:pPr>
        <w:spacing w:after="0" w:line="233" w:lineRule="exact"/>
        <w:rPr>
          <w:sz w:val="20"/>
          <w:szCs w:val="20"/>
          <w:color w:val="auto"/>
        </w:rPr>
      </w:pPr>
    </w:p>
    <w:p>
      <w:pPr>
        <w:ind w:left="1180" w:hanging="524"/>
        <w:spacing w:after="0"/>
        <w:tabs>
          <w:tab w:leader="none" w:pos="11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Notice</w:t>
      </w:r>
    </w:p>
    <w:p>
      <w:pPr>
        <w:spacing w:after="0" w:line="22" w:lineRule="exact"/>
        <w:rPr>
          <w:sz w:val="20"/>
          <w:szCs w:val="20"/>
          <w:color w:val="auto"/>
        </w:rPr>
      </w:pPr>
    </w:p>
    <w:p>
      <w:pPr>
        <w:ind w:left="1180" w:hanging="524"/>
        <w:spacing w:after="0"/>
        <w:tabs>
          <w:tab w:leader="none" w:pos="11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 Line Loan Notice</w:t>
      </w:r>
    </w:p>
    <w:p>
      <w:pPr>
        <w:spacing w:after="0" w:line="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C-1</w:t>
      </w:r>
      <w:r>
        <w:rPr>
          <w:rFonts w:ascii="Times New Roman" w:cs="Times New Roman" w:eastAsia="Times New Roman" w:hAnsi="Times New Roman"/>
          <w:sz w:val="19"/>
          <w:szCs w:val="19"/>
          <w:color w:val="auto"/>
        </w:rPr>
        <w:t>Revolving Credit Note</w:t>
      </w:r>
    </w:p>
    <w:p>
      <w:pPr>
        <w:spacing w:after="0" w:line="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C-2</w:t>
      </w:r>
      <w:r>
        <w:rPr>
          <w:rFonts w:ascii="Times New Roman" w:cs="Times New Roman" w:eastAsia="Times New Roman" w:hAnsi="Times New Roman"/>
          <w:sz w:val="19"/>
          <w:szCs w:val="19"/>
          <w:color w:val="auto"/>
        </w:rPr>
        <w:t>Term Note</w:t>
      </w:r>
    </w:p>
    <w:p>
      <w:pPr>
        <w:spacing w:after="0" w:line="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9"/>
          <w:szCs w:val="19"/>
          <w:color w:val="auto"/>
        </w:rPr>
        <w:t>Compliance Certificate</w:t>
      </w:r>
    </w:p>
    <w:p>
      <w:pPr>
        <w:spacing w:after="0" w:line="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9"/>
          <w:szCs w:val="19"/>
          <w:color w:val="auto"/>
        </w:rPr>
        <w:t>Assignment and Assumption</w:t>
      </w:r>
    </w:p>
    <w:p>
      <w:pPr>
        <w:spacing w:after="0" w:line="6" w:lineRule="exact"/>
        <w:rPr>
          <w:sz w:val="20"/>
          <w:szCs w:val="20"/>
          <w:color w:val="auto"/>
        </w:rPr>
      </w:pPr>
    </w:p>
    <w:p>
      <w:pPr>
        <w:ind w:left="1160" w:hanging="504"/>
        <w:spacing w:after="0"/>
        <w:tabs>
          <w:tab w:leader="none" w:pos="1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w:t>
      </w:r>
    </w:p>
    <w:p>
      <w:pPr>
        <w:spacing w:after="0" w:line="13" w:lineRule="exact"/>
        <w:rPr>
          <w:sz w:val="20"/>
          <w:szCs w:val="20"/>
          <w:color w:val="auto"/>
        </w:rPr>
      </w:pPr>
    </w:p>
    <w:p>
      <w:pPr>
        <w:ind w:left="1200" w:hanging="544"/>
        <w:spacing w:after="0"/>
        <w:tabs>
          <w:tab w:leader="none" w:pos="12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Borrower Request and Assumption Agreement</w:t>
      </w:r>
    </w:p>
    <w:p>
      <w:pPr>
        <w:spacing w:after="0" w:line="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9"/>
          <w:szCs w:val="19"/>
          <w:color w:val="auto"/>
        </w:rPr>
        <w:t>Designated Borrower Notice</w:t>
      </w:r>
    </w:p>
    <w:p>
      <w:pPr>
        <w:spacing w:after="0" w:line="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9"/>
          <w:szCs w:val="19"/>
          <w:color w:val="auto"/>
        </w:rPr>
        <w:t>U.S.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0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CREDIT AGREEMENT</w:t>
      </w:r>
    </w:p>
    <w:p>
      <w:pPr>
        <w:spacing w:after="0" w:line="22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SECOND AMENDED AND RESTATED CREDIT AGREEMENT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is entered into as of October 2, 2024, among </w:t>
      </w:r>
      <w:r>
        <w:rPr>
          <w:rFonts w:ascii="Times New Roman" w:cs="Times New Roman" w:eastAsia="Times New Roman" w:hAnsi="Times New Roman"/>
          <w:sz w:val="19"/>
          <w:szCs w:val="19"/>
          <w:b w:val="1"/>
          <w:bCs w:val="1"/>
          <w:color w:val="auto"/>
        </w:rPr>
        <w:t>THE TORO COMPANY</w:t>
      </w:r>
      <w:r>
        <w:rPr>
          <w:rFonts w:ascii="Times New Roman" w:cs="Times New Roman" w:eastAsia="Times New Roman" w:hAnsi="Times New Roman"/>
          <w:sz w:val="19"/>
          <w:szCs w:val="19"/>
          <w:color w:val="auto"/>
        </w:rPr>
        <w:t>, a Delaware corporation (“</w:t>
      </w:r>
      <w:r>
        <w:rPr>
          <w:rFonts w:ascii="Times New Roman" w:cs="Times New Roman" w:eastAsia="Times New Roman" w:hAnsi="Times New Roman"/>
          <w:sz w:val="19"/>
          <w:szCs w:val="19"/>
          <w:u w:val="single" w:color="auto"/>
          <w:color w:val="auto"/>
        </w:rPr>
        <w:t>Toro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TORO LUXEMBOURG S.À R.L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Toro Luxembourg</w:t>
      </w:r>
      <w:r>
        <w:rPr>
          <w:rFonts w:ascii="Times New Roman" w:cs="Times New Roman" w:eastAsia="Times New Roman" w:hAnsi="Times New Roman"/>
          <w:sz w:val="19"/>
          <w:szCs w:val="19"/>
          <w:color w:val="auto"/>
        </w:rPr>
        <w:t>”), a private limited liability company (</w:t>
      </w:r>
      <w:r>
        <w:rPr>
          <w:rFonts w:ascii="Times New Roman" w:cs="Times New Roman" w:eastAsia="Times New Roman" w:hAnsi="Times New Roman"/>
          <w:sz w:val="19"/>
          <w:szCs w:val="19"/>
          <w:i w:val="1"/>
          <w:iCs w:val="1"/>
          <w:color w:val="auto"/>
        </w:rPr>
        <w:t>société à responsabilité limitée</w:t>
      </w:r>
      <w:r>
        <w:rPr>
          <w:rFonts w:ascii="Times New Roman" w:cs="Times New Roman" w:eastAsia="Times New Roman" w:hAnsi="Times New Roman"/>
          <w:sz w:val="19"/>
          <w:szCs w:val="19"/>
          <w:color w:val="auto"/>
        </w:rPr>
        <w:t>) incorporated and existing under the laws of the Grand Duchy of Luxembourg, having its registered office at 1, rue Pletzer, L-8080 Bertrange, Grand Duchy of Luxembourg, and registered with the Luxembourg trade and companies register (</w:t>
      </w:r>
      <w:r>
        <w:rPr>
          <w:rFonts w:ascii="Times New Roman" w:cs="Times New Roman" w:eastAsia="Times New Roman" w:hAnsi="Times New Roman"/>
          <w:sz w:val="19"/>
          <w:szCs w:val="19"/>
          <w:i w:val="1"/>
          <w:iCs w:val="1"/>
          <w:color w:val="auto"/>
        </w:rPr>
        <w:t>Registre de Commerce et des Sociétés de Luxembourg</w:t>
      </w:r>
      <w:r>
        <w:rPr>
          <w:rFonts w:ascii="Times New Roman" w:cs="Times New Roman" w:eastAsia="Times New Roman" w:hAnsi="Times New Roman"/>
          <w:sz w:val="19"/>
          <w:szCs w:val="19"/>
          <w:color w:val="auto"/>
        </w:rPr>
        <w:t xml:space="preserve">) under registration number B131092, certain other Subsidiaries of Toro that become party hereto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u w:val="single" w:color="auto"/>
          <w:color w:val="auto"/>
        </w:rPr>
        <w:t>Designated Borrower</w:t>
      </w:r>
      <w:r>
        <w:rPr>
          <w:rFonts w:ascii="Times New Roman" w:cs="Times New Roman" w:eastAsia="Times New Roman" w:hAnsi="Times New Roman"/>
          <w:sz w:val="19"/>
          <w:szCs w:val="19"/>
          <w:color w:val="auto"/>
        </w:rPr>
        <w:t>” and, together with Toro Luxembourg, the “</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together with Toro,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each lender from time to time party hereto (collectively,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individually,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BANK OF AMERICA, 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as Administrative Agent, Swing Line Lender and L/C Issuer.</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Borrowers, the lenders party thereto (the “</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certain other parties thereto and Bank of America, N.A., as Administrative Agent, are parties to that certain Amended and Restated Credit Agreement, dated as of October 5, 2021 (as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pursuant to which such Existing Lenders originally agreed to provide the Borrowers with a term loan facility and revolving credit facility, including subfacilities for swing line loans and letters of credit; and</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Borrowers have requested that the Existing Credit Agreement be amended and restated in order to make certain amendments to the Existing Credit Agreement (the “</w:t>
      </w:r>
      <w:r>
        <w:rPr>
          <w:rFonts w:ascii="Times New Roman" w:cs="Times New Roman" w:eastAsia="Times New Roman" w:hAnsi="Times New Roman"/>
          <w:sz w:val="20"/>
          <w:szCs w:val="20"/>
          <w:u w:val="single" w:color="auto"/>
          <w:color w:val="auto"/>
        </w:rPr>
        <w:t>Restatement</w:t>
      </w:r>
      <w:r>
        <w:rPr>
          <w:rFonts w:ascii="Times New Roman" w:cs="Times New Roman" w:eastAsia="Times New Roman" w:hAnsi="Times New Roman"/>
          <w:sz w:val="20"/>
          <w:szCs w:val="20"/>
          <w:color w:val="auto"/>
        </w:rPr>
        <w:t>”), and the Lenders are willing to do so on the terms and conditions set forth herein.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I.1</w:t>
      </w:r>
      <w:r>
        <w:rPr>
          <w:sz w:val="20"/>
          <w:szCs w:val="20"/>
          <w:color w:val="auto"/>
        </w:rPr>
        <w:tab/>
      </w: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As used in this Agreement, the following terms shall have the meanings set forth below:</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xml:space="preserve">”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 before and after giving pro forma effect to any such Acquisition, Toro is in compliance with the financial covenant set forth in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(ii) such Acquisition is undertaken in accordance with all Applicable Laws, and (iii) the prior, effective written consent or approval to such Acquisition of the board of directors or equivalent governing body of the acquiree is obtained.</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USA PATRIOT Act (Title III of Pub. L. 107-56 (signed into law October 26,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12" w:name="page13"/>
    <w:bookmarkEnd w:id="1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(or any designated branch offices or Affiliates of Bank of America) in its capacity as administrative agent under any of the Loan Documents, or any successor administrative agent as permitted by this Agreement.</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Toro and the Lenders.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approved by the Administrative Agent.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any EEA Financi</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l Institution or (b) any UK Financial Institution.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Euro, Sterling, Australian Dollars, Canadian Dollars, Mexican Pesos and each other currency (other than Dollars) that is approved in accordance with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each Alternative Currency, such requested currency is an Eligible Currency.</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means, for any day, with respect to any Credit Extension:</w:t>
      </w:r>
    </w:p>
    <w:p>
      <w:pPr>
        <w:spacing w:after="0" w:line="189" w:lineRule="exact"/>
        <w:rPr>
          <w:sz w:val="20"/>
          <w:szCs w:val="20"/>
          <w:color w:val="auto"/>
        </w:rPr>
      </w:pPr>
    </w:p>
    <w:p>
      <w:pPr>
        <w:ind w:left="1940" w:hanging="636"/>
        <w:spacing w:after="0"/>
        <w:tabs>
          <w:tab w:leader="none" w:pos="19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Sterling, the rate per annum equal to SONIA determined pursuant to the definition thereof; and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Revolving Credit Lenders pursuant to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adjustment (if any) determined by the Administrative Agent and the Revolving Credit Lenders pursuant to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any Alternative Currency Daily Rate shall be less than zero, such rate shall be deemed zero for purposes of this Agreement.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change in an Alternative Currency Daily Rate shall be effective from and including the date of such change without further notice.</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Loan that bears interest at a rate based on the definition of “Alternative Currency Daily Rate.” All Alternative Currency Daily Rate Loans must be denominated in an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xml:space="preserve">”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no such rate is available, the “Alternative Currency Equivalent” shall be determined by the Administrative Agent or the L/C Issuer, as the case may be, using any reasonable method of determination its deems appropriate in its sole discretion (and such determination shall be conclusive absent manifest error).</w:t>
      </w:r>
    </w:p>
    <w:p>
      <w:pPr>
        <w:spacing w:after="0" w:line="13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 All Loans denominated in an Alternative Currency must be Alternative Currency Term Rate Loans or Alternative Currency Daily Rate Loans.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Credit Extension:</w:t>
      </w:r>
    </w:p>
    <w:p>
      <w:pPr>
        <w:spacing w:after="0" w:line="229" w:lineRule="exact"/>
        <w:rPr>
          <w:sz w:val="20"/>
          <w:szCs w:val="20"/>
          <w:color w:val="auto"/>
        </w:rPr>
      </w:pPr>
    </w:p>
    <w:p>
      <w:pPr>
        <w:jc w:val="both"/>
        <w:ind w:left="660" w:firstLine="644"/>
        <w:spacing w:after="0" w:line="258" w:lineRule="auto"/>
        <w:tabs>
          <w:tab w:leader="none" w:pos="173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5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Canadian Dollars, the rate per annum equal to the forward-looking term rate based on CORRA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xml:space="preserve">”) on the Rate Determination Date with a term equivalent to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Term CORRA Adjustment for such Interest Period;</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6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Australian Dollars, the rate per annum equal to the Bank Bill Swap Reference Bid Rate (“</w:t>
      </w:r>
      <w:r>
        <w:rPr>
          <w:rFonts w:ascii="Times New Roman" w:cs="Times New Roman" w:eastAsia="Times New Roman" w:hAnsi="Times New Roman"/>
          <w:sz w:val="20"/>
          <w:szCs w:val="20"/>
          <w:u w:val="single" w:color="auto"/>
          <w:color w:val="auto"/>
        </w:rPr>
        <w:t>BBSY</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1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Mexican Pesos, the rate per annum equal to the Interbanking Equilibrium Interest Rate (“</w:t>
      </w:r>
      <w:r>
        <w:rPr>
          <w:rFonts w:ascii="Times New Roman" w:cs="Times New Roman" w:eastAsia="Times New Roman" w:hAnsi="Times New Roman"/>
          <w:sz w:val="20"/>
          <w:szCs w:val="20"/>
          <w:u w:val="single" w:color="auto"/>
          <w:color w:val="auto"/>
        </w:rPr>
        <w:t>TIIE</w:t>
      </w:r>
      <w:r>
        <w:rPr>
          <w:rFonts w:ascii="Times New Roman" w:cs="Times New Roman" w:eastAsia="Times New Roman" w:hAnsi="Times New Roman"/>
          <w:sz w:val="20"/>
          <w:szCs w:val="20"/>
          <w:color w:val="auto"/>
        </w:rPr>
        <w:t>”), as published by Banco de Mexico in the Federation’s Official Gazette (or such other commercially available source providing such quotations as may be designated by the Administrative Agent from time to time) on the Rate Determination Date with a term equivalent to such Interest Period;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1.05(a)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any Alternative Currency Term Rate shall be less than zero, such rate shall be deemed zero for purposes of this Agreement.</w:t>
      </w:r>
    </w:p>
    <w:p>
      <w:pPr>
        <w:spacing w:after="0" w:line="24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Loan that bears interest at a rate based on the definition of “Alternative Currency Term Rate.” All Alternative Currency Term Rate Loans must be denominated in an Alternative Currency.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Foreign Obligor Documents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5.18(a)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(a) in respect of the Term Facility, with respect to any Term Lender at any time, the percentage (carried out to the ninth decimal place) of the Term Facility represented by (i) on or prior to the Closing Date, such Term Lender’s Term Commitment at such time,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(ii) thereafter, the principal amount of such Term Lender’s Term Loans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If the commitment of each Revolving Credit Lender to make Revolving Credit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and to any Lender’s status as a Defaulting Lender at the time of determination. The initial Applicable Percentage of each Lender in respect of each Facility is set forth opposite the name of such Lender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5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from time to time, the following percentages per annum, based upon (a) the Leverage Ratio for such period, and (b) the Debt Rating as set forth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34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160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c>
          <w:tcPr>
            <w:tcW w:w="126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c>
          <w:tcPr>
            <w:tcW w:w="4220" w:type="dxa"/>
            <w:vAlign w:val="bottom"/>
            <w:tcBorders>
              <w:top w:val="single" w:sz="8" w:color="auto"/>
              <w:bottom w:val="single" w:sz="8" w:color="auto"/>
              <w:right w:val="single" w:sz="8" w:color="auto"/>
            </w:tcBorders>
            <w:shd w:val="clear" w:color="auto" w:fill="D9D9D9"/>
          </w:tcPr>
          <w:p>
            <w:pPr>
              <w:ind w:left="102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tc>
        <w:tc>
          <w:tcPr>
            <w:tcW w:w="2660" w:type="dxa"/>
            <w:vAlign w:val="bottom"/>
            <w:tcBorders>
              <w:top w:val="single" w:sz="8" w:color="auto"/>
              <w:bottom w:val="single" w:sz="8" w:color="auto"/>
              <w:right w:val="single" w:sz="8" w:color="auto"/>
            </w:tcBorders>
            <w:shd w:val="clear" w:color="auto" w:fill="D9D9D9"/>
          </w:tcPr>
          <w:p>
            <w:pPr>
              <w:ind w:left="740"/>
              <w:spacing w:after="0"/>
              <w:rPr>
                <w:sz w:val="20"/>
                <w:szCs w:val="20"/>
                <w:color w:val="auto"/>
              </w:rPr>
            </w:pPr>
            <w:r>
              <w:rPr>
                <w:rFonts w:ascii="Times New Roman" w:cs="Times New Roman" w:eastAsia="Times New Roman" w:hAnsi="Times New Roman"/>
                <w:sz w:val="20"/>
                <w:szCs w:val="20"/>
                <w:b w:val="1"/>
                <w:bCs w:val="1"/>
                <w:color w:val="auto"/>
              </w:rPr>
              <w:t>Term Facility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4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1620" w:type="dxa"/>
            <w:vAlign w:val="bottom"/>
            <w:tcBorders>
              <w:top w:val="single" w:sz="8" w:color="auto"/>
              <w:right w:val="single" w:sz="8" w:color="auto"/>
            </w:tcBorders>
            <w:shd w:val="clear" w:color="auto" w:fill="D9D9D9"/>
          </w:tcPr>
          <w:p>
            <w:pPr>
              <w:spacing w:after="0"/>
              <w:rPr>
                <w:sz w:val="18"/>
                <w:szCs w:val="18"/>
                <w:color w:val="auto"/>
              </w:rPr>
            </w:pPr>
          </w:p>
        </w:tc>
        <w:tc>
          <w:tcPr>
            <w:tcW w:w="100" w:type="dxa"/>
            <w:vAlign w:val="bottom"/>
            <w:tcBorders>
              <w:top w:val="single" w:sz="8" w:color="auto"/>
            </w:tcBorders>
            <w:shd w:val="clear" w:color="auto" w:fill="D9D9D9"/>
          </w:tcPr>
          <w:p>
            <w:pPr>
              <w:spacing w:after="0"/>
              <w:rPr>
                <w:sz w:val="18"/>
                <w:szCs w:val="18"/>
                <w:color w:val="auto"/>
              </w:rPr>
            </w:pPr>
          </w:p>
        </w:tc>
        <w:tc>
          <w:tcPr>
            <w:tcW w:w="100" w:type="dxa"/>
            <w:vAlign w:val="bottom"/>
            <w:tcBorders>
              <w:top w:val="single" w:sz="8" w:color="auto"/>
            </w:tcBorders>
            <w:shd w:val="clear" w:color="auto" w:fill="D9D9D9"/>
          </w:tcPr>
          <w:p>
            <w:pPr>
              <w:spacing w:after="0"/>
              <w:rPr>
                <w:sz w:val="18"/>
                <w:szCs w:val="18"/>
                <w:color w:val="auto"/>
              </w:rPr>
            </w:pPr>
          </w:p>
        </w:tc>
        <w:tc>
          <w:tcPr>
            <w:tcW w:w="1060" w:type="dxa"/>
            <w:vAlign w:val="bottom"/>
            <w:tcBorders>
              <w:top w:val="single" w:sz="8" w:color="auto"/>
              <w:right w:val="single" w:sz="8" w:color="auto"/>
            </w:tcBorders>
            <w:shd w:val="clear" w:color="auto" w:fill="D9D9D9"/>
          </w:tcPr>
          <w:p>
            <w:pPr>
              <w:spacing w:after="0"/>
              <w:rPr>
                <w:sz w:val="18"/>
                <w:szCs w:val="18"/>
                <w:color w:val="auto"/>
              </w:rPr>
            </w:pPr>
          </w:p>
        </w:tc>
        <w:tc>
          <w:tcPr>
            <w:tcW w:w="1340" w:type="dxa"/>
            <w:vAlign w:val="bottom"/>
            <w:tcBorders>
              <w:top w:val="single" w:sz="8" w:color="auto"/>
              <w:right w:val="single" w:sz="8" w:color="auto"/>
            </w:tcBorders>
            <w:shd w:val="clear" w:color="auto" w:fill="D9D9D9"/>
          </w:tcPr>
          <w:p>
            <w:pPr>
              <w:spacing w:after="0"/>
              <w:rPr>
                <w:sz w:val="18"/>
                <w:szCs w:val="18"/>
                <w:color w:val="auto"/>
              </w:rPr>
            </w:pPr>
          </w:p>
        </w:tc>
        <w:tc>
          <w:tcPr>
            <w:tcW w:w="158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Term SOFR</w:t>
            </w:r>
          </w:p>
        </w:tc>
        <w:tc>
          <w:tcPr>
            <w:tcW w:w="1280" w:type="dxa"/>
            <w:vAlign w:val="bottom"/>
            <w:tcBorders>
              <w:top w:val="single" w:sz="8" w:color="auto"/>
              <w:right w:val="single" w:sz="8" w:color="auto"/>
            </w:tcBorders>
            <w:shd w:val="clear" w:color="auto" w:fill="D9D9D9"/>
          </w:tcPr>
          <w:p>
            <w:pPr>
              <w:spacing w:after="0"/>
              <w:rPr>
                <w:sz w:val="18"/>
                <w:szCs w:val="18"/>
                <w:color w:val="auto"/>
              </w:rPr>
            </w:pPr>
          </w:p>
        </w:tc>
        <w:tc>
          <w:tcPr>
            <w:tcW w:w="1380" w:type="dxa"/>
            <w:vAlign w:val="bottom"/>
            <w:tcBorders>
              <w:top w:val="single" w:sz="8" w:color="auto"/>
              <w:right w:val="single" w:sz="8" w:color="auto"/>
            </w:tcBorders>
            <w:shd w:val="clear" w:color="auto" w:fill="D9D9D9"/>
          </w:tcPr>
          <w:p>
            <w:pPr>
              <w:spacing w:after="0"/>
              <w:rPr>
                <w:sz w:val="18"/>
                <w:szCs w:val="18"/>
                <w:color w:val="auto"/>
              </w:rPr>
            </w:pPr>
          </w:p>
        </w:tc>
        <w:tc>
          <w:tcPr>
            <w:tcW w:w="1280" w:type="dxa"/>
            <w:vAlign w:val="bottom"/>
            <w:tcBorders>
              <w:top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40" w:type="dxa"/>
            <w:vAlign w:val="bottom"/>
            <w:tcBorders>
              <w:left w:val="single" w:sz="8" w:color="auto"/>
              <w:right w:val="single" w:sz="8" w:color="auto"/>
            </w:tcBorders>
            <w:shd w:val="clear" w:color="auto" w:fill="D9D9D9"/>
          </w:tcPr>
          <w:p>
            <w:pPr>
              <w:spacing w:after="0"/>
              <w:rPr>
                <w:sz w:val="17"/>
                <w:szCs w:val="17"/>
                <w:color w:val="auto"/>
              </w:rPr>
            </w:pPr>
          </w:p>
        </w:tc>
        <w:tc>
          <w:tcPr>
            <w:tcW w:w="1620" w:type="dxa"/>
            <w:vAlign w:val="bottom"/>
            <w:tcBorders>
              <w:right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Loans,</w:t>
            </w:r>
          </w:p>
        </w:tc>
        <w:tc>
          <w:tcPr>
            <w:tcW w:w="1280" w:type="dxa"/>
            <w:vAlign w:val="bottom"/>
            <w:tcBorders>
              <w:right w:val="single" w:sz="8" w:color="auto"/>
            </w:tcBorders>
            <w:shd w:val="clear" w:color="auto" w:fill="D9D9D9"/>
          </w:tcPr>
          <w:p>
            <w:pPr>
              <w:spacing w:after="0"/>
              <w:rPr>
                <w:sz w:val="17"/>
                <w:szCs w:val="17"/>
                <w:color w:val="auto"/>
              </w:rPr>
            </w:pPr>
          </w:p>
        </w:tc>
        <w:tc>
          <w:tcPr>
            <w:tcW w:w="1380" w:type="dxa"/>
            <w:vAlign w:val="bottom"/>
            <w:tcBorders>
              <w:right w:val="single" w:sz="8" w:color="auto"/>
            </w:tcBorders>
            <w:shd w:val="clear" w:color="auto" w:fill="D9D9D9"/>
          </w:tcPr>
          <w:p>
            <w:pPr>
              <w:spacing w:after="0"/>
              <w:rPr>
                <w:sz w:val="17"/>
                <w:szCs w:val="17"/>
                <w:color w:val="auto"/>
              </w:rPr>
            </w:pPr>
          </w:p>
        </w:tc>
        <w:tc>
          <w:tcPr>
            <w:tcW w:w="12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shd w:val="clear" w:color="auto" w:fill="D9D9D9"/>
          </w:tcPr>
          <w:p>
            <w:pPr>
              <w:spacing w:after="0"/>
              <w:rPr>
                <w:sz w:val="16"/>
                <w:szCs w:val="16"/>
                <w:color w:val="auto"/>
              </w:rPr>
            </w:pPr>
          </w:p>
        </w:tc>
        <w:tc>
          <w:tcPr>
            <w:tcW w:w="1620" w:type="dxa"/>
            <w:vAlign w:val="bottom"/>
            <w:tcBorders>
              <w:right w:val="single" w:sz="8" w:color="auto"/>
            </w:tcBorders>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060" w:type="dxa"/>
            <w:vAlign w:val="bottom"/>
            <w:tcBorders>
              <w:right w:val="single" w:sz="8" w:color="auto"/>
            </w:tcBorders>
            <w:shd w:val="clear" w:color="auto" w:fill="D9D9D9"/>
          </w:tcPr>
          <w:p>
            <w:pPr>
              <w:spacing w:after="0"/>
              <w:rPr>
                <w:sz w:val="16"/>
                <w:szCs w:val="16"/>
                <w:color w:val="auto"/>
              </w:rPr>
            </w:pPr>
          </w:p>
        </w:tc>
        <w:tc>
          <w:tcPr>
            <w:tcW w:w="1340" w:type="dxa"/>
            <w:vAlign w:val="bottom"/>
            <w:tcBorders>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9"/>
              </w:rPr>
              <w:t>Alternative</w:t>
            </w:r>
          </w:p>
        </w:tc>
        <w:tc>
          <w:tcPr>
            <w:tcW w:w="1280" w:type="dxa"/>
            <w:vAlign w:val="bottom"/>
            <w:tcBorders>
              <w:right w:val="single" w:sz="8" w:color="auto"/>
            </w:tcBorders>
            <w:shd w:val="clear" w:color="auto" w:fill="D9D9D9"/>
          </w:tcPr>
          <w:p>
            <w:pPr>
              <w:spacing w:after="0"/>
              <w:rPr>
                <w:sz w:val="16"/>
                <w:szCs w:val="16"/>
                <w:color w:val="auto"/>
              </w:rPr>
            </w:pPr>
          </w:p>
        </w:tc>
        <w:tc>
          <w:tcPr>
            <w:tcW w:w="1380" w:type="dxa"/>
            <w:vAlign w:val="bottom"/>
            <w:tcBorders>
              <w:right w:val="single" w:sz="8" w:color="auto"/>
            </w:tcBorders>
            <w:shd w:val="clear" w:color="auto" w:fill="D9D9D9"/>
          </w:tcPr>
          <w:p>
            <w:pPr>
              <w:spacing w:after="0"/>
              <w:rPr>
                <w:sz w:val="16"/>
                <w:szCs w:val="16"/>
                <w:color w:val="auto"/>
              </w:rPr>
            </w:pPr>
          </w:p>
        </w:tc>
        <w:tc>
          <w:tcPr>
            <w:tcW w:w="128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Pricing</w:t>
            </w:r>
          </w:p>
        </w:tc>
        <w:tc>
          <w:tcPr>
            <w:tcW w:w="16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Leverage Ratio</w:t>
            </w:r>
          </w:p>
        </w:tc>
        <w:tc>
          <w:tcPr>
            <w:tcW w:w="1260" w:type="dxa"/>
            <w:vAlign w:val="bottom"/>
            <w:tcBorders>
              <w:right w:val="single" w:sz="8" w:color="auto"/>
            </w:tcBorders>
            <w:gridSpan w:val="3"/>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Debt Rating</w:t>
            </w:r>
          </w:p>
        </w:tc>
        <w:tc>
          <w:tcPr>
            <w:tcW w:w="13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Facility Fee</w:t>
            </w:r>
          </w:p>
        </w:tc>
        <w:tc>
          <w:tcPr>
            <w:tcW w:w="1580" w:type="dxa"/>
            <w:vAlign w:val="bottom"/>
            <w:tcBorders>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Currency Term</w:t>
            </w: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Term SOFR</w:t>
            </w: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c>
          <w:tcPr>
            <w:tcW w:w="0" w:type="dxa"/>
            <w:vAlign w:val="bottom"/>
          </w:tcPr>
          <w:p>
            <w:pPr>
              <w:spacing w:after="0"/>
              <w:rPr>
                <w:sz w:val="1"/>
                <w:szCs w:val="1"/>
                <w:color w:val="auto"/>
              </w:rPr>
            </w:pPr>
          </w:p>
        </w:tc>
      </w:tr>
      <w:tr>
        <w:trPr>
          <w:trHeight w:val="94"/>
        </w:trPr>
        <w:tc>
          <w:tcPr>
            <w:tcW w:w="134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1620" w:type="dxa"/>
            <w:vAlign w:val="bottom"/>
            <w:tcBorders>
              <w:right w:val="single" w:sz="8" w:color="auto"/>
            </w:tcBorders>
            <w:vMerge w:val="continue"/>
            <w:shd w:val="clear" w:color="auto" w:fill="D9D9D9"/>
          </w:tcPr>
          <w:p>
            <w:pPr>
              <w:spacing w:after="0"/>
              <w:rPr>
                <w:sz w:val="8"/>
                <w:szCs w:val="8"/>
                <w:color w:val="auto"/>
              </w:rPr>
            </w:pPr>
          </w:p>
        </w:tc>
        <w:tc>
          <w:tcPr>
            <w:tcW w:w="1260" w:type="dxa"/>
            <w:vAlign w:val="bottom"/>
            <w:tcBorders>
              <w:right w:val="single" w:sz="8" w:color="auto"/>
            </w:tcBorders>
            <w:gridSpan w:val="3"/>
            <w:vMerge w:val="continue"/>
            <w:shd w:val="clear" w:color="auto" w:fill="D9D9D9"/>
          </w:tcPr>
          <w:p>
            <w:pPr>
              <w:spacing w:after="0"/>
              <w:rPr>
                <w:sz w:val="8"/>
                <w:szCs w:val="8"/>
                <w:color w:val="auto"/>
              </w:rPr>
            </w:pPr>
          </w:p>
        </w:tc>
        <w:tc>
          <w:tcPr>
            <w:tcW w:w="1340" w:type="dxa"/>
            <w:vAlign w:val="bottom"/>
            <w:tcBorders>
              <w:right w:val="single" w:sz="8" w:color="auto"/>
            </w:tcBorders>
            <w:vMerge w:val="continue"/>
            <w:shd w:val="clear" w:color="auto" w:fill="D9D9D9"/>
          </w:tcPr>
          <w:p>
            <w:pPr>
              <w:spacing w:after="0"/>
              <w:rPr>
                <w:sz w:val="8"/>
                <w:szCs w:val="8"/>
                <w:color w:val="auto"/>
              </w:rPr>
            </w:pPr>
          </w:p>
        </w:tc>
        <w:tc>
          <w:tcPr>
            <w:tcW w:w="1580" w:type="dxa"/>
            <w:vAlign w:val="bottom"/>
            <w:tcBorders>
              <w:right w:val="single" w:sz="8" w:color="auto"/>
            </w:tcBorders>
            <w:vMerge w:val="restart"/>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Rate Loans,</w:t>
            </w:r>
          </w:p>
        </w:tc>
        <w:tc>
          <w:tcPr>
            <w:tcW w:w="1280" w:type="dxa"/>
            <w:vAlign w:val="bottom"/>
            <w:tcBorders>
              <w:right w:val="single" w:sz="8" w:color="auto"/>
            </w:tcBorders>
            <w:vMerge w:val="continue"/>
            <w:shd w:val="clear" w:color="auto" w:fill="D9D9D9"/>
          </w:tcPr>
          <w:p>
            <w:pPr>
              <w:spacing w:after="0"/>
              <w:rPr>
                <w:sz w:val="8"/>
                <w:szCs w:val="8"/>
                <w:color w:val="auto"/>
              </w:rPr>
            </w:pPr>
          </w:p>
        </w:tc>
        <w:tc>
          <w:tcPr>
            <w:tcW w:w="1380" w:type="dxa"/>
            <w:vAlign w:val="bottom"/>
            <w:tcBorders>
              <w:right w:val="single" w:sz="8" w:color="auto"/>
            </w:tcBorders>
            <w:vMerge w:val="continue"/>
            <w:shd w:val="clear" w:color="auto" w:fill="D9D9D9"/>
          </w:tcPr>
          <w:p>
            <w:pPr>
              <w:spacing w:after="0"/>
              <w:rPr>
                <w:sz w:val="8"/>
                <w:szCs w:val="8"/>
                <w:color w:val="auto"/>
              </w:rPr>
            </w:pPr>
          </w:p>
        </w:tc>
        <w:tc>
          <w:tcPr>
            <w:tcW w:w="128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1620" w:type="dxa"/>
            <w:vAlign w:val="bottom"/>
            <w:tcBorders>
              <w:right w:val="single" w:sz="8" w:color="auto"/>
            </w:tcBorders>
            <w:vMerge w:val="continue"/>
            <w:shd w:val="clear" w:color="auto" w:fill="D9D9D9"/>
          </w:tcPr>
          <w:p>
            <w:pPr>
              <w:spacing w:after="0"/>
              <w:rPr>
                <w:sz w:val="9"/>
                <w:szCs w:val="9"/>
                <w:color w:val="auto"/>
              </w:rPr>
            </w:pPr>
          </w:p>
        </w:tc>
        <w:tc>
          <w:tcPr>
            <w:tcW w:w="1260" w:type="dxa"/>
            <w:vAlign w:val="bottom"/>
            <w:tcBorders>
              <w:right w:val="single" w:sz="8" w:color="auto"/>
            </w:tcBorders>
            <w:gridSpan w:val="3"/>
            <w:vMerge w:val="continue"/>
            <w:shd w:val="clear" w:color="auto" w:fill="D9D9D9"/>
          </w:tcPr>
          <w:p>
            <w:pPr>
              <w:spacing w:after="0"/>
              <w:rPr>
                <w:sz w:val="9"/>
                <w:szCs w:val="9"/>
                <w:color w:val="auto"/>
              </w:rPr>
            </w:pPr>
          </w:p>
        </w:tc>
        <w:tc>
          <w:tcPr>
            <w:tcW w:w="1340" w:type="dxa"/>
            <w:vAlign w:val="bottom"/>
            <w:tcBorders>
              <w:right w:val="single" w:sz="8" w:color="auto"/>
            </w:tcBorders>
            <w:vMerge w:val="continue"/>
            <w:shd w:val="clear" w:color="auto" w:fill="D9D9D9"/>
          </w:tcPr>
          <w:p>
            <w:pPr>
              <w:spacing w:after="0"/>
              <w:rPr>
                <w:sz w:val="9"/>
                <w:szCs w:val="9"/>
                <w:color w:val="auto"/>
              </w:rPr>
            </w:pPr>
          </w:p>
        </w:tc>
        <w:tc>
          <w:tcPr>
            <w:tcW w:w="1580" w:type="dxa"/>
            <w:vAlign w:val="bottom"/>
            <w:tcBorders>
              <w:right w:val="single" w:sz="8" w:color="auto"/>
            </w:tcBorders>
            <w:vMerge w:val="continue"/>
            <w:shd w:val="clear" w:color="auto" w:fill="D9D9D9"/>
          </w:tcPr>
          <w:p>
            <w:pPr>
              <w:spacing w:after="0"/>
              <w:rPr>
                <w:sz w:val="9"/>
                <w:szCs w:val="9"/>
                <w:color w:val="auto"/>
              </w:rPr>
            </w:pP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0" w:type="dxa"/>
            <w:vAlign w:val="bottom"/>
          </w:tcPr>
          <w:p>
            <w:pPr>
              <w:spacing w:after="0"/>
              <w:rPr>
                <w:sz w:val="1"/>
                <w:szCs w:val="1"/>
                <w:color w:val="auto"/>
              </w:rPr>
            </w:pPr>
          </w:p>
        </w:tc>
      </w:tr>
      <w:tr>
        <w:trPr>
          <w:trHeight w:val="154"/>
        </w:trPr>
        <w:tc>
          <w:tcPr>
            <w:tcW w:w="1340" w:type="dxa"/>
            <w:vAlign w:val="bottom"/>
            <w:tcBorders>
              <w:left w:val="single" w:sz="8" w:color="auto"/>
              <w:right w:val="single" w:sz="8" w:color="auto"/>
            </w:tcBorders>
            <w:vMerge w:val="restart"/>
            <w:shd w:val="clear" w:color="auto" w:fill="D9D9D9"/>
          </w:tcPr>
          <w:p>
            <w:pPr>
              <w:jc w:val="center"/>
              <w:spacing w:after="0" w:line="215" w:lineRule="exact"/>
              <w:rPr>
                <w:sz w:val="20"/>
                <w:szCs w:val="20"/>
                <w:color w:val="auto"/>
              </w:rPr>
            </w:pPr>
            <w:r>
              <w:rPr>
                <w:rFonts w:ascii="Times New Roman" w:cs="Times New Roman" w:eastAsia="Times New Roman" w:hAnsi="Times New Roman"/>
                <w:sz w:val="20"/>
                <w:szCs w:val="20"/>
                <w:b w:val="1"/>
                <w:bCs w:val="1"/>
                <w:color w:val="auto"/>
                <w:w w:val="98"/>
              </w:rPr>
              <w:t>Level</w:t>
            </w:r>
          </w:p>
        </w:tc>
        <w:tc>
          <w:tcPr>
            <w:tcW w:w="1620" w:type="dxa"/>
            <w:vAlign w:val="bottom"/>
            <w:tcBorders>
              <w:right w:val="single" w:sz="8" w:color="auto"/>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060" w:type="dxa"/>
            <w:vAlign w:val="bottom"/>
            <w:tcBorders>
              <w:right w:val="single" w:sz="8" w:color="auto"/>
            </w:tcBorders>
            <w:shd w:val="clear" w:color="auto" w:fill="D9D9D9"/>
          </w:tcPr>
          <w:p>
            <w:pPr>
              <w:spacing w:after="0"/>
              <w:rPr>
                <w:sz w:val="13"/>
                <w:szCs w:val="13"/>
                <w:color w:val="auto"/>
              </w:rPr>
            </w:pPr>
          </w:p>
        </w:tc>
        <w:tc>
          <w:tcPr>
            <w:tcW w:w="1340" w:type="dxa"/>
            <w:vAlign w:val="bottom"/>
            <w:tcBorders>
              <w:right w:val="single" w:sz="8" w:color="auto"/>
            </w:tcBorders>
            <w:shd w:val="clear" w:color="auto" w:fill="D9D9D9"/>
          </w:tcPr>
          <w:p>
            <w:pPr>
              <w:spacing w:after="0"/>
              <w:rPr>
                <w:sz w:val="13"/>
                <w:szCs w:val="13"/>
                <w:color w:val="auto"/>
              </w:rPr>
            </w:pPr>
          </w:p>
        </w:tc>
        <w:tc>
          <w:tcPr>
            <w:tcW w:w="1580" w:type="dxa"/>
            <w:vAlign w:val="bottom"/>
            <w:tcBorders>
              <w:right w:val="single" w:sz="8" w:color="auto"/>
            </w:tcBorders>
            <w:vMerge w:val="restart"/>
            <w:shd w:val="clear" w:color="auto" w:fill="D9D9D9"/>
          </w:tcPr>
          <w:p>
            <w:pPr>
              <w:jc w:val="center"/>
              <w:spacing w:after="0" w:line="215" w:lineRule="exact"/>
              <w:rPr>
                <w:sz w:val="20"/>
                <w:szCs w:val="20"/>
                <w:color w:val="auto"/>
              </w:rPr>
            </w:pPr>
            <w:r>
              <w:rPr>
                <w:rFonts w:ascii="Times New Roman" w:cs="Times New Roman" w:eastAsia="Times New Roman" w:hAnsi="Times New Roman"/>
                <w:sz w:val="20"/>
                <w:szCs w:val="20"/>
                <w:b w:val="1"/>
                <w:bCs w:val="1"/>
                <w:color w:val="auto"/>
                <w:w w:val="99"/>
              </w:rPr>
              <w:t>Alternative</w:t>
            </w:r>
          </w:p>
        </w:tc>
        <w:tc>
          <w:tcPr>
            <w:tcW w:w="1280" w:type="dxa"/>
            <w:vAlign w:val="bottom"/>
            <w:tcBorders>
              <w:right w:val="single" w:sz="8" w:color="auto"/>
            </w:tcBorders>
            <w:vMerge w:val="continue"/>
            <w:shd w:val="clear" w:color="auto" w:fill="D9D9D9"/>
          </w:tcPr>
          <w:p>
            <w:pPr>
              <w:spacing w:after="0"/>
              <w:rPr>
                <w:sz w:val="13"/>
                <w:szCs w:val="13"/>
                <w:color w:val="auto"/>
              </w:rPr>
            </w:pPr>
          </w:p>
        </w:tc>
        <w:tc>
          <w:tcPr>
            <w:tcW w:w="1380" w:type="dxa"/>
            <w:vAlign w:val="bottom"/>
            <w:tcBorders>
              <w:right w:val="single" w:sz="8" w:color="auto"/>
            </w:tcBorders>
            <w:vMerge w:val="continue"/>
            <w:shd w:val="clear" w:color="auto" w:fill="D9D9D9"/>
          </w:tcPr>
          <w:p>
            <w:pPr>
              <w:spacing w:after="0"/>
              <w:rPr>
                <w:sz w:val="13"/>
                <w:szCs w:val="13"/>
                <w:color w:val="auto"/>
              </w:rPr>
            </w:pPr>
          </w:p>
        </w:tc>
        <w:tc>
          <w:tcPr>
            <w:tcW w:w="128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340" w:type="dxa"/>
            <w:vAlign w:val="bottom"/>
            <w:tcBorders>
              <w:left w:val="single" w:sz="8" w:color="auto"/>
              <w:right w:val="single" w:sz="8" w:color="auto"/>
            </w:tcBorders>
            <w:vMerge w:val="continue"/>
            <w:shd w:val="clear" w:color="auto" w:fill="D9D9D9"/>
          </w:tcPr>
          <w:p>
            <w:pPr>
              <w:spacing w:after="0"/>
              <w:rPr>
                <w:sz w:val="5"/>
                <w:szCs w:val="5"/>
                <w:color w:val="auto"/>
              </w:rPr>
            </w:pPr>
          </w:p>
        </w:tc>
        <w:tc>
          <w:tcPr>
            <w:tcW w:w="1620" w:type="dxa"/>
            <w:vAlign w:val="bottom"/>
            <w:tcBorders>
              <w:right w:val="single" w:sz="8" w:color="auto"/>
            </w:tcBorders>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1060" w:type="dxa"/>
            <w:vAlign w:val="bottom"/>
            <w:tcBorders>
              <w:right w:val="single" w:sz="8" w:color="auto"/>
            </w:tcBorders>
            <w:shd w:val="clear" w:color="auto" w:fill="D9D9D9"/>
          </w:tcPr>
          <w:p>
            <w:pPr>
              <w:spacing w:after="0"/>
              <w:rPr>
                <w:sz w:val="5"/>
                <w:szCs w:val="5"/>
                <w:color w:val="auto"/>
              </w:rPr>
            </w:pPr>
          </w:p>
        </w:tc>
        <w:tc>
          <w:tcPr>
            <w:tcW w:w="1340" w:type="dxa"/>
            <w:vAlign w:val="bottom"/>
            <w:tcBorders>
              <w:right w:val="single" w:sz="8" w:color="auto"/>
            </w:tcBorders>
            <w:shd w:val="clear" w:color="auto" w:fill="D9D9D9"/>
          </w:tcPr>
          <w:p>
            <w:pPr>
              <w:spacing w:after="0"/>
              <w:rPr>
                <w:sz w:val="5"/>
                <w:szCs w:val="5"/>
                <w:color w:val="auto"/>
              </w:rPr>
            </w:pPr>
          </w:p>
        </w:tc>
        <w:tc>
          <w:tcPr>
            <w:tcW w:w="1580" w:type="dxa"/>
            <w:vAlign w:val="bottom"/>
            <w:tcBorders>
              <w:right w:val="single" w:sz="8" w:color="auto"/>
            </w:tcBorders>
            <w:vMerge w:val="continue"/>
            <w:shd w:val="clear" w:color="auto" w:fill="D9D9D9"/>
          </w:tcPr>
          <w:p>
            <w:pPr>
              <w:spacing w:after="0"/>
              <w:rPr>
                <w:sz w:val="5"/>
                <w:szCs w:val="5"/>
                <w:color w:val="auto"/>
              </w:rPr>
            </w:pPr>
          </w:p>
        </w:tc>
        <w:tc>
          <w:tcPr>
            <w:tcW w:w="1280" w:type="dxa"/>
            <w:vAlign w:val="bottom"/>
            <w:tcBorders>
              <w:right w:val="single" w:sz="8" w:color="auto"/>
            </w:tcBorders>
            <w:shd w:val="clear" w:color="auto" w:fill="D9D9D9"/>
          </w:tcPr>
          <w:p>
            <w:pPr>
              <w:spacing w:after="0"/>
              <w:rPr>
                <w:sz w:val="5"/>
                <w:szCs w:val="5"/>
                <w:color w:val="auto"/>
              </w:rPr>
            </w:pPr>
          </w:p>
        </w:tc>
        <w:tc>
          <w:tcPr>
            <w:tcW w:w="1380" w:type="dxa"/>
            <w:vAlign w:val="bottom"/>
            <w:tcBorders>
              <w:right w:val="single" w:sz="8" w:color="auto"/>
            </w:tcBorders>
            <w:shd w:val="clear" w:color="auto" w:fill="D9D9D9"/>
          </w:tcPr>
          <w:p>
            <w:pPr>
              <w:spacing w:after="0"/>
              <w:rPr>
                <w:sz w:val="5"/>
                <w:szCs w:val="5"/>
                <w:color w:val="auto"/>
              </w:rPr>
            </w:pPr>
          </w:p>
        </w:tc>
        <w:tc>
          <w:tcPr>
            <w:tcW w:w="1280" w:type="dxa"/>
            <w:vAlign w:val="bottom"/>
            <w:tcBorders>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340" w:type="dxa"/>
            <w:vAlign w:val="bottom"/>
            <w:tcBorders>
              <w:left w:val="single" w:sz="8" w:color="auto"/>
              <w:right w:val="single" w:sz="8" w:color="auto"/>
            </w:tcBorders>
            <w:shd w:val="clear" w:color="auto" w:fill="D9D9D9"/>
          </w:tcPr>
          <w:p>
            <w:pPr>
              <w:spacing w:after="0"/>
              <w:rPr>
                <w:sz w:val="15"/>
                <w:szCs w:val="15"/>
                <w:color w:val="auto"/>
              </w:rPr>
            </w:pPr>
          </w:p>
        </w:tc>
        <w:tc>
          <w:tcPr>
            <w:tcW w:w="1620" w:type="dxa"/>
            <w:vAlign w:val="bottom"/>
            <w:tcBorders>
              <w:right w:val="single" w:sz="8" w:color="auto"/>
            </w:tcBorders>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060" w:type="dxa"/>
            <w:vAlign w:val="bottom"/>
            <w:tcBorders>
              <w:right w:val="single" w:sz="8" w:color="auto"/>
            </w:tcBorders>
            <w:shd w:val="clear" w:color="auto" w:fill="D9D9D9"/>
          </w:tcPr>
          <w:p>
            <w:pPr>
              <w:spacing w:after="0"/>
              <w:rPr>
                <w:sz w:val="15"/>
                <w:szCs w:val="15"/>
                <w:color w:val="auto"/>
              </w:rPr>
            </w:pPr>
          </w:p>
        </w:tc>
        <w:tc>
          <w:tcPr>
            <w:tcW w:w="1340" w:type="dxa"/>
            <w:vAlign w:val="bottom"/>
            <w:tcBorders>
              <w:right w:val="single" w:sz="8" w:color="auto"/>
            </w:tcBorders>
            <w:shd w:val="clear" w:color="auto" w:fill="D9D9D9"/>
          </w:tcPr>
          <w:p>
            <w:pPr>
              <w:spacing w:after="0"/>
              <w:rPr>
                <w:sz w:val="15"/>
                <w:szCs w:val="15"/>
                <w:color w:val="auto"/>
              </w:rPr>
            </w:pPr>
          </w:p>
        </w:tc>
        <w:tc>
          <w:tcPr>
            <w:tcW w:w="1580" w:type="dxa"/>
            <w:vAlign w:val="bottom"/>
            <w:tcBorders>
              <w:right w:val="single" w:sz="8" w:color="auto"/>
            </w:tcBorders>
            <w:shd w:val="clear" w:color="auto" w:fill="D9D9D9"/>
          </w:tcPr>
          <w:p>
            <w:pPr>
              <w:jc w:val="center"/>
              <w:spacing w:after="0" w:line="177" w:lineRule="exact"/>
              <w:rPr>
                <w:sz w:val="20"/>
                <w:szCs w:val="20"/>
                <w:color w:val="auto"/>
              </w:rPr>
            </w:pPr>
            <w:r>
              <w:rPr>
                <w:rFonts w:ascii="Times New Roman" w:cs="Times New Roman" w:eastAsia="Times New Roman" w:hAnsi="Times New Roman"/>
                <w:sz w:val="20"/>
                <w:szCs w:val="20"/>
                <w:b w:val="1"/>
                <w:bCs w:val="1"/>
                <w:color w:val="auto"/>
                <w:w w:val="99"/>
              </w:rPr>
              <w:t>Currency Daily</w:t>
            </w:r>
          </w:p>
        </w:tc>
        <w:tc>
          <w:tcPr>
            <w:tcW w:w="1280" w:type="dxa"/>
            <w:vAlign w:val="bottom"/>
            <w:tcBorders>
              <w:right w:val="single" w:sz="8" w:color="auto"/>
            </w:tcBorders>
            <w:shd w:val="clear" w:color="auto" w:fill="D9D9D9"/>
          </w:tcPr>
          <w:p>
            <w:pPr>
              <w:spacing w:after="0"/>
              <w:rPr>
                <w:sz w:val="15"/>
                <w:szCs w:val="15"/>
                <w:color w:val="auto"/>
              </w:rPr>
            </w:pPr>
          </w:p>
        </w:tc>
        <w:tc>
          <w:tcPr>
            <w:tcW w:w="1380" w:type="dxa"/>
            <w:vAlign w:val="bottom"/>
            <w:tcBorders>
              <w:right w:val="single" w:sz="8" w:color="auto"/>
            </w:tcBorders>
            <w:shd w:val="clear" w:color="auto" w:fill="D9D9D9"/>
          </w:tcPr>
          <w:p>
            <w:pPr>
              <w:spacing w:after="0"/>
              <w:rPr>
                <w:sz w:val="15"/>
                <w:szCs w:val="15"/>
                <w:color w:val="auto"/>
              </w:rPr>
            </w:pPr>
          </w:p>
        </w:tc>
        <w:tc>
          <w:tcPr>
            <w:tcW w:w="128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340" w:type="dxa"/>
            <w:vAlign w:val="bottom"/>
            <w:tcBorders>
              <w:left w:val="single" w:sz="8" w:color="auto"/>
              <w:right w:val="single" w:sz="8" w:color="auto"/>
            </w:tcBorders>
            <w:shd w:val="clear" w:color="auto" w:fill="D9D9D9"/>
          </w:tcPr>
          <w:p>
            <w:pPr>
              <w:spacing w:after="0"/>
              <w:rPr>
                <w:sz w:val="17"/>
                <w:szCs w:val="17"/>
                <w:color w:val="auto"/>
              </w:rPr>
            </w:pPr>
          </w:p>
        </w:tc>
        <w:tc>
          <w:tcPr>
            <w:tcW w:w="1620" w:type="dxa"/>
            <w:vAlign w:val="bottom"/>
            <w:tcBorders>
              <w:right w:val="single" w:sz="8" w:color="auto"/>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134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Rate Loans and</w:t>
            </w:r>
          </w:p>
        </w:tc>
        <w:tc>
          <w:tcPr>
            <w:tcW w:w="1280" w:type="dxa"/>
            <w:vAlign w:val="bottom"/>
            <w:tcBorders>
              <w:right w:val="single" w:sz="8" w:color="auto"/>
            </w:tcBorders>
            <w:shd w:val="clear" w:color="auto" w:fill="D9D9D9"/>
          </w:tcPr>
          <w:p>
            <w:pPr>
              <w:spacing w:after="0"/>
              <w:rPr>
                <w:sz w:val="17"/>
                <w:szCs w:val="17"/>
                <w:color w:val="auto"/>
              </w:rPr>
            </w:pPr>
          </w:p>
        </w:tc>
        <w:tc>
          <w:tcPr>
            <w:tcW w:w="1380" w:type="dxa"/>
            <w:vAlign w:val="bottom"/>
            <w:tcBorders>
              <w:right w:val="single" w:sz="8" w:color="auto"/>
            </w:tcBorders>
            <w:shd w:val="clear" w:color="auto" w:fill="D9D9D9"/>
          </w:tcPr>
          <w:p>
            <w:pPr>
              <w:spacing w:after="0"/>
              <w:rPr>
                <w:sz w:val="17"/>
                <w:szCs w:val="17"/>
                <w:color w:val="auto"/>
              </w:rPr>
            </w:pPr>
          </w:p>
        </w:tc>
        <w:tc>
          <w:tcPr>
            <w:tcW w:w="12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34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1620" w:type="dxa"/>
            <w:vAlign w:val="bottom"/>
            <w:tcBorders>
              <w:bottom w:val="single" w:sz="8" w:color="auto"/>
              <w:right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060" w:type="dxa"/>
            <w:vAlign w:val="bottom"/>
            <w:tcBorders>
              <w:bottom w:val="single" w:sz="8" w:color="auto"/>
              <w:right w:val="single" w:sz="8" w:color="auto"/>
            </w:tcBorders>
            <w:shd w:val="clear" w:color="auto" w:fill="D9D9D9"/>
          </w:tcPr>
          <w:p>
            <w:pPr>
              <w:spacing w:after="0"/>
              <w:rPr>
                <w:sz w:val="22"/>
                <w:szCs w:val="22"/>
                <w:color w:val="auto"/>
              </w:rPr>
            </w:pPr>
          </w:p>
        </w:tc>
        <w:tc>
          <w:tcPr>
            <w:tcW w:w="1340" w:type="dxa"/>
            <w:vAlign w:val="bottom"/>
            <w:tcBorders>
              <w:bottom w:val="single" w:sz="8" w:color="auto"/>
              <w:right w:val="single" w:sz="8" w:color="auto"/>
            </w:tcBorders>
            <w:shd w:val="clear" w:color="auto" w:fill="D9D9D9"/>
          </w:tcPr>
          <w:p>
            <w:pPr>
              <w:spacing w:after="0"/>
              <w:rPr>
                <w:sz w:val="22"/>
                <w:szCs w:val="22"/>
                <w:color w:val="auto"/>
              </w:rPr>
            </w:pP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Letters of Credit</w:t>
            </w:r>
          </w:p>
        </w:tc>
        <w:tc>
          <w:tcPr>
            <w:tcW w:w="1280" w:type="dxa"/>
            <w:vAlign w:val="bottom"/>
            <w:tcBorders>
              <w:bottom w:val="single" w:sz="8" w:color="auto"/>
              <w:right w:val="single" w:sz="8" w:color="auto"/>
            </w:tcBorders>
            <w:shd w:val="clear" w:color="auto" w:fill="D9D9D9"/>
          </w:tcPr>
          <w:p>
            <w:pPr>
              <w:spacing w:after="0"/>
              <w:rPr>
                <w:sz w:val="22"/>
                <w:szCs w:val="22"/>
                <w:color w:val="auto"/>
              </w:rPr>
            </w:pPr>
          </w:p>
        </w:tc>
        <w:tc>
          <w:tcPr>
            <w:tcW w:w="1380" w:type="dxa"/>
            <w:vAlign w:val="bottom"/>
            <w:tcBorders>
              <w:bottom w:val="single" w:sz="8" w:color="auto"/>
              <w:right w:val="single" w:sz="8" w:color="auto"/>
            </w:tcBorders>
            <w:shd w:val="clear" w:color="auto" w:fill="D9D9D9"/>
          </w:tcPr>
          <w:p>
            <w:pPr>
              <w:spacing w:after="0"/>
              <w:rPr>
                <w:sz w:val="22"/>
                <w:szCs w:val="22"/>
                <w:color w:val="auto"/>
              </w:rPr>
            </w:pPr>
          </w:p>
        </w:tc>
        <w:tc>
          <w:tcPr>
            <w:tcW w:w="1280" w:type="dxa"/>
            <w:vAlign w:val="bottom"/>
            <w:tcBorders>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62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Less than or equal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right w:val="single" w:sz="8" w:color="auto"/>
            </w:tcBorders>
            <w:vMerge w:val="restart"/>
          </w:tcPr>
          <w:p>
            <w:pPr>
              <w:jc w:val="center"/>
              <w:ind w:right="161"/>
              <w:spacing w:after="0"/>
              <w:rPr>
                <w:sz w:val="20"/>
                <w:szCs w:val="20"/>
                <w:color w:val="auto"/>
              </w:rPr>
            </w:pPr>
            <w:r>
              <w:rPr>
                <w:rFonts w:ascii="Times New Roman" w:cs="Times New Roman" w:eastAsia="Times New Roman" w:hAnsi="Times New Roman"/>
                <w:sz w:val="20"/>
                <w:szCs w:val="20"/>
                <w:color w:val="auto"/>
                <w:w w:val="98"/>
              </w:rPr>
              <w:t>≥ A- / A3</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0.075%</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0.800%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0.000%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0.875%</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0.000%</w:t>
            </w:r>
          </w:p>
        </w:tc>
        <w:tc>
          <w:tcPr>
            <w:tcW w:w="0" w:type="dxa"/>
            <w:vAlign w:val="bottom"/>
          </w:tcPr>
          <w:p>
            <w:pPr>
              <w:spacing w:after="0"/>
              <w:rPr>
                <w:sz w:val="1"/>
                <w:szCs w:val="1"/>
                <w:color w:val="auto"/>
              </w:rPr>
            </w:pPr>
          </w:p>
        </w:tc>
      </w:tr>
      <w:tr>
        <w:trPr>
          <w:trHeight w:val="150"/>
        </w:trPr>
        <w:tc>
          <w:tcPr>
            <w:tcW w:w="1340" w:type="dxa"/>
            <w:vAlign w:val="bottom"/>
            <w:tcBorders>
              <w:left w:val="single" w:sz="8" w:color="auto"/>
              <w:right w:val="single" w:sz="8" w:color="auto"/>
            </w:tcBorders>
            <w:vMerge w:val="continue"/>
          </w:tcPr>
          <w:p>
            <w:pPr>
              <w:spacing w:after="0"/>
              <w:rPr>
                <w:sz w:val="13"/>
                <w:szCs w:val="13"/>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to 0.25x</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158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34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6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Less than or equal</w:t>
            </w:r>
          </w:p>
        </w:tc>
        <w:tc>
          <w:tcPr>
            <w:tcW w:w="12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BBB+ / Baa1</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0.100%</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0.900%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0.000%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0.000%</w:t>
            </w: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right w:val="single" w:sz="8" w:color="auto"/>
            </w:tcBorders>
            <w:vMerge w:val="continue"/>
          </w:tcPr>
          <w:p>
            <w:pPr>
              <w:spacing w:after="0"/>
              <w:rPr>
                <w:sz w:val="17"/>
                <w:szCs w:val="17"/>
                <w:color w:val="auto"/>
              </w:rPr>
            </w:pPr>
          </w:p>
        </w:tc>
        <w:tc>
          <w:tcPr>
            <w:tcW w:w="16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7"/>
              </w:rPr>
              <w:t>to 1.00x but</w:t>
            </w:r>
          </w:p>
        </w:tc>
        <w:tc>
          <w:tcPr>
            <w:tcW w:w="1260" w:type="dxa"/>
            <w:vAlign w:val="bottom"/>
            <w:tcBorders>
              <w:right w:val="single" w:sz="8" w:color="auto"/>
            </w:tcBorders>
            <w:gridSpan w:val="3"/>
            <w:vMerge w:val="continue"/>
          </w:tcPr>
          <w:p>
            <w:pPr>
              <w:spacing w:after="0"/>
              <w:rPr>
                <w:sz w:val="17"/>
                <w:szCs w:val="17"/>
                <w:color w:val="auto"/>
              </w:rPr>
            </w:pPr>
          </w:p>
        </w:tc>
        <w:tc>
          <w:tcPr>
            <w:tcW w:w="1340" w:type="dxa"/>
            <w:vAlign w:val="bottom"/>
            <w:tcBorders>
              <w:right w:val="single" w:sz="8" w:color="auto"/>
            </w:tcBorders>
            <w:vMerge w:val="continue"/>
          </w:tcPr>
          <w:p>
            <w:pPr>
              <w:spacing w:after="0"/>
              <w:rPr>
                <w:sz w:val="17"/>
                <w:szCs w:val="17"/>
                <w:color w:val="auto"/>
              </w:rPr>
            </w:pPr>
          </w:p>
        </w:tc>
        <w:tc>
          <w:tcPr>
            <w:tcW w:w="158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138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340" w:type="dxa"/>
            <w:vAlign w:val="bottom"/>
            <w:tcBorders>
              <w:left w:val="single" w:sz="8" w:color="auto"/>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0.25x</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6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Less than or equal</w:t>
            </w:r>
          </w:p>
        </w:tc>
        <w:tc>
          <w:tcPr>
            <w:tcW w:w="100" w:type="dxa"/>
            <w:vAlign w:val="bottom"/>
          </w:tcPr>
          <w:p>
            <w:pPr>
              <w:spacing w:after="0"/>
              <w:rPr>
                <w:sz w:val="16"/>
                <w:szCs w:val="16"/>
                <w:color w:val="auto"/>
              </w:rPr>
            </w:pPr>
          </w:p>
        </w:tc>
        <w:tc>
          <w:tcPr>
            <w:tcW w:w="1160" w:type="dxa"/>
            <w:vAlign w:val="bottom"/>
            <w:tcBorders>
              <w:right w:val="single" w:sz="8" w:color="auto"/>
            </w:tcBorders>
            <w:gridSpan w:val="2"/>
            <w:vMerge w:val="restart"/>
          </w:tcPr>
          <w:p>
            <w:pPr>
              <w:jc w:val="center"/>
              <w:ind w:right="61"/>
              <w:spacing w:after="0"/>
              <w:rPr>
                <w:sz w:val="20"/>
                <w:szCs w:val="20"/>
                <w:color w:val="auto"/>
              </w:rPr>
            </w:pPr>
            <w:r>
              <w:rPr>
                <w:rFonts w:ascii="Times New Roman" w:cs="Times New Roman" w:eastAsia="Times New Roman" w:hAnsi="Times New Roman"/>
                <w:sz w:val="20"/>
                <w:szCs w:val="20"/>
                <w:color w:val="auto"/>
                <w:w w:val="99"/>
              </w:rPr>
              <w:t>BBB / Baa2</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0.125%</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0.000%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1.125%</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0.125%</w:t>
            </w: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right w:val="single" w:sz="8" w:color="auto"/>
            </w:tcBorders>
            <w:vMerge w:val="continue"/>
          </w:tcPr>
          <w:p>
            <w:pPr>
              <w:spacing w:after="0"/>
              <w:rPr>
                <w:sz w:val="17"/>
                <w:szCs w:val="17"/>
                <w:color w:val="auto"/>
              </w:rPr>
            </w:pPr>
          </w:p>
        </w:tc>
        <w:tc>
          <w:tcPr>
            <w:tcW w:w="16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7"/>
              </w:rPr>
              <w:t>to 1.50x but</w:t>
            </w:r>
          </w:p>
        </w:tc>
        <w:tc>
          <w:tcPr>
            <w:tcW w:w="100" w:type="dxa"/>
            <w:vAlign w:val="bottom"/>
          </w:tcPr>
          <w:p>
            <w:pPr>
              <w:spacing w:after="0"/>
              <w:rPr>
                <w:sz w:val="17"/>
                <w:szCs w:val="17"/>
                <w:color w:val="auto"/>
              </w:rPr>
            </w:pPr>
          </w:p>
        </w:tc>
        <w:tc>
          <w:tcPr>
            <w:tcW w:w="1160" w:type="dxa"/>
            <w:vAlign w:val="bottom"/>
            <w:tcBorders>
              <w:right w:val="single" w:sz="8" w:color="auto"/>
            </w:tcBorders>
            <w:gridSpan w:val="2"/>
            <w:vMerge w:val="continue"/>
          </w:tcPr>
          <w:p>
            <w:pPr>
              <w:spacing w:after="0"/>
              <w:rPr>
                <w:sz w:val="17"/>
                <w:szCs w:val="17"/>
                <w:color w:val="auto"/>
              </w:rPr>
            </w:pPr>
          </w:p>
        </w:tc>
        <w:tc>
          <w:tcPr>
            <w:tcW w:w="1340" w:type="dxa"/>
            <w:vAlign w:val="bottom"/>
            <w:tcBorders>
              <w:right w:val="single" w:sz="8" w:color="auto"/>
            </w:tcBorders>
            <w:vMerge w:val="continue"/>
          </w:tcPr>
          <w:p>
            <w:pPr>
              <w:spacing w:after="0"/>
              <w:rPr>
                <w:sz w:val="17"/>
                <w:szCs w:val="17"/>
                <w:color w:val="auto"/>
              </w:rPr>
            </w:pPr>
          </w:p>
        </w:tc>
        <w:tc>
          <w:tcPr>
            <w:tcW w:w="158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138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340" w:type="dxa"/>
            <w:vAlign w:val="bottom"/>
            <w:tcBorders>
              <w:left w:val="single" w:sz="8" w:color="auto"/>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1.00x</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16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Less than or equal</w:t>
            </w:r>
          </w:p>
        </w:tc>
        <w:tc>
          <w:tcPr>
            <w:tcW w:w="12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BBB- / Baa3</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0.175%</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1.200%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0.200%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1.375%</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0.375%</w:t>
            </w: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right w:val="single" w:sz="8" w:color="auto"/>
            </w:tcBorders>
            <w:vMerge w:val="continue"/>
          </w:tcPr>
          <w:p>
            <w:pPr>
              <w:spacing w:after="0"/>
              <w:rPr>
                <w:sz w:val="17"/>
                <w:szCs w:val="17"/>
                <w:color w:val="auto"/>
              </w:rPr>
            </w:pPr>
          </w:p>
        </w:tc>
        <w:tc>
          <w:tcPr>
            <w:tcW w:w="16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7"/>
              </w:rPr>
              <w:t>to 2.00x but</w:t>
            </w:r>
          </w:p>
        </w:tc>
        <w:tc>
          <w:tcPr>
            <w:tcW w:w="1260" w:type="dxa"/>
            <w:vAlign w:val="bottom"/>
            <w:tcBorders>
              <w:right w:val="single" w:sz="8" w:color="auto"/>
            </w:tcBorders>
            <w:gridSpan w:val="3"/>
            <w:vMerge w:val="continue"/>
          </w:tcPr>
          <w:p>
            <w:pPr>
              <w:spacing w:after="0"/>
              <w:rPr>
                <w:sz w:val="17"/>
                <w:szCs w:val="17"/>
                <w:color w:val="auto"/>
              </w:rPr>
            </w:pPr>
          </w:p>
        </w:tc>
        <w:tc>
          <w:tcPr>
            <w:tcW w:w="1340" w:type="dxa"/>
            <w:vAlign w:val="bottom"/>
            <w:tcBorders>
              <w:right w:val="single" w:sz="8" w:color="auto"/>
            </w:tcBorders>
            <w:vMerge w:val="continue"/>
          </w:tcPr>
          <w:p>
            <w:pPr>
              <w:spacing w:after="0"/>
              <w:rPr>
                <w:sz w:val="17"/>
                <w:szCs w:val="17"/>
                <w:color w:val="auto"/>
              </w:rPr>
            </w:pPr>
          </w:p>
        </w:tc>
        <w:tc>
          <w:tcPr>
            <w:tcW w:w="158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1380" w:type="dxa"/>
            <w:vAlign w:val="bottom"/>
            <w:tcBorders>
              <w:right w:val="single" w:sz="8" w:color="auto"/>
            </w:tcBorders>
            <w:vMerge w:val="continue"/>
          </w:tcPr>
          <w:p>
            <w:pPr>
              <w:spacing w:after="0"/>
              <w:rPr>
                <w:sz w:val="17"/>
                <w:szCs w:val="17"/>
                <w:color w:val="auto"/>
              </w:rPr>
            </w:pPr>
          </w:p>
        </w:tc>
        <w:tc>
          <w:tcPr>
            <w:tcW w:w="1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340" w:type="dxa"/>
            <w:vAlign w:val="bottom"/>
            <w:tcBorders>
              <w:left w:val="single" w:sz="8" w:color="auto"/>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1.50x</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5</w:t>
            </w:r>
          </w:p>
        </w:tc>
        <w:tc>
          <w:tcPr>
            <w:tcW w:w="16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Greater than 2.00x</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61"/>
              <w:spacing w:after="0" w:line="209" w:lineRule="exact"/>
              <w:rPr>
                <w:sz w:val="20"/>
                <w:szCs w:val="20"/>
                <w:color w:val="auto"/>
              </w:rPr>
            </w:pPr>
            <w:r>
              <w:rPr>
                <w:rFonts w:ascii="Times New Roman" w:cs="Times New Roman" w:eastAsia="Times New Roman" w:hAnsi="Times New Roman"/>
                <w:sz w:val="20"/>
                <w:szCs w:val="20"/>
                <w:color w:val="auto"/>
                <w:w w:val="97"/>
              </w:rPr>
              <w:t>&lt; BB+ / Ba1</w:t>
            </w:r>
          </w:p>
        </w:tc>
        <w:tc>
          <w:tcPr>
            <w:tcW w:w="1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0.225%</w:t>
            </w:r>
          </w:p>
        </w:tc>
        <w:tc>
          <w:tcPr>
            <w:tcW w:w="15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1.400%</w:t>
            </w:r>
          </w:p>
        </w:tc>
        <w:tc>
          <w:tcPr>
            <w:tcW w:w="12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0.400%</w:t>
            </w:r>
          </w:p>
        </w:tc>
        <w:tc>
          <w:tcPr>
            <w:tcW w:w="13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1.625%</w:t>
            </w:r>
          </w:p>
        </w:tc>
        <w:tc>
          <w:tcPr>
            <w:tcW w:w="12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0.625%</w:t>
            </w:r>
          </w:p>
        </w:tc>
        <w:tc>
          <w:tcPr>
            <w:tcW w:w="0" w:type="dxa"/>
            <w:vAlign w:val="bottom"/>
          </w:tcPr>
          <w:p>
            <w:pPr>
              <w:spacing w:after="0"/>
              <w:rPr>
                <w:sz w:val="1"/>
                <w:szCs w:val="1"/>
                <w:color w:val="auto"/>
              </w:rPr>
            </w:pPr>
          </w:p>
        </w:tc>
      </w:tr>
      <w:tr>
        <w:trPr>
          <w:trHeight w:val="68"/>
        </w:trPr>
        <w:tc>
          <w:tcPr>
            <w:tcW w:w="134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80"/>
          </w:cols>
          <w:pgMar w:left="320" w:top="1440" w:right="499" w:bottom="1440" w:gutter="0" w:footer="0" w:header="0"/>
        </w:sectPr>
      </w:pPr>
    </w:p>
    <w:bookmarkStart w:id="16" w:name="page17"/>
    <w:bookmarkEnd w:id="16"/>
    <w:p>
      <w:pPr>
        <w:jc w:val="both"/>
        <w:ind w:left="680" w:firstLine="615"/>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Rating</w:t>
      </w:r>
      <w:r>
        <w:rPr>
          <w:rFonts w:ascii="Times New Roman" w:cs="Times New Roman" w:eastAsia="Times New Roman" w:hAnsi="Times New Roman"/>
          <w:sz w:val="20"/>
          <w:szCs w:val="20"/>
          <w:color w:val="auto"/>
        </w:rPr>
        <w:t>” means, as of any date of determination, the rating as determined by either S&amp;P or Moody’s (collectively, the “</w:t>
      </w:r>
      <w:r>
        <w:rPr>
          <w:rFonts w:ascii="Times New Roman" w:cs="Times New Roman" w:eastAsia="Times New Roman" w:hAnsi="Times New Roman"/>
          <w:sz w:val="20"/>
          <w:szCs w:val="20"/>
          <w:u w:val="single" w:color="auto"/>
          <w:color w:val="auto"/>
        </w:rPr>
        <w:t>Debt Ratings</w:t>
      </w:r>
      <w:r>
        <w:rPr>
          <w:rFonts w:ascii="Times New Roman" w:cs="Times New Roman" w:eastAsia="Times New Roman" w:hAnsi="Times New Roman"/>
          <w:sz w:val="20"/>
          <w:szCs w:val="20"/>
          <w:color w:val="auto"/>
        </w:rPr>
        <w:t xml:space="preserve">”) of Toro’s non-credit-enhanced, senior unsecured long-term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 the lowest), unless there is a split in Debt Ratings of more than one level, in which case the Pricing Level that is one level higher than the Pricing Level of the lower Debt Rating shall apply.</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If, as of any date of determination, the Leverage Ratio for such period corresponds to a Pricing Level different than that Pricing Level corresponding to the Debt Rating issued at the time of calculation of such ratio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the Closing Date, the Debt Rating shall be the Debt Rating specified in the certificate delivered pursuant to </w:t>
      </w:r>
      <w:r>
        <w:rPr>
          <w:rFonts w:ascii="Times New Roman" w:cs="Times New Roman" w:eastAsia="Times New Roman" w:hAnsi="Times New Roman"/>
          <w:sz w:val="19"/>
          <w:szCs w:val="19"/>
          <w:u w:val="single" w:color="auto"/>
          <w:color w:val="auto"/>
        </w:rPr>
        <w:t>Section 4.01(a)(viii)</w:t>
      </w:r>
      <w:r>
        <w:rPr>
          <w:rFonts w:ascii="Times New Roman" w:cs="Times New Roman" w:eastAsia="Times New Roman" w:hAnsi="Times New Roman"/>
          <w:sz w:val="19"/>
          <w:szCs w:val="19"/>
          <w:color w:val="auto"/>
        </w:rPr>
        <w:t xml:space="preserve">), then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Thereafter, each change in the Applicable Rate resulting 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Leverage Ratio for such period will become effective as of the first Business Day after the date on which such Compliance Certificate is delivered pursuant to </w:t>
      </w:r>
      <w:r>
        <w:rPr>
          <w:rFonts w:ascii="Times New Roman" w:cs="Times New Roman" w:eastAsia="Times New Roman" w:hAnsi="Times New Roman"/>
          <w:sz w:val="19"/>
          <w:szCs w:val="19"/>
          <w:u w:val="single" w:color="auto"/>
          <w:color w:val="auto"/>
        </w:rPr>
        <w:t>Section 6.02(a)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 on which such Compliance Certificate was required to have been delivered. In the event that a Debt Rating has not been issued as of any date of determination, the Pricing Level corresponding to the Leverage Ratio for such period as of such date of determination shall apply. In the event that only one Debt Rating has been issued as of any date of determination, that Debt Rating shall apply.</w:t>
      </w:r>
    </w:p>
    <w:p>
      <w:pPr>
        <w:spacing w:after="0" w:line="21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Revolving Credit Percentage</w:t>
      </w:r>
      <w:r>
        <w:rPr>
          <w:rFonts w:ascii="Times New Roman" w:cs="Times New Roman" w:eastAsia="Times New Roman" w:hAnsi="Times New Roman"/>
          <w:sz w:val="20"/>
          <w:szCs w:val="20"/>
          <w:color w:val="auto"/>
        </w:rPr>
        <w:t>” means, with respect to any Revolving Credit Lender at any time, such Revolving Credit Lender’s Applicable Percentage in respect of the Revolving Credit Facility at such time.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Appropriate Lender</w:t>
      </w:r>
      <w:r>
        <w:rPr>
          <w:rFonts w:ascii="Times New Roman" w:cs="Times New Roman" w:eastAsia="Times New Roman" w:hAnsi="Times New Roman"/>
          <w:sz w:val="20"/>
          <w:szCs w:val="20"/>
          <w:color w:val="auto"/>
        </w:rPr>
        <w:t xml:space="preserve">” means, at any time, (a) with respect to any of the Term Facility or the Revolving Credit Facility, a Lender that has a Commitment with respect to such Facility or holds a Term Loan or a Revolving Credit Loan, respectively, at such time, (b) with respect to the Letter of Credit Sublimit, (i) the L/C Issuer and (ii) if any Letters of Credit have been issued pursuant to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the Revolving Credit Lenders and (c) with respect to the Swing Line Sublimit, (i) the Swing Line Lender and (ii) if any Swing 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the Revolving Credit Lenders.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7" w:name="page18"/>
    <w:bookmarkEnd w:id="17"/>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BofA Securities, Inc., Wells Fargo Securities, LLC and U.S. Bank National Association, in their capacities as joint lead arrangers and joint bookrunners.</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 Group</w:t>
      </w:r>
      <w:r>
        <w:rPr>
          <w:rFonts w:ascii="Times New Roman" w:cs="Times New Roman" w:eastAsia="Times New Roman" w:hAnsi="Times New Roman"/>
          <w:sz w:val="20"/>
          <w:szCs w:val="20"/>
          <w:color w:val="auto"/>
        </w:rPr>
        <w:t>” means two or more Eligible Assignees that are Affiliates of one another or two or more Approved Funds managed by the same investment advisor.</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means and includes all reasonable fees and disbursements of any law firm or other external counsel.</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Toro and its Subsidiaries for the fiscal year ended October 31, 2023, and the related consolidated statements of income or operations, shareholders’ equity and cash flows for such fiscal year of Toro and its Subsidiaries, including the notes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Australian Dollar</w:t>
      </w:r>
      <w:r>
        <w:rPr>
          <w:rFonts w:ascii="Times New Roman" w:cs="Times New Roman" w:eastAsia="Times New Roman" w:hAnsi="Times New Roman"/>
          <w:sz w:val="20"/>
          <w:szCs w:val="20"/>
          <w:color w:val="auto"/>
        </w:rPr>
        <w:t>” means the lawful currency of Australia.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in respect of the Revolving Credit Facility, the period from and including the Closing Date to the earliest of (a) the Maturity Date for the Revolving Credit Facility, (b) the date of termination of the Revolving Credit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Revolving Credit Lender to make Revolving Credit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8" w:name="page19"/>
    <w:bookmarkEnd w:id="18"/>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1/2 of 1%, (b) the rate of interest in effect for such day as publicly announced from time to time by Bank of America as its “prime rate,” (c)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shall be denominated in Dollars.</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specified in the introductory paragraph hereto and, solely with respect to the Term Facility, means Toro.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Credit Borrowing, a Swing Line Borrowing or a Term Borrowing, as the context may require.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81" w:lineRule="exact"/>
        <w:rPr>
          <w:sz w:val="20"/>
          <w:szCs w:val="20"/>
          <w:color w:val="auto"/>
        </w:rPr>
      </w:pPr>
    </w:p>
    <w:p>
      <w:pPr>
        <w:jc w:val="both"/>
        <w:ind w:left="660" w:firstLine="644"/>
        <w:spacing w:after="0" w:line="254" w:lineRule="auto"/>
        <w:tabs>
          <w:tab w:leader="none" w:pos="174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Term Rate Loan denominated in Euro, any fundings, disbursements, settlements and payments in Euro in respect of any such Alternative Currency Term Rate Loan, or any other dealings in Euro to be carried out pursuant to this Agreement in respect of any such Alternative Currency Term Rate Loan, means a TARGET Day;</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6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Daily Rate Loan denominated in Sterling, means a day other than a day on which banks are closed for general business in London because such day is a Saturday, Sunday or a legal holiday under the laws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9" w:name="page20"/>
    <w:bookmarkEnd w:id="19"/>
    <w:p>
      <w:pPr>
        <w:jc w:val="both"/>
        <w:ind w:left="660" w:firstLine="644"/>
        <w:spacing w:after="0" w:line="258" w:lineRule="auto"/>
        <w:tabs>
          <w:tab w:leader="none" w:pos="17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Term Rate Loan or Alternative Currency Daily Rate Loan denominated in a currency other than Dollars, Sterling or Euro, means any such day on which dealings in deposits in the relevant currency are conducted by and between banks in the London or other applicable offshore interbank market for such currency;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6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Dollars, Sterling or Euro in respect of an Alternative Currency Term Rate Loan or Alternative Currency Daily Rate Loan denominated in a currency other than Dollars, Sterling or Euro, or any other dealings in any currency other than Dollars, Sterling or Euro to be carried out pursuant to this Agreement in respect of any such Alternative Currency Term Rate Loan or Alternative Currency Daily Rate Loan (other than any interest rate settings), means any such day on which banks are open for foreign exchange business in the principal financial center of the country of such currency.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means the lawful currency of Canada.</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means each lease by such Person as lessee (or other arrangement conveying the right to use) that has been or is required to be, in accordance with GAAP, classified and accounted for as a finance lease on a balance sheet of such Person.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deposit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 (a) any Person or group within the meaning of Section 13(d)(3) of the Exchange Act and the rules and regulations promulgated thereunder, shall, after the Closing Date, acquire beneficial ownership (within the meaning of Rule 13d-3 of the Exchange Act), directly or indirectly, of securities of Toro (or other securities convertible into such securities) representing thirty percent (30%) of the combined voting power of all securities of Toro entitled to vote in the election of directors, other than securities having such power only by reason of the happening of a contingency (hereinafter called a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or (b) Toro shall cease to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20" w:name="page21"/>
    <w:bookmarkEnd w:id="20"/>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directly or indirectly, 100% of all of each other Borrower’s issued and outstanding shares of common stock (except for any outstanding qualifying director shares); or (c) a majority of the Board of Directors of Toro shall cease for any reason to consist of (i) individuals who on the Closing Date were serving as directors of Toro and (ii) individuals who subsequently become members of the Board of Directors if such individuals’ nomination for election or election to the Board of Directors is recommended or approved by a majority of the Board of Directors of Toro; or (d) a default or the happening of any event shall occur under any charter, indenture, agreement or other instrument in connection with which any preferred stock of Toro may be issued, and as a result of such default or event the holders of such preferred stock shall designate or elect members of the Board of Directors of Toro. For purposes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 Person or group shall not be a Controlling Person if such Person or group holds voting power in good faith and not for the purpose of circumventing </w:t>
      </w:r>
      <w:r>
        <w:rPr>
          <w:rFonts w:ascii="Times New Roman" w:cs="Times New Roman" w:eastAsia="Times New Roman" w:hAnsi="Times New Roman"/>
          <w:sz w:val="20"/>
          <w:szCs w:val="20"/>
          <w:u w:val="single" w:color="auto"/>
          <w:color w:val="auto"/>
        </w:rPr>
        <w:t>Section 8.01(l)</w:t>
      </w:r>
      <w:r>
        <w:rPr>
          <w:rFonts w:ascii="Times New Roman" w:cs="Times New Roman" w:eastAsia="Times New Roman" w:hAnsi="Times New Roman"/>
          <w:sz w:val="20"/>
          <w:szCs w:val="20"/>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Credit Loans or Term Loans and, when used in reference to any Commitment, refers to whether such Commitment is a Revolving Credit Commitment or Term Commitment.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first date all the conditions precedent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11.01</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 Term Commitment or a Revolving Credit Commitment, as the context may require.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any amendment, approval, consent, information, notice, certificate, request, statement, disclosure or authorization related to any Loan Document.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the use, administration of or any conventions associated with SOFR, SONIA, Term CORRA, BBSY, TIIE or any proposed Successor Rate for an Agreed Currency, as applicable, any conforming changes to the definitions of “Base Rate”, “SOFR”, “SONIA”, “Term SOFR”, “Term CORRA”, “BBSY”, “TIIE”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the day basis for calculating interest for an Agreed Currency listed on </w:t>
      </w:r>
      <w:r>
        <w:rPr>
          <w:rFonts w:ascii="Times New Roman" w:cs="Times New Roman" w:eastAsia="Times New Roman" w:hAnsi="Times New Roman"/>
          <w:sz w:val="20"/>
          <w:szCs w:val="20"/>
          <w:u w:val="single" w:color="auto"/>
          <w:color w:val="auto"/>
        </w:rPr>
        <w:t>Schedule 2.10</w:t>
      </w:r>
      <w:r>
        <w:rPr>
          <w:rFonts w:ascii="Times New Roman" w:cs="Times New Roman" w:eastAsia="Times New Roman" w:hAnsi="Times New Roman"/>
          <w:sz w:val="20"/>
          <w:szCs w:val="20"/>
          <w:color w:val="auto"/>
        </w:rPr>
        <w:t>)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reasonably necessary in connection with the administration of this Agreement and any other Loan Document).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w:t>
      </w:r>
      <w:r>
        <w:rPr>
          <w:rFonts w:ascii="Times New Roman" w:cs="Times New Roman" w:eastAsia="Times New Roman" w:hAnsi="Times New Roman"/>
          <w:sz w:val="20"/>
          <w:szCs w:val="20"/>
          <w:color w:val="auto"/>
        </w:rPr>
        <w:t xml:space="preserve">” means, for any period, for Toro and its Subsidiaries on a consolidated basis, an amount equal to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following to the extent deducted in calculating such Consolidated Net Income: (a) Consolidated Interest Charges for such period, (b) the provision for Federal, state, local and foreign income taxes payable by Toro and its Subsidiaries for such period, (c) one-time, non-recurring cash fees and expenses, not to exceed $65,000,000 in the aggregate, related to (i) restructurings or productivity initiatives, (ii) cost savings, restructuring, severance, integration, or consolidation related to an Acquisition or Disposition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to include without limitation advisory, legal, financing, and consulting fees related to an Acquisition or such Disposition, incurred in anticipation of, in connection with or as a result of such Acquisition or such Disposition, or (iii) the matters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attached hereto; and (d) non-cash charges (including any non-cash charges related to impairment or equity compensation) for such period.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Charges</w:t>
      </w:r>
      <w:r>
        <w:rPr>
          <w:rFonts w:ascii="Times New Roman" w:cs="Times New Roman" w:eastAsia="Times New Roman" w:hAnsi="Times New Roman"/>
          <w:sz w:val="20"/>
          <w:szCs w:val="20"/>
          <w:color w:val="auto"/>
        </w:rPr>
        <w:t>” means,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Toro and its Subsidiaries with respect to such period under capital leases that is treated as interest in accordance with GAAP.</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for Toro and its Subsidiaries on a consolidated basis, the net income of Toro and its Subsidiaries for that period.</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Contingent Obligation</w:t>
      </w:r>
      <w:r>
        <w:rPr>
          <w:rFonts w:ascii="Times New Roman" w:cs="Times New Roman" w:eastAsia="Times New Roman" w:hAnsi="Times New Roman"/>
          <w:sz w:val="20"/>
          <w:szCs w:val="20"/>
          <w:color w:val="auto"/>
        </w:rPr>
        <w:t>”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w:t>
      </w:r>
      <w:r>
        <w:rPr>
          <w:rFonts w:ascii="Times New Roman" w:cs="Times New Roman" w:eastAsia="Times New Roman" w:hAnsi="Times New Roman"/>
          <w:sz w:val="20"/>
          <w:szCs w:val="20"/>
          <w:color w:val="auto"/>
        </w:rPr>
        <w:t>”); (b) 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20"/>
          <w:szCs w:val="20"/>
          <w:color w:val="auto"/>
        </w:rPr>
        <w:t>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Controlling Person</w:t>
      </w:r>
      <w:r>
        <w:rPr>
          <w:rFonts w:ascii="Times New Roman" w:cs="Times New Roman" w:eastAsia="Times New Roman" w:hAnsi="Times New Roman"/>
          <w:sz w:val="20"/>
          <w:szCs w:val="20"/>
          <w:color w:val="auto"/>
        </w:rPr>
        <w:t>” has the meaning specified in the definition of Change of Control.</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Holiday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L/C Issuer, the Swing Line Lender, and each Lender.</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Rating</w:t>
      </w:r>
      <w:r>
        <w:rPr>
          <w:rFonts w:ascii="Times New Roman" w:cs="Times New Roman" w:eastAsia="Times New Roman" w:hAnsi="Times New Roman"/>
          <w:sz w:val="20"/>
          <w:szCs w:val="20"/>
          <w:color w:val="auto"/>
        </w:rPr>
        <w:t>” has the meaning specified in the definition of “Applicable Rate.”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 Alternative Currency Term Rate Loan, Alternative Currency Daily Rate Loan or Term SOFR Loan, the Default Rate shall be an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23" w:name="page24"/>
    <w:bookmarkEnd w:id="23"/>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equal to the interest rate (including any Applicable Rate) otherwise applicable to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and (b) when used with respect to Letter of Credit Fees, a rate equal to the Applicable Rate applicable to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any Lender that (a) has failed to (i) fund all or any portion of its Loans within two (2) Business Days of the date such Loans were required to be funded hereunder unless such Lender notifies the Administrative Agent and Toro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spacing w:after="0" w:line="2" w:lineRule="exact"/>
        <w:rPr>
          <w:sz w:val="20"/>
          <w:szCs w:val="20"/>
          <w:color w:val="auto"/>
        </w:rPr>
      </w:pPr>
    </w:p>
    <w:p>
      <w:pPr>
        <w:jc w:val="both"/>
        <w:ind w:firstLine="8"/>
        <w:spacing w:after="0" w:line="248" w:lineRule="auto"/>
        <w:tabs>
          <w:tab w:leader="none" w:pos="30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to the Administrative Agent, the L/C Issuer, the Swing Line Lender or any other Lender any other amount required to be paid by it hereunder (including, in the case of any Lender, in respect of its participation in Letters of Credit or Swing Line Loans) within two (2) Business Days of the date when due, (b) has notified Toro,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Toro, to confirm in writing to the Administrative Agent and Toro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receipt of such written confirmation by the Administrative Agent and Toro),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Toro, the L/C Issuer, the Swing Line Lender and each other Lender promptly following such determination.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24" w:name="page25"/>
    <w:bookmarkEnd w:id="24"/>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itself is the subject of any Sanction.</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except for any issuance of Equity Interests by any Subsidiary of Toro to Toro or another Subsidiary of Toro), including any sale, assignment, transfer or other disposal, with or without recourse, of any notes or accounts receivable or any rights and claims associated therewith.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specified in the definition of “Division.”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L/C Issuer, as applicable using any method of determination it deems appropriate in its sole discretion) and (c) if such amount is denominated in any other currency, the equivalent of such amount in Dollars as determined by the Administrative Agent or the L/C Issuer, as applicable, using any method of determination it deems appropriate in its sole discretion. Any determination by the Administrative Agent or the L/C Issuer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shall be conclusive absent manifest error.</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25" w:name="page26"/>
    <w:bookmarkEnd w:id="25"/>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11.06(b)(iii)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11.06(b)(iii)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Currency</w:t>
      </w:r>
      <w:r>
        <w:rPr>
          <w:rFonts w:ascii="Times New Roman" w:cs="Times New Roman" w:eastAsia="Times New Roman" w:hAnsi="Times New Roman"/>
          <w:sz w:val="19"/>
          <w:szCs w:val="19"/>
          <w:color w:val="auto"/>
        </w:rPr>
        <w:t xml:space="preserve">” means any lawful currency other than Dollars that is readily available, freely transferable and convertible into Dollars in the international interbank market available to the Lenders or the L/C Issuer, as applicable, in such market and as to which a Dollar Equivalent may be readily calculated. If, after the designation by the Lenders or the L/C Issuer,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an Alternative Currency) or the L/C Issuer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Lenders or the L/C Issuer, as applicable, or (d) no longer a currency in which the Required Lenders are willing to make such Credit Extensions (each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u w:val="single" w:color="auto"/>
          <w:color w:val="auto"/>
        </w:rPr>
        <w:t>Disqualifying Event</w:t>
      </w:r>
      <w:r>
        <w:rPr>
          <w:rFonts w:ascii="Times New Roman" w:cs="Times New Roman" w:eastAsia="Times New Roman" w:hAnsi="Times New Roman"/>
          <w:sz w:val="19"/>
          <w:szCs w:val="19"/>
          <w:color w:val="auto"/>
        </w:rPr>
        <w:t>”), then the Administrative Agent shall promptly notify the Lenders and Toro,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and whether or not such shares, warrants, options, rights or other interests are outstanding on any date of determination.</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2" w:lineRule="exact"/>
        <w:rPr>
          <w:sz w:val="20"/>
          <w:szCs w:val="20"/>
          <w:color w:val="auto"/>
        </w:rPr>
      </w:pPr>
    </w:p>
    <w:p>
      <w:pPr>
        <w:jc w:val="both"/>
        <w:ind w:firstLine="8"/>
        <w:spacing w:after="0" w:line="260" w:lineRule="auto"/>
        <w:tabs>
          <w:tab w:leader="none" w:pos="26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complete or partial withdrawal by any Borrower or any ERISA Affiliate from a Multiemployer Plan or notification that a Multiemployer Plan is in reorganization; (d) the receipt by any Loan Party or any of its ERISA Affiliates from the PBGC or a plan administrator of the filing of a notice of intent to terminate, or the treatment of a Pension Plan amendment as a termination of the Pension Plan under Section 4041 or 4041A of ERISA, which could reasonably be expected to result in liability of any Loan Party or any of its ERISA Affiliates in an aggregate amount exceeding $2,500,000; (e) the institution by the PBGC of proceedings to terminate a Pension Plan; (f) any event or condition which constitutes grounds under Section 4042 of ERISA for the termination of, or the appointment of a trustee to administer, any Pension Plan;</w:t>
      </w:r>
    </w:p>
    <w:p>
      <w:pPr>
        <w:spacing w:after="0" w:line="4" w:lineRule="exact"/>
        <w:rPr>
          <w:rFonts w:ascii="Times New Roman" w:cs="Times New Roman" w:eastAsia="Times New Roman" w:hAnsi="Times New Roman"/>
          <w:sz w:val="19"/>
          <w:szCs w:val="19"/>
          <w:color w:val="auto"/>
        </w:rPr>
      </w:pPr>
    </w:p>
    <w:p>
      <w:pPr>
        <w:jc w:val="both"/>
        <w:ind w:firstLine="8"/>
        <w:spacing w:after="0" w:line="248" w:lineRule="auto"/>
        <w:tabs>
          <w:tab w:leader="none" w:pos="30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Borrower or any ERISA Affiliate; or (i) a Pension Plan has been terminated by the plan administrator thereof or by the PBGC, or an event or circumstance has occurred or exists that could reasonably be expected to cause the PBGC to institute proceedings under Title IV of ERISA to terminate any Pension Plan, which in each case and collectively, could reasonably be expected to result in liability of any Loan Party or any of its ERISA Affiliates in an aggregate amount exceeding $2,500,000.</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Pricing Provisions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has the meaning specified in the definition of “Alternative Currency Term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means the single currency of the Participating Member States.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Toro under </w:t>
      </w:r>
      <w:r>
        <w:rPr>
          <w:rFonts w:ascii="Times New Roman" w:cs="Times New Roman" w:eastAsia="Times New Roman" w:hAnsi="Times New Roman"/>
          <w:sz w:val="19"/>
          <w:szCs w:val="19"/>
          <w:u w:val="single" w:color="auto"/>
          <w:color w:val="auto"/>
        </w:rPr>
        <w:t>Section 11.13</w:t>
      </w:r>
      <w:r>
        <w:rPr>
          <w:rFonts w:ascii="Times New Roman" w:cs="Times New Roman" w:eastAsia="Times New Roman" w:hAnsi="Times New Roman"/>
          <w:sz w:val="19"/>
          <w:szCs w:val="19"/>
          <w:color w:val="auto"/>
        </w:rPr>
        <w:t>) or</w:t>
      </w:r>
    </w:p>
    <w:p>
      <w:pPr>
        <w:jc w:val="both"/>
        <w:ind w:firstLine="8"/>
        <w:spacing w:after="0" w:line="251" w:lineRule="auto"/>
        <w:tabs>
          <w:tab w:leader="none" w:pos="29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3.01(a)(ii)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and (d) any U.S. federal withholding Taxes imposed pursuant to FATCA.</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set forth on </w:t>
      </w:r>
      <w:r>
        <w:rPr>
          <w:rFonts w:ascii="Times New Roman" w:cs="Times New Roman" w:eastAsia="Times New Roman" w:hAnsi="Times New Roman"/>
          <w:sz w:val="20"/>
          <w:szCs w:val="20"/>
          <w:u w:val="single" w:color="auto"/>
          <w:color w:val="auto"/>
        </w:rPr>
        <w:t>Schedule 1.01(e)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Liens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the Term Facility or the Revolving Credit Facility, as the context may require.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4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the foregoing.</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Rate as so determined would be less than zero percent, such rate shall be deemed to be zero percent for purposes of this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means, collectively, (a) the letter agreement, dated September 9, 2024, among Toro, Toro Luxembourg, the Administrative Agent and BofA Securities, Inc.,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and (b) those certain other letter agreements between Toro, Toro Luxembourg and the other Arrangers or any other L/C Issuer.</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 Plan Financing Arrangement</w:t>
      </w:r>
      <w:r>
        <w:rPr>
          <w:rFonts w:ascii="Times New Roman" w:cs="Times New Roman" w:eastAsia="Times New Roman" w:hAnsi="Times New Roman"/>
          <w:sz w:val="20"/>
          <w:szCs w:val="20"/>
          <w:color w:val="auto"/>
        </w:rPr>
        <w:t>” means any financing arrangement pursuant to which a capital provider agrees to provide inventory financing to certain dealers and distributors of certain products of Toro or its Subsidiaries.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with respect to any Borrower, (a) if such Borrower is a U.S. Person, a Lender that is not a U.S. Person, and</w:t>
      </w:r>
    </w:p>
    <w:p>
      <w:pPr>
        <w:spacing w:after="0" w:line="33" w:lineRule="exact"/>
        <w:rPr>
          <w:sz w:val="20"/>
          <w:szCs w:val="20"/>
          <w:color w:val="auto"/>
        </w:rPr>
      </w:pPr>
    </w:p>
    <w:p>
      <w:pPr>
        <w:jc w:val="both"/>
        <w:ind w:firstLine="8"/>
        <w:spacing w:after="0" w:line="256" w:lineRule="auto"/>
        <w:tabs>
          <w:tab w:leader="none" w:pos="28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Borrower is not a U.S. Person, a Lender that is resident or organized under the Laws of a jurisdiction other than that in which such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Obligor</w:t>
      </w:r>
      <w:r>
        <w:rPr>
          <w:rFonts w:ascii="Times New Roman" w:cs="Times New Roman" w:eastAsia="Times New Roman" w:hAnsi="Times New Roman"/>
          <w:sz w:val="20"/>
          <w:szCs w:val="20"/>
          <w:color w:val="auto"/>
        </w:rPr>
        <w:t>” means (a) Toro Luxembourg and (b) any other Loan Party that is a Foreign Subsidiary.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organized under the laws of a jurisdiction other than the United States, a State thereof or the District of Columbia.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that is a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4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except as provided in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as to any Person, (a) any obligation, contingent or otherwise, of such Person guaranteeing or having the economic effect of guaranteeing any Indebtedness or other obligation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20"/>
          <w:szCs w:val="20"/>
          <w:color w:val="auto"/>
        </w:rPr>
        <w:t>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the Guaranty made by Toro in favor of the Administrative Agent and the Lenders, set forth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Obligation</w:t>
      </w:r>
      <w:r>
        <w:rPr>
          <w:rFonts w:ascii="Times New Roman" w:cs="Times New Roman" w:eastAsia="Times New Roman" w:hAnsi="Times New Roman"/>
          <w:sz w:val="20"/>
          <w:szCs w:val="20"/>
          <w:color w:val="auto"/>
        </w:rPr>
        <w:t>” has the meaning specified in the definition of “Contingent Obligation.”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HCF</w:t>
      </w:r>
      <w:r>
        <w:rPr>
          <w:rFonts w:ascii="Times New Roman" w:cs="Times New Roman" w:eastAsia="Times New Roman" w:hAnsi="Times New Roman"/>
          <w:sz w:val="20"/>
          <w:szCs w:val="20"/>
          <w:color w:val="auto"/>
        </w:rPr>
        <w:t>” means Huntington Commercial Finance, LLC, a Minnesota limited liability company, or any of its successors or assigns.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HCFC Canada</w:t>
      </w:r>
      <w:r>
        <w:rPr>
          <w:rFonts w:ascii="Times New Roman" w:cs="Times New Roman" w:eastAsia="Times New Roman" w:hAnsi="Times New Roman"/>
          <w:sz w:val="20"/>
          <w:szCs w:val="20"/>
          <w:color w:val="auto"/>
        </w:rPr>
        <w:t>” means Huntington Commercial Finance Canada, Inc., a Canada corporation, or any of its successors or assigns.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Joinder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means Incremental Revolving Commitments and/or the Incremental Term Commitments.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1.03(d)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Maturity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2.14(c)(iv).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means any loans made pursuant to any Incremental Term Commitments.</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73" w:lineRule="exact"/>
        <w:rPr>
          <w:sz w:val="20"/>
          <w:szCs w:val="20"/>
          <w:color w:val="auto"/>
        </w:rPr>
      </w:pPr>
    </w:p>
    <w:p>
      <w:pPr>
        <w:ind w:left="660" w:firstLine="644"/>
        <w:spacing w:after="0" w:line="269" w:lineRule="auto"/>
        <w:tabs>
          <w:tab w:leader="none" w:pos="175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9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$100,000,000;</w:t>
      </w:r>
    </w:p>
    <w:p>
      <w:pPr>
        <w:spacing w:after="0" w:line="191" w:lineRule="exact"/>
        <w:rPr>
          <w:rFonts w:ascii="Times New Roman" w:cs="Times New Roman" w:eastAsia="Times New Roman" w:hAnsi="Times New Roman"/>
          <w:sz w:val="20"/>
          <w:szCs w:val="20"/>
          <w:color w:val="auto"/>
        </w:rPr>
      </w:pPr>
    </w:p>
    <w:p>
      <w:pPr>
        <w:ind w:left="660" w:firstLine="644"/>
        <w:spacing w:after="0" w:line="283" w:lineRule="auto"/>
        <w:tabs>
          <w:tab w:leader="none" w:pos="181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trade accounts payable in the ordinary course of business);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1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Leases and Synthetic Lease Obligations;</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7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of such Person to purchase, redeem, retire, defease or otherwise make any payment in respect of any Equity Interest in such Person or any other Person (other than obligations of Toro or a Subsidiary of Toro to Red Iron under the terms of the Red Iron LLC Agreement (as in effect on the Closing Date)),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at any time outstanding not to exceed $100,000,000; and</w:t>
      </w:r>
    </w:p>
    <w:p>
      <w:pPr>
        <w:spacing w:after="0" w:line="19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5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or, without duplication, (ii) to provide assurance of payments of amounts due of Red Iron, HCFC Canada or HCF in the ordinary course of Red Iron’s, HCFC Canada’s or HCF’s business of financing purchases by distributors and dealers or products and services of such Person or an Affiliate of such Person, in an aggregate stated or principal amount, when taken together with amounts subject to the exception set forth in the preceding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at any time outstanding not to exceed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avoidance of doubt, obligations with respect to Floor Plan Financing Arrangements shall not constitute “Indebtedness”.</w:t>
      </w:r>
    </w:p>
    <w:p>
      <w:pPr>
        <w:spacing w:after="0" w:line="229" w:lineRule="exact"/>
        <w:rPr>
          <w:sz w:val="20"/>
          <w:szCs w:val="20"/>
          <w:color w:val="auto"/>
        </w:rPr>
      </w:pPr>
    </w:p>
    <w:p>
      <w:pPr>
        <w:jc w:val="both"/>
        <w:ind w:right="2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Other Taxes.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 of the United States, including with respect to Toro Luxembourg, any Luxembourg Insolvency Proceedings.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Loan other than a Base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an Alternative Currency Term Rate Loan or Term SOFR Loan exceeds three (3) months, the respective dates that fall every three (3) months after the beginning of such Interest Period shall also be Interest Payment Dates; (b) as to any Base Rate Loan (including a Swing Line Loan), the last Business Day of each March, June, September and December and the Maturity Date and (c) as to any Alternative Currency Daily Rate Loan, the last Business Day of each month and the Maturity Date.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Alternative Currency Term Rate Loan or Term SOFR Loan, as applicable, the period commencing on the date such Alternative Currency Term Rate Loan or Term SOFR Loan is disbursed or converted to or continued as an Alternative Currency Term Rate Loan or Term SOFR Loan, as applicable and ending on the date (a) solely in the case of an Alternative Currency Term Rate Loan denominated in Canadian Dollars, one (1) and three (3) months thereafter, (b) solely in the case of an Alternative Currency Term Rate Loan denominated in Mexican Pesos, twenty-eight (28) days thereafter, and (c) as to each other Alternative Currency Term Rate Loan or Term SOFR Loan, one (1), three (3) or six (6) months thereafter, as selected by Toro in its Loan Notice, or such other period that is twelve (12) months or less requested by Toro and consented to by all the Appropriate Lenders and the Administrative Agent (in the case of each requested Interest Period, subject to availability);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7" w:lineRule="exact"/>
        <w:rPr>
          <w:sz w:val="20"/>
          <w:szCs w:val="20"/>
          <w:color w:val="auto"/>
        </w:rPr>
      </w:pPr>
    </w:p>
    <w:p>
      <w:pPr>
        <w:jc w:val="both"/>
        <w:ind w:left="660" w:firstLine="644"/>
        <w:spacing w:after="0" w:line="261" w:lineRule="auto"/>
        <w:tabs>
          <w:tab w:leader="none" w:pos="183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an Alternative Currency Term Rate Loan or Term SOFR Loan, such Business Day falls in another calendar month, in which case such Interest Period shall end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32" w:name="page33"/>
    <w:bookmarkEnd w:id="32"/>
    <w:p>
      <w:pPr>
        <w:jc w:val="both"/>
        <w:ind w:left="660" w:firstLine="644"/>
        <w:spacing w:after="0" w:line="261" w:lineRule="auto"/>
        <w:tabs>
          <w:tab w:leader="none" w:pos="17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an Alternative Currency Term Rate Loan or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4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Issuer Documents</w:t>
      </w:r>
      <w:r>
        <w:rPr>
          <w:rFonts w:ascii="Times New Roman" w:cs="Times New Roman" w:eastAsia="Times New Roman" w:hAnsi="Times New Roman"/>
          <w:sz w:val="19"/>
          <w:szCs w:val="19"/>
          <w:color w:val="auto"/>
        </w:rPr>
        <w:t>” means with respect to any Letter of Credit, the Letter of Credit Application, and any other document, agreement and instrument entered into by the L/C Issuer and the L/C Parties or in favor of the L/C Issuer and relating to any such Letter of Credit.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11.17(a)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means a corporation, partnership, limited liability company, joint venture or other similar legal arrangement (whether created by contract or conducted through a separate legal entity) now or hereafter formed or entered into by any of the Borrowers or any of their Subsidiaries with another Person or in which the Borrowers or any of their Subsidiaries may invest in order to conduct or further a common venture or enterprise with such Person, the investment in which does not constitute an Acquisition.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KPIs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as of any date of determination, the latest maturity date applicable to any Loans or Commitments.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Credit Borrowing. All L/C Borrowings shall be denominated in Dollars, and in regards to Letters of Credit issued in an Alternative Currency, shall be the Dollar Equivalent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xml:space="preserve">” means Bank of America in its capacity as issuer of Letters of Credit hereunder, or any successor issuer of Letters of Credit hereunder, in each case, with the commitments of each L/C Issuer as set forth in </w:t>
      </w:r>
      <w:r>
        <w:rPr>
          <w:rFonts w:ascii="Times New Roman" w:cs="Times New Roman" w:eastAsia="Times New Roman" w:hAnsi="Times New Roman"/>
          <w:sz w:val="20"/>
          <w:szCs w:val="20"/>
          <w:u w:val="single" w:color="auto"/>
          <w:color w:val="auto"/>
        </w:rPr>
        <w:t>Schedule 2.01C</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Parties</w:t>
      </w:r>
      <w:r>
        <w:rPr>
          <w:rFonts w:ascii="Times New Roman" w:cs="Times New Roman" w:eastAsia="Times New Roman" w:hAnsi="Times New Roman"/>
          <w:sz w:val="20"/>
          <w:szCs w:val="20"/>
          <w:color w:val="auto"/>
        </w:rPr>
        <w:t>” means, collectively, Toro and its 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has the meaning specified in the introductory paragraph hereto and, as the context requires, includes the Swing Line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Toro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 and shall include the Existing Letters of Credit. Letters of Credit may be issued in Dollars or in an Alternative Currency.</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(or, if such day is not a Business Day, the next preceding Business Day).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(a) $10,000,000 and (b) the Aggregate Commitments. The Letter of Credit Sublimit is part of, and not in addition to, the Revolving Credit Facility.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Conditionality Acquisition</w:t>
      </w:r>
      <w:r>
        <w:rPr>
          <w:rFonts w:ascii="Times New Roman" w:cs="Times New Roman" w:eastAsia="Times New Roman" w:hAnsi="Times New Roman"/>
          <w:sz w:val="20"/>
          <w:szCs w:val="20"/>
          <w:color w:val="auto"/>
        </w:rPr>
        <w:t>” means any Acquisition that (a) is not prohibited hereunder, (b) is financed in whole or in part with a substantially concurrent incurrence of Indebtedness, and (c) is not conditioned on the availability of, or on obtaining, third-party financing.</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Term Loan, a Revolving Credit Loan or a Swing Line Loan.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each Designated Borrower Request and Assumption Agreement, each Note, each Issuer Document,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this Agreement and the Fee Letters.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Borrowing, (b) a conversion of Loans from one Type to the other, or (c) a continuation of Alternative Currency Term Rate Loans or Term SOFR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Toro.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Toro and each Subsidiary Borrower.</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Insolvency Proceedings</w:t>
      </w:r>
      <w:r>
        <w:rPr>
          <w:rFonts w:ascii="Times New Roman" w:cs="Times New Roman" w:eastAsia="Times New Roman" w:hAnsi="Times New Roman"/>
          <w:sz w:val="20"/>
          <w:szCs w:val="20"/>
          <w:color w:val="auto"/>
        </w:rPr>
        <w:t>” means, with respect to Toro Luxembourg, the commencement of any administrative dissolution without liquidation proceedings (</w:t>
      </w:r>
      <w:r>
        <w:rPr>
          <w:rFonts w:ascii="Times New Roman" w:cs="Times New Roman" w:eastAsia="Times New Roman" w:hAnsi="Times New Roman"/>
          <w:sz w:val="20"/>
          <w:szCs w:val="20"/>
          <w:i w:val="1"/>
          <w:iCs w:val="1"/>
          <w:color w:val="auto"/>
        </w:rPr>
        <w:t>procédure de dissolution administrative sans liquidation</w:t>
      </w:r>
      <w:r>
        <w:rPr>
          <w:rFonts w:ascii="Times New Roman" w:cs="Times New Roman" w:eastAsia="Times New Roman" w:hAnsi="Times New Roman"/>
          <w:sz w:val="20"/>
          <w:szCs w:val="20"/>
          <w:color w:val="auto"/>
        </w:rPr>
        <w:t>), insolvency proceedings such as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insolvency, voluntary or judicial liquidation (</w:t>
      </w:r>
      <w:r>
        <w:rPr>
          <w:rFonts w:ascii="Times New Roman" w:cs="Times New Roman" w:eastAsia="Times New Roman" w:hAnsi="Times New Roman"/>
          <w:sz w:val="20"/>
          <w:szCs w:val="20"/>
          <w:i w:val="1"/>
          <w:iCs w:val="1"/>
          <w:color w:val="auto"/>
        </w:rPr>
        <w:t>liquidation volontaire ou judiciaire</w:t>
      </w:r>
      <w:r>
        <w:rPr>
          <w:rFonts w:ascii="Times New Roman" w:cs="Times New Roman" w:eastAsia="Times New Roman" w:hAnsi="Times New Roman"/>
          <w:sz w:val="20"/>
          <w:szCs w:val="20"/>
          <w:color w:val="auto"/>
        </w:rPr>
        <w:t>), reprieve from payment (</w:t>
      </w:r>
      <w:r>
        <w:rPr>
          <w:rFonts w:ascii="Times New Roman" w:cs="Times New Roman" w:eastAsia="Times New Roman" w:hAnsi="Times New Roman"/>
          <w:sz w:val="20"/>
          <w:szCs w:val="20"/>
          <w:i w:val="1"/>
          <w:iCs w:val="1"/>
          <w:color w:val="auto"/>
        </w:rPr>
        <w:t>sursis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paiement</w:t>
      </w:r>
      <w:r>
        <w:rPr>
          <w:rFonts w:ascii="Times New Roman" w:cs="Times New Roman" w:eastAsia="Times New Roman" w:hAnsi="Times New Roman"/>
          <w:sz w:val="20"/>
          <w:szCs w:val="20"/>
          <w:color w:val="auto"/>
        </w:rPr>
        <w:t>), fraudulent conveyance, out-of-court mutual agreement (</w:t>
      </w:r>
      <w:r>
        <w:rPr>
          <w:rFonts w:ascii="Times New Roman" w:cs="Times New Roman" w:eastAsia="Times New Roman" w:hAnsi="Times New Roman"/>
          <w:sz w:val="20"/>
          <w:szCs w:val="20"/>
          <w:i w:val="1"/>
          <w:iCs w:val="1"/>
          <w:color w:val="auto"/>
        </w:rPr>
        <w:t>réorganisation extra-judiciaire par accord amiable</w:t>
      </w:r>
      <w:r>
        <w:rPr>
          <w:rFonts w:ascii="Times New Roman" w:cs="Times New Roman" w:eastAsia="Times New Roman" w:hAnsi="Times New Roman"/>
          <w:sz w:val="20"/>
          <w:szCs w:val="20"/>
          <w:color w:val="auto"/>
        </w:rPr>
        <w:t>), judicial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reorganisation in the form of a stay to enter into a mutual agreement (</w:t>
      </w:r>
      <w:r>
        <w:rPr>
          <w:rFonts w:ascii="Times New Roman" w:cs="Times New Roman" w:eastAsia="Times New Roman" w:hAnsi="Times New Roman"/>
          <w:sz w:val="20"/>
          <w:szCs w:val="20"/>
          <w:i w:val="1"/>
          <w:iCs w:val="1"/>
          <w:color w:val="auto"/>
        </w:rPr>
        <w:t>sursis en vue de la conclusion d’un accord amiable</w:t>
      </w:r>
      <w:r>
        <w:rPr>
          <w:rFonts w:ascii="Times New Roman" w:cs="Times New Roman" w:eastAsia="Times New Roman" w:hAnsi="Times New Roman"/>
          <w:sz w:val="20"/>
          <w:szCs w:val="20"/>
          <w:color w:val="auto"/>
        </w:rPr>
        <w:t>), judicial reorganisation by collective agreement (</w:t>
      </w:r>
      <w:r>
        <w:rPr>
          <w:rFonts w:ascii="Times New Roman" w:cs="Times New Roman" w:eastAsia="Times New Roman" w:hAnsi="Times New Roman"/>
          <w:sz w:val="20"/>
          <w:szCs w:val="20"/>
          <w:i w:val="1"/>
          <w:iCs w:val="1"/>
          <w:color w:val="auto"/>
        </w:rPr>
        <w:t>réorganisation judiciaire par accord collectif</w:t>
      </w:r>
      <w:r>
        <w:rPr>
          <w:rFonts w:ascii="Times New Roman" w:cs="Times New Roman" w:eastAsia="Times New Roman" w:hAnsi="Times New Roman"/>
          <w:sz w:val="20"/>
          <w:szCs w:val="20"/>
          <w:color w:val="auto"/>
        </w:rPr>
        <w:t>), judicial reorganisation by transfer of assets or activities (</w:t>
      </w:r>
      <w:r>
        <w:rPr>
          <w:rFonts w:ascii="Times New Roman" w:cs="Times New Roman" w:eastAsia="Times New Roman" w:hAnsi="Times New Roman"/>
          <w:sz w:val="20"/>
          <w:szCs w:val="20"/>
          <w:i w:val="1"/>
          <w:iCs w:val="1"/>
          <w:color w:val="auto"/>
        </w:rPr>
        <w:t>réorganisation judiciaire par transfert sous autorité de justice</w:t>
      </w:r>
      <w:r>
        <w:rPr>
          <w:rFonts w:ascii="Times New Roman" w:cs="Times New Roman" w:eastAsia="Times New Roman" w:hAnsi="Times New Roman"/>
          <w:sz w:val="20"/>
          <w:szCs w:val="20"/>
          <w:color w:val="auto"/>
        </w:rPr>
        <w:t>), conciliation (</w:t>
      </w:r>
      <w:r>
        <w:rPr>
          <w:rFonts w:ascii="Times New Roman" w:cs="Times New Roman" w:eastAsia="Times New Roman" w:hAnsi="Times New Roman"/>
          <w:sz w:val="20"/>
          <w:szCs w:val="20"/>
          <w:i w:val="1"/>
          <w:iCs w:val="1"/>
          <w:color w:val="auto"/>
        </w:rPr>
        <w:t>conciliation</w:t>
      </w:r>
      <w:r>
        <w:rPr>
          <w:rFonts w:ascii="Times New Roman" w:cs="Times New Roman" w:eastAsia="Times New Roman" w:hAnsi="Times New Roman"/>
          <w:sz w:val="20"/>
          <w:szCs w:val="20"/>
          <w:color w:val="auto"/>
        </w:rPr>
        <w:t>) or protective measures (</w:t>
      </w:r>
      <w:r>
        <w:rPr>
          <w:rFonts w:ascii="Times New Roman" w:cs="Times New Roman" w:eastAsia="Times New Roman" w:hAnsi="Times New Roman"/>
          <w:sz w:val="20"/>
          <w:szCs w:val="20"/>
          <w:i w:val="1"/>
          <w:iCs w:val="1"/>
          <w:color w:val="auto"/>
        </w:rPr>
        <w:t>mesures en vue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 préserver les entreprises</w:t>
      </w:r>
      <w:r>
        <w:rPr>
          <w:rFonts w:ascii="Times New Roman" w:cs="Times New Roman" w:eastAsia="Times New Roman" w:hAnsi="Times New Roman"/>
          <w:sz w:val="20"/>
          <w:szCs w:val="20"/>
          <w:color w:val="auto"/>
        </w:rPr>
        <w:t>), general settlement with creditors, reorganization or similar laws affecting the rights of creditors generally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Grand Duchy of Luxembourg or abroad, or any analogous procedure in any jurisdiction, or any proceedings under the Regulation (EU) 2015/848 of 20 May 2015 on insolvency proceedings (recast), as amended, the appointment of a </w:t>
      </w:r>
      <w:r>
        <w:rPr>
          <w:rFonts w:ascii="Times New Roman" w:cs="Times New Roman" w:eastAsia="Times New Roman" w:hAnsi="Times New Roman"/>
          <w:sz w:val="20"/>
          <w:szCs w:val="20"/>
          <w:i w:val="1"/>
          <w:iCs w:val="1"/>
          <w:color w:val="auto"/>
        </w:rPr>
        <w:t>juge-commissaire, liquidateur, curateur,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mandataire judiciaire, conciliateur </w:t>
      </w:r>
      <w:r>
        <w:rPr>
          <w:rFonts w:ascii="Times New Roman" w:cs="Times New Roman" w:eastAsia="Times New Roman" w:hAnsi="Times New Roman"/>
          <w:sz w:val="20"/>
          <w:szCs w:val="20"/>
          <w:color w:val="auto"/>
        </w:rPr>
        <w:t>or similar officer pursuant to any voluntary or judicial insolvency, winding-up, liquidation or similar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proceedings.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“margin stock” as such term is defined in Regulation T, U or X of the FRB.</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xml:space="preserve">” means (a) a material impairment of the ability of any Loan Party to perform its obligations under any Loan Document to which it is a party, (b) a material adverse effect upon the legality, validity, binding effect or enforceability against any Loan Party of any Loan Document to which it is a party, or (c) solely with respect to the provisions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and the representations and warranties to be made on the Closing Date, a material adverse change in, or a material adverse effect on, the operations, business, assets, or condition (financial or otherwise) of Toro or Toro and its Subsidiaries, taken as a whole.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Disposition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1.03(e)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at any time of determination, any Subsidiary having at such time either (a) 10% or more of the net book value of the consolidated total assets of Toro and its Subsidiaries as of the last day of the preceding fiscal quarter or (b) 5% or more of the consolidated total (gross) revenues of Toro and its Subsidiaries for the preceding four fiscal quarter period, in each case, based upon Toro’s most recent annual or quarterly financial statements delivered to the Lenders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October 2, 2029;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each case, if such date is not a Business Day, the Maturity Date shall be the next preceding Business Day.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Mexican Peso</w:t>
      </w:r>
      <w:r>
        <w:rPr>
          <w:rFonts w:ascii="Times New Roman" w:cs="Times New Roman" w:eastAsia="Times New Roman" w:hAnsi="Times New Roman"/>
          <w:sz w:val="20"/>
          <w:szCs w:val="20"/>
          <w:color w:val="auto"/>
        </w:rPr>
        <w:t>” means the lawful currency of Mexico.</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xml:space="preserve">” means, at any time, (a) with respect to Cash Collateral consisting of cash or deposit account balances provided to reduce or eliminate Fronting Exposure during the existence of a Defaulting Lender that is a Lender, an amount equal to 105%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20"/>
          <w:szCs w:val="20"/>
          <w:u w:val="single" w:color="auto"/>
          <w:color w:val="auto"/>
        </w:rPr>
        <w:t>Section 2.15(a)(i)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an amount equal to 105% of the Outstanding Amount of all L/C Obligations, and (c) otherwise, an amount determined by the Administrative Agent and the L/C Issuer in their sole discretion.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Ratings and any successor thereto.</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any Borrower or any ERISA Affiliate) at least two of whom are not under common control, as such a plan is described in Section 4064 of ERISA.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Term Note or a Revolving Credit Note, as the context may require.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Without limiting the foregoing, the Obligations include (a) the obligation to pay principal, interest, Letter of Credit commissions, charges, expenses, fees, indemnities and other amounts payable by any Loan Party under any Loan Document and (b) the obligation of the Loan Parties to reimburse any amount in respect of any of the foregoing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color w:val="auto"/>
        </w:rPr>
        <w:t>Administrative Agent or any Lender, in each case in its sole discretion, may elect to pay or advance on behalf of the Loan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(or equivalent or comparable constitutive documents with respect to any non-U.S. jurisdiction, including the deed of incorporation and the (coordinated) articles of association (statuts (</w:t>
      </w:r>
      <w:r>
        <w:rPr>
          <w:rFonts w:ascii="Times New Roman" w:cs="Times New Roman" w:eastAsia="Times New Roman" w:hAnsi="Times New Roman"/>
          <w:sz w:val="20"/>
          <w:szCs w:val="20"/>
          <w:i w:val="1"/>
          <w:iCs w:val="1"/>
          <w:color w:val="auto"/>
        </w:rPr>
        <w:t>coordonnés</w:t>
      </w:r>
      <w:r>
        <w:rPr>
          <w:rFonts w:ascii="Times New Roman" w:cs="Times New Roman" w:eastAsia="Times New Roman" w:hAnsi="Times New Roman"/>
          <w:sz w:val="20"/>
          <w:szCs w:val="20"/>
          <w:color w:val="auto"/>
        </w:rPr>
        <w:t>))); and (c) with respect to any partnership, joint venture, trust or other form of business entity, the partnership, joint venture or other applicable agreement of formation or organization (or equivalent or comparable constitutive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equivalent or comparable constitutive documents with respect to any non-U.S. jurisdiction).</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Originators</w:t>
      </w:r>
      <w:r>
        <w:rPr>
          <w:rFonts w:ascii="Times New Roman" w:cs="Times New Roman" w:eastAsia="Times New Roman" w:hAnsi="Times New Roman"/>
          <w:sz w:val="20"/>
          <w:szCs w:val="20"/>
          <w:color w:val="auto"/>
        </w:rPr>
        <w:t>” means any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8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Term Loans, Revolving Credit Loans and Swing Line Loans on any date, the Dollar Equivalent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20"/>
          <w:szCs w:val="20"/>
          <w:color w:val="auto"/>
        </w:rPr>
        <w:t>the L/C Issuer, or the Swing Line Lender, as the case may be, in accordance with banking industry rules on interbank compensation, and (b) with respect to any amount denominated in an Alternative Currency, an overnight rate determined by the Administrative Agent in accordance with banking industry rules on interbank compensation.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has the Euro as its lawful currency in accordance with legislation of the European Union relating to Economic and Monetary Union.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Act</w:t>
      </w:r>
      <w:r>
        <w:rPr>
          <w:rFonts w:ascii="Times New Roman" w:cs="Times New Roman" w:eastAsia="Times New Roman" w:hAnsi="Times New Roman"/>
          <w:sz w:val="20"/>
          <w:szCs w:val="20"/>
          <w:color w:val="auto"/>
        </w:rPr>
        <w:t>” means the Pension Protection Act of 2006.</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(including a Multiple Employer Plan or a Multiemployer Plan) that is maintained or is contributed to by any Borrower or any ERISA Affiliate and is either covered by Title IV of ERISA or is subject to the minimum funding standards under Section 412 of the Code.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Transfer</w:t>
      </w:r>
      <w:r>
        <w:rPr>
          <w:rFonts w:ascii="Times New Roman" w:cs="Times New Roman" w:eastAsia="Times New Roman" w:hAnsi="Times New Roman"/>
          <w:sz w:val="20"/>
          <w:szCs w:val="20"/>
          <w:color w:val="auto"/>
        </w:rPr>
        <w:t xml:space="preserve">” means (a) a sale or other transfer by an Originator to an SPV of Receivables for fair market value and without recourse (except for limited recourse typical of such structured finance transactions), and/or (b) a sale or other transfer by an SPV to (i) purchasers of or other investors in such Receivables and related security or (ii) any other Person (including an SPV) in a transaction in which purchasers or other investors purchase or are otherwise transferred such Receivables and related security, in the case of either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pursuant to and in accordance with the terms of the documents related to any Receivables Purchase Facility.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Swap Obligation</w:t>
      </w:r>
      <w:r>
        <w:rPr>
          <w:rFonts w:ascii="Times New Roman" w:cs="Times New Roman" w:eastAsia="Times New Roman" w:hAnsi="Times New Roman"/>
          <w:sz w:val="20"/>
          <w:szCs w:val="20"/>
          <w:color w:val="auto"/>
        </w:rPr>
        <w:t xml:space="preserve">” means all obligations (contingent or otherwise) of any Borrower or any Subsidiary existing or arising under Swap Contracts,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Prior Loan Documents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Purchase Facility</w:t>
      </w:r>
      <w:r>
        <w:rPr>
          <w:rFonts w:ascii="Times New Roman" w:cs="Times New Roman" w:eastAsia="Times New Roman" w:hAnsi="Times New Roman"/>
          <w:sz w:val="19"/>
          <w:szCs w:val="19"/>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Purchase Facility Termination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8.02(e)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39" w:name="page40"/>
    <w:bookmarkEnd w:id="39"/>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 Iron</w:t>
      </w:r>
      <w:r>
        <w:rPr>
          <w:rFonts w:ascii="Times New Roman" w:cs="Times New Roman" w:eastAsia="Times New Roman" w:hAnsi="Times New Roman"/>
          <w:sz w:val="20"/>
          <w:szCs w:val="20"/>
          <w:color w:val="auto"/>
        </w:rPr>
        <w:t>” means Red Iron Acceptance, LLC, a Delaware limited liability company. For avoidance of doubt, for so long as Red Iron is governed by the Red Iron LLC Agreement as in effect on the Closing Date, except for amendments that do not change the ownership interests of its members or materially change the overall management structure of Red Iron in a manner that would cause Red Iron to be considered a Subsidiary of Toro, any obligations of Red Iron shall not be considered an obligation of Toro or Red Iron Holding Corporation, a Delaware corporation.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 Iron LLC Agreement</w:t>
      </w:r>
      <w:r>
        <w:rPr>
          <w:rFonts w:ascii="Times New Roman" w:cs="Times New Roman" w:eastAsia="Times New Roman" w:hAnsi="Times New Roman"/>
          <w:sz w:val="20"/>
          <w:szCs w:val="20"/>
          <w:color w:val="auto"/>
        </w:rPr>
        <w:t>” means that certain limited liability company agreement of Red Iron Acceptance, LLC, dated as of August 12, 2009, by and among Red Iron Holding Corporation, a Delaware corporation and a Subsidiary of Toro, and TCFIF Joint Venture I, LLC, a Minnesota limited liability company, as amended prior to the date 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7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5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Credit Extension denominated in (a) Sterling, SONIA, (b) Canadian Dollars, Term CORRA, (c) Euros, EURIBOR, (d) Australian Dollars, BBSY, (e) Mexican Pesos, TIIE, as applicable.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9.06(b)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30 day notice period has been waived.</w:t>
      </w:r>
    </w:p>
    <w:p>
      <w:pPr>
        <w:spacing w:after="0" w:line="173"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Request for Credit Extension</w:t>
      </w:r>
      <w:r>
        <w:rPr>
          <w:rFonts w:ascii="Times New Roman" w:cs="Times New Roman" w:eastAsia="Times New Roman" w:hAnsi="Times New Roman"/>
          <w:sz w:val="19"/>
          <w:szCs w:val="19"/>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the L/C Issuer, as the case may be, in making such determination.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Lenders</w:t>
      </w:r>
      <w:r>
        <w:rPr>
          <w:rFonts w:ascii="Times New Roman" w:cs="Times New Roman" w:eastAsia="Times New Roman" w:hAnsi="Times New Roman"/>
          <w:sz w:val="20"/>
          <w:szCs w:val="20"/>
          <w:color w:val="auto"/>
        </w:rPr>
        <w:t>” means, as of any date of determination, at least two Revolving Credit Lenders holding more than 50% of the sum of the (a) Total Revolving Credit Outstandings (with the aggregate amount of each Revolving Credit Lender’s risk participation and funded participation in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C Obligations and Swing Line Loans being deemed “held” by such Revolving Credit Lender for purposes of this definition) and</w:t>
      </w:r>
    </w:p>
    <w:p>
      <w:pPr>
        <w:spacing w:after="0" w:line="28" w:lineRule="exact"/>
        <w:rPr>
          <w:sz w:val="20"/>
          <w:szCs w:val="20"/>
          <w:color w:val="auto"/>
        </w:rPr>
      </w:pPr>
    </w:p>
    <w:p>
      <w:pPr>
        <w:jc w:val="both"/>
        <w:ind w:firstLine="8"/>
        <w:spacing w:after="0" w:line="253" w:lineRule="auto"/>
        <w:tabs>
          <w:tab w:leader="none" w:pos="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unused Revolving Credit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7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Term Lenders</w:t>
      </w:r>
      <w:r>
        <w:rPr>
          <w:rFonts w:ascii="Times New Roman" w:cs="Times New Roman" w:eastAsia="Times New Roman" w:hAnsi="Times New Roman"/>
          <w:sz w:val="20"/>
          <w:szCs w:val="20"/>
          <w:color w:val="auto"/>
        </w:rPr>
        <w:t xml:space="preserve">” means, as of any date of determination, at least two Term Lenders holding more than 50% of the Term Facility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portion of the Term Facility held by any Defaulting Lender shall be excluded for purposes of making a determination of Required Term Lenders.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has meaning specified in </w:t>
      </w:r>
      <w:r>
        <w:rPr>
          <w:rFonts w:ascii="Times New Roman" w:cs="Times New Roman" w:eastAsia="Times New Roman" w:hAnsi="Times New Roman"/>
          <w:sz w:val="20"/>
          <w:szCs w:val="20"/>
          <w:u w:val="single" w:color="auto"/>
          <w:color w:val="auto"/>
        </w:rPr>
        <w:t>Section 9.06(a)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(a) the secretary, treasurer or assistant treasurer of a Loan Party, with respect to Toro Luxembourg, any manager (gérant) of Toro Luxembourg duly authorized for the purposes thereof or any authorized signatory duly appointed for the purpose therefor, and any other officer having substantially the same authority and responsibility; (b) with respect to compliance with the financial covenant, the chief financial officer, corporate controller, the treasurer or assistant treasurer of a Loan Party, or any other officer having substantially the same authority and responsibility; or (c)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the assistant treasurer or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w:t>
      </w:r>
      <w:r>
        <w:rPr>
          <w:rFonts w:ascii="Times New Roman" w:cs="Times New Roman" w:eastAsia="Times New Roman" w:hAnsi="Times New Roman"/>
          <w:sz w:val="20"/>
          <w:szCs w:val="20"/>
          <w:color w:val="auto"/>
        </w:rPr>
        <w:t>” has the meaning specified in the introductory paragraph 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Revaluation Date</w:t>
      </w:r>
      <w:r>
        <w:rPr>
          <w:rFonts w:ascii="Times New Roman" w:cs="Times New Roman" w:eastAsia="Times New Roman" w:hAnsi="Times New Roman"/>
          <w:sz w:val="19"/>
          <w:szCs w:val="19"/>
          <w:color w:val="auto"/>
        </w:rPr>
        <w:t xml:space="preserve">” means (a) with respect to any Loan, each of the following: (i) each date of a Borrowing of an Alternative Currency Loan, (ii) with respect to an Alternative Currency Daily Rate Loan, each Interest Payment Date, (iii) each date of a continuation of an Alternative Currency Term Rate Loan pursuant to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and (iv)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(iv) in the case of all Existing Letters of Credit denominated in Alternative Currencies, the Closing Date, and (v) such additional dates as the Administrative Agent or the L/C Issuer shall determine or the Required Lenders shall require.</w:t>
      </w:r>
    </w:p>
    <w:p>
      <w:pPr>
        <w:spacing w:after="0" w:line="16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Borrowing</w:t>
      </w:r>
      <w:r>
        <w:rPr>
          <w:rFonts w:ascii="Times New Roman" w:cs="Times New Roman" w:eastAsia="Times New Roman" w:hAnsi="Times New Roman"/>
          <w:sz w:val="20"/>
          <w:szCs w:val="20"/>
          <w:color w:val="auto"/>
        </w:rPr>
        <w:t>” means a borrowing consisting of simultaneous Revolving Credit Loans of the same Type and, in the case of Term SOFR Loans or Alternative Currency Term Rate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 xml:space="preserve">having the same Interest Period made by each of the Revolving Credit Lenders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xml:space="preserve">” means, as to each Revolving Credit Lender, its obligation to (a) make Revolving Credit Loans to the Borrowers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Lender at any time, the aggregate principal amount at such time of its outstanding Revolving Credit Loans and such Lender’s participation in L/C Obligations and Swing Line Loans at such time.</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means, at any time, the aggregate amount of the Revolving Credit Lenders’ Revolving Credit Commitments at such time.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Lender</w:t>
      </w:r>
      <w:r>
        <w:rPr>
          <w:rFonts w:ascii="Times New Roman" w:cs="Times New Roman" w:eastAsia="Times New Roman" w:hAnsi="Times New Roman"/>
          <w:sz w:val="20"/>
          <w:szCs w:val="20"/>
          <w:color w:val="auto"/>
        </w:rPr>
        <w:t>” means, at any time, any Lender that has a Revolving Credit Commitment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Note</w:t>
      </w:r>
      <w:r>
        <w:rPr>
          <w:rFonts w:ascii="Times New Roman" w:cs="Times New Roman" w:eastAsia="Times New Roman" w:hAnsi="Times New Roman"/>
          <w:sz w:val="20"/>
          <w:szCs w:val="20"/>
          <w:color w:val="auto"/>
        </w:rPr>
        <w:t xml:space="preserve">” means a promissory note made by the Borrowers in favor of a Revolving Credit Lender evidencing Revolving Credit Loans or Swing Line Loans, as the case may be, made by such Revolving Credit Lender, substantially in the form of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His Majesty’s Treasury, the Hong Kong Monetary Authority or other relevant sanctions authority.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 functions.</w:t>
      </w:r>
    </w:p>
    <w:p>
      <w:pPr>
        <w:spacing w:after="0" w:line="22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Adjustment</w:t>
      </w:r>
      <w:r>
        <w:rPr>
          <w:rFonts w:ascii="Times New Roman" w:cs="Times New Roman" w:eastAsia="Times New Roman" w:hAnsi="Times New Roman"/>
          <w:sz w:val="20"/>
          <w:szCs w:val="20"/>
          <w:color w:val="auto"/>
        </w:rPr>
        <w:t>” means 0.10% (10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SONIA means such rate that applied on the first Business Day immediately prior thereto.</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SPV</w:t>
      </w:r>
      <w:r>
        <w:rPr>
          <w:rFonts w:ascii="Times New Roman" w:cs="Times New Roman" w:eastAsia="Times New Roman" w:hAnsi="Times New Roman"/>
          <w:sz w:val="20"/>
          <w:szCs w:val="20"/>
          <w:color w:val="auto"/>
        </w:rPr>
        <w:t>” means any special purpose entity established for the purpose of purchasing receivables in connection with a Receivables Purchase Facility.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means the lawful currency of the United Kingdom.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Toro.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Borrowers</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Surety Instruments</w:t>
      </w:r>
      <w:r>
        <w:rPr>
          <w:rFonts w:ascii="Times New Roman" w:cs="Times New Roman" w:eastAsia="Times New Roman" w:hAnsi="Times New Roman"/>
          <w:sz w:val="20"/>
          <w:szCs w:val="20"/>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Coordinator</w:t>
      </w:r>
      <w:r>
        <w:rPr>
          <w:rFonts w:ascii="Times New Roman" w:cs="Times New Roman" w:eastAsia="Times New Roman" w:hAnsi="Times New Roman"/>
          <w:sz w:val="20"/>
          <w:szCs w:val="20"/>
          <w:color w:val="auto"/>
        </w:rPr>
        <w:t>” means BofA Securities, Inc., in its capacity as the sustainability coordinator.</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Linked Loan Principles</w:t>
      </w:r>
      <w:r>
        <w:rPr>
          <w:rFonts w:ascii="Times New Roman" w:cs="Times New Roman" w:eastAsia="Times New Roman" w:hAnsi="Times New Roman"/>
          <w:sz w:val="20"/>
          <w:szCs w:val="20"/>
          <w:color w:val="auto"/>
        </w:rPr>
        <w:t>” means the Sustainability Linked Loan Principles as most recently published by the Loan Market Association and Loan Syndications &amp; Trading Association.</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20"/>
          <w:szCs w:val="20"/>
          <w:color w:val="auto"/>
        </w:rPr>
        <w:t>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Swap Contracts in accordance with their terms,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w:t>
      </w:r>
      <w:r>
        <w:rPr>
          <w:rFonts w:ascii="Times New Roman" w:cs="Times New Roman" w:eastAsia="Times New Roman" w:hAnsi="Times New Roman"/>
          <w:sz w:val="20"/>
          <w:szCs w:val="20"/>
          <w:color w:val="auto"/>
        </w:rPr>
        <w:t xml:space="preserve">” means the swing line facility made available by the Swing Line Lender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xml:space="preserve">” means Bank of America in its capacity as provider of Swing Line Loans, or any successor swing line lender hereunder, with the commitments of each Swing Line Lender as set forth in </w:t>
      </w:r>
      <w:r>
        <w:rPr>
          <w:rFonts w:ascii="Times New Roman" w:cs="Times New Roman" w:eastAsia="Times New Roman" w:hAnsi="Times New Roman"/>
          <w:sz w:val="20"/>
          <w:szCs w:val="20"/>
          <w:u w:val="single" w:color="auto"/>
          <w:color w:val="auto"/>
        </w:rPr>
        <w:t>Schedule 2.01B</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Toro.</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$75,000,000 and (b) the Revolving Credit Facility. The Swing Line Sublimit is part of, and not in addition to, the Revolving Credit Facility.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is open for the settlement of payments in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44" w:name="page45"/>
    <w:bookmarkEnd w:id="44"/>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TCC</w:t>
      </w:r>
      <w:r>
        <w:rPr>
          <w:rFonts w:ascii="Times New Roman" w:cs="Times New Roman" w:eastAsia="Times New Roman" w:hAnsi="Times New Roman"/>
          <w:sz w:val="20"/>
          <w:szCs w:val="20"/>
          <w:color w:val="auto"/>
        </w:rPr>
        <w:t>” means Toro Credit Company, a Minnesota corporation.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xml:space="preserve">” means a borrowing consisting of simultaneous Term Loans of the same Type and, in the case of Term SOFR Loans having the same Interest Period made by each of the Term Lenders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Adjustment</w:t>
      </w:r>
      <w:r>
        <w:rPr>
          <w:rFonts w:ascii="Times New Roman" w:cs="Times New Roman" w:eastAsia="Times New Roman" w:hAnsi="Times New Roman"/>
          <w:sz w:val="20"/>
          <w:szCs w:val="20"/>
          <w:color w:val="auto"/>
        </w:rPr>
        <w:t>” means 0.29547% (29.547 basis points) for an Interest Period of one-month’s duration and 0.32138% (32.138 basis points) for an Interest Period of three-months’ duration.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has the meaning specified in the definition of “Alternative Currency Term Rate.”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xml:space="preserve">” means, as to each Term Lender, its obligation to make Term Loans to Toro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in an aggregate principal amount at any one time outstanding not to exceed the amount set forth opposite such Term Lender’s name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2.01A</w:t>
      </w:r>
      <w:r>
        <w:rPr>
          <w:rFonts w:ascii="Times New Roman" w:cs="Times New Roman" w:eastAsia="Times New Roman" w:hAnsi="Times New Roman"/>
          <w:sz w:val="20"/>
          <w:szCs w:val="20"/>
          <w:color w:val="auto"/>
        </w:rPr>
        <w:t xml:space="preserve"> under the caption “Term Commitment” or opposite such caption in the Assignment and Assumption pursuant to which such Term Lender becomes a party hereto, as applicable, as such amount may be adjusted from time to time in accordance with this Agreement.</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 at any time on or prior to the Closing Date, any Lender that has a Term Commitment at such time and (b) at any time after the Closing Date, any Lender that holds Term Loans at such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 advance made by any Term Lender under the Term Facility.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Exposure</w:t>
      </w:r>
      <w:r>
        <w:rPr>
          <w:rFonts w:ascii="Times New Roman" w:cs="Times New Roman" w:eastAsia="Times New Roman" w:hAnsi="Times New Roman"/>
          <w:sz w:val="20"/>
          <w:szCs w:val="20"/>
          <w:color w:val="auto"/>
        </w:rPr>
        <w:t xml:space="preserve">” means, as to any Lender at any time, the aggregate Outstanding Amount at such time of its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prior to the making of the Term Loans, the Term Loan Exposure of any Lender shall be equal to such Lender’s Term Commitment.</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Note</w:t>
      </w:r>
      <w:r>
        <w:rPr>
          <w:rFonts w:ascii="Times New Roman" w:cs="Times New Roman" w:eastAsia="Times New Roman" w:hAnsi="Times New Roman"/>
          <w:sz w:val="20"/>
          <w:szCs w:val="20"/>
          <w:color w:val="auto"/>
        </w:rPr>
        <w:t xml:space="preserve">” means a promissory note made by Toro in favor of a Term Lender evidencing Term Loans made by such Term Lender, substantially in the form of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656"/>
        <w:spacing w:after="0" w:line="257" w:lineRule="auto"/>
        <w:tabs>
          <w:tab w:leader="none" w:pos="110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SOFR Adjustment for such Interest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45" w:name="page46"/>
    <w:bookmarkEnd w:id="45"/>
    <w:p>
      <w:pPr>
        <w:jc w:val="both"/>
        <w:ind w:firstLine="656"/>
        <w:spacing w:after="0" w:line="258" w:lineRule="auto"/>
        <w:tabs>
          <w:tab w:leader="none" w:pos="111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SOFR Adjustment for such term;</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Term SOFR determined in accordance with either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would otherwise be less than zero percent, Term SOFR shall be deemed zero percent for purposes of this Agreement.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xml:space="preserve"> means a Loan that bears interest at a rate based on clause (a) of the definition of Term SOFR.</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Toro</w:t>
      </w:r>
      <w:r>
        <w:rPr>
          <w:rFonts w:ascii="Times New Roman" w:cs="Times New Roman" w:eastAsia="Times New Roman" w:hAnsi="Times New Roman"/>
          <w:sz w:val="20"/>
          <w:szCs w:val="20"/>
          <w:color w:val="auto"/>
        </w:rPr>
        <w:t>” has the meaning specified in the introductory paragraph 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Toro Luxembourg</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(a) in respect of the Revolving Credit Facility, the unused Revolving Credit Commitments and Revolving Credit Exposure of such Lender at such time, and (b) in respect of the Term Facility, the Term Loan Exposure of such Lender at such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Outstandings</w:t>
      </w:r>
      <w:r>
        <w:rPr>
          <w:rFonts w:ascii="Times New Roman" w:cs="Times New Roman" w:eastAsia="Times New Roman" w:hAnsi="Times New Roman"/>
          <w:sz w:val="20"/>
          <w:szCs w:val="20"/>
          <w:color w:val="auto"/>
        </w:rPr>
        <w:t>” means the aggregate Outstanding Amount of all Loans and all L/C Obligations.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Outstandings</w:t>
      </w:r>
      <w:r>
        <w:rPr>
          <w:rFonts w:ascii="Times New Roman" w:cs="Times New Roman" w:eastAsia="Times New Roman" w:hAnsi="Times New Roman"/>
          <w:sz w:val="20"/>
          <w:szCs w:val="20"/>
          <w:color w:val="auto"/>
        </w:rPr>
        <w:t>” means the aggregate Outstanding Amount of all Revolving Credit Loans, Swing Line Loans and L/C Obligations.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Triggering Acquisition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a Term SOFR Loan, an Alternative Currency Daily Rate Loan or an Alternative Currency Term Rate Loan.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in the State of New York.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Pension Liability</w:t>
      </w:r>
      <w:r>
        <w:rPr>
          <w:rFonts w:ascii="Times New Roman" w:cs="Times New Roman" w:eastAsia="Times New Roman" w:hAnsi="Times New Roman"/>
          <w:sz w:val="20"/>
          <w:szCs w:val="20"/>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3.01(e)(ii)(B)(IV)</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means any corporation, limited liability company, partnership or other business association or entity organized under the laws of the United States or other country in which Toro or any of its Subsidiaries conducts business in which (other than directors’ qualifying shares required by law) 100% of the capital stock, membership interests, partnership interests or other Equity 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one of the Borrowers, or by one or more of the Borrowers or other Wholly-Owned Subsidiaries, or both, and (ii) directly or indirectly by Toro.</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I.2 Other Interpretive Provisions</w:t>
      </w:r>
      <w:r>
        <w:rPr>
          <w:rFonts w:ascii="Times New Roman" w:cs="Times New Roman" w:eastAsia="Times New Roman" w:hAnsi="Times New Roman"/>
          <w:sz w:val="20"/>
          <w:szCs w:val="20"/>
          <w:color w:val="auto"/>
        </w:rPr>
        <w:t>. With reference to this Agreement and each other Loan Document, unless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herein or in such other Loan Document:</w:t>
      </w:r>
    </w:p>
    <w:p>
      <w:pPr>
        <w:spacing w:after="0" w:line="156" w:lineRule="exact"/>
        <w:rPr>
          <w:sz w:val="20"/>
          <w:szCs w:val="20"/>
          <w:color w:val="auto"/>
        </w:rPr>
      </w:pPr>
    </w:p>
    <w:p>
      <w:pPr>
        <w:jc w:val="both"/>
        <w:ind w:firstLine="656"/>
        <w:spacing w:after="0" w:line="254" w:lineRule="auto"/>
        <w:tabs>
          <w:tab w:leader="none" w:pos="128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0"/>
          <w:szCs w:val="20"/>
          <w:u w:val="single" w:color="auto"/>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shall be deemed to be followed by the phrase “without limitation.” The word “</w:t>
      </w:r>
      <w:r>
        <w:rPr>
          <w:rFonts w:ascii="Times New Roman" w:cs="Times New Roman" w:eastAsia="Times New Roman" w:hAnsi="Times New Roman"/>
          <w:sz w:val="20"/>
          <w:szCs w:val="20"/>
          <w:u w:val="single" w:color="auto"/>
          <w:color w:val="auto"/>
        </w:rPr>
        <w:t>will</w:t>
      </w:r>
      <w:r>
        <w:rPr>
          <w:rFonts w:ascii="Times New Roman" w:cs="Times New Roman" w:eastAsia="Times New Roman" w:hAnsi="Times New Roman"/>
          <w:sz w:val="20"/>
          <w:szCs w:val="20"/>
          <w:color w:val="auto"/>
        </w:rPr>
        <w:t>” shall be construed to have the same meaning and effect as the word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Unless the context requires otherwise, (i) any definition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20"/>
          <w:szCs w:val="20"/>
          <w:color w:val="auto"/>
        </w:rPr>
        <w:t>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ind w:firstLine="656"/>
        <w:spacing w:after="0" w:line="269" w:lineRule="auto"/>
        <w:tabs>
          <w:tab w:leader="none" w:pos="128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right="20" w:firstLine="656"/>
        <w:spacing w:after="0" w:line="269" w:lineRule="auto"/>
        <w:tabs>
          <w:tab w:leader="none" w:pos="128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I.3 Accounting Terms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 defined herein shall be construed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as otherwise specifically prescribed herein. Notwithstanding the foregoing, for purposes of determining compliance with any covenant (including the computation of the financial covenant) contained herein, Indebtedness of Toro and its Subsidiaries shall be deemed to be carried at 100% of the outstanding principal amount thereof, and the effects of FASB ASC 825 on financial liabilities shall be disregarded.</w:t>
      </w:r>
    </w:p>
    <w:p>
      <w:pPr>
        <w:spacing w:after="0" w:line="190" w:lineRule="exact"/>
        <w:rPr>
          <w:sz w:val="20"/>
          <w:szCs w:val="20"/>
          <w:color w:val="auto"/>
        </w:rPr>
      </w:pPr>
    </w:p>
    <w:p>
      <w:pPr>
        <w:jc w:val="both"/>
        <w:ind w:firstLine="656"/>
        <w:spacing w:after="0" w:line="253" w:lineRule="auto"/>
        <w:tabs>
          <w:tab w:leader="none" w:pos="128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Toro or the Required Lenders shall so request, the Administrative Agent, the Lenders and Toro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Toro shall provide to the Administrative Agent and the Lenders financial statements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48" w:name="page49"/>
    <w:bookmarkEnd w:id="48"/>
    <w:p>
      <w:pPr>
        <w:spacing w:after="0" w:line="283" w:lineRule="auto"/>
        <w:rPr>
          <w:sz w:val="20"/>
          <w:szCs w:val="20"/>
          <w:color w:val="auto"/>
        </w:rPr>
      </w:pPr>
      <w:r>
        <w:rPr>
          <w:rFonts w:ascii="Times New Roman" w:cs="Times New Roman" w:eastAsia="Times New Roman" w:hAnsi="Times New Roman"/>
          <w:sz w:val="20"/>
          <w:szCs w:val="20"/>
          <w:color w:val="auto"/>
        </w:rPr>
        <w:t>required under this Agreement or as reasonably requested hereunder setting forth a reconciliation between calculations of such ratio or requirement made before and after giving effect to such change in GAAP.</w:t>
      </w:r>
    </w:p>
    <w:p>
      <w:pPr>
        <w:spacing w:after="0" w:line="146"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“fiscal year” and “fiscal quarter” refer to such fiscal periods of the Borrowers.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Acquisition consummated on or after the Closing Date, the following shall apply:</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and, in each case, reasonably satisfactory to the Administrative Agent;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each period of four fiscal quarters of Toro and its Subsidiaries ending next following the date of each Acquisition, Consolidated Interest Charges shall include the results of operations of the Person or assets so acquired, which amounts shall be determined on a historical pro forma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Consolidated Interest Charges shall be adjusted on a historical 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Times New Roman" w:cs="Times New Roman" w:eastAsia="Times New Roman" w:hAnsi="Times New Roman"/>
          <w:sz w:val="20"/>
          <w:szCs w:val="20"/>
          <w:u w:val="single" w:color="auto"/>
          <w:color w:val="auto"/>
        </w:rPr>
        <w:t>Incremental Debt</w:t>
      </w:r>
      <w:r>
        <w:rPr>
          <w:rFonts w:ascii="Times New Roman" w:cs="Times New Roman" w:eastAsia="Times New Roman" w:hAnsi="Times New Roman"/>
          <w:sz w:val="20"/>
          <w:szCs w:val="20"/>
          <w:color w:val="auto"/>
        </w:rPr>
        <w: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8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Material Disposition consummated on or after the Closing Date:</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95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Borrower or Subsidiary in connection with Indebtedness which is either (x) repaid with the proceeds received by the applicable Borrower or Subsidiary in connection with such Material Disposition or (y) assigned or transferred to, and assumed by, the Person to whom the Material Disposition is made by the applicable Borrower or Subsidiary.</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For the purposes of this paragraph, “</w:t>
      </w:r>
      <w:r>
        <w:rPr>
          <w:rFonts w:ascii="Times New Roman" w:cs="Times New Roman" w:eastAsia="Times New Roman" w:hAnsi="Times New Roman"/>
          <w:sz w:val="20"/>
          <w:szCs w:val="20"/>
          <w:u w:val="single" w:color="auto"/>
          <w:color w:val="auto"/>
        </w:rPr>
        <w:t>Material Disposition</w:t>
      </w:r>
      <w:r>
        <w:rPr>
          <w:rFonts w:ascii="Times New Roman" w:cs="Times New Roman" w:eastAsia="Times New Roman" w:hAnsi="Times New Roman"/>
          <w:sz w:val="20"/>
          <w:szCs w:val="20"/>
          <w:color w:val="auto"/>
        </w:rPr>
        <w:t>” means any Disposition, or series of related Dispositions, by Toro and its Subsidiaries of real or personal property that has a gross book value,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20"/>
          <w:szCs w:val="20"/>
          <w:color w:val="auto"/>
        </w:rPr>
        <w:t>determined in accordance with GAAP, equal to or greater than 10%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a Receivables Purchase Facility.</w:t>
      </w:r>
    </w:p>
    <w:p>
      <w:pPr>
        <w:spacing w:after="0" w:line="172" w:lineRule="exact"/>
        <w:rPr>
          <w:sz w:val="20"/>
          <w:szCs w:val="20"/>
          <w:color w:val="auto"/>
        </w:rPr>
      </w:pPr>
    </w:p>
    <w:p>
      <w:pPr>
        <w:jc w:val="both"/>
        <w:ind w:firstLine="656"/>
        <w:spacing w:after="0" w:line="258" w:lineRule="auto"/>
        <w:tabs>
          <w:tab w:leader="none" w:pos="128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 of Variable Interest Entities</w:t>
      </w:r>
      <w:r>
        <w:rPr>
          <w:rFonts w:ascii="Times New Roman" w:cs="Times New Roman" w:eastAsia="Times New Roman" w:hAnsi="Times New Roman"/>
          <w:sz w:val="20"/>
          <w:szCs w:val="20"/>
          <w:color w:val="auto"/>
        </w:rPr>
        <w:t>. All references herein to consolidated financial statements of Toro and its Subsidiaries or to the determination of any amount for Toro and its Subsidiaries on a consolidated basis or any similar reference shall, in each case, be deemed to include each variable interest entity that Toro or a Subsidiary is required to consolidate pursuant to FASB ASC 810 as if such variable interest entity were a Subsidiary as defined herein.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I.4 Exchange Rates; Currency Equivalents; Interest Rates; Licensing</w:t>
      </w:r>
      <w:r>
        <w:rPr>
          <w:rFonts w:ascii="Times New Roman" w:cs="Times New Roman" w:eastAsia="Times New Roman" w:hAnsi="Times New Roman"/>
          <w:sz w:val="20"/>
          <w:szCs w:val="20"/>
          <w:color w:val="auto"/>
        </w:rPr>
        <w:t>. The Administrative Agent or the L/C Issuer,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the financial covenant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90" w:lineRule="exact"/>
        <w:rPr>
          <w:sz w:val="20"/>
          <w:szCs w:val="20"/>
          <w:color w:val="auto"/>
        </w:rPr>
      </w:pPr>
    </w:p>
    <w:p>
      <w:pPr>
        <w:jc w:val="both"/>
        <w:ind w:firstLine="656"/>
        <w:spacing w:after="0" w:line="253" w:lineRule="auto"/>
        <w:tabs>
          <w:tab w:leader="none" w:pos="128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91"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656"/>
        <w:spacing w:after="0" w:line="261"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agreeing to make Loans under this Agreement, each Lender is confirming it has all licenses, permits and approvals necessary for use of the reference rates referred to herein and it will do all things necessary to comply, preserve, renew and keep in full force and such licenses, permits and approvals.</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I.5 Additional Alternative Currencies</w:t>
      </w:r>
      <w:r>
        <w:rPr>
          <w:rFonts w:ascii="Times New Roman" w:cs="Times New Roman" w:eastAsia="Times New Roman" w:hAnsi="Times New Roman"/>
          <w:sz w:val="20"/>
          <w:szCs w:val="20"/>
          <w:color w:val="auto"/>
        </w:rPr>
        <w:t>. Toro may from time to time request that Alternative Currency Loans be made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an Eligible Currency. In the case of any such request with respect to the making of Alternative Currency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91" w:lineRule="exact"/>
        <w:rPr>
          <w:sz w:val="20"/>
          <w:szCs w:val="20"/>
          <w:color w:val="auto"/>
        </w:rPr>
      </w:pPr>
    </w:p>
    <w:p>
      <w:pPr>
        <w:jc w:val="both"/>
        <w:ind w:firstLine="656"/>
        <w:spacing w:after="0" w:line="252" w:lineRule="auto"/>
        <w:tabs>
          <w:tab w:leader="none" w:pos="12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Alternative Currency Term Rate Loans, the Administrative Agent shall promptly notify each Lender thereof; and in the case of any such request pertaining to Letters of Credit, the Administrative Agent shall promptly notify the L/C Issuer thereof. Each Lender (in the case of any such request pertaining to Alternative Currency Term Rate Loans) or the L/C Issuer (in the case of a request pertaining to Letters of Credit) shall notify the Administrative Agent, not later than 11:00 a.m., ten Business Days after receipt of such request whether it consents, in its sole discretion, to the making of Alternative Currency Term Rate Loans or the issuance of Letters of Credit, as the case may be, in such requested currency.</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Lender or the L/C Issuer, as the case may be, to respond to such request within the time period specified in the last sentence of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shall be deemed to be a refusal by such Lender or the L/C Issuer, as the case may be, to permit Alternative Currency Loans to be made or Letters of Credit to be issued in such requested currency. If the Administrative Agent and all the Lenders consent to making Alternative Currency Loans in such requested currency and the Administrative Agent and such Lenders reasonably determine that an appropriate interest rate is available to be used for such requested currency, the Administrative Agent shall so notify Toro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Borrowings of Alternative Currency Loans. If the Administrative Agent and the L/C Issuer consent to the issuance of Letters of Credit in such requested currency, the Administrative Agent shall so notify Toro and (x) the Administrative Agent and the L/C Issuer may amend the definition of Alternative Currency Daily Rate or Alternative Currency Term Rate, as applicable, to the extent necessary to add the applicable rate for such currency and any applicable adjustment for such rate and (y)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the Administrative Agent shall promptly so notify Toro.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51" w:name="page52"/>
    <w:bookmarkEnd w:id="51"/>
    <w:p>
      <w:pPr>
        <w:jc w:val="both"/>
        <w:ind w:firstLine="648"/>
        <w:spacing w:after="0" w:line="270" w:lineRule="auto"/>
        <w:rPr>
          <w:sz w:val="20"/>
          <w:szCs w:val="20"/>
          <w:color w:val="auto"/>
        </w:rPr>
      </w:pPr>
      <w:r>
        <w:rPr>
          <w:rFonts w:ascii="Times New Roman" w:cs="Times New Roman" w:eastAsia="Times New Roman" w:hAnsi="Times New Roman"/>
          <w:sz w:val="19"/>
          <w:szCs w:val="19"/>
          <w:b w:val="1"/>
          <w:bCs w:val="1"/>
          <w:color w:val="auto"/>
        </w:rPr>
        <w:t>I.6 Change of Currency</w:t>
      </w:r>
      <w:r>
        <w:rPr>
          <w:rFonts w:ascii="Times New Roman" w:cs="Times New Roman" w:eastAsia="Times New Roman" w:hAnsi="Times New Roman"/>
          <w:sz w:val="19"/>
          <w:szCs w:val="19"/>
          <w:color w:val="auto"/>
        </w:rPr>
        <w:t>. Each obligation of the Borrowers to make a payment denominated in the national currency unit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60" w:lineRule="exact"/>
        <w:rPr>
          <w:sz w:val="20"/>
          <w:szCs w:val="20"/>
          <w:color w:val="auto"/>
        </w:rPr>
      </w:pPr>
    </w:p>
    <w:p>
      <w:pPr>
        <w:jc w:val="both"/>
        <w:ind w:firstLine="656"/>
        <w:spacing w:after="0" w:line="261" w:lineRule="auto"/>
        <w:tabs>
          <w:tab w:leader="none" w:pos="128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I.7 Times of Day</w:t>
      </w:r>
      <w:r>
        <w:rPr>
          <w:rFonts w:ascii="Times New Roman" w:cs="Times New Roman" w:eastAsia="Times New Roman" w:hAnsi="Times New Roman"/>
          <w:sz w:val="20"/>
          <w:szCs w:val="20"/>
          <w:color w:val="auto"/>
        </w:rPr>
        <w:t>. Unless otherwise specified, all references herein to times of day shall be references to Central time (daylight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standard, as applicable).</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I.8 Letter of Credit Amounts</w:t>
      </w:r>
      <w:r>
        <w:rPr>
          <w:rFonts w:ascii="Times New Roman" w:cs="Times New Roman" w:eastAsia="Times New Roman" w:hAnsi="Times New Roman"/>
          <w:sz w:val="20"/>
          <w:szCs w:val="20"/>
          <w:color w:val="auto"/>
        </w:rPr>
        <w:t>. Unless otherwise specified herein, the amount of a Letter of Credit at any time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I.9 Rounding</w:t>
      </w:r>
      <w:r>
        <w:rPr>
          <w:rFonts w:ascii="Times New Roman" w:cs="Times New Roman" w:eastAsia="Times New Roman" w:hAnsi="Times New Roman"/>
          <w:sz w:val="20"/>
          <w:szCs w:val="20"/>
          <w:color w:val="auto"/>
        </w:rPr>
        <w:t>. Any financial ratios required to be maintained by the Borrowers pursuant to this Agreement shall be calculated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I.10</w:t>
        <w:tab/>
        <w:t>Limited Conditionality Acquisition</w:t>
      </w:r>
      <w:r>
        <w:rPr>
          <w:rFonts w:ascii="Times New Roman" w:cs="Times New Roman" w:eastAsia="Times New Roman" w:hAnsi="Times New Roman"/>
          <w:sz w:val="20"/>
          <w:szCs w:val="20"/>
          <w:color w:val="auto"/>
        </w:rPr>
        <w:t>. In the event that Toro notifies the Administrative Agent in writing that any proposed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Acquisition is a Limited Conditionality Acquisition and that Toro wishes to test the conditions to such Acquisition and the availability of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that is to be used to finance such Acquisition in accordance with this Section 1.10, then the following provisions shall apply:</w:t>
      </w:r>
    </w:p>
    <w:p>
      <w:pPr>
        <w:spacing w:after="0" w:line="200" w:lineRule="exact"/>
        <w:rPr>
          <w:sz w:val="20"/>
          <w:szCs w:val="20"/>
          <w:color w:val="auto"/>
        </w:rPr>
      </w:pPr>
    </w:p>
    <w:p>
      <w:pPr>
        <w:jc w:val="both"/>
        <w:ind w:firstLine="656"/>
        <w:spacing w:after="0" w:line="258" w:lineRule="auto"/>
        <w:tabs>
          <w:tab w:leader="none" w:pos="128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Acquisition or such Indebtedness that requires that no Default or Event of Default shall have occurred and be continuing at the time of such Acquisition or the incurrence of such Indebtedness, shall, if agreed to by the lenders providing such Indebtedness, be satisfied if (i) no Default or Event of Default shall have occurred and be continuing at the time of the execution of the definitive purchase agreement, merger agreement or other acquisition agreement governing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09" w:right="339" w:bottom="1440" w:gutter="0" w:footer="0" w:header="0"/>
        </w:sectPr>
      </w:pPr>
    </w:p>
    <w:bookmarkStart w:id="52" w:name="page53"/>
    <w:bookmarkEnd w:id="52"/>
    <w:p>
      <w:pPr>
        <w:ind w:right="20"/>
        <w:spacing w:after="0" w:line="283" w:lineRule="auto"/>
        <w:rPr>
          <w:sz w:val="20"/>
          <w:szCs w:val="20"/>
          <w:color w:val="auto"/>
        </w:rPr>
      </w:pPr>
      <w:r>
        <w:rPr>
          <w:rFonts w:ascii="Times New Roman" w:cs="Times New Roman" w:eastAsia="Times New Roman" w:hAnsi="Times New Roman"/>
          <w:sz w:val="20"/>
          <w:szCs w:val="20"/>
          <w:color w:val="auto"/>
        </w:rPr>
        <w:t>Acquisition and (ii) no Event of Default under any of Sections 8.01(a), (f) or (g) shall have occurred and be continuing both before and after giving effect to such Acquisition and any Indebtedness incurred in connection therewith (including such additional Indebtedness);</w:t>
      </w:r>
    </w:p>
    <w:p>
      <w:pPr>
        <w:spacing w:after="0" w:line="146" w:lineRule="exact"/>
        <w:rPr>
          <w:sz w:val="20"/>
          <w:szCs w:val="20"/>
          <w:color w:val="auto"/>
        </w:rPr>
      </w:pPr>
    </w:p>
    <w:p>
      <w:pPr>
        <w:jc w:val="both"/>
        <w:ind w:firstLine="656"/>
        <w:spacing w:after="0" w:line="252"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Acquisition and/or such Indebtedness that the representations and warranties in this Agreement and the other Loan Documents shall be true and correct in all material respects at the time of such Acquisition or the incurrence of such Indebtedness, except (x) if a qualifier relating to materiality, Material Adverse Effect or other similar concept applies, such representation or warranty is true and correct in all respects and (y) to the extent that such representations and warranties specifically refer to an earlier date, may, if agreed to by the lenders providing such Indebtedness, be limited by customary “SunGard” or other customary applicable “certain funds” conditionality provisions, so long as all such representations and warranties in this Agreement and the other Loan Documents are true and correct in all material respects at the time of the execution of the definitive purchase agreement, merger agreement or other acquisition agreement governing such Acquisition, except (x) if a qualifier relating to materiality, Material Adverse Effect or other similar concept applies, such representation or warranty is true and correct in all respects and (y) to the extent that such representations and warranties specifically refer to an earlier date;</w:t>
      </w:r>
    </w:p>
    <w:p>
      <w:pPr>
        <w:spacing w:after="0" w:line="17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financial ratio test or condition may, upon the written election of Toro delivered to the Administrative Agent prior to the execution of the definitive agreement for such Acquisition, be tested either (i) upon the execution of the definitive agreement with respect to such Limited Conditionality Acquisition or (ii) upon the consummation of the Limited Conditionality Acquisition and related incurrence of Indebtedness, in each case, after giving pro forma effect to the relevant Limited Conditionality Acquisition and related incurrence of Indebtedness; provided that the failure to deliver a notice under this Section 1.10(c) prior to the date of execution of the definitive agreement for such Limited Conditionality Acquisition shall be deemed an election to test the applicable financial ratio under subclause (ii) of this Section 1.10(c); and</w:t>
      </w:r>
    </w:p>
    <w:p>
      <w:pPr>
        <w:spacing w:after="0" w:line="179"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Toro has made an election with respect to any Limited Conditionality Acquisition to test an applicable financial ratio test or condition at the time specified in clause (c)(i) of this Section, then in connection with any subsequent calculation of any ratio (other than the financial covenant tested pursuant to Section 7.05) or basket on or following the relevant date of execution of the definitive agreement with respect to such Limited Conditionality Acquisition and prior to the earlier of (i) the date on which such Limited Conditionality Acquisition is consummated or (ii) the date that the definitive agreement for such Limited Conditionality Acquisition is terminated or expires without consummation of such Limited Conditionality Acquisition, any such ratio (other than the financial covenant tested pursuant to Section 7.05) or basket shall be required to be satisfied (x) on a pro forma assuming such Limited Conditionality Acquisition and other transactions in connection therewith (including the incurrence or assumption of Indebtedness) have been consummated and (y) assuming such Limited Conditionality Acquisition and other transactions in connection therewith (including the incurrence or assumption of Indebtedness) have not been consummated.</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foregoing provisions shall apply with similar effect during the pendency of multiple Limited Conditionality Acquisitions such that each of the possible scenarios is separately tested. Notwithstanding anything to the contrary herein, in no event shall there be more than two (2) Limited Conditionality Acquisitions at any time outstanding.</w:t>
      </w:r>
    </w:p>
    <w:p>
      <w:pPr>
        <w:spacing w:after="0" w:line="17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I.11 Amendment and Restatement</w:t>
      </w:r>
      <w:r>
        <w:rPr>
          <w:rFonts w:ascii="Times New Roman" w:cs="Times New Roman" w:eastAsia="Times New Roman" w:hAnsi="Times New Roman"/>
          <w:sz w:val="20"/>
          <w:szCs w:val="20"/>
          <w:color w:val="auto"/>
        </w:rPr>
        <w:t>. In order to facilitate the Restatement and otherwise to effectuate the desires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Borrowers, the Administrative Agent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53" w:name="page54"/>
    <w:bookmarkEnd w:id="53"/>
    <w:p>
      <w:pPr>
        <w:jc w:val="both"/>
        <w:ind w:left="-220" w:firstLine="656"/>
        <w:spacing w:after="0" w:line="251" w:lineRule="auto"/>
        <w:tabs>
          <w:tab w:leader="none" w:pos="106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Simultaneously with the Closing Date, the parties hereby agree that the Commitments shall be as set forth in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and the portion of Revolving Credit Loans, Term Loans and other Outstanding Amounts outstanding under the Existing Credit Agreement shall be reallocated in accordance with such Commitments and the requisite assignments shall be deemed to be made in such amounts by and between the Lenders (including the Existing Lenders, if applicable) and from each Lender to each other Lender, with the same force and effect as if such assignments were evidenced by applicable assignment agreements required pursuant to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of the Existing Credit Agreement. Notwithstanding anything to the contrary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of the Existing Credit Agreement or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of this Agreement, no other consents, documents, or instruments, including any assignment agreements, shall be executed in connection with these assignments (all of which requirements are hereby waived), and such assignments shall be deemed to be made with all applicable representations, warranties and covenants as if evidenced by an assignment agreement. On the Closing Date, the Lenders shall make full cash settlement with each other either directly or through the Administrative Agent, as the Administrative Agent may direct or approve, with respect to all assignments, reallocations and other changes in Commitments (as such term is defined in the Existing Credit Agreement) such that after giving effect to such settlements each Lender’s Applicable Percentage shall be as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220" w:firstLine="656"/>
        <w:spacing w:after="0" w:line="257" w:lineRule="auto"/>
        <w:tabs>
          <w:tab w:leader="none" w:pos="10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Administrative Agent and the Lenders hereby agree that upon the effectiveness of this Agreement, the terms and provisions of the Existing Credit Agreement which in any manner govern or evidence any of the Obligations, rights and interests of the Administrative Agent and the Lenders and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72" w:lineRule="exact"/>
        <w:rPr>
          <w:rFonts w:ascii="Times New Roman" w:cs="Times New Roman" w:eastAsia="Times New Roman" w:hAnsi="Times New Roman"/>
          <w:sz w:val="20"/>
          <w:szCs w:val="20"/>
          <w:color w:val="auto"/>
        </w:rPr>
      </w:pPr>
    </w:p>
    <w:p>
      <w:pPr>
        <w:jc w:val="both"/>
        <w:ind w:left="-220" w:firstLine="656"/>
        <w:spacing w:after="0" w:line="250" w:lineRule="auto"/>
        <w:tabs>
          <w:tab w:leader="none" w:pos="106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this amendment and restatement of the Existing Credit Agreement, including anything in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and in any related “Loan Documents” (as such term is defined in the Existing Credit Agreement and referred to herein, individually or collectively, as the “</w:t>
      </w:r>
      <w:r>
        <w:rPr>
          <w:rFonts w:ascii="Times New Roman" w:cs="Times New Roman" w:eastAsia="Times New Roman" w:hAnsi="Times New Roman"/>
          <w:sz w:val="20"/>
          <w:szCs w:val="20"/>
          <w:u w:val="single" w:color="auto"/>
          <w:color w:val="auto"/>
        </w:rPr>
        <w:t>Prior Loan Documents</w:t>
      </w:r>
      <w:r>
        <w:rPr>
          <w:rFonts w:ascii="Times New Roman" w:cs="Times New Roman" w:eastAsia="Times New Roman" w:hAnsi="Times New Roman"/>
          <w:sz w:val="20"/>
          <w:szCs w:val="20"/>
          <w:color w:val="auto"/>
        </w:rPr>
        <w:t xml:space="preserve">”), (i) all of the indebtedness, liabilities and obligations owing by the Borrowers under the Existing Credit Agreement and other Prior Loan Documents shall continue as Obligations hereunder and all indebtedness, liabilities and obligations of any Person other than the Borrowers under the Existing Credit Agreement and other Prior Loan Documents shall continue as obligations of such Person hereunder, and (ii) each of this Agreement and the Notes and any other Loan Document (as defined herein) that is amended and restated in connection with this Agreement is given as a substitution of, and not as a payment of, the indebtedness, liabilities and obligations of the Borrowers under the Existing Credit Agreement or any Prior Loan Document and neither the execution and delivery of such documents nor the consummation of any other transaction contemplated hereunder is intended to constitute a novation of the Existing Credit Agreement or of any of the other Prior Loan Documents or any obligations thereunder. Upon the effectiveness of this Agreement, all Loans owing by the Borrowers and outstanding under the Existing Credit Agreement shall continue as Loans hereunder and shall constitute advances hereunder. Base Rate Loans under the Existing Credit Agreement shall accrue interest at the Base Rate hereunder and the parties hereto agree that the Interest Periods for all Loans outstanding under the Existing Credit Agreement on the Closing Date shall remain in effect without renewal, interruption or extension as Loans under this Agreement and accrue interest at the applicable reference rate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and after the Closing Date, the Applicable Rate applicable to any Loan shall be as set forth in the definition of “Applicable Rate”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without regard to any margin applicable thereto under the Existing Credit Agreement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020"/>
          </w:cols>
          <w:pgMar w:left="540" w:top="1413" w:right="339" w:bottom="1440" w:gutter="0" w:footer="0" w:header="0"/>
        </w:sectPr>
      </w:pPr>
    </w:p>
    <w:bookmarkStart w:id="54" w:name="page55"/>
    <w:bookmarkEnd w:id="54"/>
    <w:p>
      <w:pPr>
        <w:spacing w:after="0" w:line="2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II.1</w:t>
      </w:r>
      <w:r>
        <w:rPr>
          <w:sz w:val="20"/>
          <w:szCs w:val="20"/>
          <w:color w:val="auto"/>
        </w:rPr>
        <w:tab/>
      </w:r>
      <w:r>
        <w:rPr>
          <w:rFonts w:ascii="Times New Roman" w:cs="Times New Roman" w:eastAsia="Times New Roman" w:hAnsi="Times New Roman"/>
          <w:sz w:val="20"/>
          <w:szCs w:val="20"/>
          <w:b w:val="1"/>
          <w:bCs w:val="1"/>
          <w:color w:val="auto"/>
        </w:rPr>
        <w:t>The Loans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53" w:lineRule="auto"/>
        <w:tabs>
          <w:tab w:leader="none" w:pos="128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xml:space="preserve">. Subject to the terms and conditions set forth herein, each Term Lender severally agrees to make a single loan to Toro on the Closing Date in Dollars not to exceed such Term Lender’s Term Commitment. The Term Borrowing shall consist of Term Loans made simultaneously by the Term Lenders in accordance with their respective Applicable Percentage of the Term Facility. Amounts borrowed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and repaid or prepaid may not be reborrowed. Term Loans may be Base Rate Loans or Term SOFR Loans, as further provided herein.</w:t>
      </w:r>
    </w:p>
    <w:p>
      <w:pPr>
        <w:spacing w:after="0" w:line="191"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Borrowing</w:t>
      </w:r>
      <w:r>
        <w:rPr>
          <w:rFonts w:ascii="Times New Roman" w:cs="Times New Roman" w:eastAsia="Times New Roman" w:hAnsi="Times New Roman"/>
          <w:sz w:val="20"/>
          <w:szCs w:val="20"/>
          <w:color w:val="auto"/>
        </w:rPr>
        <w:t>. Subject to the terms and conditions set forth herein, each Revolving Credit Lender severally agrees to make loans (each such loan, a “</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to any of the Borrowers in Dollars or in one or more Alternative Currencies from time to time, on any Business Day during the Availability Period, the Dollar Equivalent of which does not exceed at any time outstanding the amount of such Revolving Credit Lender’s Revolving Credit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Revolving Credit Borrowing, (i) the Total Revolving Credit Outstandings shall not exceed the Revolving Credit Facility, and (ii) the Revolving Credit Exposure shall not exceed such Revolving Credit Lender’s Revolving Credit Commitment. Within the limits of each Revolving Credit Lender’s Revolving Credit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Revolving Credit Loans may be Base Rate Loans, Term SOFR Loans, Alternative Currency Term Rate Loans or Alternative Currency Daily Rate Loans as further provided herein.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II.2</w:t>
      </w:r>
      <w:r>
        <w:rPr>
          <w:sz w:val="20"/>
          <w:szCs w:val="20"/>
          <w:color w:val="auto"/>
        </w:rPr>
        <w:tab/>
      </w:r>
      <w:r>
        <w:rPr>
          <w:rFonts w:ascii="Times New Roman" w:cs="Times New Roman" w:eastAsia="Times New Roman" w:hAnsi="Times New Roman"/>
          <w:sz w:val="20"/>
          <w:szCs w:val="20"/>
          <w:b w:val="1"/>
          <w:bCs w:val="1"/>
          <w:color w:val="auto"/>
        </w:rPr>
        <w:t>Borrowings, Conversions and Continuations of Loans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62" w:lineRule="auto"/>
        <w:tabs>
          <w:tab w:leader="none" w:pos="1286"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Term Borrowing, each Revolving Credit Borrowing, each conversion of Term Loans or Revolving Credit Loans from one Type to the other, and each continuation of Alternative Currency Term Rate Loans or Term SOFR Loans, as applicable, shall be made upon Toro’s irrevocable notice to the Administrative Agent, which may be given by (A) telephone or (B) a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telephonic notice must be confirmed immediately by delivery to the Administrative Agent of a Loan Notice. Each such Loan Notice must be received by the Administrative Agent not later than 1:00 p.m. (i) two (2) Business Days prior to the requested date of any Borrowing of, conversion to or continuation of Term SOFR Loans or of any conversion of Term SOFR Loans to Base Rate Loans, (ii) subject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in the case of Alternative Currency Loans, three (3) Business Days prior to the requested date of any Borrowing or, in the case of Alternative Currency Term Rate Loans, any continuation, (iii) in the case of Alternative Currency Loans denominated in a Special Notice Currency, five</w:t>
      </w:r>
    </w:p>
    <w:p>
      <w:pPr>
        <w:spacing w:after="0" w:line="3"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prior to the requested date of any Borrowing or, in the case of Alternative Currency Term Rate Loans, any continuation,</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and (iv) on the requested date of any Borrowing of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Borrower wishes to request (x) Term SOFR Loans having an Interest Period other than one, three or six months in duration as provided in the definition of “Interest Period” or (y) Alternative Currency Term Rate Loans having an Interest Period other than the durations as provided in the definition of “Interest Period,” the applicable notice must be received by the Administrative Agent not later than 1:00 p.m. five (5) Business Days (or six (6) Business Days in the case of a Special Notice Currency) prior to the requested date of such Borrowing, conversion or continuation, whereupon the Administrative Agent shall give prompt notice to the Appropriate Lenders of such request and determine whether the requested Interest Period is acceptable to all of them. Not later than 12:00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noon, four (4) Business Days (or five (5) Business Days in the case of a Special Notice Currency) before the requested date of such Borrowing, conversion or continuation, the Administrative Agent shall notify Toro (which notice may be by telephone) whether or not the requested Interest Period has been consented to by all the Lenders. Each Borrowing of, conversion to or continuation of Term SOFR Loans or Alternative Currency Loans shall be in a principal amount of the Dollar Equivalent of $5,000,000 or a whole multiple of the Dollar Equivalent of $1,000,000 in excess thereof. Except as provided in </w:t>
      </w:r>
      <w:r>
        <w:rPr>
          <w:rFonts w:ascii="Times New Roman" w:cs="Times New Roman" w:eastAsia="Times New Roman" w:hAnsi="Times New Roman"/>
          <w:sz w:val="19"/>
          <w:szCs w:val="19"/>
          <w:u w:val="single" w:color="auto"/>
          <w:color w:val="auto"/>
        </w:rPr>
        <w:t>Sections 2.03(c)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2.04(c)</w:t>
      </w:r>
      <w:r>
        <w:rPr>
          <w:rFonts w:ascii="Times New Roman" w:cs="Times New Roman" w:eastAsia="Times New Roman" w:hAnsi="Times New Roman"/>
          <w:sz w:val="19"/>
          <w:szCs w:val="19"/>
          <w:color w:val="auto"/>
        </w:rPr>
        <w:t xml:space="preserve">, each Borrowing of or conversion to Base Rate Loans shall be in a principal amount of $500,000 or a whole multiple of $100,000 in excess thereof. Each Loan Notice shall specify (i) whether Toro (for itself or on behalf of a Subsidiary Borrower) is requesting a Term Borrowing, a Revolving Credit Borrowing, a conversion of Term Loans or Revolving Credit Loans from one Type to the other, or a continuation of Term SOFR Loans or Alternative Currency Term Rate Loans, (ii) the requested date of the Borrowing, conversion or continuation, as the case may be (which shall be a Business Day), (iii) the currency and principal amount of Loans to be borrowed, converted or continued, (iv) the Type of Loans to be borrowed or to which existing Loans are to be converted, and (v) if applicable, the duration of the Interest Period with respect thereto. If Toro fails to specify a currency in a Loan Notice requesting a Borrowing, then the Loans so requested shall be made in Dollars. If Toro fails to specify a Type of Loan in a Loan Notice or if Toro fails to give a timely notice requesting a conversion or continuation, then the applicable Loans shall be made as, or converted to, Base Rate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case of a failure to timely request a continuation of Alternative Currency Term Rate Loans, such Loans shall be continued as Alternative Currency Term Rate Loans in their original currency with an Interest Period of one</w:t>
      </w:r>
    </w:p>
    <w:p>
      <w:pPr>
        <w:spacing w:after="0" w:line="2" w:lineRule="exact"/>
        <w:rPr>
          <w:sz w:val="20"/>
          <w:szCs w:val="20"/>
          <w:color w:val="auto"/>
        </w:rPr>
      </w:pPr>
    </w:p>
    <w:p>
      <w:pPr>
        <w:jc w:val="both"/>
        <w:ind w:firstLine="8"/>
        <w:spacing w:after="0" w:line="266" w:lineRule="auto"/>
        <w:tabs>
          <w:tab w:leader="none" w:pos="28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month. Any such automatic conversion to Base Rate Loans shall be effective as of the last day of the Interest Period then in effect with respect to the applicable Loans. If Toro requests a Borrowing of, conversion to, or continuation of Term SOFR Loans or Alternative Currency Term Rate Loans in any such Loan Notice, but fails to specify an Interest Period, it will be deemed to have specified an Interest Period of one month. Except as provided pursuant to </w:t>
      </w:r>
      <w:r>
        <w:rPr>
          <w:rFonts w:ascii="Times New Roman" w:cs="Times New Roman" w:eastAsia="Times New Roman" w:hAnsi="Times New Roman"/>
          <w:sz w:val="19"/>
          <w:szCs w:val="19"/>
          <w:u w:val="single" w:color="auto"/>
          <w:color w:val="auto"/>
        </w:rPr>
        <w:t>Section 2.12(a)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3.03</w:t>
      </w:r>
      <w:r>
        <w:rPr>
          <w:rFonts w:ascii="Times New Roman" w:cs="Times New Roman" w:eastAsia="Times New Roman" w:hAnsi="Times New Roman"/>
          <w:sz w:val="19"/>
          <w:szCs w:val="19"/>
          <w:color w:val="auto"/>
        </w:rPr>
        <w:t>, no Loan may be converted into or continued as a Loan denominated in a different currency, but instead must be repaid in the original currency of such Loan and reborrowed in the other currency. Notwithstanding anything to the contrary herein, a Swing Line Loan may not be converted to a Term SOFR Loan or Alternative Currency Loan.</w:t>
      </w:r>
    </w:p>
    <w:p>
      <w:pPr>
        <w:spacing w:after="0" w:line="165" w:lineRule="exact"/>
        <w:rPr>
          <w:rFonts w:ascii="Times New Roman" w:cs="Times New Roman" w:eastAsia="Times New Roman" w:hAnsi="Times New Roman"/>
          <w:sz w:val="19"/>
          <w:szCs w:val="19"/>
          <w:color w:val="auto"/>
        </w:rPr>
      </w:pPr>
    </w:p>
    <w:p>
      <w:pPr>
        <w:jc w:val="both"/>
        <w:ind w:firstLine="656"/>
        <w:spacing w:after="0" w:line="250" w:lineRule="auto"/>
        <w:tabs>
          <w:tab w:leader="none" w:pos="128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Lender of the amount (and currency) of its Applicable Percentage under the applicable Facility of the applicable Loans, and if no timely notice of a conversion or continuation is provided by Toro, the Administrative Agent shall notify each Lender of the details of any automatic conversion to Base Rate Loans or continuation of Alternative Currency Term Rate Loans described in the preceding subsection. In the case of a Term Borrowing or a Revolving Credit Borrowing, each Appropriate Lender shall make the amount of its Loan available to the Administrative Agent in Same Day Funds at the Administrative Agent’s Office for the applicable currency not later than 3:00 p.m., in the case of Loans denominated in Dollars, and not later than the Applicable Time in the case of any Loan denominated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Administrative Agent shall make all funds so received available to the applicable Borrower identified in the Loan Notice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such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on the date a Loan Notice with respect to a Borrowing denominated in Dollars is given to the Administrative Agent, there are L/C Borrowings outstanding owing by the same such applicable Borrower,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56" w:name="page57"/>
    <w:bookmarkEnd w:id="56"/>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proceeds of such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shall be made available to the applicable Borrower as provided above.</w:t>
      </w:r>
    </w:p>
    <w:p>
      <w:pPr>
        <w:spacing w:after="0" w:line="146" w:lineRule="exact"/>
        <w:rPr>
          <w:sz w:val="20"/>
          <w:szCs w:val="20"/>
          <w:color w:val="auto"/>
        </w:rPr>
      </w:pPr>
    </w:p>
    <w:p>
      <w:pPr>
        <w:jc w:val="both"/>
        <w:ind w:firstLine="656"/>
        <w:spacing w:after="0" w:line="253" w:lineRule="auto"/>
        <w:tabs>
          <w:tab w:leader="none" w:pos="128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Term SOFR Loan or Alternative Currency Term Rate Loan may be continued or converted only on the last day of an Interest Period for such Loan. During the existence of a Default, no Loans may be requested as, converted to or continued as Term SOFR Loans or Alternative Currency Loans without the consent of the Required Lenders, and the Required Lenders may demand that any or all of the then outstanding Term SOFR Loans or Alternative Currency Loans be prepaid, or redenominated into Dollars in the amount of the Dollar Equivalent thereof, on the last day of the then current Interest Period with respect thereto.</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Toro and the Lenders of the interest rate applicable to any Interest Period for Term SOFR Loans or Alternative Currency Term Rate Loans upon determination of such interest rate. At any time that Base Rate Loans are outstanding, the Administrative Agent shall notify Toro and the Lenders of any change in Bank of America’s prime rate used in determining the Base Rate promptly following the public announcement of such change.</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Term Borrowings, all conversions of Term Loans from one Type to the other, and all continuations of Term Loans as the same Type, there shall not be more than five Interest Periods in effect in respect of the Term Facility. After giving effect to all Revolving Credit Borrowings, all conversions of Revolving Credit Loans from one Type to the other, and all continuations of Revolving Credit Loans as the same Type, there shall not be more than five Interest Periods in effect in respect of the Revolving Credit Facility.</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SOFR, Term SOFR, any Alternative Currency Term Rate or any Alternative Currency Daily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Borrowers and the Lenders reasonably promptly after such amendment becomes effective.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II.3</w:t>
      </w:r>
      <w:r>
        <w:rPr>
          <w:sz w:val="20"/>
          <w:szCs w:val="20"/>
          <w:color w:val="auto"/>
        </w:rPr>
        <w:tab/>
      </w:r>
      <w:r>
        <w:rPr>
          <w:rFonts w:ascii="Times New Roman" w:cs="Times New Roman" w:eastAsia="Times New Roman" w:hAnsi="Times New Roman"/>
          <w:sz w:val="20"/>
          <w:szCs w:val="20"/>
          <w:b w:val="1"/>
          <w:bCs w:val="1"/>
          <w:color w:val="auto"/>
        </w:rPr>
        <w:t>Letters of Credit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Commitment.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 the L/C Issuer agrees, in reliance upon the agreements of the Revolving Credit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(1) from time to time on any Business Day during the period from the Closing Date until the Letter of Credit Expiration Date, to issue Letters of Credit denominated in Dollars or in one or more Alternative Currencies for the account of an L/C Party, and to amend or extend Letters of Credit previously issued by it, in accordance with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and (2) to honor drawings under the Letters of Credit; and (B) the Revolving Credit Lenders severally agree to participate in Letters of Credit issued for the account of any L/C Party and any drawings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57" w:name="page58"/>
    <w:bookmarkEnd w:id="57"/>
    <w:p>
      <w:pPr>
        <w:jc w:val="both"/>
        <w:ind w:left="440"/>
        <w:spacing w:after="0" w:line="250" w:lineRule="auto"/>
        <w:rPr>
          <w:sz w:val="20"/>
          <w:szCs w:val="20"/>
          <w:color w:val="auto"/>
        </w:rPr>
      </w:pPr>
      <w:r>
        <w:rPr>
          <w:rFonts w:ascii="Times New Roman" w:cs="Times New Roman" w:eastAsia="Times New Roman" w:hAnsi="Times New Roman"/>
          <w:sz w:val="20"/>
          <w:szCs w:val="20"/>
          <w:color w:val="auto"/>
        </w:rPr>
        <w:t xml:space="preserve">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L/C Credit Extension with respect to any Letter of Credit, (x) the Total Revolving Credit Outstandings shall not exceed the Revolving Credit Facility, (y) the Revolving Credit Exposure of any Revolving Credit Lender shall not exceed such Lender’s Revolving Credit Commitment, and (z) the Outstanding Amount of the L/C Obligations shall not exceed the Letter of Credit Sublimit. Each request by an L/C Party for the issuance or amendment of a Letter of Credit shall be deemed to be a representation by such L/C Party that the L/C Credit Extension so requested complies with the conditions set forth in the provisos to the preceding sentence. Within the foregoing limits, and subject to the terms and conditions hereof, each L/C Party’s ability to obtain Letters of Credit shall be fully revolving, and accordingly each L/C Party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96" w:lineRule="exact"/>
        <w:rPr>
          <w:sz w:val="20"/>
          <w:szCs w:val="20"/>
          <w:color w:val="auto"/>
        </w:rPr>
      </w:pPr>
    </w:p>
    <w:p>
      <w:pPr>
        <w:ind w:left="1740" w:hanging="656"/>
        <w:spacing w:after="0"/>
        <w:tabs>
          <w:tab w:leader="none" w:pos="17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issue any Letter of Credit, if:</w:t>
      </w:r>
    </w:p>
    <w:p>
      <w:pPr>
        <w:spacing w:after="0" w:line="256" w:lineRule="exact"/>
        <w:rPr>
          <w:rFonts w:ascii="Times New Roman" w:cs="Times New Roman" w:eastAsia="Times New Roman" w:hAnsi="Times New Roman"/>
          <w:sz w:val="20"/>
          <w:szCs w:val="20"/>
          <w:color w:val="auto"/>
        </w:rPr>
      </w:pPr>
    </w:p>
    <w:p>
      <w:pPr>
        <w:jc w:val="both"/>
        <w:ind w:left="1080" w:firstLine="652"/>
        <w:spacing w:after="0" w:line="248" w:lineRule="auto"/>
        <w:tabs>
          <w:tab w:leader="none" w:pos="243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such requested Letter of Credit would occur more than thirty months after the date of issuance or last extension, unless the Required Revolving Lenders have approved such expiry date; or</w:t>
      </w:r>
    </w:p>
    <w:p>
      <w:pPr>
        <w:spacing w:after="0" w:line="208" w:lineRule="exact"/>
        <w:rPr>
          <w:rFonts w:ascii="Times New Roman" w:cs="Times New Roman" w:eastAsia="Times New Roman" w:hAnsi="Times New Roman"/>
          <w:sz w:val="22"/>
          <w:szCs w:val="22"/>
          <w:color w:val="auto"/>
        </w:rPr>
      </w:pPr>
    </w:p>
    <w:p>
      <w:pPr>
        <w:ind w:left="1080" w:firstLine="652"/>
        <w:spacing w:after="0" w:line="259" w:lineRule="auto"/>
        <w:tabs>
          <w:tab w:leader="none" w:pos="236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expiry date of such requested Letter of Credit would occur after the Letter of Credit Expiration Date, unless all the Revolving Credit Lenders have approved such expiry date.</w:t>
      </w:r>
    </w:p>
    <w:p>
      <w:pPr>
        <w:spacing w:after="0" w:line="180" w:lineRule="exact"/>
        <w:rPr>
          <w:rFonts w:ascii="Times New Roman" w:cs="Times New Roman" w:eastAsia="Times New Roman" w:hAnsi="Times New Roman"/>
          <w:sz w:val="22"/>
          <w:szCs w:val="22"/>
          <w:color w:val="auto"/>
        </w:rPr>
      </w:pPr>
    </w:p>
    <w:p>
      <w:pPr>
        <w:ind w:left="1740" w:hanging="656"/>
        <w:spacing w:after="0"/>
        <w:tabs>
          <w:tab w:leader="none" w:pos="17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42" w:lineRule="exact"/>
        <w:rPr>
          <w:rFonts w:ascii="Times New Roman" w:cs="Times New Roman" w:eastAsia="Times New Roman" w:hAnsi="Times New Roman"/>
          <w:sz w:val="20"/>
          <w:szCs w:val="20"/>
          <w:color w:val="auto"/>
        </w:rPr>
      </w:pPr>
    </w:p>
    <w:p>
      <w:pPr>
        <w:jc w:val="both"/>
        <w:ind w:left="1080" w:firstLine="652"/>
        <w:spacing w:after="0" w:line="248" w:lineRule="auto"/>
        <w:tabs>
          <w:tab w:leader="none" w:pos="236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221" w:lineRule="exact"/>
        <w:rPr>
          <w:rFonts w:ascii="Times New Roman" w:cs="Times New Roman" w:eastAsia="Times New Roman" w:hAnsi="Times New Roman"/>
          <w:sz w:val="22"/>
          <w:szCs w:val="22"/>
          <w:color w:val="auto"/>
        </w:rPr>
      </w:pPr>
    </w:p>
    <w:p>
      <w:pPr>
        <w:ind w:left="1080" w:firstLine="652"/>
        <w:spacing w:after="0" w:line="245" w:lineRule="auto"/>
        <w:tabs>
          <w:tab w:leader="none" w:pos="236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222" w:lineRule="exact"/>
        <w:rPr>
          <w:rFonts w:ascii="Times New Roman" w:cs="Times New Roman" w:eastAsia="Times New Roman" w:hAnsi="Times New Roman"/>
          <w:sz w:val="22"/>
          <w:szCs w:val="22"/>
          <w:color w:val="auto"/>
        </w:rPr>
      </w:pPr>
    </w:p>
    <w:p>
      <w:pPr>
        <w:ind w:left="1080" w:firstLine="652"/>
        <w:spacing w:after="0" w:line="259" w:lineRule="auto"/>
        <w:tabs>
          <w:tab w:leader="none" w:pos="236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as otherwise agreed by the Administrative Agent and the L/C Issuer, such Letter of Credit is in an initial stated amount less than the Dollar Equivalent of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020"/>
          </w:cols>
          <w:pgMar w:left="540" w:top="1413" w:right="339" w:bottom="1440" w:gutter="0" w:footer="0" w:header="0"/>
        </w:sectPr>
      </w:pPr>
    </w:p>
    <w:bookmarkStart w:id="58" w:name="page59"/>
    <w:bookmarkEnd w:id="58"/>
    <w:p>
      <w:pPr>
        <w:ind w:left="1080" w:firstLine="652"/>
        <w:spacing w:after="0" w:line="259" w:lineRule="auto"/>
        <w:tabs>
          <w:tab w:leader="none" w:pos="2365"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as otherwise agreed by the Administrative Agent and the L/C Issuer, such Letter of Credit is to be denominated in a currency other than Dollars or an Alternative Currency;</w:t>
      </w:r>
    </w:p>
    <w:p>
      <w:pPr>
        <w:spacing w:after="0" w:line="194" w:lineRule="exact"/>
        <w:rPr>
          <w:rFonts w:ascii="Times New Roman" w:cs="Times New Roman" w:eastAsia="Times New Roman" w:hAnsi="Times New Roman"/>
          <w:sz w:val="22"/>
          <w:szCs w:val="22"/>
          <w:color w:val="auto"/>
        </w:rPr>
      </w:pPr>
    </w:p>
    <w:p>
      <w:pPr>
        <w:ind w:left="1080" w:firstLine="652"/>
        <w:spacing w:after="0" w:line="259" w:lineRule="auto"/>
        <w:tabs>
          <w:tab w:leader="none" w:pos="2368"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L/C Issuer does not as of the issuance date of such requested Letter of Credit issue Letters of Credit in the requested currency; or</w:t>
      </w:r>
    </w:p>
    <w:p>
      <w:pPr>
        <w:spacing w:after="0" w:line="194" w:lineRule="exact"/>
        <w:rPr>
          <w:rFonts w:ascii="Times New Roman" w:cs="Times New Roman" w:eastAsia="Times New Roman" w:hAnsi="Times New Roman"/>
          <w:sz w:val="22"/>
          <w:szCs w:val="22"/>
          <w:color w:val="auto"/>
        </w:rPr>
      </w:pPr>
    </w:p>
    <w:p>
      <w:pPr>
        <w:jc w:val="both"/>
        <w:ind w:left="1080" w:firstLine="652"/>
        <w:spacing w:after="0" w:line="248" w:lineRule="auto"/>
        <w:tabs>
          <w:tab w:leader="none" w:pos="237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Revolving Credit Lender is at that time a Defaulting Lender, unless the L/C Issuer has entered into arrangements, including the delivery of Cash Collateral, satisfactory to the L/C Issuer (in its sole discretion) with the L/C Parties or such Defaulting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2.16(a)(iv</w:t>
      </w:r>
      <w:r>
        <w:rPr>
          <w:rFonts w:ascii="Times New Roman" w:cs="Times New Roman" w:eastAsia="Times New Roman" w:hAnsi="Times New Roman"/>
          <w:sz w:val="20"/>
          <w:szCs w:val="20"/>
          <w:color w:val="auto"/>
        </w:rPr>
        <w:t>)) with respect to such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224" w:lineRule="exact"/>
        <w:rPr>
          <w:rFonts w:ascii="Times New Roman" w:cs="Times New Roman" w:eastAsia="Times New Roman" w:hAnsi="Times New Roman"/>
          <w:sz w:val="22"/>
          <w:szCs w:val="22"/>
          <w:color w:val="auto"/>
        </w:rPr>
      </w:pPr>
    </w:p>
    <w:p>
      <w:pPr>
        <w:ind w:left="1080" w:right="20" w:firstLine="652"/>
        <w:spacing w:after="0" w:line="259" w:lineRule="auto"/>
        <w:tabs>
          <w:tab w:leader="none" w:pos="2365"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w:t>
      </w:r>
    </w:p>
    <w:p>
      <w:pPr>
        <w:spacing w:after="0" w:line="167" w:lineRule="exact"/>
        <w:rPr>
          <w:rFonts w:ascii="Times New Roman" w:cs="Times New Roman" w:eastAsia="Times New Roman" w:hAnsi="Times New Roman"/>
          <w:sz w:val="22"/>
          <w:szCs w:val="22"/>
          <w:color w:val="auto"/>
        </w:rPr>
      </w:pPr>
    </w:p>
    <w:p>
      <w:pPr>
        <w:ind w:left="440" w:right="20" w:firstLine="644"/>
        <w:spacing w:after="0" w:line="283" w:lineRule="auto"/>
        <w:tabs>
          <w:tab w:leader="none" w:pos="1725"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amend any Letter of Credit if the L/C Issuer would not be permitted at such time to issue such Letter of Credit in its amended form under the terms hereof.</w:t>
      </w:r>
    </w:p>
    <w:p>
      <w:pPr>
        <w:spacing w:after="0" w:line="146" w:lineRule="exact"/>
        <w:rPr>
          <w:rFonts w:ascii="Times New Roman" w:cs="Times New Roman" w:eastAsia="Times New Roman" w:hAnsi="Times New Roman"/>
          <w:sz w:val="20"/>
          <w:szCs w:val="20"/>
          <w:color w:val="auto"/>
        </w:rPr>
      </w:pPr>
    </w:p>
    <w:p>
      <w:pPr>
        <w:jc w:val="both"/>
        <w:ind w:left="440" w:firstLine="644"/>
        <w:spacing w:after="0" w:line="268" w:lineRule="auto"/>
        <w:tabs>
          <w:tab w:leader="none" w:pos="172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61" w:lineRule="exact"/>
        <w:rPr>
          <w:rFonts w:ascii="Times New Roman" w:cs="Times New Roman" w:eastAsia="Times New Roman" w:hAnsi="Times New Roman"/>
          <w:sz w:val="20"/>
          <w:szCs w:val="20"/>
          <w:color w:val="auto"/>
        </w:rPr>
      </w:pPr>
    </w:p>
    <w:p>
      <w:pPr>
        <w:jc w:val="both"/>
        <w:ind w:left="440" w:firstLine="644"/>
        <w:spacing w:after="0" w:line="253" w:lineRule="auto"/>
        <w:tabs>
          <w:tab w:leader="none" w:pos="1725"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(B) as additionally provided herein with respect to the L/C Issuer.</w:t>
      </w:r>
    </w:p>
    <w:p>
      <w:pPr>
        <w:spacing w:after="0" w:line="192" w:lineRule="exact"/>
        <w:rPr>
          <w:rFonts w:ascii="Times New Roman" w:cs="Times New Roman" w:eastAsia="Times New Roman" w:hAnsi="Times New Roman"/>
          <w:sz w:val="20"/>
          <w:szCs w:val="20"/>
          <w:color w:val="auto"/>
        </w:rPr>
      </w:pPr>
    </w:p>
    <w:p>
      <w:pPr>
        <w:ind w:left="1080" w:hanging="644"/>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Procedures for Issuance and Amendment of Letters of Credit; Auto-Extension Letters of Credit.</w:t>
      </w:r>
    </w:p>
    <w:p>
      <w:pPr>
        <w:spacing w:after="0" w:line="215" w:lineRule="exact"/>
        <w:rPr>
          <w:rFonts w:ascii="Times New Roman" w:cs="Times New Roman" w:eastAsia="Times New Roman" w:hAnsi="Times New Roman"/>
          <w:sz w:val="20"/>
          <w:szCs w:val="20"/>
          <w:color w:val="auto"/>
        </w:rPr>
      </w:pPr>
    </w:p>
    <w:p>
      <w:pPr>
        <w:jc w:val="both"/>
        <w:ind w:left="440" w:firstLine="644"/>
        <w:spacing w:after="0" w:line="253" w:lineRule="auto"/>
        <w:tabs>
          <w:tab w:leader="none" w:pos="173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Toro delivered to the L/C Issuer (with a copy to the Administrative Agent) in the form of a Letter of Credit Application, appropriately completed and signed by a Responsible Officer of Toro. Such Letter of Credit Application may be sent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020"/>
          </w:cols>
          <w:pgMar w:left="540" w:top="1440" w:right="339" w:bottom="1440" w:gutter="0" w:footer="0" w:header="0"/>
        </w:sectPr>
      </w:pPr>
    </w:p>
    <w:bookmarkStart w:id="59" w:name="page60"/>
    <w:bookmarkEnd w:id="59"/>
    <w:p>
      <w:pPr>
        <w:jc w:val="both"/>
        <w:ind w:left="440"/>
        <w:spacing w:after="0" w:line="264" w:lineRule="auto"/>
        <w:rPr>
          <w:sz w:val="20"/>
          <w:szCs w:val="20"/>
          <w:color w:val="auto"/>
        </w:rPr>
      </w:pPr>
      <w:r>
        <w:rPr>
          <w:rFonts w:ascii="Times New Roman" w:cs="Times New Roman" w:eastAsia="Times New Roman" w:hAnsi="Times New Roman"/>
          <w:sz w:val="19"/>
          <w:szCs w:val="19"/>
          <w:color w:val="auto"/>
        </w:rPr>
        <w:t>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applicable L/C Party for which such Letter of Credit is requested to be issued;</w:t>
      </w:r>
    </w:p>
    <w:p>
      <w:pPr>
        <w:spacing w:after="0" w:line="4" w:lineRule="exact"/>
        <w:rPr>
          <w:sz w:val="20"/>
          <w:szCs w:val="20"/>
          <w:color w:val="auto"/>
        </w:rPr>
      </w:pPr>
    </w:p>
    <w:p>
      <w:pPr>
        <w:jc w:val="both"/>
        <w:ind w:left="440" w:hanging="4"/>
        <w:spacing w:after="0" w:line="266" w:lineRule="auto"/>
        <w:tabs>
          <w:tab w:leader="none" w:pos="76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purpose and nature of the requested Letter of Credit; and (I)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Toro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65" w:lineRule="exact"/>
        <w:rPr>
          <w:rFonts w:ascii="Times New Roman" w:cs="Times New Roman" w:eastAsia="Times New Roman" w:hAnsi="Times New Roman"/>
          <w:sz w:val="19"/>
          <w:szCs w:val="19"/>
          <w:color w:val="auto"/>
        </w:rPr>
      </w:pPr>
    </w:p>
    <w:p>
      <w:pPr>
        <w:jc w:val="both"/>
        <w:ind w:left="440" w:firstLine="644"/>
        <w:spacing w:after="0" w:line="250" w:lineRule="auto"/>
        <w:tabs>
          <w:tab w:leader="none" w:pos="173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L/C Issuer will confirm with the Administrative Agent (by telephone or in writing) that the Administrative Agent has received a copy of such Letter of Credit Application from Toro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the L/C Issuer shall, on the requested date, issue a Letter of Credit for the account of the applicable L/C Party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Letter of Credit.</w:t>
      </w:r>
    </w:p>
    <w:p>
      <w:pPr>
        <w:spacing w:after="0" w:line="199" w:lineRule="exact"/>
        <w:rPr>
          <w:rFonts w:ascii="Times New Roman" w:cs="Times New Roman" w:eastAsia="Times New Roman" w:hAnsi="Times New Roman"/>
          <w:sz w:val="20"/>
          <w:szCs w:val="20"/>
          <w:color w:val="auto"/>
        </w:rPr>
      </w:pPr>
    </w:p>
    <w:p>
      <w:pPr>
        <w:jc w:val="both"/>
        <w:ind w:left="440" w:firstLine="644"/>
        <w:spacing w:after="0" w:line="250" w:lineRule="auto"/>
        <w:tabs>
          <w:tab w:leader="none" w:pos="173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Toro so requests in any applicable Letter of Credit Application, the L/C Issuer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L/C Issuer, neither Toro nor the applicable L/C Party shall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L/C Issuer shall not permit any such extension if (A) the L/C Issuer has determined that it would not be permitted, or would have no obligation, at such time to issue such Letter of Credit in its revised form (as extended) under the terms hereof (by reason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020"/>
          </w:cols>
          <w:pgMar w:left="540" w:top="1413" w:right="339" w:bottom="1440" w:gutter="0" w:footer="0" w:header="0"/>
        </w:sectPr>
      </w:pPr>
    </w:p>
    <w:bookmarkStart w:id="60" w:name="page61"/>
    <w:bookmarkEnd w:id="60"/>
    <w:p>
      <w:pPr>
        <w:jc w:val="both"/>
        <w:ind w:left="440"/>
        <w:spacing w:after="0" w:line="253" w:lineRule="auto"/>
        <w:rPr>
          <w:sz w:val="20"/>
          <w:szCs w:val="20"/>
          <w:color w:val="auto"/>
        </w:rPr>
      </w:pPr>
      <w:r>
        <w:rPr>
          <w:rFonts w:ascii="Times New Roman" w:cs="Times New Roman" w:eastAsia="Times New Roman" w:hAnsi="Times New Roman"/>
          <w:sz w:val="20"/>
          <w:szCs w:val="20"/>
          <w:color w:val="auto"/>
        </w:rPr>
        <w:t xml:space="preserve">provisions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five Business Days before the Non-Extension Notice Date (1) from the Administrative Agent that the Required Revolving Lenders have elected not to permit such extension or (2) from the Administrative Agent, any Revolving Credit Lender or any Loan Party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the L/C Issuer not to permit such extension.</w:t>
      </w:r>
    </w:p>
    <w:p>
      <w:pPr>
        <w:spacing w:after="0" w:line="192" w:lineRule="exact"/>
        <w:rPr>
          <w:sz w:val="20"/>
          <w:szCs w:val="20"/>
          <w:color w:val="auto"/>
        </w:rPr>
      </w:pPr>
    </w:p>
    <w:p>
      <w:pPr>
        <w:jc w:val="both"/>
        <w:ind w:left="440" w:firstLine="644"/>
        <w:spacing w:after="0" w:line="261" w:lineRule="auto"/>
        <w:tabs>
          <w:tab w:leader="none" w:pos="1725"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L/C Issuer will also deliver to the applicable L/C Party and the Administrative Agent a true and complete copy of such Letter of Credit or amendment.</w:t>
      </w:r>
    </w:p>
    <w:p>
      <w:pPr>
        <w:spacing w:after="0" w:line="181" w:lineRule="exact"/>
        <w:rPr>
          <w:rFonts w:ascii="Times New Roman" w:cs="Times New Roman" w:eastAsia="Times New Roman" w:hAnsi="Times New Roman"/>
          <w:sz w:val="20"/>
          <w:szCs w:val="20"/>
          <w:color w:val="auto"/>
        </w:rPr>
      </w:pPr>
    </w:p>
    <w:p>
      <w:pPr>
        <w:ind w:left="1080" w:hanging="644"/>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40" w:firstLine="644"/>
        <w:spacing w:after="0" w:line="249" w:lineRule="auto"/>
        <w:tabs>
          <w:tab w:leader="none" w:pos="173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L/C Issuer shall notify the applicable L/C Party and the Administrative Agent thereof. In the case of a Letter of Credit denominated in an Alternative Currency, such L/C Party shall reimburse the L/C Issuer in such Alternative Currency, unless (A) the L/C Issuer (at its option) shall have specified in such notice that it will require reimbursement in Dollars, or (B) in the absence of any such requirement for reimbursement in Dollars, such L/C Party shall have notified the L/C Issuer promptly following receipt of the notice of drawing that the L/C Party will reimburse the L/C Issuer in Dollars. In the case of any such reimbursement in Dollars of a drawing under a Letter of Credit denominated in an Alternative Currency, the L/C Issuer shall notify the applicable L/C Party of the Dollar Equivalent of the amount of the drawing promptly following the determination thereof. Not later than 12:00 noon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the applicable L/C Party shall reimburse the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and (B) the Dollar amount paid by applicable L/C Party, whether on or after the Honor Date, shall not be adequate on the date of that payment to purchase in accordance with normal banking procedures a sum denominated in the Alternative Currency equal to the drawing, the applicable L/C Party agrees, as a separate and independent obligation, to indemnify the L/C Issuer for the loss resulting from its inability on that date to purchase the Alternative Currency in the full amount of the drawing. If the applicable L/C Party fails to so reimburse the L/C Issuer by such time, the Administrative Agent or the L/C Issuer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Revolving Credit Lender’s Applicable Percentage thereof. In such event, the applicable L/C Party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Loan Notice). Any notice given by the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020"/>
          </w:cols>
          <w:pgMar w:left="540" w:top="1413" w:right="339" w:bottom="1440" w:gutter="0" w:footer="0" w:header="0"/>
        </w:sectPr>
      </w:pPr>
    </w:p>
    <w:bookmarkStart w:id="61" w:name="page62"/>
    <w:bookmarkEnd w:id="61"/>
    <w:p>
      <w:pPr>
        <w:ind w:left="440"/>
        <w:spacing w:after="0" w:line="283" w:lineRule="auto"/>
        <w:rPr>
          <w:sz w:val="20"/>
          <w:szCs w:val="20"/>
          <w:color w:val="auto"/>
        </w:rPr>
      </w:pPr>
      <w:r>
        <w:rPr>
          <w:rFonts w:ascii="Times New Roman" w:cs="Times New Roman" w:eastAsia="Times New Roman" w:hAnsi="Times New Roman"/>
          <w:sz w:val="20"/>
          <w:szCs w:val="20"/>
          <w:color w:val="auto"/>
        </w:rPr>
        <w:t xml:space="preserve">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46" w:lineRule="exact"/>
        <w:rPr>
          <w:sz w:val="20"/>
          <w:szCs w:val="20"/>
          <w:color w:val="auto"/>
        </w:rPr>
      </w:pPr>
    </w:p>
    <w:p>
      <w:pPr>
        <w:jc w:val="both"/>
        <w:ind w:left="440" w:firstLine="644"/>
        <w:spacing w:after="0" w:line="253" w:lineRule="auto"/>
        <w:tabs>
          <w:tab w:leader="none" w:pos="173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Revolving Credit Lender that so makes funds available shall be deemed to have made a Base Rate Loan to the applicable L/C Party in such amount. The Administrative Agent shall remit the funds so received to the L/C Issuer in Dollars.</w:t>
      </w:r>
    </w:p>
    <w:p>
      <w:pPr>
        <w:spacing w:after="0" w:line="179" w:lineRule="exact"/>
        <w:rPr>
          <w:rFonts w:ascii="Times New Roman" w:cs="Times New Roman" w:eastAsia="Times New Roman" w:hAnsi="Times New Roman"/>
          <w:sz w:val="20"/>
          <w:szCs w:val="20"/>
          <w:color w:val="auto"/>
        </w:rPr>
      </w:pPr>
    </w:p>
    <w:p>
      <w:pPr>
        <w:jc w:val="both"/>
        <w:ind w:left="440" w:firstLine="644"/>
        <w:spacing w:after="0" w:line="253" w:lineRule="auto"/>
        <w:tabs>
          <w:tab w:leader="none" w:pos="173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Borrowing of Base Rate Loans because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cannot be satisfied or for any other reason, the applicable L/C Party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440" w:firstLine="644"/>
        <w:spacing w:after="0" w:line="261" w:lineRule="auto"/>
        <w:tabs>
          <w:tab w:leader="none" w:pos="17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Revolving Credit Lender funds its Revolving Credit Loan or L/C Advance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xml:space="preserve"> to reimburse the L/C Issuer for any amount drawn under any Letter of Credit, interest in respect of such Revolving Credit Lender’s Applicable Percentage of such amount shall be solely for the account of the L/C Issuer.</w:t>
      </w:r>
    </w:p>
    <w:p>
      <w:pPr>
        <w:spacing w:after="0" w:line="167" w:lineRule="exact"/>
        <w:rPr>
          <w:rFonts w:ascii="Times New Roman" w:cs="Times New Roman" w:eastAsia="Times New Roman" w:hAnsi="Times New Roman"/>
          <w:sz w:val="20"/>
          <w:szCs w:val="20"/>
          <w:color w:val="auto"/>
        </w:rPr>
      </w:pPr>
    </w:p>
    <w:p>
      <w:pPr>
        <w:jc w:val="both"/>
        <w:ind w:left="440" w:firstLine="644"/>
        <w:spacing w:after="0" w:line="252" w:lineRule="auto"/>
        <w:tabs>
          <w:tab w:leader="none" w:pos="172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Lender’s obligation to make Loans or L/C Advances to reimburse the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Revolving Credit Lender may have against the L/C Issuer, the applicable L/C Party,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Revolving Credit Lender’s obligation to make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an L/C Party of a Loan Notice). No such making of an L/C Advance shall relieve or otherwise impair the obligation of the applicable L/C Party to reimburse the L/C Issuer for the amount of any payment made by the L/C Issuer under any Letter of Credit, together with interest as provided herein.</w:t>
      </w:r>
    </w:p>
    <w:p>
      <w:pPr>
        <w:spacing w:after="0" w:line="189" w:lineRule="exact"/>
        <w:rPr>
          <w:rFonts w:ascii="Times New Roman" w:cs="Times New Roman" w:eastAsia="Times New Roman" w:hAnsi="Times New Roman"/>
          <w:sz w:val="20"/>
          <w:szCs w:val="20"/>
          <w:color w:val="auto"/>
        </w:rPr>
      </w:pPr>
    </w:p>
    <w:p>
      <w:pPr>
        <w:jc w:val="both"/>
        <w:ind w:left="440" w:firstLine="644"/>
        <w:spacing w:after="0" w:line="253" w:lineRule="auto"/>
        <w:tabs>
          <w:tab w:leader="none" w:pos="17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Credit Lender fails to make available to the Administrative Agent for the account of the L/C Issuer any amount required to be paid by such Revolving Credit Lender pursuant to the foregoing provisions of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then, without limiting the other provisions of this Agreement, the L/C Issuer shall be entitled to recover from such Revolving Credit Lender (acting through the Administrative Agent), on demand, such amount with interest thereon for the period from the date such payment is required to the date on which such payment is immediately available to the L/C Issuer at a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020"/>
          </w:cols>
          <w:pgMar w:left="540" w:top="1413" w:right="339" w:bottom="1440" w:gutter="0" w:footer="0" w:header="0"/>
        </w:sectPr>
      </w:pPr>
    </w:p>
    <w:bookmarkStart w:id="62" w:name="page63"/>
    <w:bookmarkEnd w:id="62"/>
    <w:p>
      <w:pPr>
        <w:jc w:val="both"/>
        <w:ind w:left="440"/>
        <w:spacing w:after="0" w:line="264" w:lineRule="auto"/>
        <w:rPr>
          <w:sz w:val="20"/>
          <w:szCs w:val="20"/>
          <w:color w:val="auto"/>
        </w:rPr>
      </w:pPr>
      <w:r>
        <w:rPr>
          <w:rFonts w:ascii="Times New Roman" w:cs="Times New Roman" w:eastAsia="Times New Roman" w:hAnsi="Times New Roman"/>
          <w:sz w:val="19"/>
          <w:szCs w:val="19"/>
          <w:color w:val="auto"/>
        </w:rPr>
        <w:t xml:space="preserve">per annum equal to the applicable Overnight Rate from time to time in effect, plus any administrative, processing or similar fees customarily charged by the L/C Issuer in connection with the foregoing. If such Revolving Credit Lender pays such amount (with interest and fees as aforesaid), the amount so paid shall constitute such Revolving Credit Lender’s Revolving Credit Loan included in the relevant Borrowing or L/C Advance in respect of the relevant L/C Borrowing, as the case may be. A certificate of the L/C Issuer submitted to any Revolving Credit Lender (through the Administrative Agent) with respect to any amounts owing under this </w:t>
      </w:r>
      <w:r>
        <w:rPr>
          <w:rFonts w:ascii="Times New Roman" w:cs="Times New Roman" w:eastAsia="Times New Roman" w:hAnsi="Times New Roman"/>
          <w:sz w:val="19"/>
          <w:szCs w:val="19"/>
          <w:u w:val="single" w:color="auto"/>
          <w:color w:val="auto"/>
        </w:rPr>
        <w:t>clause</w:t>
      </w:r>
    </w:p>
    <w:p>
      <w:pPr>
        <w:spacing w:after="0" w:line="2" w:lineRule="exact"/>
        <w:rPr>
          <w:sz w:val="20"/>
          <w:szCs w:val="20"/>
          <w:color w:val="auto"/>
        </w:rPr>
      </w:pPr>
    </w:p>
    <w:p>
      <w:pPr>
        <w:ind w:left="780" w:hanging="344"/>
        <w:spacing w:after="0"/>
        <w:tabs>
          <w:tab w:leader="none" w:pos="780" w:val="left"/>
        </w:tabs>
        <w:numPr>
          <w:ilvl w:val="0"/>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be conclusive absent manifest error.</w:t>
      </w:r>
    </w:p>
    <w:p>
      <w:pPr>
        <w:spacing w:after="0" w:line="214" w:lineRule="exact"/>
        <w:rPr>
          <w:sz w:val="20"/>
          <w:szCs w:val="20"/>
          <w:color w:val="auto"/>
        </w:rPr>
      </w:pPr>
    </w:p>
    <w:p>
      <w:pPr>
        <w:ind w:left="1080" w:hanging="644"/>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Repayment of Participations.</w:t>
      </w:r>
    </w:p>
    <w:p>
      <w:pPr>
        <w:spacing w:after="0" w:line="215" w:lineRule="exact"/>
        <w:rPr>
          <w:rFonts w:ascii="Times New Roman" w:cs="Times New Roman" w:eastAsia="Times New Roman" w:hAnsi="Times New Roman"/>
          <w:sz w:val="20"/>
          <w:szCs w:val="20"/>
          <w:color w:val="auto"/>
        </w:rPr>
      </w:pPr>
    </w:p>
    <w:p>
      <w:pPr>
        <w:jc w:val="both"/>
        <w:ind w:left="440" w:firstLine="644"/>
        <w:spacing w:after="0" w:line="253" w:lineRule="auto"/>
        <w:tabs>
          <w:tab w:leader="none" w:pos="173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L/C Issuer has made a payment under any Letter of Credit and has received from any Revolving Credit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the L/C Issuer any payment in respect of the related Unreimbursed Amount or interest thereon (whether directly from the applicable L/C Party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192" w:lineRule="exact"/>
        <w:rPr>
          <w:rFonts w:ascii="Times New Roman" w:cs="Times New Roman" w:eastAsia="Times New Roman" w:hAnsi="Times New Roman"/>
          <w:sz w:val="20"/>
          <w:szCs w:val="20"/>
          <w:color w:val="auto"/>
        </w:rPr>
      </w:pPr>
    </w:p>
    <w:p>
      <w:pPr>
        <w:jc w:val="both"/>
        <w:ind w:left="440" w:firstLine="644"/>
        <w:spacing w:after="0" w:line="251" w:lineRule="auto"/>
        <w:tabs>
          <w:tab w:leader="none" w:pos="173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L/C Issuer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L/C Issuer in its discretion), each Revolving Credit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192" w:lineRule="exact"/>
        <w:rPr>
          <w:rFonts w:ascii="Times New Roman" w:cs="Times New Roman" w:eastAsia="Times New Roman" w:hAnsi="Times New Roman"/>
          <w:sz w:val="20"/>
          <w:szCs w:val="20"/>
          <w:color w:val="auto"/>
        </w:rPr>
      </w:pPr>
    </w:p>
    <w:p>
      <w:pPr>
        <w:jc w:val="both"/>
        <w:ind w:left="-220" w:firstLine="656"/>
        <w:spacing w:after="0" w:line="261" w:lineRule="auto"/>
        <w:tabs>
          <w:tab w:leader="none" w:pos="106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each L/C Party to reimburse the L/C Issuer for each drawing under each Letter of Credit issued for its account and to repay each related L/C Borrowing shall be absolute, unconditional and irrevocable, and shall be paid strictly in accordance with the terms of this Agreement under all circumstances, including the following:</w:t>
      </w:r>
    </w:p>
    <w:p>
      <w:pPr>
        <w:spacing w:after="0" w:line="181" w:lineRule="exact"/>
        <w:rPr>
          <w:rFonts w:ascii="Times New Roman" w:cs="Times New Roman" w:eastAsia="Times New Roman" w:hAnsi="Times New Roman"/>
          <w:sz w:val="20"/>
          <w:szCs w:val="20"/>
          <w:color w:val="auto"/>
        </w:rPr>
      </w:pPr>
    </w:p>
    <w:p>
      <w:pPr>
        <w:ind w:left="1720" w:hanging="636"/>
        <w:spacing w:after="0"/>
        <w:tabs>
          <w:tab w:leader="none" w:pos="17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15" w:lineRule="exact"/>
        <w:rPr>
          <w:rFonts w:ascii="Times New Roman" w:cs="Times New Roman" w:eastAsia="Times New Roman" w:hAnsi="Times New Roman"/>
          <w:sz w:val="20"/>
          <w:szCs w:val="20"/>
          <w:color w:val="auto"/>
        </w:rPr>
      </w:pPr>
    </w:p>
    <w:p>
      <w:pPr>
        <w:jc w:val="both"/>
        <w:ind w:left="440" w:firstLine="644"/>
        <w:spacing w:after="0" w:line="258" w:lineRule="auto"/>
        <w:tabs>
          <w:tab w:leader="none" w:pos="173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any L/C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5" w:lineRule="exact"/>
        <w:rPr>
          <w:rFonts w:ascii="Times New Roman" w:cs="Times New Roman" w:eastAsia="Times New Roman" w:hAnsi="Times New Roman"/>
          <w:sz w:val="20"/>
          <w:szCs w:val="20"/>
          <w:color w:val="auto"/>
        </w:rPr>
      </w:pPr>
    </w:p>
    <w:p>
      <w:pPr>
        <w:jc w:val="both"/>
        <w:ind w:left="440" w:firstLine="644"/>
        <w:spacing w:after="0" w:line="261" w:lineRule="auto"/>
        <w:tabs>
          <w:tab w:leader="none" w:pos="173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020"/>
          </w:cols>
          <w:pgMar w:left="540" w:top="1413" w:right="339" w:bottom="1440" w:gutter="0" w:footer="0" w:header="0"/>
        </w:sectPr>
      </w:pPr>
    </w:p>
    <w:bookmarkStart w:id="63" w:name="page64"/>
    <w:bookmarkEnd w:id="63"/>
    <w:p>
      <w:pPr>
        <w:ind w:left="660" w:firstLine="644"/>
        <w:spacing w:after="0" w:line="283" w:lineRule="auto"/>
        <w:tabs>
          <w:tab w:leader="none" w:pos="194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any L/C Party or any waiver by the L/C Issuer which does not in fact materially prejudice any L/C Party;</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a draft;</w:t>
      </w:r>
    </w:p>
    <w:p>
      <w:pPr>
        <w:spacing w:after="0" w:line="200"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4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94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4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applicable L/C Party or any Subsidiary or in the relevant currency markets generally; or</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4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L/C Parties or any Subsidiary.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applicable L/C Party shall promptly examine a copy of each Letter of Credit and each amendment thereto that is delivered to it and, in the event of any claim of noncompliance with Toro’s instructions or other irregularity, the applicable L/C Party will immediately notify the L/C Issuer. The applicable L/C Party shall be conclusively deemed to have waived any such claim against the L/C Issuer and its correspondents unless such notice is given as aforesaid.</w:t>
      </w:r>
    </w:p>
    <w:p>
      <w:pPr>
        <w:spacing w:after="0" w:line="187" w:lineRule="exact"/>
        <w:rPr>
          <w:sz w:val="20"/>
          <w:szCs w:val="20"/>
          <w:color w:val="auto"/>
        </w:rPr>
      </w:pPr>
    </w:p>
    <w:p>
      <w:pPr>
        <w:jc w:val="both"/>
        <w:ind w:firstLine="656"/>
        <w:spacing w:after="0" w:line="249" w:lineRule="auto"/>
        <w:tabs>
          <w:tab w:leader="none" w:pos="129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w:t>
      </w:r>
      <w:r>
        <w:rPr>
          <w:rFonts w:ascii="Times New Roman" w:cs="Times New Roman" w:eastAsia="Times New Roman" w:hAnsi="Times New Roman"/>
          <w:sz w:val="20"/>
          <w:szCs w:val="20"/>
          <w:color w:val="auto"/>
        </w:rPr>
        <w:t xml:space="preserve">. Each Revolving Credit Lender and each L/C Party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Revolving Credit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Each L/C Party hereby assumes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assumption is not intended to, and shall not, preclude the applicable L/C Party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any of the matters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applicable L/C Party may have a claim against the L/C Issuer, and the L/C Issuer may be liable to the applicable L/C Party, to the extent, but only to the extent, of any direct, as opposed to consequential or exemplary, damages suffered by the applicable L/C Party which such L/C Party proves were caused by the L/C Issuer’s willful misconduct or gross negligence or the L/C Issuer’s willful failure to pay under any Letter of Credit issued for the account of such L/C Party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b w:val="1"/>
          <w:bCs w:val="1"/>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178" w:lineRule="exact"/>
        <w:rPr>
          <w:sz w:val="20"/>
          <w:szCs w:val="20"/>
          <w:color w:val="auto"/>
        </w:rPr>
      </w:pPr>
    </w:p>
    <w:p>
      <w:pPr>
        <w:jc w:val="both"/>
        <w:ind w:firstLine="656"/>
        <w:spacing w:after="0" w:line="252" w:lineRule="auto"/>
        <w:tabs>
          <w:tab w:leader="none" w:pos="12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w:t>
      </w:r>
      <w:r>
        <w:rPr>
          <w:rFonts w:ascii="Times New Roman" w:cs="Times New Roman" w:eastAsia="Times New Roman" w:hAnsi="Times New Roman"/>
          <w:sz w:val="20"/>
          <w:szCs w:val="20"/>
          <w:color w:val="auto"/>
        </w:rPr>
        <w:t>. Unless otherwise expressly agreed by the L/C Issuer and Toro or the applicable L/C Party when a Letter of Credit is issued (including any such agreement applicable to an Existing Letter of Credit), the rules of the ISP shall apply to each standby Letter of Credit. Notwithstanding the foregoing, the L/C Issuer shall not be responsible to any L/C Party for, and the L/C Issuer’s rights and remedies against such L/C Party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L/C Parties shall pay to the Administrative Agent for the account of each Revolving Credit Lender,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in accordance with its Applicable Percentage, in Dollars,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w:t>
      </w:r>
    </w:p>
    <w:p>
      <w:pPr>
        <w:spacing w:after="0" w:line="19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The L/C Parties shall pay directly to the L/C Issuer for its own account, in Dollars, a fronting fee with respect to each Letter of Credit, at the rate per annum specified in the applicable Fee Letter, computed on the Dollar Equivalent of the daily amount available to be drawn under such Letter of Credit on a quarterly basis in arrears. Such fronting fee shall be due and payable on the first Business Day after the end of each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In addition, the L/C Parties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79" w:lineRule="exact"/>
        <w:rPr>
          <w:sz w:val="20"/>
          <w:szCs w:val="20"/>
          <w:color w:val="auto"/>
        </w:rPr>
      </w:pPr>
    </w:p>
    <w:p>
      <w:pPr>
        <w:ind w:right="20" w:firstLine="656"/>
        <w:spacing w:after="0" w:line="283" w:lineRule="auto"/>
        <w:tabs>
          <w:tab w:leader="none" w:pos="129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II.4</w:t>
      </w:r>
      <w:r>
        <w:rPr>
          <w:sz w:val="20"/>
          <w:szCs w:val="20"/>
          <w:color w:val="auto"/>
        </w:rPr>
        <w:tab/>
      </w:r>
      <w:r>
        <w:rPr>
          <w:rFonts w:ascii="Times New Roman" w:cs="Times New Roman" w:eastAsia="Times New Roman" w:hAnsi="Times New Roman"/>
          <w:sz w:val="20"/>
          <w:szCs w:val="20"/>
          <w:b w:val="1"/>
          <w:bCs w:val="1"/>
          <w:color w:val="auto"/>
        </w:rPr>
        <w:t>Swing Line Loans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63" w:lineRule="auto"/>
        <w:tabs>
          <w:tab w:leader="none" w:pos="1286"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Swing Line</w:t>
      </w:r>
      <w:r>
        <w:rPr>
          <w:rFonts w:ascii="Times New Roman" w:cs="Times New Roman" w:eastAsia="Times New Roman" w:hAnsi="Times New Roman"/>
          <w:sz w:val="19"/>
          <w:szCs w:val="19"/>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may in its sole discretion, make loans in Dollars (each such loan, a “</w:t>
      </w:r>
      <w:r>
        <w:rPr>
          <w:rFonts w:ascii="Times New Roman" w:cs="Times New Roman" w:eastAsia="Times New Roman" w:hAnsi="Times New Roman"/>
          <w:sz w:val="19"/>
          <w:szCs w:val="19"/>
          <w:u w:val="single" w:color="auto"/>
          <w:color w:val="auto"/>
        </w:rPr>
        <w:t>Swing Line Loan</w:t>
      </w:r>
      <w:r>
        <w:rPr>
          <w:rFonts w:ascii="Times New Roman" w:cs="Times New Roman" w:eastAsia="Times New Roman" w:hAnsi="Times New Roman"/>
          <w:sz w:val="19"/>
          <w:szCs w:val="19"/>
          <w:color w:val="auto"/>
        </w:rPr>
        <w:t xml:space="preserve">”) to Toro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Loans and L/C Obligations of the Lender acting as Swing Line Lender, may exceed the amount of such Lender’s Revolving Credit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after giving effect to any Swing Line Loan, (i) the Total Revolving Credit Outstandings shall not exceed the Revolving Credit Facility at such time, and (ii) the Revolving Credit Exposure of any Revolving Credit Lender shall not exceed such Lender’s Revolving Credit Commitment, (y) Toro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Toro may 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prepay under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Each Swing Line Loan shall bear interest at (x)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for Base Rate Loans or (y) such other rate quoted to Toro by the Swing Line Lender on the date any Swing Line Loan shall be requested.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amount of such Swing Line Loan.</w:t>
      </w:r>
    </w:p>
    <w:p>
      <w:pPr>
        <w:spacing w:after="0" w:line="178" w:lineRule="exact"/>
        <w:rPr>
          <w:rFonts w:ascii="Times New Roman" w:cs="Times New Roman" w:eastAsia="Times New Roman" w:hAnsi="Times New Roman"/>
          <w:sz w:val="19"/>
          <w:szCs w:val="19"/>
          <w:color w:val="auto"/>
        </w:rPr>
      </w:pPr>
    </w:p>
    <w:p>
      <w:pPr>
        <w:jc w:val="both"/>
        <w:ind w:firstLine="656"/>
        <w:spacing w:after="0" w:line="252" w:lineRule="auto"/>
        <w:tabs>
          <w:tab w:leader="none" w:pos="12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irrevocable notice by Toro to the Swing Line Lender and the Administrative Agent, which may be given by (A) telephone or (B) by a Swing 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Swing Line Lender and the Administrative Agent of a Swing Line Loan Notice. Each such Swing Line Loan Notice must be received by the Swing Line Lender and the Administrative Agent not later than 2:00 p.m. on the requested borrowing date, and shall specify (i) the amount to be borrowed, which shall be a minimum of $500,000,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of the contents thereof. Unless the Swing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Lender has received notice (by telephone or in writing) from the Administrative Agent (including at the request of any Lender) prior to 3:00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4:00 p.m. on the borrowing date specified in such Swing Line Loan Notice, make the amount of its Swing Line Loan available to Toro at its office by crediting the account of Toro on the books of the Swing Line Lender in Same Day Funds.</w:t>
      </w:r>
    </w:p>
    <w:p>
      <w:pPr>
        <w:spacing w:after="0" w:line="192"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Toro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Toro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Credit Lender that so makes funds available shall be deemed to have made a Base Rate Loan to Toro in such amount. The Administrative Agent shall remit the funds so received to the Swing Line Lender.</w:t>
      </w:r>
    </w:p>
    <w:p>
      <w:pPr>
        <w:spacing w:after="0" w:line="183"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95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Credit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67" w:name="page68"/>
    <w:bookmarkEnd w:id="67"/>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 xml:space="preserve">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absent manifest error.</w:t>
      </w:r>
    </w:p>
    <w:p>
      <w:pPr>
        <w:spacing w:after="0" w:line="181" w:lineRule="exact"/>
        <w:rPr>
          <w:sz w:val="20"/>
          <w:szCs w:val="20"/>
          <w:color w:val="auto"/>
        </w:rPr>
      </w:pPr>
    </w:p>
    <w:p>
      <w:pPr>
        <w:jc w:val="both"/>
        <w:ind w:left="660" w:firstLine="644"/>
        <w:spacing w:after="0" w:line="251" w:lineRule="auto"/>
        <w:tabs>
          <w:tab w:leader="none" w:pos="1945"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Lender’s obligation to make Revolving Credit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Toro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Revolving Credit Lender’s obligation to make Revolving Credit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No such funding of risk participations shall relieve or otherwise impair the obligation of Toro to repay Swing Line Loans, together with interest as provided herein.</w:t>
      </w:r>
    </w:p>
    <w:p>
      <w:pPr>
        <w:spacing w:after="0" w:line="19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Repayment of Participations.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5"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92"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Toro for interest on the Swing Line Loans. Until each Revolving Credit Lender funds its Base Rate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29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Toro shall make all payments of principal and interest in respect of the Swing Line Loans directly to the Swing Line Lender.</w:t>
      </w:r>
    </w:p>
    <w:p>
      <w:pPr>
        <w:spacing w:after="0" w:line="1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II.5 Prepayments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Each Borrower may, upon notice from Toro to the Administrative Agent, at any time or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time to time voluntarily prepay Term Loans and Revolving Credit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in a form acceptable to the Administrative Agent and be received by the Administrative Agent not later than 1:00 p.m.</w:t>
      </w:r>
    </w:p>
    <w:p>
      <w:pPr>
        <w:spacing w:after="0" w:line="2"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(2) Business Days prior to any date of prepayment of Term SOFR Loans, (B) three (3)</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3" w:lineRule="exact"/>
        <w:rPr>
          <w:rFonts w:ascii="Times New Roman" w:cs="Times New Roman" w:eastAsia="Times New Roman" w:hAnsi="Times New Roman"/>
          <w:sz w:val="20"/>
          <w:szCs w:val="20"/>
          <w:color w:val="auto"/>
        </w:rPr>
      </w:pPr>
    </w:p>
    <w:p>
      <w:pPr>
        <w:ind w:left="2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Business Days (or five (5), in the case of prepayment of Loans denominated in Special Notice Currencies) prior to any date of prepayment of any Alternative Currency Loans, and (C) on the date of prepayment of Base Rate Loans; (ii) any prepayment of Term SOFR Loans shall be in a principal amount of $5,000,000 or a whole multiple of $1,000,000 in excess thereof; (iii) any prepayment of Alternative Currency Loans shall be in a minimum principal Dollar Equivalent amount of $5,000,000 or a whole multiple of the Dollar Equivalent of $1,000,000 in excess thereof; and (iv)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Alternative Currency Term Rate Loans or Term SOFR Loans are to be prepaid, the Interest Period(s) of such Loans. The Administrative Agent will promptly notify each Lender of its receipt of each such notice, and of the amount of such Lender’s ratable portion of such prepayment (based on such Lender’s Applicable Percentage). Once such notice is given by Toro, the applicable Borrower shall make such prepayment and the payment amount specified in such notice shall be due and payable on the date specified therein. Any prepayment of a Loan shall be accompanied by all accrued interest on the amount prepaid, together with, in the case of any Term SOFR Loan and any Alternative Currency Loan, any additional amounts required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Each prepayment of the outstanding Term Loans pursuant to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shall be applied to the principal repayment installments of the Term Facility in inverse order of maturity, and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each such prepayment shall be paid to the Lenders in accordance with their respective Applicable Percentages in respect of each of the relevant Facilities.</w:t>
      </w:r>
    </w:p>
    <w:p>
      <w:pPr>
        <w:spacing w:after="0" w:line="201" w:lineRule="exact"/>
        <w:rPr>
          <w:sz w:val="20"/>
          <w:szCs w:val="20"/>
          <w:color w:val="auto"/>
        </w:rPr>
      </w:pPr>
    </w:p>
    <w:p>
      <w:pPr>
        <w:jc w:val="both"/>
        <w:ind w:left="660" w:firstLine="644"/>
        <w:spacing w:after="0" w:line="253" w:lineRule="auto"/>
        <w:tabs>
          <w:tab w:leader="none" w:pos="195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Toro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Once such notice is given by Toro, Toro shall make such prepayment and the payment amount specified in such notice shall be due and payable on the date specified therein.</w:t>
      </w:r>
    </w:p>
    <w:p>
      <w:pPr>
        <w:spacing w:after="0" w:line="178"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xml:space="preserve">. If the Administrative Agent notifies Toro at any time that the Total Revolving Credit Outstandings at such time exceed an amount equal to 105% of the Revolving Credit Facility then in effect, then, within two (2) Business Days after receipt of such notice, the Borrowers shall prepay Revolving Credit Loans and/or Toro shall Cash Collateralize the L/C Obligations in an aggregate amount sufficient to reduce such Total Revolving Credit Outstandings as of such date of payment to an amount not to exceed the Revolving Credit Facility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subject to the provisions of </w:t>
      </w:r>
      <w:r>
        <w:rPr>
          <w:rFonts w:ascii="Times New Roman" w:cs="Times New Roman" w:eastAsia="Times New Roman" w:hAnsi="Times New Roman"/>
          <w:sz w:val="20"/>
          <w:szCs w:val="20"/>
          <w:u w:val="single" w:color="auto"/>
          <w:color w:val="auto"/>
        </w:rPr>
        <w:t>Section 2.15(a)(ii)</w:t>
      </w:r>
      <w:r>
        <w:rPr>
          <w:rFonts w:ascii="Times New Roman" w:cs="Times New Roman" w:eastAsia="Times New Roman" w:hAnsi="Times New Roman"/>
          <w:sz w:val="20"/>
          <w:szCs w:val="20"/>
          <w:color w:val="auto"/>
        </w:rPr>
        <w:t xml:space="preserve">, Toro shall not be required to Cash Collateralize the L/C Obligations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unless after the prepayment in full of the Revolving Credit Loans the Total Revolving Credit Outstandings exceed the Revolving Credit Facility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II.6</w:t>
      </w:r>
      <w:r>
        <w:rPr>
          <w:sz w:val="20"/>
          <w:szCs w:val="20"/>
          <w:color w:val="auto"/>
        </w:rPr>
        <w:tab/>
      </w:r>
      <w:r>
        <w:rPr>
          <w:rFonts w:ascii="Times New Roman" w:cs="Times New Roman" w:eastAsia="Times New Roman" w:hAnsi="Times New Roman"/>
          <w:sz w:val="20"/>
          <w:szCs w:val="20"/>
          <w:b w:val="1"/>
          <w:bCs w:val="1"/>
          <w:color w:val="auto"/>
        </w:rPr>
        <w:t>Termination or Reduction of Commitments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56"/>
        <w:spacing w:after="0" w:line="268" w:lineRule="auto"/>
        <w:tabs>
          <w:tab w:leader="none" w:pos="12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Borrowers may, upon notice by Toro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69" w:name="page70"/>
    <w:bookmarkEnd w:id="69"/>
    <w:p>
      <w:pPr>
        <w:jc w:val="both"/>
        <w:spacing w:after="0" w:line="250" w:lineRule="auto"/>
        <w:rPr>
          <w:sz w:val="20"/>
          <w:szCs w:val="20"/>
          <w:color w:val="auto"/>
        </w:rPr>
      </w:pPr>
      <w:r>
        <w:rPr>
          <w:rFonts w:ascii="Times New Roman" w:cs="Times New Roman" w:eastAsia="Times New Roman" w:hAnsi="Times New Roman"/>
          <w:sz w:val="20"/>
          <w:szCs w:val="20"/>
          <w:color w:val="auto"/>
        </w:rPr>
        <w:t>than 1:00 p.m. five (5) Business Days prior to the date of termination or reduction, (ii) any such partial reduction shall be in an aggregate amount of $10,000,000 or any whole multiple of $1,000,000 in excess thereof, and (iii) the Borrowers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The Administrative Agent will promptly notify the Lenders of any such notice of termination or reduction of the Revolving Credit Facility. The amount of any such Revolving Credit Facility reduction shall not be applied to the Letter of Credit Sublimit unless otherwise specified by Toro. Any reduction of the Revolving Credit Facility shall be applied to the Revolving Credit Commitment of each Revolving Credit Lender according to its Applicable Percentage. All fees accrued until the effective date of any termination of the Revolving Credit Facility shall be paid on the effective date of such termination.</w:t>
      </w:r>
    </w:p>
    <w:p>
      <w:pPr>
        <w:spacing w:after="0" w:line="200" w:lineRule="exact"/>
        <w:rPr>
          <w:sz w:val="20"/>
          <w:szCs w:val="20"/>
          <w:color w:val="auto"/>
        </w:rPr>
      </w:pPr>
    </w:p>
    <w:p>
      <w:pPr>
        <w:ind w:right="20" w:firstLine="656"/>
        <w:spacing w:after="0" w:line="269" w:lineRule="auto"/>
        <w:tabs>
          <w:tab w:leader="none" w:pos="12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The aggregate Term Commitments shall be automatically and permanently reduced to zero upon the Term Borrowing on the Closing Date.</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the Letter of Credit Sublimit, Swing Line Sublimit or the Revolving Credit Commitment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w:t>
      </w:r>
      <w:r>
        <w:rPr>
          <w:rFonts w:ascii="Times New Roman" w:cs="Times New Roman" w:eastAsia="Times New Roman" w:hAnsi="Times New Roman"/>
          <w:sz w:val="20"/>
          <w:szCs w:val="20"/>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II.7</w:t>
      </w:r>
      <w:r>
        <w:rPr>
          <w:sz w:val="20"/>
          <w:szCs w:val="20"/>
          <w:color w:val="auto"/>
        </w:rPr>
        <w:tab/>
      </w:r>
      <w:r>
        <w:rPr>
          <w:rFonts w:ascii="Times New Roman" w:cs="Times New Roman" w:eastAsia="Times New Roman" w:hAnsi="Times New Roman"/>
          <w:sz w:val="20"/>
          <w:szCs w:val="20"/>
          <w:b w:val="1"/>
          <w:bCs w:val="1"/>
          <w:color w:val="auto"/>
        </w:rPr>
        <w:t>Repayment of Loans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61" w:lineRule="auto"/>
        <w:tabs>
          <w:tab w:leader="none" w:pos="1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Toro shall repay to the Term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w:t>
      </w:r>
    </w:p>
    <w:p>
      <w:pPr>
        <w:spacing w:after="0" w:line="211" w:lineRule="exact"/>
        <w:rPr>
          <w:sz w:val="20"/>
          <w:szCs w:val="20"/>
          <w:color w:val="auto"/>
        </w:rPr>
      </w:pPr>
    </w:p>
    <w:tbl>
      <w:tblPr>
        <w:tblLayout w:type="fixed"/>
        <w:tblInd w:w="1890" w:type="dxa"/>
        <w:tblCellMar>
          <w:top w:w="0" w:type="dxa"/>
          <w:left w:w="0" w:type="dxa"/>
          <w:bottom w:w="0" w:type="dxa"/>
          <w:right w:w="0" w:type="dxa"/>
        </w:tblCellMar>
      </w:tblPr>
      <w:tr>
        <w:trPr>
          <w:trHeight w:val="270"/>
        </w:trPr>
        <w:tc>
          <w:tcPr>
            <w:tcW w:w="28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2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50"/>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December 31, 2027</w:t>
            </w:r>
          </w:p>
        </w:tc>
        <w:tc>
          <w:tcPr>
            <w:tcW w:w="2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r>
      <w:tr>
        <w:trPr>
          <w:trHeight w:val="250"/>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March 31, 2028</w:t>
            </w:r>
          </w:p>
        </w:tc>
        <w:tc>
          <w:tcPr>
            <w:tcW w:w="2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r>
      <w:tr>
        <w:trPr>
          <w:trHeight w:val="250"/>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June 30, 2028</w:t>
            </w:r>
          </w:p>
        </w:tc>
        <w:tc>
          <w:tcPr>
            <w:tcW w:w="2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r>
      <w:tr>
        <w:trPr>
          <w:trHeight w:val="250"/>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September 30, 2028</w:t>
            </w:r>
          </w:p>
        </w:tc>
        <w:tc>
          <w:tcPr>
            <w:tcW w:w="2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r>
      <w:tr>
        <w:trPr>
          <w:trHeight w:val="250"/>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December 31, 2028</w:t>
            </w:r>
          </w:p>
        </w:tc>
        <w:tc>
          <w:tcPr>
            <w:tcW w:w="2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r>
      <w:tr>
        <w:trPr>
          <w:trHeight w:val="250"/>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March 31, 2029</w:t>
            </w:r>
          </w:p>
        </w:tc>
        <w:tc>
          <w:tcPr>
            <w:tcW w:w="2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r>
      <w:tr>
        <w:trPr>
          <w:trHeight w:val="250"/>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June 30, 2029</w:t>
            </w:r>
          </w:p>
        </w:tc>
        <w:tc>
          <w:tcPr>
            <w:tcW w:w="2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r>
      <w:tr>
        <w:trPr>
          <w:trHeight w:val="250"/>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September 30, 2029</w:t>
            </w:r>
          </w:p>
        </w:tc>
        <w:tc>
          <w:tcPr>
            <w:tcW w:w="2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r>
    </w:tbl>
    <w:p>
      <w:pPr>
        <w:spacing w:after="0" w:line="27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final principal repayment installment of the Term Loans shall be repaid on the Maturity Date for the Term Facility and in any event shall be in an amount equal to the aggregate principal amount of all Term Loans outstanding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70" w:name="page71"/>
    <w:bookmarkEnd w:id="70"/>
    <w:p>
      <w:pPr>
        <w:ind w:firstLine="656"/>
        <w:spacing w:after="0" w:line="283" w:lineRule="auto"/>
        <w:tabs>
          <w:tab w:leader="none" w:pos="12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Each Borrower shall repay to the Revolving Credit Lenders on the Maturity Date for the Revolving Credit Facility the aggregate principal amount of all Revolving Credit Loans outstanding on such date.</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Toro shall repay each Swing Line Loan on the earlier to occur of (i) the Maturity Date and (ii) the date of demand by the Swing Line Lender.</w:t>
      </w:r>
    </w:p>
    <w:p>
      <w:pPr>
        <w:spacing w:after="0" w:line="142" w:lineRule="exact"/>
        <w:rPr>
          <w:sz w:val="20"/>
          <w:szCs w:val="20"/>
          <w:color w:val="auto"/>
        </w:rPr>
      </w:pPr>
    </w:p>
    <w:p>
      <w:pPr>
        <w:jc w:val="both"/>
        <w:ind w:firstLine="718"/>
        <w:spacing w:after="0" w:line="264" w:lineRule="auto"/>
        <w:rPr>
          <w:sz w:val="20"/>
          <w:szCs w:val="20"/>
          <w:color w:val="auto"/>
        </w:rPr>
      </w:pPr>
      <w:r>
        <w:rPr>
          <w:rFonts w:ascii="Times New Roman" w:cs="Times New Roman" w:eastAsia="Times New Roman" w:hAnsi="Times New Roman"/>
          <w:sz w:val="19"/>
          <w:szCs w:val="19"/>
          <w:b w:val="1"/>
          <w:bCs w:val="1"/>
          <w:color w:val="auto"/>
        </w:rPr>
        <w:t>II.8 Interest</w:t>
      </w:r>
      <w:r>
        <w:rPr>
          <w:rFonts w:ascii="Times New Roman" w:cs="Times New Roman" w:eastAsia="Times New Roman" w:hAnsi="Times New Roman"/>
          <w:sz w:val="19"/>
          <w:szCs w:val="19"/>
          <w:color w:val="auto"/>
        </w:rPr>
        <w:t>. Subject to the provisions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below, (i) each Term SOFR Loan under a Facility shall bear interest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outstanding principal amount thereof for each Interest Period at a rate per annum equal to Term SOFR for such Interest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for such Facility; (iii) each Alternative Currency Daily Rate Loan under the Revolving Credit Facility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(iv) each Alternative Currency Term Rate Loan under the Revolving Credit Facility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and</w:t>
      </w:r>
    </w:p>
    <w:p>
      <w:pPr>
        <w:spacing w:after="0" w:line="7" w:lineRule="exact"/>
        <w:rPr>
          <w:sz w:val="20"/>
          <w:szCs w:val="20"/>
          <w:color w:val="auto"/>
        </w:rPr>
      </w:pPr>
    </w:p>
    <w:p>
      <w:pPr>
        <w:jc w:val="both"/>
        <w:ind w:firstLine="8"/>
        <w:spacing w:after="0" w:line="249" w:lineRule="auto"/>
        <w:tabs>
          <w:tab w:leader="none" w:pos="29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Swing Line Loan shall bear interest on the outstanding principal amount thereof from the applicable borrowing date at a rate per annum equal to (x)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the Revolving Credit Facility or (y) the rate quoted to Toro by the Swing Line Lender on the date any Swing Line Loan shall be requested.</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5"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6"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the Borrowers shall pay interest on the principal amount of all outstanding Obligations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demand.</w:t>
      </w:r>
    </w:p>
    <w:p>
      <w:pPr>
        <w:spacing w:after="0" w:line="20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the Interest Act (Canada) with respect to any credit extension denominated in Canadian Dollars,</w:t>
      </w:r>
    </w:p>
    <w:p>
      <w:pPr>
        <w:spacing w:after="0" w:line="21" w:lineRule="exact"/>
        <w:rPr>
          <w:rFonts w:ascii="Times New Roman" w:cs="Times New Roman" w:eastAsia="Times New Roman" w:hAnsi="Times New Roman"/>
          <w:sz w:val="20"/>
          <w:szCs w:val="20"/>
          <w:color w:val="auto"/>
        </w:rPr>
      </w:pPr>
    </w:p>
    <w:p>
      <w:pPr>
        <w:ind w:right="20" w:firstLine="8"/>
        <w:spacing w:after="0" w:line="260" w:lineRule="auto"/>
        <w:tabs>
          <w:tab w:leader="none" w:pos="24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 rate of interest or fee rate hereunder is calculated on the basis of a year (the “deemed year”) that contains fewer days than the actual number of days in the calendar year of calculation, such rate of interest or fee rate shall be expressed as a yearly rate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20"/>
          <w:szCs w:val="20"/>
          <w:color w:val="auto"/>
        </w:rPr>
        <w:t>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II.9</w:t>
      </w:r>
      <w:r>
        <w:rPr>
          <w:sz w:val="20"/>
          <w:szCs w:val="20"/>
          <w:color w:val="auto"/>
        </w:rPr>
        <w:tab/>
      </w: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 In addition to certain fees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subsections (h)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56"/>
        <w:spacing w:after="0" w:line="266" w:lineRule="auto"/>
        <w:tabs>
          <w:tab w:leader="none" w:pos="1286"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Facility Fee</w:t>
      </w:r>
      <w:r>
        <w:rPr>
          <w:rFonts w:ascii="Times New Roman" w:cs="Times New Roman" w:eastAsia="Times New Roman" w:hAnsi="Times New Roman"/>
          <w:sz w:val="19"/>
          <w:szCs w:val="19"/>
          <w:color w:val="auto"/>
        </w:rPr>
        <w:t>. The Borrowers shall pay to the Administrative Agent for the account of each Revolving Credit Lender in accordance with its Applicable Percentage, a facility fee (the “</w:t>
      </w:r>
      <w:r>
        <w:rPr>
          <w:rFonts w:ascii="Times New Roman" w:cs="Times New Roman" w:eastAsia="Times New Roman" w:hAnsi="Times New Roman"/>
          <w:sz w:val="19"/>
          <w:szCs w:val="19"/>
          <w:u w:val="single" w:color="auto"/>
          <w:color w:val="auto"/>
        </w:rPr>
        <w:t>Facility Fee</w:t>
      </w:r>
      <w:r>
        <w:rPr>
          <w:rFonts w:ascii="Times New Roman" w:cs="Times New Roman" w:eastAsia="Times New Roman" w:hAnsi="Times New Roman"/>
          <w:sz w:val="19"/>
          <w:szCs w:val="19"/>
          <w:color w:val="auto"/>
        </w:rPr>
        <w:t xml:space="preserve">”) in Dollars equal to the Applicable Rate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actual daily amount of the Revolving Credit Facility (or, if the Revolving Credit Facility has terminated, on the Outstanding Amount of all Revolving Credit Loans, Swing Line Loans and L/C Obligations), regardless of usage, subject to adjustment as provided in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The Facility Fee shall accrue at all times during the Availability Period (and thereafter so long as any Revolving Credit Loans, Swing Line Loans or L/C Obligations remain outstanding), including at any time during which one or more of the conditions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0" w:lineRule="exact"/>
        <w:rPr>
          <w:rFonts w:ascii="Times New Roman" w:cs="Times New Roman" w:eastAsia="Times New Roman" w:hAnsi="Times New Roman"/>
          <w:sz w:val="19"/>
          <w:szCs w:val="19"/>
          <w:color w:val="auto"/>
        </w:rPr>
      </w:pPr>
    </w:p>
    <w:p>
      <w:pPr>
        <w:jc w:val="both"/>
        <w:ind w:firstLine="656"/>
        <w:spacing w:after="0" w:line="268" w:lineRule="auto"/>
        <w:tabs>
          <w:tab w:leader="none" w:pos="12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Toro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Toro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II.10 Computation of Interest and Fees; Retroactive Adjustments of Applicable Rate</w:t>
      </w:r>
      <w:r>
        <w:rPr>
          <w:rFonts w:ascii="Times New Roman" w:cs="Times New Roman" w:eastAsia="Times New Roman" w:hAnsi="Times New Roman"/>
          <w:sz w:val="19"/>
          <w:szCs w:val="19"/>
          <w:color w:val="auto"/>
        </w:rPr>
        <w:t>. All computations of interest for Base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Rate Loans (including Base Rate Loans determined by reference to Term SOFR) shall be made on the basis of a year of 365 or 366 days, as the case may be, and actual days elapsed. All computations of interest for Alternative Currency Loans shall be made on the basis of a year as set forth on Schedule 2.10 for such Alternative Currency and actual days elapsed. All other computations of fees and interest, including those with respect to Term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166" w:lineRule="exact"/>
        <w:rPr>
          <w:sz w:val="20"/>
          <w:szCs w:val="20"/>
          <w:color w:val="auto"/>
        </w:rPr>
      </w:pPr>
    </w:p>
    <w:p>
      <w:pPr>
        <w:jc w:val="both"/>
        <w:ind w:firstLine="656"/>
        <w:spacing w:after="0" w:line="258" w:lineRule="auto"/>
        <w:tabs>
          <w:tab w:leader="none" w:pos="12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Borrowers or for any other reason, the Borrowers or the Lenders determine that (i) the Leverage Ratio as calculated by the Borrowers as of any applicable date was inaccurate and (ii) a proper calculation of the Leverage Ratio would have resulted in higher pricing for such period, each Borrower shall immediately and retroactively be obligated to pay to the Administrative Agent for the account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2.08(b)</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Borrower’s obligations under this paragraph shall survive the termination of the Aggregate Commitments and the repayment of all other Obligations hereunder.</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II.11 Evidence of Debt</w:t>
      </w:r>
      <w:r>
        <w:rPr>
          <w:rFonts w:ascii="Times New Roman" w:cs="Times New Roman" w:eastAsia="Times New Roman" w:hAnsi="Times New Roman"/>
          <w:sz w:val="20"/>
          <w:szCs w:val="20"/>
          <w:color w:val="auto"/>
        </w:rPr>
        <w:t>. The Credit Extensions made by each Lender shall be evidenced by one or more accounts or records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maintained by such Lender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81" w:lineRule="exact"/>
        <w:rPr>
          <w:sz w:val="20"/>
          <w:szCs w:val="20"/>
          <w:color w:val="auto"/>
        </w:rPr>
      </w:pPr>
    </w:p>
    <w:p>
      <w:pPr>
        <w:jc w:val="both"/>
        <w:ind w:firstLine="656"/>
        <w:spacing w:after="0" w:line="253" w:lineRule="auto"/>
        <w:tabs>
          <w:tab w:leader="none" w:pos="128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II.12 Payments Generally; Administrative Agent’s Clawback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3:00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(as determined by the Administrative Agent) of the Alternative Currency payment amount. The Administrative Agent will promptly distribute to each Lender its Applicable Percentage (or other applicable share as provided herein) of such payment in like funds as received by wire transfer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20"/>
          <w:szCs w:val="20"/>
          <w:color w:val="auto"/>
        </w:rPr>
        <w:t>Lender’s Lending Office. All payments received by the Administrative Agent (i) after 3:00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92" w:lineRule="exact"/>
        <w:rPr>
          <w:sz w:val="20"/>
          <w:szCs w:val="20"/>
          <w:color w:val="auto"/>
        </w:rPr>
      </w:pPr>
    </w:p>
    <w:p>
      <w:pPr>
        <w:jc w:val="both"/>
        <w:ind w:firstLine="656"/>
        <w:spacing w:after="0" w:line="249"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(i) Unless the Administrative Agent shall have received notice from a Lender prior to the proposed date of any Borrowing of Term SOFR Loans, Alternative Currency Term Rate Loans or Alternative Currency Daily Rate Loans (or, in the case of any Borrowing of Base Rate Loans, prior to 2:00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201" w:lineRule="exact"/>
        <w:rPr>
          <w:sz w:val="20"/>
          <w:szCs w:val="20"/>
          <w:color w:val="auto"/>
        </w:rPr>
      </w:pPr>
    </w:p>
    <w:p>
      <w:pPr>
        <w:jc w:val="both"/>
        <w:ind w:firstLine="656"/>
        <w:spacing w:after="0" w:line="253" w:lineRule="auto"/>
        <w:tabs>
          <w:tab w:leader="none" w:pos="110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Administrative Agent</w:t>
      </w:r>
      <w:r>
        <w:rPr>
          <w:rFonts w:ascii="Times New Roman" w:cs="Times New Roman" w:eastAsia="Times New Roman" w:hAnsi="Times New Roman"/>
          <w:sz w:val="20"/>
          <w:szCs w:val="20"/>
          <w:color w:val="auto"/>
        </w:rPr>
        <w:t>. With respect to any payment that is due to the Administrative Agent for the account of the Lenders or the L/C Issuer hereunder,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(1) the applicable Borrower has not in fact made such payment; (2) the Administrative Agent has made a payment in excess of the amount so paid by the applicable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20"/>
          <w:szCs w:val="20"/>
          <w:color w:val="auto"/>
        </w:rPr>
        <w:t>Lender or the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any Borrower with respect to any amount owing under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shall be conclusive, absent manifest error.</w:t>
      </w:r>
    </w:p>
    <w:p>
      <w:pPr>
        <w:spacing w:after="0" w:line="173" w:lineRule="exact"/>
        <w:rPr>
          <w:sz w:val="20"/>
          <w:szCs w:val="20"/>
          <w:color w:val="auto"/>
        </w:rPr>
      </w:pPr>
    </w:p>
    <w:p>
      <w:pPr>
        <w:jc w:val="both"/>
        <w:ind w:firstLine="656"/>
        <w:spacing w:after="0" w:line="253" w:lineRule="auto"/>
        <w:tabs>
          <w:tab w:leader="none" w:pos="128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Term Loans and Revolving Credit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II.13 Sharing of Payments by Lenders</w:t>
      </w:r>
      <w:r>
        <w:rPr>
          <w:rFonts w:ascii="Times New Roman" w:cs="Times New Roman" w:eastAsia="Times New Roman" w:hAnsi="Times New Roman"/>
          <w:sz w:val="20"/>
          <w:szCs w:val="20"/>
          <w:color w:val="auto"/>
        </w:rPr>
        <w:t>. If any Lender shall, by exercising any right of setoff or counterclaim or otherwise, obtain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as provided herein, then the Lender receiving such greater proportion shall</w:t>
      </w:r>
    </w:p>
    <w:p>
      <w:pPr>
        <w:jc w:val="both"/>
        <w:ind w:firstLine="8"/>
        <w:spacing w:after="0" w:line="248" w:lineRule="auto"/>
        <w:tabs>
          <w:tab w:leader="none" w:pos="27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or (z) any payment obtained by a Lender as consideration for the assignment of or sale of a participation in any of its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75" w:name="page76"/>
    <w:bookmarkEnd w:id="75"/>
    <w:p>
      <w:pPr>
        <w:ind w:left="660"/>
        <w:spacing w:after="0" w:line="283" w:lineRule="auto"/>
        <w:rPr>
          <w:sz w:val="20"/>
          <w:szCs w:val="20"/>
          <w:color w:val="auto"/>
        </w:rPr>
      </w:pPr>
      <w:r>
        <w:rPr>
          <w:rFonts w:ascii="Times New Roman" w:cs="Times New Roman" w:eastAsia="Times New Roman" w:hAnsi="Times New Roman"/>
          <w:sz w:val="20"/>
          <w:szCs w:val="20"/>
          <w:color w:val="auto"/>
        </w:rPr>
        <w:t>subparticipations in L/C Obligations or Swing Line Loans to any assignee or participant, other than to Toro or any Subsidiary thereof (as to which the provisions of this Section shall apply).</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II.14</w:t>
        <w:tab/>
        <w:t>Increase in Commitments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50"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Provided there exists no Default, upon notice to the Administrative Agent (which shall promptly notify the Lenders), Toro may from time to time, request (x) an increase in the Revolving Credit Facility (each, an “</w:t>
      </w:r>
      <w:r>
        <w:rPr>
          <w:rFonts w:ascii="Times New Roman" w:cs="Times New Roman" w:eastAsia="Times New Roman" w:hAnsi="Times New Roman"/>
          <w:sz w:val="20"/>
          <w:szCs w:val="20"/>
          <w:u w:val="single" w:color="auto"/>
          <w:color w:val="auto"/>
        </w:rPr>
        <w:t>Incremental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by an amount (for all such requests) up to $450,000,000 and/or (y) the one-time establishment of one or more new term loan commitments (each, an “</w:t>
      </w:r>
      <w:r>
        <w:rPr>
          <w:rFonts w:ascii="Times New Roman" w:cs="Times New Roman" w:eastAsia="Times New Roman" w:hAnsi="Times New Roman"/>
          <w:sz w:val="20"/>
          <w:szCs w:val="20"/>
          <w:u w:val="single" w:color="auto"/>
          <w:color w:val="auto"/>
        </w:rPr>
        <w:t>Incremental Term Commitment</w:t>
      </w:r>
      <w:r>
        <w:rPr>
          <w:rFonts w:ascii="Times New Roman" w:cs="Times New Roman" w:eastAsia="Times New Roman" w:hAnsi="Times New Roman"/>
          <w:sz w:val="20"/>
          <w:szCs w:val="20"/>
          <w:color w:val="auto"/>
        </w:rPr>
        <w:t xml:space="preserve">”) by an amount (for all such requests) up to $100,000,000;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request for an increase shall be in a minimum amount of $25,000,000 or a whole multiple of $5,000,000 in excess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Toro may make a maximum of six (6) such requests. Each such notice shall specify (i) the date (each, an “</w:t>
      </w:r>
      <w:r>
        <w:rPr>
          <w:rFonts w:ascii="Times New Roman" w:cs="Times New Roman" w:eastAsia="Times New Roman" w:hAnsi="Times New Roman"/>
          <w:sz w:val="20"/>
          <w:szCs w:val="20"/>
          <w:u w:val="single" w:color="auto"/>
          <w:color w:val="auto"/>
        </w:rPr>
        <w:t>Increase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on which Toro proposes that the Incremental Commitments shall be effective, which shall be a date not less than 10 Business Days after the date on which such notice is delivered to the Administrative Agent and (ii) the identity of each Eligible Assignee to whom Toro proposes any portion of such Incremental Commitments be allocated and the amounts of such allocations;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existing Lender approached to provide all or a portion of the Incremental Commitments may elect or decline, in its sole discretion, to provide such Incremental Commitment.</w:t>
      </w:r>
    </w:p>
    <w:p>
      <w:pPr>
        <w:spacing w:after="0" w:line="186" w:lineRule="exact"/>
        <w:rPr>
          <w:rFonts w:ascii="Times New Roman" w:cs="Times New Roman" w:eastAsia="Times New Roman" w:hAnsi="Times New Roman"/>
          <w:sz w:val="20"/>
          <w:szCs w:val="20"/>
          <w:color w:val="auto"/>
        </w:rPr>
      </w:pPr>
    </w:p>
    <w:p>
      <w:pPr>
        <w:jc w:val="both"/>
        <w:ind w:firstLine="656"/>
        <w:spacing w:after="0" w:line="267" w:lineRule="auto"/>
        <w:tabs>
          <w:tab w:leader="none" w:pos="128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w:t>
      </w:r>
      <w:r>
        <w:rPr>
          <w:rFonts w:ascii="Times New Roman" w:cs="Times New Roman" w:eastAsia="Times New Roman" w:hAnsi="Times New Roman"/>
          <w:sz w:val="19"/>
          <w:szCs w:val="19"/>
          <w:color w:val="auto"/>
        </w:rPr>
        <w:t xml:space="preserve">. As a condition precedent to the effectiveness of any Incremental Commitments, Toro shall deliver to the Administrative Agent and the Lenders (i) such information as may be requested pursuant to </w:t>
      </w:r>
      <w:r>
        <w:rPr>
          <w:rFonts w:ascii="Times New Roman" w:cs="Times New Roman" w:eastAsia="Times New Roman" w:hAnsi="Times New Roman"/>
          <w:sz w:val="19"/>
          <w:szCs w:val="19"/>
          <w:u w:val="single" w:color="auto"/>
          <w:color w:val="auto"/>
        </w:rPr>
        <w:t>Section 4.01(a)(x)</w:t>
      </w:r>
      <w:r>
        <w:rPr>
          <w:rFonts w:ascii="Times New Roman" w:cs="Times New Roman" w:eastAsia="Times New Roman" w:hAnsi="Times New Roman"/>
          <w:sz w:val="19"/>
          <w:szCs w:val="19"/>
          <w:color w:val="auto"/>
        </w:rPr>
        <w:t>, (ii) legal opinions of the type delivered on the Closing Date to the extent reasonably requested by, and in form and substance reasonably satisfactory to, the Administrative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and (iii) a certificate of each Loan Party dated as of the Increase Effective Date signed by a Responsible Officer of such Loan Party</w:t>
      </w:r>
    </w:p>
    <w:p>
      <w:pPr>
        <w:spacing w:after="0" w:line="6" w:lineRule="exact"/>
        <w:rPr>
          <w:sz w:val="20"/>
          <w:szCs w:val="20"/>
          <w:color w:val="auto"/>
        </w:rPr>
      </w:pPr>
    </w:p>
    <w:p>
      <w:pPr>
        <w:jc w:val="both"/>
        <w:ind w:firstLine="8"/>
        <w:spacing w:after="0" w:line="248" w:lineRule="auto"/>
        <w:tabs>
          <w:tab w:leader="none" w:pos="34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certifying and attaching the resolutions adopted by such Loan Party approving or consenting to such increase, and (B) certifying that, before and after giving effect to such increase, (1) 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the other Loan Documents are true and correct in all material respects on and as of the Increase Effective Date,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are true and correct as of such earlier date, and (y) that for purposes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(2) immediately after giving effect to such Incremental Commitments (assuming that such Incremental Commitments have been fully utilized), Toro is in compliance on a pro forma basis with the financial covenant set forth in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and (3) no Default exists or will result from the borrowings to be made on the Increase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Incremental Commitments are being provided in connection with a Limited Conditionality Acquisition, such certificate shall provide that the above requirements in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were satisfied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The Borrowers shall prepay any Loans outstanding on the Increase Effective Date (and pay any additional amounts required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to the extent necessary to keep the outstanding Loans ratable with any revised Applicable Percentages arising from any nonratable increase in the Revolving Credit Commitments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76" w:name="page77"/>
    <w:bookmarkEnd w:id="76"/>
    <w:p>
      <w:pPr>
        <w:ind w:right="20" w:firstLine="656"/>
        <w:spacing w:after="0" w:line="283" w:lineRule="auto"/>
        <w:tabs>
          <w:tab w:leader="none" w:pos="128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New Loans and Commitments</w:t>
      </w:r>
      <w:r>
        <w:rPr>
          <w:rFonts w:ascii="Times New Roman" w:cs="Times New Roman" w:eastAsia="Times New Roman" w:hAnsi="Times New Roman"/>
          <w:sz w:val="20"/>
          <w:szCs w:val="20"/>
          <w:color w:val="auto"/>
        </w:rPr>
        <w:t>. The terms and provisions of Loans made pursuant to Incremental Commitments shall be as follows: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95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and provisions of Incremental Term Loans shall be, except as otherwise set forth herein or in the Increase Joinder, identical to the Term Loans (it being understood that Incremental Term Loans may be a part of the Term Loans) and to the extent that the terms and provisions of Incremental Term Loans are not identical to the Term Loans (except to the extent permitted by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they shall be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event the Incremental Term Loans must comply with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w:t>
      </w:r>
    </w:p>
    <w:p>
      <w:pPr>
        <w:spacing w:after="0" w:line="173" w:lineRule="exact"/>
        <w:rPr>
          <w:sz w:val="20"/>
          <w:szCs w:val="20"/>
          <w:color w:val="auto"/>
        </w:rPr>
      </w:pPr>
    </w:p>
    <w:p>
      <w:pPr>
        <w:ind w:left="660" w:firstLine="644"/>
        <w:spacing w:after="0" w:line="283" w:lineRule="auto"/>
        <w:tabs>
          <w:tab w:leader="none" w:pos="195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provisions of Revolving Credit Loans made pursuant to new Commitments shall be identical to the Revolving Credit Loans;</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5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any Incremental Term Loans shall be no shorter than the remaining weighted average life to maturity of the then existing Term Loans; and</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date of Incremental Term Loans (the “</w:t>
      </w:r>
      <w:r>
        <w:rPr>
          <w:rFonts w:ascii="Times New Roman" w:cs="Times New Roman" w:eastAsia="Times New Roman" w:hAnsi="Times New Roman"/>
          <w:sz w:val="20"/>
          <w:szCs w:val="20"/>
          <w:u w:val="single" w:color="auto"/>
          <w:color w:val="auto"/>
        </w:rPr>
        <w:t>Incremental Term Loan Maturity Date</w:t>
      </w:r>
      <w:r>
        <w:rPr>
          <w:rFonts w:ascii="Times New Roman" w:cs="Times New Roman" w:eastAsia="Times New Roman" w:hAnsi="Times New Roman"/>
          <w:sz w:val="20"/>
          <w:szCs w:val="20"/>
          <w:color w:val="auto"/>
        </w:rPr>
        <w:t>”) shall not be earlier than the then Latest Maturity Date.</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Incremental Commitments shall be effected by a joinder agreement (the “</w:t>
      </w:r>
      <w:r>
        <w:rPr>
          <w:rFonts w:ascii="Times New Roman" w:cs="Times New Roman" w:eastAsia="Times New Roman" w:hAnsi="Times New Roman"/>
          <w:sz w:val="20"/>
          <w:szCs w:val="20"/>
          <w:u w:val="single" w:color="auto"/>
          <w:color w:val="auto"/>
        </w:rPr>
        <w:t>Increase Joinder</w:t>
      </w:r>
      <w:r>
        <w:rPr>
          <w:rFonts w:ascii="Times New Roman" w:cs="Times New Roman" w:eastAsia="Times New Roman" w:hAnsi="Times New Roman"/>
          <w:sz w:val="20"/>
          <w:szCs w:val="20"/>
          <w:color w:val="auto"/>
        </w:rPr>
        <w:t xml:space="preserve">”) executed by each applicable Borrower, the Administrative Agent and each Lender making such Incremental Commitment, in form and substance reasonably satisfactory to each of them. Notwithstanding the provisions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In addition, unless otherwise specifically provided herein, all references in Loan Documents to Revolving Credit Loans or Term Loans shall be deemed, unless the context otherwise requires, to include references to Revolving Credit Loans made pursuant to Incremental Revolving Commitments and Incremental Term Loans that are Term Loans, respectively, made pursuant to this Agreement.</w:t>
      </w:r>
    </w:p>
    <w:p>
      <w:pPr>
        <w:spacing w:after="0" w:line="182" w:lineRule="exact"/>
        <w:rPr>
          <w:sz w:val="20"/>
          <w:szCs w:val="20"/>
          <w:color w:val="auto"/>
        </w:rPr>
      </w:pPr>
    </w:p>
    <w:p>
      <w:pPr>
        <w:jc w:val="both"/>
        <w:ind w:firstLine="656"/>
        <w:spacing w:after="0" w:line="269" w:lineRule="auto"/>
        <w:tabs>
          <w:tab w:leader="none" w:pos="1284"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 of Revolving Credit Loans</w:t>
      </w:r>
      <w:r>
        <w:rPr>
          <w:rFonts w:ascii="Times New Roman" w:cs="Times New Roman" w:eastAsia="Times New Roman" w:hAnsi="Times New Roman"/>
          <w:sz w:val="19"/>
          <w:szCs w:val="19"/>
          <w:color w:val="auto"/>
        </w:rPr>
        <w:t xml:space="preserve">. To the extent the Commitments being increased on the relevant Increase Effective Date are Incremental Revolving Commitments, then each Revolving Credit Lender that is acquiring an Incremental Revolving Commitment on the Increase Effective Date shall make a Revolving Credit Loan, the proceeds of which will be used to prepay the Revolving Credit Loans of the other Revolving Credit Lenders immediately prior to such Increase Effective Date, so that, after giving effect thereto, the Revolving Credit Loans outstanding are held by the Revolving Credit Lenders pro rata based on their Revolving Credit Commitments after giving effect to such Increase Effective Date. If there is a new borrowing of Revolving Credit Loans on such Increase Effective Date, the Revolving Credit Lenders after giving effect to such Increase Effective Date shall make such Revolving Credit Loans in accordance with </w:t>
      </w:r>
      <w:r>
        <w:rPr>
          <w:rFonts w:ascii="Times New Roman" w:cs="Times New Roman" w:eastAsia="Times New Roman" w:hAnsi="Times New Roman"/>
          <w:sz w:val="19"/>
          <w:szCs w:val="19"/>
          <w:u w:val="single" w:color="auto"/>
          <w:color w:val="auto"/>
        </w:rPr>
        <w:t>Section 2.01(b)</w:t>
      </w:r>
      <w:r>
        <w:rPr>
          <w:rFonts w:ascii="Times New Roman" w:cs="Times New Roman" w:eastAsia="Times New Roman" w:hAnsi="Times New Roman"/>
          <w:sz w:val="19"/>
          <w:szCs w:val="19"/>
          <w:color w:val="auto"/>
        </w:rPr>
        <w:t>.</w:t>
      </w:r>
    </w:p>
    <w:p>
      <w:pPr>
        <w:spacing w:after="0" w:line="175" w:lineRule="exact"/>
        <w:rPr>
          <w:rFonts w:ascii="Times New Roman" w:cs="Times New Roman" w:eastAsia="Times New Roman" w:hAnsi="Times New Roman"/>
          <w:sz w:val="19"/>
          <w:szCs w:val="19"/>
          <w:color w:val="auto"/>
        </w:rPr>
      </w:pPr>
    </w:p>
    <w:p>
      <w:pPr>
        <w:jc w:val="both"/>
        <w:ind w:firstLine="656"/>
        <w:spacing w:after="0" w:line="261" w:lineRule="auto"/>
        <w:tabs>
          <w:tab w:leader="none" w:pos="12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Making of Incremental Term Loans</w:t>
      </w:r>
      <w:r>
        <w:rPr>
          <w:rFonts w:ascii="Times New Roman" w:cs="Times New Roman" w:eastAsia="Times New Roman" w:hAnsi="Times New Roman"/>
          <w:sz w:val="20"/>
          <w:szCs w:val="20"/>
          <w:color w:val="auto"/>
        </w:rPr>
        <w:t>. On any Increase Effective Date on which new Commitments for Incremental Term Loans are effective, subject to the satisfaction of the foregoing terms and conditions, each Lender of such new Commitment shall make an Incremental Term Loan to Toro in an amount equal to its new Commitment.</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Equal and Ratable Benefit</w:t>
      </w:r>
      <w:r>
        <w:rPr>
          <w:rFonts w:ascii="Times New Roman" w:cs="Times New Roman" w:eastAsia="Times New Roman" w:hAnsi="Times New Roman"/>
          <w:sz w:val="20"/>
          <w:szCs w:val="20"/>
          <w:color w:val="auto"/>
        </w:rPr>
        <w:t xml:space="preserve">. The Loans and Commitments established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constitute Loans and Commitments under, and shall be entitled to all the benefits afforded by, this Agreement and the other Loan Documents, and shall, without limiting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77" w:name="page78"/>
    <w:bookmarkEnd w:id="77"/>
    <w:p>
      <w:pPr>
        <w:spacing w:after="0" w:line="283" w:lineRule="auto"/>
        <w:rPr>
          <w:sz w:val="20"/>
          <w:szCs w:val="20"/>
          <w:color w:val="auto"/>
        </w:rPr>
      </w:pPr>
      <w:r>
        <w:rPr>
          <w:rFonts w:ascii="Times New Roman" w:cs="Times New Roman" w:eastAsia="Times New Roman" w:hAnsi="Times New Roman"/>
          <w:sz w:val="20"/>
          <w:szCs w:val="20"/>
          <w:color w:val="auto"/>
        </w:rPr>
        <w:t>benefit equally and ratably from the Guaranty, except that the new Loans may be subordinated in right of payment to the extent set forth in the Increase Joinder.</w:t>
      </w:r>
    </w:p>
    <w:p>
      <w:pPr>
        <w:spacing w:after="0" w:line="146"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11.01</w:t>
      </w:r>
      <w:r>
        <w:rPr>
          <w:rFonts w:ascii="Times New Roman" w:cs="Times New Roman" w:eastAsia="Times New Roman" w:hAnsi="Times New Roman"/>
          <w:sz w:val="20"/>
          <w:szCs w:val="20"/>
          <w:color w:val="auto"/>
        </w:rPr>
        <w:t xml:space="preserve"> to the contrary.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II.15</w:t>
        <w:tab/>
        <w:t>Cash Collateral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56"/>
        <w:spacing w:after="0" w:line="266" w:lineRule="auto"/>
        <w:tabs>
          <w:tab w:leader="none" w:pos="128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Credit Support Events</w:t>
      </w:r>
      <w:r>
        <w:rPr>
          <w:rFonts w:ascii="Times New Roman" w:cs="Times New Roman" w:eastAsia="Times New Roman" w:hAnsi="Times New Roman"/>
          <w:sz w:val="19"/>
          <w:szCs w:val="19"/>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Borrowers shall be required to provide Cash Collateral pursuant to </w:t>
      </w:r>
      <w:r>
        <w:rPr>
          <w:rFonts w:ascii="Times New Roman" w:cs="Times New Roman" w:eastAsia="Times New Roman" w:hAnsi="Times New Roman"/>
          <w:sz w:val="19"/>
          <w:szCs w:val="19"/>
          <w:u w:val="single" w:color="auto"/>
          <w:color w:val="auto"/>
        </w:rPr>
        <w:t>Section 8.02(c)</w:t>
      </w:r>
      <w:r>
        <w:rPr>
          <w:rFonts w:ascii="Times New Roman" w:cs="Times New Roman" w:eastAsia="Times New Roman" w:hAnsi="Times New Roman"/>
          <w:sz w:val="19"/>
          <w:szCs w:val="19"/>
          <w:color w:val="auto"/>
        </w:rPr>
        <w:t xml:space="preserve">, or (iv) there shall exist a Defaulting Lender, the Borrowers shall immediately (in the case of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or within one (1)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above, after giving effect to </w:t>
      </w:r>
      <w:r>
        <w:rPr>
          <w:rFonts w:ascii="Times New Roman" w:cs="Times New Roman" w:eastAsia="Times New Roman" w:hAnsi="Times New Roman"/>
          <w:sz w:val="19"/>
          <w:szCs w:val="19"/>
          <w:u w:val="single" w:color="auto"/>
          <w:color w:val="auto"/>
        </w:rPr>
        <w:t>Section 2.16(a)(iv)</w:t>
      </w:r>
      <w:r>
        <w:rPr>
          <w:rFonts w:ascii="Times New Roman" w:cs="Times New Roman" w:eastAsia="Times New Roman" w:hAnsi="Times New Roman"/>
          <w:sz w:val="19"/>
          <w:szCs w:val="19"/>
          <w:color w:val="auto"/>
        </w:rPr>
        <w:t xml:space="preserve"> and any Cash Collateral provided by the Defaulting Lender). Additionally, if the Administrative Agent notifies the Borrowers at any time that the Outstanding Amount of all L/C Obligations at such time exceeds 105% of the Letter of Credit Sublimit then in effect, then, within two (2) Business Days after receipt of such notice, the Borrowers shall provide Cash Collateral for the Outstanding Amount of the L/C Obligations in an amount not less than the amount by which the Outstanding Amount of all L/C Obligations exceeds the Letter of Credit Sublimit.</w:t>
      </w:r>
    </w:p>
    <w:p>
      <w:pPr>
        <w:spacing w:after="0" w:line="170" w:lineRule="exact"/>
        <w:rPr>
          <w:rFonts w:ascii="Times New Roman" w:cs="Times New Roman" w:eastAsia="Times New Roman" w:hAnsi="Times New Roman"/>
          <w:sz w:val="19"/>
          <w:szCs w:val="19"/>
          <w:color w:val="auto"/>
        </w:rPr>
      </w:pPr>
    </w:p>
    <w:p>
      <w:pPr>
        <w:jc w:val="both"/>
        <w:ind w:firstLine="656"/>
        <w:spacing w:after="0" w:line="265" w:lineRule="auto"/>
        <w:tabs>
          <w:tab w:leader="none" w:pos="128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 xml:space="preserve">. Each Borrower, and to the extent provided by any Defaulting Lender, such Defaulting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9"/>
          <w:szCs w:val="19"/>
          <w:u w:val="single" w:color="auto"/>
          <w:color w:val="auto"/>
        </w:rPr>
        <w:t>Section 2.15(c)</w:t>
      </w:r>
      <w:r>
        <w:rPr>
          <w:rFonts w:ascii="Times New Roman" w:cs="Times New Roman" w:eastAsia="Times New Roman" w:hAnsi="Times New Roman"/>
          <w:sz w:val="19"/>
          <w:szCs w:val="19"/>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Borrowers shall pay on demand therefor from time to time all customary account opening, activity and other administrative fees and charges in connection with the maintenance and disbursement of Cash Collateral.</w:t>
      </w:r>
    </w:p>
    <w:p>
      <w:pPr>
        <w:spacing w:after="0" w:line="181" w:lineRule="exact"/>
        <w:rPr>
          <w:rFonts w:ascii="Times New Roman" w:cs="Times New Roman" w:eastAsia="Times New Roman" w:hAnsi="Times New Roman"/>
          <w:sz w:val="19"/>
          <w:szCs w:val="19"/>
          <w:color w:val="auto"/>
        </w:rPr>
      </w:pPr>
    </w:p>
    <w:p>
      <w:pPr>
        <w:jc w:val="both"/>
        <w:ind w:firstLine="656"/>
        <w:spacing w:after="0" w:line="253" w:lineRule="auto"/>
        <w:tabs>
          <w:tab w:leader="none" w:pos="128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Cash Collateral as may be provided for herein.</w:t>
      </w:r>
    </w:p>
    <w:p>
      <w:pPr>
        <w:spacing w:after="0" w:line="191"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2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11.06(b)(vi)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II.16</w:t>
        <w:tab/>
        <w:t>Defaulting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656"/>
        <w:spacing w:after="0" w:line="283" w:lineRule="auto"/>
        <w:tabs>
          <w:tab w:leader="none" w:pos="128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5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in the definition of “Required Lenders”.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if such Defaulting Lender is a Lender, to the payment on a pro rata basis of any amounts owing by such Defaulting Lender to the L/C Issuer or Swing Line Lender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if such Defaulting Lender is a Lender,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as Toro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if so determined by the Administrative Agent and Toro, to be held in a deposit account and released pro rata in order to (x) satisfy such Defaulting Lender’s potential future funding obligations with respect to Loans under this Agreement and (y) if such Defaulting Lender is a Lender,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in the case of a Defaulting Lender, to the payment of any amounts owing to the other Lenders and the L/C Issuer or Swing Line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Lender, in each case,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79" w:name="page80"/>
    <w:bookmarkEnd w:id="79"/>
    <w:p>
      <w:pPr>
        <w:jc w:val="both"/>
        <w:ind w:left="440"/>
        <w:spacing w:after="0" w:line="253" w:lineRule="auto"/>
        <w:rPr>
          <w:sz w:val="20"/>
          <w:szCs w:val="20"/>
          <w:color w:val="auto"/>
        </w:rPr>
      </w:pPr>
      <w:r>
        <w:rPr>
          <w:rFonts w:ascii="Times New Roman" w:cs="Times New Roman" w:eastAsia="Times New Roman" w:hAnsi="Times New Roman"/>
          <w:sz w:val="20"/>
          <w:szCs w:val="20"/>
          <w:color w:val="auto"/>
        </w:rPr>
        <w:t xml:space="preserve">Obligations owed to, all Non-Defaulting Lenders on a pro rata basis (and ratably among all applicable Facilities computed in accordance with the Defaulting Lenders’ respective funding deficiencies)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2.16(a)(iv)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2.16(a)(ii)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79" w:lineRule="exact"/>
        <w:rPr>
          <w:sz w:val="20"/>
          <w:szCs w:val="20"/>
          <w:color w:val="auto"/>
        </w:rPr>
      </w:pPr>
    </w:p>
    <w:p>
      <w:pPr>
        <w:ind w:left="1740" w:hanging="656"/>
        <w:spacing w:after="0"/>
        <w:tabs>
          <w:tab w:leader="none" w:pos="17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Fees.</w:t>
      </w:r>
    </w:p>
    <w:p>
      <w:pPr>
        <w:spacing w:after="0" w:line="256" w:lineRule="exact"/>
        <w:rPr>
          <w:rFonts w:ascii="Times New Roman" w:cs="Times New Roman" w:eastAsia="Times New Roman" w:hAnsi="Times New Roman"/>
          <w:sz w:val="20"/>
          <w:szCs w:val="20"/>
          <w:color w:val="auto"/>
        </w:rPr>
      </w:pPr>
    </w:p>
    <w:p>
      <w:pPr>
        <w:jc w:val="both"/>
        <w:ind w:left="1080" w:firstLine="652"/>
        <w:spacing w:after="0" w:line="250" w:lineRule="auto"/>
        <w:tabs>
          <w:tab w:leader="none" w:pos="236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That Defaulting Lender (x) shall be entitled to receive any Facility Fee pursuant to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only to extent allocable to the sum of (1) the Outstanding Amount of the Loans funded by it and (2) its Applicable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2.16(a)(ii)</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2"/>
          <w:szCs w:val="22"/>
          <w:color w:val="auto"/>
        </w:rPr>
      </w:pPr>
    </w:p>
    <w:p>
      <w:pPr>
        <w:jc w:val="both"/>
        <w:ind w:left="1080" w:firstLine="652"/>
        <w:spacing w:after="0" w:line="248" w:lineRule="auto"/>
        <w:tabs>
          <w:tab w:leader="none" w:pos="236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Each Defaulting Lender which is a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21" w:lineRule="exact"/>
        <w:rPr>
          <w:rFonts w:ascii="Times New Roman" w:cs="Times New Roman" w:eastAsia="Times New Roman" w:hAnsi="Times New Roman"/>
          <w:sz w:val="22"/>
          <w:szCs w:val="22"/>
          <w:color w:val="auto"/>
        </w:rPr>
      </w:pPr>
    </w:p>
    <w:p>
      <w:pPr>
        <w:jc w:val="both"/>
        <w:ind w:left="1080" w:firstLine="652"/>
        <w:spacing w:after="0" w:line="247" w:lineRule="auto"/>
        <w:tabs>
          <w:tab w:leader="none" w:pos="236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With respect to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or any Letter of Credit Fee not required to be paid to any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Borrowers shall (x) pay to each Non-Defaulting Lender which is a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below, (y) pay to the L/C Issuer and Swing Line Lender, as applicable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96" w:lineRule="exact"/>
        <w:rPr>
          <w:rFonts w:ascii="Times New Roman" w:cs="Times New Roman" w:eastAsia="Times New Roman" w:hAnsi="Times New Roman"/>
          <w:sz w:val="22"/>
          <w:szCs w:val="22"/>
          <w:color w:val="auto"/>
        </w:rPr>
      </w:pPr>
    </w:p>
    <w:p>
      <w:pPr>
        <w:jc w:val="both"/>
        <w:ind w:left="440" w:firstLine="644"/>
        <w:spacing w:after="0" w:line="250" w:lineRule="auto"/>
        <w:tabs>
          <w:tab w:leader="none" w:pos="172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satisfied at the time of such reallocation (and, unless Toro shall have otherwise notified the Administrative Agent at such time, Toro shall be deemed to have represented and warranted that such conditions are satisfied at such time), and (y) such reallocation does not cause the aggregate Revolving Credit Exposure of any Non-Defaulting Lender to exceed such Non-Defaulting Lender’s Revolving Credit Commitment. Subject to </w:t>
      </w:r>
      <w:r>
        <w:rPr>
          <w:rFonts w:ascii="Times New Roman" w:cs="Times New Roman" w:eastAsia="Times New Roman" w:hAnsi="Times New Roman"/>
          <w:sz w:val="20"/>
          <w:szCs w:val="20"/>
          <w:u w:val="single" w:color="auto"/>
          <w:color w:val="auto"/>
        </w:rPr>
        <w:t>Section 11.24</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020"/>
          </w:cols>
          <w:pgMar w:left="540" w:top="1413" w:right="339" w:bottom="1440" w:gutter="0" w:footer="0" w:header="0"/>
        </w:sectPr>
      </w:pPr>
    </w:p>
    <w:bookmarkStart w:id="80" w:name="page81"/>
    <w:bookmarkEnd w:id="80"/>
    <w:p>
      <w:pPr>
        <w:jc w:val="both"/>
        <w:ind w:left="660" w:firstLine="644"/>
        <w:spacing w:after="0" w:line="258" w:lineRule="auto"/>
        <w:tabs>
          <w:tab w:leader="none" w:pos="194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Toro, the Administrative Agent, and, in the case that a Defaulting Lender is a Lender, the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20"/>
          <w:szCs w:val="20"/>
          <w:u w:val="single" w:color="auto"/>
          <w:color w:val="auto"/>
        </w:rPr>
        <w:t>Section 2.16(a)(iv)</w:t>
      </w:r>
      <w:r>
        <w:rPr>
          <w:rFonts w:ascii="Times New Roman" w:cs="Times New Roman" w:eastAsia="Times New Roman" w:hAnsi="Times New Roman"/>
          <w:sz w:val="20"/>
          <w:szCs w:val="20"/>
          <w:color w:val="auto"/>
        </w:rPr>
        <w:t xml:space="preserve">), whereupon that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any Borrower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Revolving Credit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II.17 Designated Borrowers</w:t>
      </w:r>
      <w:r>
        <w:rPr>
          <w:rFonts w:ascii="Times New Roman" w:cs="Times New Roman" w:eastAsia="Times New Roman" w:hAnsi="Times New Roman"/>
          <w:sz w:val="20"/>
          <w:szCs w:val="20"/>
          <w:color w:val="auto"/>
        </w:rPr>
        <w:t>. Toro may at any time, upon not less than 15 Business Days’ notice from Toro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(or such shorter period as may be agreed by the Administrative Agent in its sole discretion), designate any additional Subsidiary of Toro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The parties hereto acknowledge and agree that prior to any Applicant Borrower becoming entitled to utilize the credit facilities provided for herein the Administrative Agent and the Lenders shall have received such supporting resolutions, incumbency certificates, opinions of counsel, such information as may be requested pursuant to </w:t>
      </w:r>
      <w:r>
        <w:rPr>
          <w:rFonts w:ascii="Times New Roman" w:cs="Times New Roman" w:eastAsia="Times New Roman" w:hAnsi="Times New Roman"/>
          <w:sz w:val="20"/>
          <w:szCs w:val="20"/>
          <w:u w:val="single" w:color="auto"/>
          <w:color w:val="auto"/>
        </w:rPr>
        <w:t>Section 4.01(a)</w:t>
      </w:r>
    </w:p>
    <w:p>
      <w:pPr>
        <w:spacing w:after="0" w:line="3" w:lineRule="exact"/>
        <w:rPr>
          <w:sz w:val="20"/>
          <w:szCs w:val="20"/>
          <w:color w:val="auto"/>
        </w:rPr>
      </w:pPr>
    </w:p>
    <w:p>
      <w:pPr>
        <w:jc w:val="both"/>
        <w:ind w:firstLine="8"/>
        <w:spacing w:after="0" w:line="250" w:lineRule="auto"/>
        <w:tabs>
          <w:tab w:leader="none" w:pos="288" w:val="left"/>
        </w:tabs>
        <w:numPr>
          <w:ilvl w:val="0"/>
          <w:numId w:val="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and other documents or information, in form, content and scope reasonably satisfactory to the Administrative Agent, as may be required by the Administrative Agent or the Required Lenders in their sole discretion, and Notes signed by such new Subsidiary Borrowers to the extent any Lenders so require. If the Administrative Agent and each of the Lenders agree that an Applicant Borrower shall be entitled to receive Loans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for the avoidance of doubt, that any Lender may be entitled to reject any Applicant Borrower as a Designated Borrower hereunder to the extent that such Applicant Borrower is organized under the laws of a jurisdiction other than the United States or a political subdivision thereof, and such Lender may not legally lend to, establish credit for the account of, or do any business whatsoever with such Applicant Borrower), then promptly following receipt of all such requested resolutions, incumbency certificates, opinions of counsel, such information as may be requested pursuant to </w:t>
      </w:r>
      <w:r>
        <w:rPr>
          <w:rFonts w:ascii="Times New Roman" w:cs="Times New Roman" w:eastAsia="Times New Roman" w:hAnsi="Times New Roman"/>
          <w:sz w:val="20"/>
          <w:szCs w:val="20"/>
          <w:u w:val="single" w:color="auto"/>
          <w:color w:val="auto"/>
        </w:rPr>
        <w:t>Section 4.01(a)(x)</w:t>
      </w:r>
      <w:r>
        <w:rPr>
          <w:rFonts w:ascii="Times New Roman" w:cs="Times New Roman" w:eastAsia="Times New Roman" w:hAnsi="Times New Roman"/>
          <w:sz w:val="20"/>
          <w:szCs w:val="20"/>
          <w:color w:val="auto"/>
        </w:rPr>
        <w:t xml:space="preserv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documents or information, the Administrative Agent shall send a notice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to Toro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Subsidiary Borrower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Notice or Letter of Credit Application may be submitted by or on behalf of such Designated Borrower until the date five (5) Business Days after such effective date.</w:t>
      </w:r>
    </w:p>
    <w:p>
      <w:pPr>
        <w:spacing w:after="0" w:line="192"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Obligations of all Designated Borrowers shall be several in nature and shall be guaranteed by Toro pursuant to </w:t>
      </w:r>
      <w:r>
        <w:rPr>
          <w:rFonts w:ascii="Times New Roman" w:cs="Times New Roman" w:eastAsia="Times New Roman" w:hAnsi="Times New Roman"/>
          <w:sz w:val="19"/>
          <w:szCs w:val="19"/>
          <w:u w:val="single" w:color="auto"/>
          <w:color w:val="auto"/>
        </w:rPr>
        <w:t>Article X</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207" w:lineRule="exact"/>
        <w:rPr>
          <w:sz w:val="20"/>
          <w:szCs w:val="20"/>
          <w:color w:val="auto"/>
        </w:rPr>
      </w:pPr>
    </w:p>
    <w:p>
      <w:pPr>
        <w:jc w:val="both"/>
        <w:ind w:firstLine="656"/>
        <w:spacing w:after="0" w:line="253" w:lineRule="auto"/>
        <w:tabs>
          <w:tab w:leader="none" w:pos="128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Toro may from time to time, upon not less than 15 Business Days’ notice from Toro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II.18</w:t>
        <w:tab/>
        <w:t>Sustainability Adjustments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56"/>
        <w:spacing w:after="0" w:line="263" w:lineRule="auto"/>
        <w:tabs>
          <w:tab w:leader="none" w:pos="1286"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ESG Amendment</w:t>
      </w:r>
      <w:r>
        <w:rPr>
          <w:rFonts w:ascii="Times New Roman" w:cs="Times New Roman" w:eastAsia="Times New Roman" w:hAnsi="Times New Roman"/>
          <w:sz w:val="19"/>
          <w:szCs w:val="19"/>
          <w:color w:val="auto"/>
        </w:rPr>
        <w:t>. On or prior to the date that is 12 months after the Closing Date, Toro, in consultation with the Sustainability Coordinator, shall be entitled to establish key performance indicators (“</w:t>
      </w:r>
      <w:r>
        <w:rPr>
          <w:rFonts w:ascii="Times New Roman" w:cs="Times New Roman" w:eastAsia="Times New Roman" w:hAnsi="Times New Roman"/>
          <w:sz w:val="19"/>
          <w:szCs w:val="19"/>
          <w:u w:val="single" w:color="auto"/>
          <w:color w:val="auto"/>
        </w:rPr>
        <w:t>KPIs</w:t>
      </w:r>
      <w:r>
        <w:rPr>
          <w:rFonts w:ascii="Times New Roman" w:cs="Times New Roman" w:eastAsia="Times New Roman" w:hAnsi="Times New Roman"/>
          <w:sz w:val="19"/>
          <w:szCs w:val="19"/>
          <w:color w:val="auto"/>
        </w:rPr>
        <w:t>”) for the Revolving Credit Facility with respect to certain environmental, social and governance (“</w:t>
      </w:r>
      <w:r>
        <w:rPr>
          <w:rFonts w:ascii="Times New Roman" w:cs="Times New Roman" w:eastAsia="Times New Roman" w:hAnsi="Times New Roman"/>
          <w:sz w:val="19"/>
          <w:szCs w:val="19"/>
          <w:u w:val="single" w:color="auto"/>
          <w:color w:val="auto"/>
        </w:rPr>
        <w:t>ESG</w:t>
      </w:r>
      <w:r>
        <w:rPr>
          <w:rFonts w:ascii="Times New Roman" w:cs="Times New Roman" w:eastAsia="Times New Roman" w:hAnsi="Times New Roman"/>
          <w:sz w:val="19"/>
          <w:szCs w:val="19"/>
          <w:color w:val="auto"/>
        </w:rPr>
        <w:t xml:space="preserve">”) targets of the Borrowers and their Subsidiaries. The Sustainability Coordinator, the Administrative Agent and Toro may amend this Agreement solely for the purpose of incorporating the KPIs and other related provisions pursuant to an amendment with the affirmative consent of the Sustainability Coordinator, the Administrative Agent, Toro and the Required Revolving Lenders, as further provided below. Based on the Borrowers’ performance against the KPIs, certain adjustments (increase, decrease or no adjustment) to the otherwise applicable Facility Fee, Applicable Margin and Letter of Credit Fee, in each case, under the Revolving Credit Facility will be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no event shall any adjusted Applicable Margin, Letter of Credit Fee or Facility Fee be less than zero and (ii) such adjustments shall be made on a per annum basis, and not be cumulative from year to year. If the Borrowers and their subsidiaries (x) achieve all KPIs, (i) the Facility Fee under the Revolving Credit Facility will be decreased by 0.01% and (ii) the Applicable Margin and Letter of Credit Fee, in each case, under the Revolving Credit Facility will each be decreased by 0.04%, (y) achieve at least one but not all KPIs, no adjustment to the Facility Fee, Applicable Margin or Letter of Credit Fee, in each case, under the Revolving Credit Facility will be made and (z) achieve no KPIs, the Facility Fee under the Revolving Credit Facility will be increased by 0.01% and (ii) the Applicable Margin and Letter of Credit Fee, in each case, under the Revolving Credit Facility will each be increased by 0.04%. The KPIs and other related provisions (the “</w:t>
      </w:r>
      <w:r>
        <w:rPr>
          <w:rFonts w:ascii="Times New Roman" w:cs="Times New Roman" w:eastAsia="Times New Roman" w:hAnsi="Times New Roman"/>
          <w:sz w:val="19"/>
          <w:szCs w:val="19"/>
          <w:u w:val="single" w:color="auto"/>
          <w:color w:val="auto"/>
        </w:rPr>
        <w:t>ESG Pricing Provisions</w:t>
      </w:r>
      <w:r>
        <w:rPr>
          <w:rFonts w:ascii="Times New Roman" w:cs="Times New Roman" w:eastAsia="Times New Roman" w:hAnsi="Times New Roman"/>
          <w:sz w:val="19"/>
          <w:szCs w:val="19"/>
          <w:color w:val="auto"/>
        </w:rPr>
        <w:t>”) will be provided to the Revolving Credit Lenders for review in the form of an amendment to this Agreement which shall be executed by Toro, the required Revolving Credit Lenders, the Administrative Agent and the Sustainability Coordinator (such amendment, the “</w:t>
      </w:r>
      <w:r>
        <w:rPr>
          <w:rFonts w:ascii="Times New Roman" w:cs="Times New Roman" w:eastAsia="Times New Roman" w:hAnsi="Times New Roman"/>
          <w:sz w:val="19"/>
          <w:szCs w:val="19"/>
          <w:u w:val="single" w:color="auto"/>
          <w:color w:val="auto"/>
        </w:rPr>
        <w:t>ESG Amendment</w:t>
      </w:r>
      <w:r>
        <w:rPr>
          <w:rFonts w:ascii="Times New Roman" w:cs="Times New Roman" w:eastAsia="Times New Roman" w:hAnsi="Times New Roman"/>
          <w:sz w:val="19"/>
          <w:szCs w:val="19"/>
          <w:color w:val="auto"/>
        </w:rPr>
        <w:t>”). Upon the Required Revolving Lenders consenting in writing to the ESG Amendment, the ESG Amendment shall become effective. Following the effectiveness of the ESG Amendment, any modification to the ESG Pricing Provisions which does not have the effect of reducing the Facility Fee, Letter of Credit Fee or the Applicable Margin, in each case, under the Revolving Credit Facility to a level not otherwise permitted by this section shall be subject only to the consent of Toro, the Sustainability Coordinator, the Administrative Agent and the Required Revolving Lenders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310" w:lineRule="auto"/>
        <w:rPr>
          <w:sz w:val="20"/>
          <w:szCs w:val="20"/>
          <w:color w:val="auto"/>
        </w:rPr>
      </w:pPr>
      <w:r>
        <w:rPr>
          <w:rFonts w:ascii="Times New Roman" w:cs="Times New Roman" w:eastAsia="Times New Roman" w:hAnsi="Times New Roman"/>
          <w:sz w:val="19"/>
          <w:szCs w:val="19"/>
          <w:color w:val="auto"/>
        </w:rPr>
        <w:t>understood that any such modification having the effect of reducing the Facility Fee, Letter of Credit Fee or the Applicable Margin under the Revolving Credit Facility to a level not otherwise permitted by this section would require approval by all affected Revolving Credit Lenders).</w:t>
      </w:r>
    </w:p>
    <w:p>
      <w:pPr>
        <w:spacing w:after="0" w:line="124" w:lineRule="exact"/>
        <w:rPr>
          <w:sz w:val="20"/>
          <w:szCs w:val="20"/>
          <w:color w:val="auto"/>
        </w:rPr>
      </w:pPr>
    </w:p>
    <w:p>
      <w:pPr>
        <w:jc w:val="both"/>
        <w:ind w:firstLine="656"/>
        <w:spacing w:after="0" w:line="261" w:lineRule="auto"/>
        <w:tabs>
          <w:tab w:leader="none" w:pos="128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Sustainability Coordinator</w:t>
      </w:r>
      <w:r>
        <w:rPr>
          <w:rFonts w:ascii="Times New Roman" w:cs="Times New Roman" w:eastAsia="Times New Roman" w:hAnsi="Times New Roman"/>
          <w:sz w:val="20"/>
          <w:szCs w:val="20"/>
          <w:color w:val="auto"/>
        </w:rPr>
        <w:t>. The Sustainability Coordinator will (i) assist Toro in determining the ESG Pricing Provisions in connection with the ESG Amendment and (ii) assist Toro in preparing informational materials focused on ESG to be used in connection with the ESG Amendment.</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to the contrary.</w:t>
      </w:r>
    </w:p>
    <w:p>
      <w:pPr>
        <w:spacing w:after="0" w:line="3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w:t>
        <w:tab/>
        <w:t>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Free of Taxes; Obligation to Withhold; Payments on Account of Taxes.</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the respective Borrowers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Borrower, then the Administrative Agent or such Borrower shall be entitled to make such deduction or withholding, upon the basis of the information and documentation to be delivered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the Administrative Agent shall timely pay the full amount so withheld or deducted by it to the relevant Governmental Authority in accordance with the Code,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6"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the sum payable by such Borrower shall be increased as necessary so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83" w:name="page84"/>
    <w:bookmarkEnd w:id="83"/>
    <w:p>
      <w:pPr>
        <w:jc w:val="both"/>
        <w:ind w:left="440"/>
        <w:spacing w:after="0" w:line="261" w:lineRule="auto"/>
        <w:rPr>
          <w:sz w:val="20"/>
          <w:szCs w:val="20"/>
          <w:color w:val="auto"/>
        </w:rPr>
      </w:pPr>
      <w:r>
        <w:rPr>
          <w:rFonts w:ascii="Times New Roman" w:cs="Times New Roman" w:eastAsia="Times New Roman" w:hAnsi="Times New Roman"/>
          <w:sz w:val="20"/>
          <w:szCs w:val="20"/>
          <w:color w:val="auto"/>
        </w:rPr>
        <w:t xml:space="preserve">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1" w:lineRule="exact"/>
        <w:rPr>
          <w:sz w:val="20"/>
          <w:szCs w:val="20"/>
          <w:color w:val="auto"/>
        </w:rPr>
      </w:pPr>
    </w:p>
    <w:p>
      <w:pPr>
        <w:jc w:val="both"/>
        <w:ind w:left="-220" w:firstLine="656"/>
        <w:spacing w:after="0" w:line="261" w:lineRule="auto"/>
        <w:tabs>
          <w:tab w:leader="none" w:pos="106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above, each Borrower shall timely pay to the relevant Governmental Authority in accordance with Applicable Laws, or at the option of the Administrative Agent timely reimburse it for the payment of, any Other Taxes.</w:t>
      </w:r>
    </w:p>
    <w:p>
      <w:pPr>
        <w:spacing w:after="0" w:line="181" w:lineRule="exact"/>
        <w:rPr>
          <w:rFonts w:ascii="Times New Roman" w:cs="Times New Roman" w:eastAsia="Times New Roman" w:hAnsi="Times New Roman"/>
          <w:sz w:val="20"/>
          <w:szCs w:val="20"/>
          <w:color w:val="auto"/>
        </w:rPr>
      </w:pPr>
    </w:p>
    <w:p>
      <w:pPr>
        <w:ind w:left="1080" w:hanging="644"/>
        <w:spacing w:after="0"/>
        <w:tabs>
          <w:tab w:leader="none" w:pos="10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Indemnifications.</w:t>
      </w:r>
    </w:p>
    <w:p>
      <w:pPr>
        <w:spacing w:after="0" w:line="215" w:lineRule="exact"/>
        <w:rPr>
          <w:rFonts w:ascii="Times New Roman" w:cs="Times New Roman" w:eastAsia="Times New Roman" w:hAnsi="Times New Roman"/>
          <w:sz w:val="20"/>
          <w:szCs w:val="20"/>
          <w:color w:val="auto"/>
        </w:rPr>
      </w:pPr>
    </w:p>
    <w:p>
      <w:pPr>
        <w:jc w:val="both"/>
        <w:ind w:left="440" w:firstLine="644"/>
        <w:spacing w:after="0" w:line="250" w:lineRule="auto"/>
        <w:tabs>
          <w:tab w:leader="none" w:pos="173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each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Each Borrower shall, and does hereby, indemnify the Administrative Agent, and shall make payment in respect thereof within 30 days after demand therefor, for any amount which a Lender or the L/C Issuer for any reason fails to pay indefeasibly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 A certificate as to the amount of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199" w:lineRule="exact"/>
        <w:rPr>
          <w:rFonts w:ascii="Times New Roman" w:cs="Times New Roman" w:eastAsia="Times New Roman" w:hAnsi="Times New Roman"/>
          <w:sz w:val="20"/>
          <w:szCs w:val="20"/>
          <w:color w:val="auto"/>
        </w:rPr>
      </w:pPr>
    </w:p>
    <w:p>
      <w:pPr>
        <w:jc w:val="both"/>
        <w:ind w:left="440" w:firstLine="644"/>
        <w:spacing w:after="0" w:line="264" w:lineRule="auto"/>
        <w:tabs>
          <w:tab w:leader="none" w:pos="1735"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provisions of </w:t>
      </w:r>
      <w:r>
        <w:rPr>
          <w:rFonts w:ascii="Times New Roman" w:cs="Times New Roman" w:eastAsia="Times New Roman" w:hAnsi="Times New Roman"/>
          <w:sz w:val="19"/>
          <w:szCs w:val="19"/>
          <w:u w:val="single" w:color="auto"/>
          <w:color w:val="auto"/>
        </w:rPr>
        <w:t>subsection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each Lender and the L/C Issuer shall, and does hereby, severally indemnify, and shall make payment in respect thereof within 30 days after demand therefor, (x) the Administrative Agent against any Indemnified Taxes attributable to such Lender or the L/C Issuer (but only to the extent that any Borrower has not already indemnified the Administrative Agent for such Indemnified Taxes and without limiting the obligation of the Borrowers to do so), (y) the Administrative Agent and the Borrowers, as applicable, against any Taxes attributable to such Lender’s failure to comply with the provisions of </w:t>
      </w:r>
      <w:r>
        <w:rPr>
          <w:rFonts w:ascii="Times New Roman" w:cs="Times New Roman" w:eastAsia="Times New Roman" w:hAnsi="Times New Roman"/>
          <w:sz w:val="19"/>
          <w:szCs w:val="19"/>
          <w:u w:val="single" w:color="auto"/>
          <w:color w:val="auto"/>
        </w:rPr>
        <w:t>Section 11.06(d)</w:t>
      </w:r>
      <w:r>
        <w:rPr>
          <w:rFonts w:ascii="Times New Roman" w:cs="Times New Roman" w:eastAsia="Times New Roman" w:hAnsi="Times New Roman"/>
          <w:sz w:val="19"/>
          <w:szCs w:val="19"/>
          <w:color w:val="auto"/>
        </w:rPr>
        <w:t xml:space="preserve"> relating to the maintenance of a Participant Register and (z) the Administrative Agent and the Borrowers,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w:t>
      </w:r>
    </w:p>
    <w:p>
      <w:pPr>
        <w:spacing w:after="0" w:line="169" w:lineRule="exact"/>
        <w:rPr>
          <w:rFonts w:ascii="Times New Roman" w:cs="Times New Roman" w:eastAsia="Times New Roman" w:hAnsi="Times New Roman"/>
          <w:sz w:val="19"/>
          <w:szCs w:val="19"/>
          <w:color w:val="auto"/>
        </w:rPr>
      </w:pPr>
    </w:p>
    <w:p>
      <w:pPr>
        <w:jc w:val="both"/>
        <w:ind w:left="-220" w:firstLine="656"/>
        <w:spacing w:after="0" w:line="268" w:lineRule="auto"/>
        <w:tabs>
          <w:tab w:leader="none" w:pos="106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such Borrower or by the Administrative Agent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Borrower shall deliver to the Administrative Agent or the Administrative Agent shall deliver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020"/>
          </w:cols>
          <w:pgMar w:left="540" w:top="1413"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20"/>
          <w:szCs w:val="20"/>
          <w:color w:val="auto"/>
        </w:rPr>
        <w:t>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81"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Status of Lenders; Tax Documentation.</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Toro and to the Administrative Agent, at the time or times reasonably requested by Toro or the Administrative Agent, such properly completed and executed documentation reasonably requested by Toro or the Administrative Agent as will permit such payments to be made without withholding or at a reduced rate of withholding. In addition, any Lender, if reasonably requested by Toro or the Administrative Agent, shall deliver such other documentation prescribed by Applicable Law or reasonably requested by Toro or the Administrative Agent as will enable Toro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a Borrower is a U.S. Person,</w:t>
      </w:r>
    </w:p>
    <w:p>
      <w:pPr>
        <w:spacing w:after="0" w:line="256" w:lineRule="exact"/>
        <w:rPr>
          <w:rFonts w:ascii="Times New Roman" w:cs="Times New Roman" w:eastAsia="Times New Roman" w:hAnsi="Times New Roman"/>
          <w:sz w:val="20"/>
          <w:szCs w:val="20"/>
          <w:color w:val="auto"/>
        </w:rPr>
      </w:pPr>
    </w:p>
    <w:p>
      <w:pPr>
        <w:jc w:val="both"/>
        <w:ind w:left="1300" w:firstLine="652"/>
        <w:spacing w:after="0" w:line="245" w:lineRule="auto"/>
        <w:tabs>
          <w:tab w:leader="none" w:pos="2585"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Lender that is a U.S. Person shall deliver to Toro and the Administrative Agent on or prior to the date on which such Lender becomes a Lender under this Agreement (and from time to time thereafter upon the reasonable request of Toro or the Administrative Agent), executed originals of IRS Form W-9 certifying that such Lender is exempt from U.S. federal backup withholding tax;</w:t>
      </w:r>
    </w:p>
    <w:p>
      <w:pPr>
        <w:spacing w:after="0" w:line="225"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87"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on behalf of such Borrower or the Administrative Agent), whichever of the following is applicable:</w:t>
      </w:r>
    </w:p>
    <w:p>
      <w:pPr>
        <w:spacing w:after="0" w:line="178" w:lineRule="exact"/>
        <w:rPr>
          <w:rFonts w:ascii="Times New Roman" w:cs="Times New Roman" w:eastAsia="Times New Roman" w:hAnsi="Times New Roman"/>
          <w:sz w:val="22"/>
          <w:szCs w:val="22"/>
          <w:color w:val="auto"/>
        </w:rPr>
      </w:pPr>
    </w:p>
    <w:p>
      <w:pPr>
        <w:jc w:val="both"/>
        <w:ind w:left="2620" w:firstLine="4"/>
        <w:spacing w:after="0" w:line="253" w:lineRule="auto"/>
        <w:tabs>
          <w:tab w:leader="none" w:pos="3020" w:val="left"/>
        </w:tabs>
        <w:numPr>
          <w:ilvl w:val="3"/>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85" w:name="page86"/>
    <w:bookmarkEnd w:id="85"/>
    <w:p>
      <w:pPr>
        <w:ind w:left="2400" w:right="20"/>
        <w:spacing w:after="0" w:line="283" w:lineRule="auto"/>
        <w:rPr>
          <w:sz w:val="20"/>
          <w:szCs w:val="20"/>
          <w:color w:val="auto"/>
        </w:rPr>
      </w:pPr>
      <w:r>
        <w:rPr>
          <w:rFonts w:ascii="Times New Roman" w:cs="Times New Roman" w:eastAsia="Times New Roman" w:hAnsi="Times New Roman"/>
          <w:sz w:val="20"/>
          <w:szCs w:val="20"/>
          <w:color w:val="auto"/>
        </w:rPr>
        <w:t>or reduction of, U.S. federal withholding Tax pursuant to the “business profits” or “other income” article of such tax treaty,</w:t>
      </w:r>
    </w:p>
    <w:p>
      <w:pPr>
        <w:spacing w:after="0" w:line="146" w:lineRule="exact"/>
        <w:rPr>
          <w:sz w:val="20"/>
          <w:szCs w:val="20"/>
          <w:color w:val="auto"/>
        </w:rPr>
      </w:pPr>
    </w:p>
    <w:p>
      <w:pPr>
        <w:ind w:left="2380"/>
        <w:spacing w:after="0"/>
        <w:tabs>
          <w:tab w:leader="none" w:pos="282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19"/>
          <w:szCs w:val="19"/>
          <w:color w:val="auto"/>
        </w:rPr>
        <w:t>executed originals of IRS Form W-8ECI,</w:t>
      </w:r>
    </w:p>
    <w:p>
      <w:pPr>
        <w:spacing w:after="0" w:line="229" w:lineRule="exact"/>
        <w:rPr>
          <w:sz w:val="20"/>
          <w:szCs w:val="20"/>
          <w:color w:val="auto"/>
        </w:rPr>
      </w:pPr>
    </w:p>
    <w:p>
      <w:pPr>
        <w:ind w:left="2900" w:hanging="520"/>
        <w:spacing w:after="0"/>
        <w:tabs>
          <w:tab w:leader="none" w:pos="29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IRS Form W-8IMY and all required supporting documentation,</w:t>
      </w:r>
    </w:p>
    <w:p>
      <w:pPr>
        <w:spacing w:after="0" w:line="216" w:lineRule="exact"/>
        <w:rPr>
          <w:sz w:val="20"/>
          <w:szCs w:val="20"/>
          <w:color w:val="auto"/>
        </w:rPr>
      </w:pPr>
    </w:p>
    <w:p>
      <w:pPr>
        <w:jc w:val="both"/>
        <w:ind w:left="2380"/>
        <w:spacing w:after="0" w:line="253" w:lineRule="auto"/>
        <w:rPr>
          <w:sz w:val="20"/>
          <w:szCs w:val="20"/>
          <w:color w:val="auto"/>
        </w:rPr>
      </w:pPr>
      <w:r>
        <w:rPr>
          <w:rFonts w:ascii="Times New Roman" w:cs="Times New Roman" w:eastAsia="Times New Roman" w:hAnsi="Times New Roman"/>
          <w:sz w:val="20"/>
          <w:szCs w:val="20"/>
          <w:color w:val="auto"/>
        </w:rPr>
        <w:t xml:space="preserve">(IV)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I-1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originals of IRS Form W-8BEN or W-8BEN-E, as applicable, or</w:t>
      </w:r>
    </w:p>
    <w:p>
      <w:pPr>
        <w:spacing w:after="0" w:line="192" w:lineRule="exact"/>
        <w:rPr>
          <w:sz w:val="20"/>
          <w:szCs w:val="20"/>
          <w:color w:val="auto"/>
        </w:rPr>
      </w:pPr>
    </w:p>
    <w:p>
      <w:pPr>
        <w:jc w:val="both"/>
        <w:ind w:left="2380"/>
        <w:spacing w:after="0" w:line="253" w:lineRule="auto"/>
        <w:tabs>
          <w:tab w:leader="none" w:pos="2901"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Times New Roman" w:cs="Times New Roman" w:eastAsia="Times New Roman" w:hAnsi="Times New Roman"/>
          <w:sz w:val="20"/>
          <w:szCs w:val="20"/>
          <w:u w:val="single" w:color="auto"/>
          <w:color w:val="auto"/>
        </w:rPr>
        <w:t>Exhibit 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I-3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I-4</w:t>
      </w:r>
      <w:r>
        <w:rPr>
          <w:rFonts w:ascii="Times New Roman" w:cs="Times New Roman" w:eastAsia="Times New Roman" w:hAnsi="Times New Roman"/>
          <w:sz w:val="20"/>
          <w:szCs w:val="20"/>
          <w:color w:val="auto"/>
        </w:rPr>
        <w:t xml:space="preserve"> on behalf of each such direct and indirect partner.</w:t>
      </w:r>
    </w:p>
    <w:p>
      <w:pPr>
        <w:spacing w:after="0" w:line="206" w:lineRule="exact"/>
        <w:rPr>
          <w:rFonts w:ascii="Times New Roman" w:cs="Times New Roman" w:eastAsia="Times New Roman" w:hAnsi="Times New Roman"/>
          <w:sz w:val="20"/>
          <w:szCs w:val="20"/>
          <w:color w:val="auto"/>
        </w:rPr>
      </w:pPr>
    </w:p>
    <w:p>
      <w:pPr>
        <w:jc w:val="both"/>
        <w:ind w:left="1080" w:firstLine="652"/>
        <w:spacing w:after="0" w:line="249" w:lineRule="auto"/>
        <w:tabs>
          <w:tab w:leader="none" w:pos="2367"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or the Administrative Agent), executed copies of any additional forms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209" w:lineRule="exact"/>
        <w:rPr>
          <w:rFonts w:ascii="Times New Roman" w:cs="Times New Roman" w:eastAsia="Times New Roman" w:hAnsi="Times New Roman"/>
          <w:sz w:val="22"/>
          <w:szCs w:val="22"/>
          <w:color w:val="auto"/>
        </w:rPr>
      </w:pPr>
    </w:p>
    <w:p>
      <w:pPr>
        <w:jc w:val="both"/>
        <w:ind w:left="1080" w:firstLine="652"/>
        <w:spacing w:after="0" w:line="247" w:lineRule="auto"/>
        <w:tabs>
          <w:tab w:leader="none" w:pos="236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Toro and the Administrative Agent at the time or times prescribed by law and at such time or times reasonably requested by Toro or the Administrative Agent such documentation prescribed by Applicable Law (including as prescribed by Section 1471(b)(3)(C)</w:t>
      </w:r>
    </w:p>
    <w:p>
      <w:pPr>
        <w:spacing w:after="0" w:line="2" w:lineRule="exact"/>
        <w:rPr>
          <w:rFonts w:ascii="Times New Roman" w:cs="Times New Roman" w:eastAsia="Times New Roman" w:hAnsi="Times New Roman"/>
          <w:sz w:val="22"/>
          <w:szCs w:val="22"/>
          <w:color w:val="auto"/>
        </w:rPr>
      </w:pPr>
    </w:p>
    <w:p>
      <w:pPr>
        <w:ind w:left="1340" w:hanging="256"/>
        <w:spacing w:after="0"/>
        <w:tabs>
          <w:tab w:leader="none" w:pos="13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and such additional documentation reasonably requested by Toro or the Administrative Agent as may be</w:t>
      </w:r>
    </w:p>
    <w:p>
      <w:pPr>
        <w:spacing w:after="0" w:line="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necessary for such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020"/>
          </w:cols>
          <w:pgMar w:left="540" w:top="1413" w:right="339" w:bottom="1440" w:gutter="0" w:footer="0" w:header="0"/>
        </w:sectPr>
      </w:pPr>
    </w:p>
    <w:bookmarkStart w:id="86" w:name="page87"/>
    <w:bookmarkEnd w:id="86"/>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 xml:space="preserve">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81" w:lineRule="exact"/>
        <w:rPr>
          <w:sz w:val="20"/>
          <w:szCs w:val="20"/>
          <w:color w:val="auto"/>
        </w:rPr>
      </w:pPr>
    </w:p>
    <w:p>
      <w:pPr>
        <w:jc w:val="both"/>
        <w:ind w:left="660" w:firstLine="644"/>
        <w:spacing w:after="0" w:line="261" w:lineRule="auto"/>
        <w:tabs>
          <w:tab w:leader="none" w:pos="1956"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Toro and the Administrative Agent in writing of its legal inability to do so.</w:t>
      </w:r>
    </w:p>
    <w:p>
      <w:pPr>
        <w:spacing w:after="0" w:line="18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“Applicable Law” includes FATCA.</w:t>
      </w: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III.2 Illegality</w:t>
      </w:r>
      <w:r>
        <w:rPr>
          <w:rFonts w:ascii="Times New Roman" w:cs="Times New Roman" w:eastAsia="Times New Roman" w:hAnsi="Times New Roman"/>
          <w:sz w:val="20"/>
          <w:szCs w:val="20"/>
          <w:color w:val="auto"/>
        </w:rPr>
        <w:t>. If any Lender determines that any Law has made it unlawful, or that any Governmental Authority has asserted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is unlawful, for any Lender or its applicable Lending Office to make, maintain or fund Loans whose interest is determined by reference to a Relevant Rate, SOFR or Term SOFR, or to determine or charge interest rates based upon a Relevant Rate, SOFR or Term SOFR (including in regards to the Base Rate), or any Governmental Authority has imposed material restrictions on the authority of such Lender to purchase or sell, or to take deposits of, Dollars or any Alternative Currency in the applicable interbank market, then, upon notice thereof by such Lender to Toro through the Administrative Agent, (i) any obligation of such Lender to make or maintain Alternative Currency Loans in the affected currency or currencies or, in the case of Loans denominated in Dollars, to make or maintain Term SOFR Loans or convert Base Rate Loans to Term SOFR Loans, shall be suspended, and (ii) if such notice asserts the illegality of such Lender making or maintaining Base Rate Loans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Toro that the circumstances giving rise to such determination no longer exist. Upon receipt of such notice, (x) the Borrowers shall, upon demand from such Lender (with a copy to the Administrative Agent), prepay all Term SOFR Loans or Alternative Currency Loans, as applicable, in the affected currency or currencies or, if applicable and such Loans are denominated in Dollars, convert all such Term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Term Rate Loans, on the last day of the Interest Period therefor if such Lender may lawfully continue to maintain such Alternative Currency Term Rate Loans to such day and (y)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III.3</w:t>
        <w:tab/>
        <w:t>Inability to Determine Rates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50" w:lineRule="auto"/>
        <w:tabs>
          <w:tab w:leader="none" w:pos="128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or a conversion of Base Rate Loans to Term SOFR Loans or a continuation of Term SOFR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of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Base Rate Loan, or (ii) the Administrative Agent or the Required Lenders determine that, for any reason, the Relevant Rate with respect to a proposed Loan denominated in an Agreed Currency for any requested Interest Period or determination date(s) does not adequately and fairly reflect the cost to such Lenders of funding such Loan, the Administrative Agent will promptly so notify Toro and each Lender.</w:t>
      </w:r>
    </w:p>
    <w:p>
      <w:pPr>
        <w:spacing w:after="0" w:line="18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Thereafter, (x) the obligation of the Lenders to make or maintain Loans in the affected currencies, as applicable, or to convert Base Rate Loans to Term SOFR Loans, shall be suspended (to the extent of the affected Loans,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Administrative Agent upon the instruction of the Required Lenders) revokes such notice.</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Upon receipt of such notice, (i) Toro may revoke any pending request for a Borrowing of, continuation of or conversion to Term SOFR Loans, or Borrowing of, or continuation of Alternative Currency Loans to the extent of the affected Loans or Interest Period or determination date(s),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applicable or, failing that, will be deemed to have converted such request into a request for a Borrowing of Base Rate Loans denominated in Dollars in the Dollar Equivalent of the amount specified therein and (ii) (A) any outstanding Term SOFR Loans or Alternative Currency Loans, at Toro’s election, shall either (1) be converted into a Borrowing of Base Rate Loans denominated in Dollars in the Dollar Equivalent of the amount of such outstanding Loan immediately, in the case of an Alternative Currency Daily Rate Loan or at the end of the applicable Interest Period, in the case of an Alternative Currency Term Rate Loan or Term SOFR Loan or (2) be prepaid in full immediately, in the case of an Alternative Currency Daily Rate Loan, or at the end of the applicable Interest Period, in the case of an Alternative Currency Term Rate Loan or Term SOFR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Toro (x) in the case of an Alternative Currency Daily Rate Loan, by the date that is three Business Days after receipt by Toro of such notice or (y) in the case of an Alternative Currency Term Rate Loan or Term SOFR Loan, by the last day of the current Interest Period for the applicable Loan, Toro shall be deemed to have elected </w:t>
      </w:r>
      <w:r>
        <w:rPr>
          <w:rFonts w:ascii="Times New Roman" w:cs="Times New Roman" w:eastAsia="Times New Roman" w:hAnsi="Times New Roman"/>
          <w:sz w:val="19"/>
          <w:szCs w:val="19"/>
          <w:u w:val="single" w:color="auto"/>
          <w:color w:val="auto"/>
        </w:rPr>
        <w:t>clause (1)</w:t>
      </w:r>
      <w:r>
        <w:rPr>
          <w:rFonts w:ascii="Times New Roman" w:cs="Times New Roman" w:eastAsia="Times New Roman" w:hAnsi="Times New Roman"/>
          <w:sz w:val="19"/>
          <w:szCs w:val="19"/>
          <w:color w:val="auto"/>
        </w:rPr>
        <w:t xml:space="preserve"> above.</w:t>
      </w:r>
    </w:p>
    <w:p>
      <w:pPr>
        <w:spacing w:after="0" w:line="170" w:lineRule="exact"/>
        <w:rPr>
          <w:sz w:val="20"/>
          <w:szCs w:val="20"/>
          <w:color w:val="auto"/>
        </w:rPr>
      </w:pPr>
    </w:p>
    <w:p>
      <w:pPr>
        <w:jc w:val="both"/>
        <w:ind w:firstLine="656"/>
        <w:spacing w:after="0" w:line="258"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Term SOFR or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Toro or Required Lenders notify the Administrative Agent (with, in the case of the Required Lenders, a copy to Toro) that Toro or Required Lenders (as applicable) have determined, that: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(1) month and three (3) month interest periods of Term SOFR, including, without limitation, because the Term SOFR Screen Rate is not available or published on a current basis and such circumstances are unlikely to be temporary; or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5"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then, on a date and time determined by the Administrative Agent, which date shall be at the end of an Interest Period or on the relevant interest payment date, as applicable, for interest calculated and, solely with respect to clause (ii) above, no later than the SOFR Scheduled Unavailability Date, Term SOFR will be replaced hereunder and under any Loan Document with Daily Simple SOFR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9"/>
          <w:szCs w:val="19"/>
          <w:u w:val="single" w:color="auto"/>
          <w:color w:val="auto"/>
        </w:rPr>
        <w:t>SOFR Successor Rate”)</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If the SOFR Successor Rate is Daily Simple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SOFR Adjustment, all interest payments will be payable on a monthly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13" w:right="339" w:bottom="1440" w:gutter="0" w:footer="0" w:header="0"/>
        </w:sectPr>
      </w:pPr>
    </w:p>
    <w:bookmarkStart w:id="89" w:name="page90"/>
    <w:bookmarkEnd w:id="89"/>
    <w:p>
      <w:pPr>
        <w:jc w:val="both"/>
        <w:ind w:firstLine="656"/>
        <w:spacing w:after="0" w:line="258" w:lineRule="auto"/>
        <w:tabs>
          <w:tab w:leader="none" w:pos="114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Relevant Rate or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Toro or the Required Lenders notify the Administrative Agent (with, in the case of the Required Lenders, a copy to Toro) that Toro or the Required Lenders (as applicable) have determined, that: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5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(other than SOFR) for an Agreed Currency (other than Dollars) because none of the tenors of such Relevant Rate (other than SOFR) under this Agreement is available or published on a current basis, and such circumstances are unlikely to be temporary; or</w:t>
      </w:r>
    </w:p>
    <w:p>
      <w:pPr>
        <w:spacing w:after="0" w:line="161" w:lineRule="exact"/>
        <w:rPr>
          <w:sz w:val="20"/>
          <w:szCs w:val="20"/>
          <w:color w:val="auto"/>
        </w:rPr>
      </w:pPr>
    </w:p>
    <w:p>
      <w:pPr>
        <w:jc w:val="both"/>
        <w:ind w:left="660" w:firstLine="644"/>
        <w:spacing w:after="0" w:line="251" w:lineRule="auto"/>
        <w:tabs>
          <w:tab w:leader="none" w:pos="194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Authority has made a public statement identifying a specific date after which all tenors of the Relevant Rate (other than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Rate then in effect, then, the Administrative Agent and Toro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(and any such proposed rate, including for the avoidance of doubt, any adjustment thereto, a “</w:t>
      </w:r>
      <w:r>
        <w:rPr>
          <w:rFonts w:ascii="Times New Roman" w:cs="Times New Roman" w:eastAsia="Times New Roman" w:hAnsi="Times New Roman"/>
          <w:sz w:val="20"/>
          <w:szCs w:val="20"/>
          <w:u w:val="single" w:color="auto"/>
          <w:color w:val="auto"/>
        </w:rPr>
        <w:t>Non-SOFR Successor Rate</w:t>
      </w:r>
      <w:r>
        <w:rPr>
          <w:rFonts w:ascii="Times New Roman" w:cs="Times New Roman" w:eastAsia="Times New Roman" w:hAnsi="Times New Roman"/>
          <w:sz w:val="20"/>
          <w:szCs w:val="20"/>
          <w:color w:val="auto"/>
        </w:rPr>
        <w:t>”, and collectively with the SOFR Successor Rate, each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and Toro unless, prior to such time, Lenders comprising the Required Lenders have delivered to the Administrative Agent written notice that such Required Lenders object to such amendment.</w:t>
      </w:r>
    </w:p>
    <w:p>
      <w:pPr>
        <w:spacing w:after="0" w:line="186" w:lineRule="exact"/>
        <w:rPr>
          <w:sz w:val="20"/>
          <w:szCs w:val="20"/>
          <w:color w:val="auto"/>
        </w:rPr>
      </w:pPr>
    </w:p>
    <w:p>
      <w:pPr>
        <w:ind w:right="20" w:firstLine="656"/>
        <w:spacing w:after="0" w:line="283" w:lineRule="auto"/>
        <w:tabs>
          <w:tab w:leader="none" w:pos="122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The Administrative Agent will promptly (in one or more notices) notify Toro and each Lender of the implementation of any Successor Rate.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90" w:name="page91"/>
    <w:bookmarkEnd w:id="90"/>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percent, the Successor Rate will be deemed to be zero percent for the purposes of this Agreement and the other Loan Documents.</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Toro and the Lenders reasonably promptly after such amendment becomes effective.</w:t>
      </w:r>
    </w:p>
    <w:p>
      <w:pPr>
        <w:spacing w:after="0" w:line="173" w:lineRule="exact"/>
        <w:rPr>
          <w:sz w:val="20"/>
          <w:szCs w:val="20"/>
          <w:color w:val="auto"/>
        </w:rPr>
      </w:pPr>
    </w:p>
    <w:p>
      <w:pPr>
        <w:ind w:firstLine="656"/>
        <w:spacing w:after="0" w:line="283" w:lineRule="auto"/>
        <w:tabs>
          <w:tab w:leader="none" w:pos="106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those Lenders that either have not made, or do not have an obligation under this Agreement to make, the relevant Loans in the relevant Alternative Currency shall be excluded from any determination of Required Lenders.</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III.4</w:t>
        <w:tab/>
        <w:t>Increased Costs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5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6"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the interbank market any other condition, cost or expense affecting this Agreement or Term SOFR Loans or Alternative Currency Term Rate Loans made by such Lender or any Letter of Credit or participation therein;</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Toro will pay (or cause the applicable Subsidiary Borrower to pay) to such Lender or the L/C Issuer, as the case may be, such additional amount or amounts as will compensate such Lender or the L/C Issuer, as the case may be, for such additional costs incurred or reduction suffered.</w:t>
      </w:r>
    </w:p>
    <w:p>
      <w:pPr>
        <w:spacing w:after="0" w:line="193" w:lineRule="exact"/>
        <w:rPr>
          <w:sz w:val="20"/>
          <w:szCs w:val="20"/>
          <w:color w:val="auto"/>
        </w:rPr>
      </w:pPr>
    </w:p>
    <w:p>
      <w:pPr>
        <w:jc w:val="both"/>
        <w:ind w:firstLine="656"/>
        <w:spacing w:after="0" w:line="253"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20"/>
          <w:szCs w:val="20"/>
          <w:color w:val="auto"/>
        </w:rPr>
        <w:t>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Toro will pay (or cause the applicable Subsidiary Borrower to pay) to such Lender or the L/C Issuer, as the case may be, such additional amount or amounts as will compensate such Lender or the L/C Issuer or such Lender’s or the L/C Issuer’s holding company for any such reduction suffered.</w:t>
      </w:r>
    </w:p>
    <w:p>
      <w:pPr>
        <w:spacing w:after="0" w:line="192" w:lineRule="exact"/>
        <w:rPr>
          <w:sz w:val="20"/>
          <w:szCs w:val="20"/>
          <w:color w:val="auto"/>
        </w:rPr>
      </w:pPr>
    </w:p>
    <w:p>
      <w:pPr>
        <w:jc w:val="both"/>
        <w:ind w:firstLine="656"/>
        <w:spacing w:after="0" w:line="253" w:lineRule="auto"/>
        <w:tabs>
          <w:tab w:leader="none" w:pos="128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the L/C Issuer setting forth the amount or amounts necessary to compensate such Lender or the L/C Issuer or its holding company as the case may be, and setting forth the basis for the determination thereof, as specified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and delivered to Toro shall be conclusive absent manifest error. Toro shall pay (or cause the applicable Subsidiary Borrower to pay) such Lender or the L/C Issuer, as the case may be, the amount shown as due on any such certificate within 30 days after receipt thereof.</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Toro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rFonts w:ascii="Times New Roman" w:cs="Times New Roman" w:eastAsia="Times New Roman" w:hAnsi="Times New Roman"/>
          <w:sz w:val="20"/>
          <w:szCs w:val="20"/>
          <w:color w:val="auto"/>
        </w:rPr>
      </w:pPr>
    </w:p>
    <w:p>
      <w:pPr>
        <w:jc w:val="both"/>
        <w:ind w:firstLine="656"/>
        <w:spacing w:after="0" w:line="281" w:lineRule="auto"/>
        <w:tabs>
          <w:tab w:leader="none" w:pos="128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Consistent Treatment</w:t>
      </w:r>
      <w:r>
        <w:rPr>
          <w:rFonts w:ascii="Times New Roman" w:cs="Times New Roman" w:eastAsia="Times New Roman" w:hAnsi="Times New Roman"/>
          <w:sz w:val="19"/>
          <w:szCs w:val="19"/>
          <w:color w:val="auto"/>
        </w:rPr>
        <w:t xml:space="preserve">. Notwithstanding anything in this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to the contrary, no Lender shall receive compensation pursuant to this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unless such Lender certifies that it is generally seeking compensation from other borrowers in the United States loan market with respect to similarly affected loans under agreements with such borrowers having provisions similar to this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III.5 Compensation for Losses</w:t>
      </w:r>
      <w:r>
        <w:rPr>
          <w:rFonts w:ascii="Times New Roman" w:cs="Times New Roman" w:eastAsia="Times New Roman" w:hAnsi="Times New Roman"/>
          <w:sz w:val="20"/>
          <w:szCs w:val="20"/>
          <w:color w:val="auto"/>
        </w:rPr>
        <w:t>. Upon demand of any Lender (with a copy to the Administrative Agent) from time to time, Toro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promptly compensate (or cause the applicable Subsidiary Borrower to compensate) such Lender for and hold such Lender harmless from any loss, cost or expense incurred by it as a result of:</w:t>
      </w:r>
    </w:p>
    <w:p>
      <w:pPr>
        <w:spacing w:after="0" w:line="179" w:lineRule="exact"/>
        <w:rPr>
          <w:sz w:val="20"/>
          <w:szCs w:val="20"/>
          <w:color w:val="auto"/>
        </w:rPr>
      </w:pPr>
    </w:p>
    <w:p>
      <w:pPr>
        <w:jc w:val="both"/>
        <w:ind w:firstLine="656"/>
        <w:spacing w:after="0" w:line="261"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any Interest Period, relevant interest payment date or payment period, as applicable, for such Loan, if applicable (whether voluntary, mandatory, automatic, by reason of acceleration, or otherwise);</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(for a reason other than the failure of such Lender to make a Loan) to prepay, borrow, continue or convert any Loan other than a Base Rate Loan on the date or in the amount notified by Toro;</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92" w:name="page93"/>
    <w:bookmarkEnd w:id="92"/>
    <w:p>
      <w:pPr>
        <w:ind w:firstLine="656"/>
        <w:spacing w:after="0" w:line="283" w:lineRule="auto"/>
        <w:tabs>
          <w:tab w:leader="none" w:pos="12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or Alternative Currency Term Rate Loans on a day other than the last day of the Interest Period therefor as a result of a request by Toro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Toro shall also pay (or cause the applicable Subsidiary Borrower to pay) any customary administrative fees charged by such Lender in connection with the foregoing.</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Borrowers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Lender shall be deemed to have funded each Alternative Currency Term Rate Loan made by it at the Relevant Rate for such Loan by a matching deposit or other borrowing in the offshore interbank market for such currency for a comparable amount and for a comparable period, whether or not such Alternative Currency Term Rate Loan was in fact so funded.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III.6</w:t>
        <w:tab/>
        <w:t>Mitigation Obligations; Replacement of Lenders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49"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Each Lender may make any Credit Extension to a Borrower through any Lending Office,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exercise of this option shall not affect the obligation of such Borrower to repay the Credit Extension in accordance with the terms of this Agreement.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any Borrower is required to pay any Indemnified Taxes or additional amount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Toro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Toro hereby agrees to pay (or cause the applicable Borrower to pay) all reasonable costs and expenses incurred by any Lender or the L/C Issuer in connection with any such designation or assignment.</w:t>
      </w:r>
    </w:p>
    <w:p>
      <w:pPr>
        <w:spacing w:after="0" w:line="20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any Borrower is required to pay any Indemnified Taxes or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Toro may replace such Lender in accordance with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III.7 Survival</w:t>
      </w:r>
      <w:r>
        <w:rPr>
          <w:rFonts w:ascii="Times New Roman" w:cs="Times New Roman" w:eastAsia="Times New Roman" w:hAnsi="Times New Roman"/>
          <w:sz w:val="20"/>
          <w:szCs w:val="20"/>
          <w:color w:val="auto"/>
        </w:rPr>
        <w:t>. All of the Borrowers’ obligations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termination of the Aggregate Commitments,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repayment of all other Obligations hereunder and resignation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93" w:name="page94"/>
    <w:bookmarkEnd w:id="93"/>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196"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IV.1 Conditions of Initial Credit Extension</w:t>
      </w:r>
      <w:r>
        <w:rPr>
          <w:rFonts w:ascii="Times New Roman" w:cs="Times New Roman" w:eastAsia="Times New Roman" w:hAnsi="Times New Roman"/>
          <w:sz w:val="20"/>
          <w:szCs w:val="20"/>
          <w:color w:val="auto"/>
        </w:rPr>
        <w:t>. The obligation of the L/C Issuer and each Lender to make its initial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 hereunder is subject to satisfaction of the following conditions precedent:</w:t>
      </w:r>
    </w:p>
    <w:p>
      <w:pPr>
        <w:spacing w:after="0" w:line="142" w:lineRule="exact"/>
        <w:rPr>
          <w:sz w:val="20"/>
          <w:szCs w:val="20"/>
          <w:color w:val="auto"/>
        </w:rPr>
      </w:pPr>
    </w:p>
    <w:p>
      <w:pPr>
        <w:jc w:val="both"/>
        <w:ind w:firstLine="656"/>
        <w:spacing w:after="0" w:line="258" w:lineRule="auto"/>
        <w:tabs>
          <w:tab w:leader="none" w:pos="128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the following, each of which shall be originals, telecopies or copies sent by electronic transmission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8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executed by the Borrowers in favor of each Lender requesting Notes;</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including with respect to Toro Luxembourg (a) a copy of the resolutions of the board of managers (</w:t>
      </w:r>
      <w:r>
        <w:rPr>
          <w:rFonts w:ascii="Times New Roman" w:cs="Times New Roman" w:eastAsia="Times New Roman" w:hAnsi="Times New Roman"/>
          <w:sz w:val="20"/>
          <w:szCs w:val="20"/>
          <w:i w:val="1"/>
          <w:iCs w:val="1"/>
          <w:color w:val="auto"/>
        </w:rPr>
        <w:t>conseil de gérance</w:t>
      </w:r>
      <w:r>
        <w:rPr>
          <w:rFonts w:ascii="Times New Roman" w:cs="Times New Roman" w:eastAsia="Times New Roman" w:hAnsi="Times New Roman"/>
          <w:sz w:val="20"/>
          <w:szCs w:val="20"/>
          <w:color w:val="auto"/>
        </w:rPr>
        <w:t>) approving and authorizing, amongst others, the execution, delivery and performance of each Loan Document to which it is a party, and (b) specimen signatures of the managers and officers of Toro Luxembourg executing the Loan Documents to which it is a party;</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45"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that each of the Borrowers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 including with respect to Toro Luxembourg (a) a copy of the deed of incorporation of the Company, (b) a copy of the latest coordinated articles of association (</w:t>
      </w:r>
      <w:r>
        <w:rPr>
          <w:rFonts w:ascii="Times New Roman" w:cs="Times New Roman" w:eastAsia="Times New Roman" w:hAnsi="Times New Roman"/>
          <w:sz w:val="20"/>
          <w:szCs w:val="20"/>
          <w:i w:val="1"/>
          <w:iCs w:val="1"/>
          <w:color w:val="auto"/>
        </w:rPr>
        <w:t>statuts coordonnés</w:t>
      </w:r>
      <w:r>
        <w:rPr>
          <w:rFonts w:ascii="Times New Roman" w:cs="Times New Roman" w:eastAsia="Times New Roman" w:hAnsi="Times New Roman"/>
          <w:sz w:val="20"/>
          <w:szCs w:val="20"/>
          <w:color w:val="auto"/>
        </w:rPr>
        <w:t>), (c) an electronic copy of an excerpt (</w:t>
      </w:r>
      <w:r>
        <w:rPr>
          <w:rFonts w:ascii="Times New Roman" w:cs="Times New Roman" w:eastAsia="Times New Roman" w:hAnsi="Times New Roman"/>
          <w:sz w:val="20"/>
          <w:szCs w:val="20"/>
          <w:i w:val="1"/>
          <w:iCs w:val="1"/>
          <w:color w:val="auto"/>
        </w:rPr>
        <w:t>extrait</w:t>
      </w:r>
      <w:r>
        <w:rPr>
          <w:rFonts w:ascii="Times New Roman" w:cs="Times New Roman" w:eastAsia="Times New Roman" w:hAnsi="Times New Roman"/>
          <w:sz w:val="20"/>
          <w:szCs w:val="20"/>
          <w:color w:val="auto"/>
        </w:rPr>
        <w:t>) issued by the Luxembourg Register of Commerce and Companies dated as of the date hereof, and (d) an electronic copy of a certificate of non-registration of a judicial decision or administrative dissolution without liquidation (</w:t>
      </w:r>
      <w:r>
        <w:rPr>
          <w:rFonts w:ascii="Times New Roman" w:cs="Times New Roman" w:eastAsia="Times New Roman" w:hAnsi="Times New Roman"/>
          <w:sz w:val="20"/>
          <w:szCs w:val="20"/>
          <w:i w:val="1"/>
          <w:iCs w:val="1"/>
          <w:color w:val="auto"/>
        </w:rPr>
        <w:t>décision de non-inscription d’une décision judiciaire ou de dissolution 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sans liquidation</w:t>
      </w:r>
      <w:r>
        <w:rPr>
          <w:rFonts w:ascii="Times New Roman" w:cs="Times New Roman" w:eastAsia="Times New Roman" w:hAnsi="Times New Roman"/>
          <w:sz w:val="20"/>
          <w:szCs w:val="20"/>
          <w:color w:val="auto"/>
        </w:rPr>
        <w:t>) issued by the Luxembourg Insolvency Register (Reginsol,</w:t>
      </w:r>
      <w:r>
        <w:rPr>
          <w:rFonts w:ascii="Times New Roman" w:cs="Times New Roman" w:eastAsia="Times New Roman" w:hAnsi="Times New Roman"/>
          <w:sz w:val="20"/>
          <w:szCs w:val="20"/>
          <w:i w:val="1"/>
          <w:iCs w:val="1"/>
          <w:color w:val="auto"/>
        </w:rPr>
        <w:t xml:space="preserve"> Registre de l’Insolvabilité</w:t>
      </w:r>
      <w:r>
        <w:rPr>
          <w:rFonts w:ascii="Times New Roman" w:cs="Times New Roman" w:eastAsia="Times New Roman" w:hAnsi="Times New Roman"/>
          <w:sz w:val="20"/>
          <w:szCs w:val="20"/>
          <w:color w:val="auto"/>
        </w:rPr>
        <w:t>) held by the Luxembourg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 of Commerce and Companies dated as of the date hereof;</w:t>
      </w:r>
    </w:p>
    <w:p>
      <w:pPr>
        <w:spacing w:after="0" w:line="19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financial information relating to the Borrowers and their Subsidiaries as the Administrative Agent may request;</w:t>
      </w:r>
    </w:p>
    <w:p>
      <w:pPr>
        <w:spacing w:after="0" w:line="240"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945"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favorable opinion of Fox Rothschild LLP, counsel to the Loan Parties, and WvT Luxembourg S.à r.l., counsel to Toro Luxembourg, addressed to the Administrative Agent and each Lender, substantially in the forms attached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as otherwise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94" w:name="page95"/>
    <w:bookmarkEnd w:id="94"/>
    <w:p>
      <w:pPr>
        <w:jc w:val="both"/>
        <w:ind w:left="660" w:firstLine="644"/>
        <w:spacing w:after="0" w:line="258" w:lineRule="auto"/>
        <w:tabs>
          <w:tab w:leader="none" w:pos="1945"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7"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Toro certifying (A)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(B) that there has been no event or circumstance since the date of the Audited Financial Statements that has resulted or could reasonably be expected to result in, either individually or in the aggregate, a Material Adverse Effect; (C) there does not exist any pending or threatened action, suit, investigation or proceeding in any court or before any arbitrator or Governmental Authority that (x) would, if determined adversely to Toro or any Subsidiary, materially and adversely affect Toro or Toro and its Subsidiaries, taken as a whole, or (y) purports to affect any transaction contemplated under this Agreement or any Loan Document or the ability of any Borrower to perform its respective obligations under this Agreement or any Loan Document; and (D) the current Debt Ratings;</w:t>
      </w:r>
    </w:p>
    <w:p>
      <w:pPr>
        <w:spacing w:after="0" w:line="18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completed Compliance Certificate as of August 2, 2024, signed by a Responsible Officer of Toro;</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4"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upon the reasonable request of any Lender made at least ten days prior to the Closing Date, the Borrowers shall have provided to such Lender the documentation and other information so requested in connection with applicable “know your customer” and anti-money-laundering rules and regulations, including the Act, in each case at least two days prior to the Closing Date; and</w:t>
      </w:r>
    </w:p>
    <w:p>
      <w:pPr>
        <w:spacing w:after="0" w:line="172" w:lineRule="exact"/>
        <w:rPr>
          <w:rFonts w:ascii="Times New Roman" w:cs="Times New Roman" w:eastAsia="Times New Roman" w:hAnsi="Times New Roman"/>
          <w:sz w:val="20"/>
          <w:szCs w:val="20"/>
          <w:color w:val="auto"/>
        </w:rPr>
      </w:pPr>
    </w:p>
    <w:p>
      <w:pPr>
        <w:jc w:val="both"/>
        <w:ind w:left="1960" w:hanging="8"/>
        <w:spacing w:after="0" w:line="261" w:lineRule="auto"/>
        <w:tabs>
          <w:tab w:leader="none" w:pos="2454"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days prior to the Closing Date, any Borrower that qualifies as a “legal entity customer” under the Beneficial Ownership Regulation shall deliver a Beneficial Ownership Certification in relation to such Borrower; and</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45"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assurances, certificates, documents, consents or opinions as the Administrative Agent, the L/C Issuer, the Swing Line Lender or the Required Lenders reasonably may require.</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required to be paid on or before the Closing Date shall have been paid.</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waived by the Administrative Agent, Toro shall have paid all fees, charges and disbursements of counsel (directly to such counsel if requested by the Administrative Agent)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Toro and the Administrative Agent).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IV.2 Conditions to all Credit Extensions</w:t>
      </w:r>
      <w:r>
        <w:rPr>
          <w:rFonts w:ascii="Times New Roman" w:cs="Times New Roman" w:eastAsia="Times New Roman" w:hAnsi="Times New Roman"/>
          <w:sz w:val="20"/>
          <w:szCs w:val="20"/>
          <w:color w:val="auto"/>
        </w:rPr>
        <w:t>. The obligation of each Lender to honor any Request for Credit Extension (other than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Notice requesting only a conversion of Loans to the other Type, or a continuation of Term SOFR Loans or Alternative Currency Term Rate Loans) is subject to the following conditions precedent:</w:t>
      </w:r>
    </w:p>
    <w:p>
      <w:pPr>
        <w:spacing w:after="0" w:line="179" w:lineRule="exact"/>
        <w:rPr>
          <w:sz w:val="20"/>
          <w:szCs w:val="20"/>
          <w:color w:val="auto"/>
        </w:rPr>
      </w:pPr>
    </w:p>
    <w:p>
      <w:pPr>
        <w:jc w:val="both"/>
        <w:ind w:firstLine="656"/>
        <w:spacing w:after="0" w:line="251" w:lineRule="auto"/>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(i) the Borrowers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(ii) each Loan Party contained in each other Loan Document or in any document furnished at any time under or in connection herewith or therewith, shall be true and correct in all material respects on and as of the date of such Credit Extension,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shall be true and correct as of such earlier date, and (y)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excluding, after the Closing Date, the representation and warranty set forth in </w:t>
      </w:r>
      <w:r>
        <w:rPr>
          <w:rFonts w:ascii="Times New Roman" w:cs="Times New Roman" w:eastAsia="Times New Roman" w:hAnsi="Times New Roman"/>
          <w:sz w:val="20"/>
          <w:szCs w:val="20"/>
          <w:u w:val="single" w:color="auto"/>
          <w:color w:val="auto"/>
        </w:rPr>
        <w:t>Section 5.22</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the application of the proceeds thereof.</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L/C Issuer or the Swing Line Lender shall have received a Request for Credit Extension in accordance with the requirements hereof.</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7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Each Request for Credit Extension (other than a Loan Notice requesting only a conversion of Loans to the other Type or a continuation of Term SOFR Loans or Alternative Currency Term Rate Loans) submitted by Toro shall be deemed to be a representation and warranty that the conditions specified in </w:t>
      </w:r>
      <w:r>
        <w:rPr>
          <w:rFonts w:ascii="Times New Roman" w:cs="Times New Roman" w:eastAsia="Times New Roman" w:hAnsi="Times New Roman"/>
          <w:sz w:val="19"/>
          <w:szCs w:val="19"/>
          <w:u w:val="single" w:color="auto"/>
          <w:color w:val="auto"/>
        </w:rPr>
        <w:t>Sections 4.02(a)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have been satisfied on and as of the date of the applicable Credit Extension.</w:t>
      </w:r>
    </w:p>
    <w:p>
      <w:pPr>
        <w:spacing w:after="0" w:line="2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each Borrower represents and warrants to the Administrative Agent and the Lenders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V.1 Existence, Qualification and Power</w:t>
      </w:r>
      <w:r>
        <w:rPr>
          <w:rFonts w:ascii="Times New Roman" w:cs="Times New Roman" w:eastAsia="Times New Roman" w:hAnsi="Times New Roman"/>
          <w:sz w:val="20"/>
          <w:szCs w:val="20"/>
          <w:color w:val="auto"/>
        </w:rPr>
        <w:t>. Each Loan Party and each Subsidiary thereof (a) is duly organized or formed, validly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existing and in good 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with respect to Subsidiaries other than a Loan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09" w:right="339" w:bottom="1440" w:gutter="0" w:footer="0" w:header="0"/>
        </w:sectPr>
      </w:pPr>
    </w:p>
    <w:bookmarkStart w:id="96" w:name="page97"/>
    <w:bookmarkEnd w:id="96"/>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a Material Subsidiary, and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 No Borrower is an Affected Financial Institution.</w:t>
      </w:r>
    </w:p>
    <w:p>
      <w:pPr>
        <w:spacing w:after="0" w:line="14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V.2 Authorization; No Contravention</w:t>
      </w:r>
      <w:r>
        <w:rPr>
          <w:rFonts w:ascii="Times New Roman" w:cs="Times New Roman" w:eastAsia="Times New Roman" w:hAnsi="Times New Roman"/>
          <w:sz w:val="20"/>
          <w:szCs w:val="20"/>
          <w:color w:val="auto"/>
        </w:rPr>
        <w:t>. The execution, delivery and performance by each Loan Party of each Loan Document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such Person is party, have been duly authorized by all necessary corporate or other organizational action, and do not and will not</w:t>
      </w:r>
    </w:p>
    <w:p>
      <w:pPr>
        <w:jc w:val="both"/>
        <w:ind w:firstLine="8"/>
        <w:spacing w:after="0" w:line="249" w:lineRule="auto"/>
        <w:tabs>
          <w:tab w:leader="none" w:pos="27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contravene the terms of any of such Person’s Organization Documents; (b) conflict with or result in any breach or contravention of, or the creation of (or the requirement to create)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Each Loan Party and each Subsidiary thereof is in compliance with all Contractual Obligations referred to in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except to the extent that failure to do so could not reasonably be expected to have a Material Adverse Effect.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V.3 Governmental Authorization; Other Consents</w:t>
      </w:r>
      <w:r>
        <w:rPr>
          <w:rFonts w:ascii="Times New Roman" w:cs="Times New Roman" w:eastAsia="Times New Roman" w:hAnsi="Times New Roman"/>
          <w:sz w:val="20"/>
          <w:szCs w:val="20"/>
          <w:color w:val="auto"/>
        </w:rPr>
        <w:t>. No approval, consent, exemption, authorization, or other action by,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to, or filing with, any Governmental Authority or any other Person is necessary or required in connection with the execution, delivery or performance by, or enforcement against, any Loan Party of this Agreement or any other Loan Document.</w:t>
      </w:r>
    </w:p>
    <w:p>
      <w:pPr>
        <w:spacing w:after="0" w:line="1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V.4 Binding Effect</w:t>
      </w:r>
      <w:r>
        <w:rPr>
          <w:rFonts w:ascii="Times New Roman" w:cs="Times New Roman" w:eastAsia="Times New Roman" w:hAnsi="Times New Roman"/>
          <w:sz w:val="20"/>
          <w:szCs w:val="20"/>
          <w:color w:val="auto"/>
        </w:rPr>
        <w:t>. This Agreement has been, and each other Loan Document, when delivered hereunder, will have been,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6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V.5</w:t>
      </w:r>
      <w:r>
        <w:rPr>
          <w:sz w:val="20"/>
          <w:szCs w:val="20"/>
          <w:color w:val="auto"/>
        </w:rPr>
        <w:tab/>
      </w:r>
      <w:r>
        <w:rPr>
          <w:rFonts w:ascii="Times New Roman" w:cs="Times New Roman" w:eastAsia="Times New Roman" w:hAnsi="Times New Roman"/>
          <w:sz w:val="20"/>
          <w:szCs w:val="20"/>
          <w:b w:val="1"/>
          <w:bCs w:val="1"/>
          <w:color w:val="auto"/>
        </w:rPr>
        <w:t>Financial Statements; No Material Adverse Effect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53" w:lineRule="auto"/>
        <w:tabs>
          <w:tab w:leader="none" w:pos="128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 (ii) fairly present the financial condition of Toro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Toro and its Subsidiaries as of the date thereof.</w:t>
      </w:r>
    </w:p>
    <w:p>
      <w:pPr>
        <w:spacing w:after="0" w:line="191" w:lineRule="exact"/>
        <w:rPr>
          <w:rFonts w:ascii="Times New Roman" w:cs="Times New Roman" w:eastAsia="Times New Roman" w:hAnsi="Times New Roman"/>
          <w:sz w:val="20"/>
          <w:szCs w:val="20"/>
          <w:color w:val="auto"/>
        </w:rPr>
      </w:pPr>
    </w:p>
    <w:p>
      <w:pPr>
        <w:jc w:val="both"/>
        <w:ind w:firstLine="656"/>
        <w:spacing w:after="0" w:line="267" w:lineRule="auto"/>
        <w:tabs>
          <w:tab w:leader="none" w:pos="1284"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unaudited consolidated balance sheet of Toro and its Subsidiaries dated August 2, 2024 (including the footnotes thereto), and the related consolidated statements of income or operations, shareholders’ equity and cash flows for the fiscal quarter ended on that date</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24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were prepared in accordance with GAAP consistently applied throughout the period covered thereby, except as otherwise expressly noted therein, and (ii) fairly present the financial condition of Toro and its Subsidiaries as of the date thereof and their results of operations for the period covered thereby.</w:t>
      </w:r>
    </w:p>
    <w:p>
      <w:pPr>
        <w:spacing w:after="0" w:line="188"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V.6 Litigation</w:t>
      </w:r>
      <w:r>
        <w:rPr>
          <w:rFonts w:ascii="Times New Roman" w:cs="Times New Roman" w:eastAsia="Times New Roman" w:hAnsi="Times New Roman"/>
          <w:sz w:val="20"/>
          <w:szCs w:val="20"/>
          <w:color w:val="auto"/>
        </w:rPr>
        <w:t>. There are no actions, suits, proceedings, claims or disputes pending or, to the best knowledge of the Borrowers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due and diligent investigation, threatened or contemplated, at law, in equity, in arbitration or before any Governmental Authority, by or against the Borrowers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Subsidiaries or against any of their properties or revenues that (a) purport to affect or pertain to this Agreement or any other Loan Document, or any of the transactions contemplated hereby, or (b) except as specifically disclosed in </w:t>
      </w:r>
      <w:r>
        <w:rPr>
          <w:rFonts w:ascii="Times New Roman" w:cs="Times New Roman" w:eastAsia="Times New Roman" w:hAnsi="Times New Roman"/>
          <w:sz w:val="20"/>
          <w:szCs w:val="20"/>
          <w:u w:val="single" w:color="auto"/>
          <w:color w:val="auto"/>
        </w:rPr>
        <w:t>Schedule 5.06</w:t>
      </w:r>
      <w:r>
        <w:rPr>
          <w:rFonts w:ascii="Times New Roman" w:cs="Times New Roman" w:eastAsia="Times New Roman" w:hAnsi="Times New Roman"/>
          <w:sz w:val="20"/>
          <w:szCs w:val="20"/>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Times New Roman" w:cs="Times New Roman" w:eastAsia="Times New Roman" w:hAnsi="Times New Roman"/>
          <w:sz w:val="20"/>
          <w:szCs w:val="20"/>
          <w:u w:val="single" w:color="auto"/>
          <w:color w:val="auto"/>
        </w:rPr>
        <w:t>Schedule 5.06</w:t>
      </w:r>
      <w:r>
        <w:rPr>
          <w:rFonts w:ascii="Times New Roman" w:cs="Times New Roman" w:eastAsia="Times New Roman" w:hAnsi="Times New Roman"/>
          <w:sz w:val="20"/>
          <w:szCs w:val="20"/>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7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V.7 No Default</w:t>
      </w:r>
      <w:r>
        <w:rPr>
          <w:rFonts w:ascii="Times New Roman" w:cs="Times New Roman" w:eastAsia="Times New Roman" w:hAnsi="Times New Roman"/>
          <w:sz w:val="20"/>
          <w:szCs w:val="20"/>
          <w:color w:val="auto"/>
        </w:rPr>
        <w:t>. Neither any Borrower nor any Subsidiary thereof is in default under or with respect to any Contractual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V.8 Ownership of Property; Liens</w:t>
      </w:r>
      <w:r>
        <w:rPr>
          <w:rFonts w:ascii="Times New Roman" w:cs="Times New Roman" w:eastAsia="Times New Roman" w:hAnsi="Times New Roman"/>
          <w:sz w:val="20"/>
          <w:szCs w:val="20"/>
          <w:color w:val="auto"/>
        </w:rPr>
        <w:t>. Each Borrower and each Subsidiary has good record and marketable title in fee simple to,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valid leasehold interests in, all real property necessary or used in the ordinary conduct of its business, except for such defects in title as could not, individually or in the aggregate, reasonably be expected to have a Material Adverse Effect. The property of the Borrowers and their Subsidiaries is subject to no Liens, other than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V.9 Environmental Compliance</w:t>
      </w:r>
      <w:r>
        <w:rPr>
          <w:rFonts w:ascii="Times New Roman" w:cs="Times New Roman" w:eastAsia="Times New Roman" w:hAnsi="Times New Roman"/>
          <w:sz w:val="20"/>
          <w:szCs w:val="20"/>
          <w:color w:val="auto"/>
        </w:rPr>
        <w:t>. Each Borrower and its Subsidiaries conduct in the ordinary course of business a review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of existing Environmental Laws and claims alleging potential liability or responsibility for violation of any Environmental Law on their respective businesses, operations and properties, and as a result thereof the Borrowers have reasonably concluded that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except as specifically disclosed in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 such Environmental Laws and claims could not, individually or in the aggregate, reasonably be expected to have a Material Adverse Effect.</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V.10 Insurance</w:t>
      </w:r>
      <w:r>
        <w:rPr>
          <w:rFonts w:ascii="Times New Roman" w:cs="Times New Roman" w:eastAsia="Times New Roman" w:hAnsi="Times New Roman"/>
          <w:sz w:val="20"/>
          <w:szCs w:val="20"/>
          <w:color w:val="auto"/>
        </w:rPr>
        <w:t>. Except as specifically disclosed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5.10</w:t>
      </w:r>
      <w:r>
        <w:rPr>
          <w:rFonts w:ascii="Times New Roman" w:cs="Times New Roman" w:eastAsia="Times New Roman" w:hAnsi="Times New Roman"/>
          <w:sz w:val="20"/>
          <w:szCs w:val="20"/>
          <w:color w:val="auto"/>
        </w:rPr>
        <w:t>, the properties of each Borrower and its Subsidiaries are insured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financially sound and reputable insurance companies not Affiliates of Toro, in such amounts, with such deductibles and covering such risks as are customarily carried by companies engaged in similar businesses and owning similar properties in localities where such Borrower or the applicable Subsidiary operates.</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V.11 Taxes</w:t>
      </w:r>
      <w:r>
        <w:rPr>
          <w:rFonts w:ascii="Times New Roman" w:cs="Times New Roman" w:eastAsia="Times New Roman" w:hAnsi="Times New Roman"/>
          <w:sz w:val="20"/>
          <w:szCs w:val="20"/>
          <w:color w:val="auto"/>
        </w:rPr>
        <w:t>. Toro and its Subsidiaries have filed all Federal, state and other material tax returns and reports required to be filed,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Subsidiary that would, if made, have a Material Adverse Effect. Neither any Borrower nor any Subsidiary thereof is party to any tax sharing agreement.</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V.12</w:t>
        <w:tab/>
        <w:t>ERISA Compliance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56"/>
        <w:spacing w:after="0" w:line="288" w:lineRule="auto"/>
        <w:tabs>
          <w:tab w:leader="none" w:pos="1286"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98" w:name="page99"/>
    <w:bookmarkEnd w:id="98"/>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has been determined by the IRS to be exempt from federal income tax under Section 501(a) of the Code, or an application for such a letter is currently being processed by the IRS. To the best knowledge of the Borrowers, nothing has occurred that would prevent or cause the loss of such tax-qualified status.</w:t>
      </w:r>
    </w:p>
    <w:p>
      <w:pPr>
        <w:spacing w:after="0" w:line="181" w:lineRule="exact"/>
        <w:rPr>
          <w:sz w:val="20"/>
          <w:szCs w:val="20"/>
          <w:color w:val="auto"/>
        </w:rPr>
      </w:pPr>
    </w:p>
    <w:p>
      <w:pPr>
        <w:jc w:val="both"/>
        <w:ind w:firstLine="656"/>
        <w:spacing w:after="0" w:line="258"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each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(iv) neither any Borrower nor any ERISA Affiliate has incurred any liability to the PBGC other than for the payment of premiums, and there are no premium payments which have become due that are unpaid; and (v) neither any Borrower nor any ERISA Affiliate has engaged in a transaction that could be subject to Section 4069 or Section 4212(c) of ERISA.</w:t>
      </w:r>
    </w:p>
    <w:p>
      <w:pPr>
        <w:spacing w:after="0" w:line="17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Toro Luxembourg represents and warrants as of the Closing Date that it is not nor will not be using “plan assets” (within the meaning of 29 CFR § 2510.3-101, as modified by Section 3(42) of ERISA) of one or more Benefit Plans in connection with the Loans, the Letters of Credit or the Commitments.</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V.13 Subsidiaries; Equity Interests</w:t>
      </w:r>
      <w:r>
        <w:rPr>
          <w:rFonts w:ascii="Times New Roman" w:cs="Times New Roman" w:eastAsia="Times New Roman" w:hAnsi="Times New Roman"/>
          <w:sz w:val="20"/>
          <w:szCs w:val="20"/>
          <w:color w:val="auto"/>
        </w:rPr>
        <w:t>. As of the Closing Date, the Borrowers have no Subsidiaries other than those specifically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disclosed in </w:t>
      </w:r>
      <w:r>
        <w:rPr>
          <w:rFonts w:ascii="Times New Roman" w:cs="Times New Roman" w:eastAsia="Times New Roman" w:hAnsi="Times New Roman"/>
          <w:sz w:val="20"/>
          <w:szCs w:val="20"/>
          <w:u w:val="single" w:color="auto"/>
          <w:color w:val="auto"/>
        </w:rPr>
        <w:t>Part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and all of the outstanding Equity Interests in such Material Subsidiaries have been validly issued, are fully paid and nonassessable and are owned directly or indirectly by a Loan Party (other than directors’ qualifying shares required by law) in the amounts specified on Part (a)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As of the Closing Date, Toro has no equity investments in any other corporation or entity other than those specifically disclosed in </w:t>
      </w:r>
      <w:r>
        <w:rPr>
          <w:rFonts w:ascii="Times New Roman" w:cs="Times New Roman" w:eastAsia="Times New Roman" w:hAnsi="Times New Roman"/>
          <w:sz w:val="20"/>
          <w:szCs w:val="20"/>
          <w:u w:val="single" w:color="auto"/>
          <w:color w:val="auto"/>
        </w:rPr>
        <w:t>Part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V.14</w:t>
        <w:tab/>
        <w:t>Margin Regulations; Investment Company Act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56"/>
        <w:spacing w:after="0" w:line="253" w:lineRule="auto"/>
        <w:tabs>
          <w:tab w:leader="none" w:pos="128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Borrower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25% of the value of the assets (either of the applicable Borrower only or of Toro and its Subsidiaries on a consolidated basis) subject to the provisions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subject to any restriction contained in any agreement or instrument between any Borrower and any Lender or any Affiliate of any Lender relating to Indebtedness will be margin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99" w:name="page100"/>
    <w:bookmarkEnd w:id="99"/>
    <w:p>
      <w:pPr>
        <w:ind w:firstLine="656"/>
        <w:spacing w:after="0" w:line="283"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Borrowers, any Person Controlling any Borrower, or any Subsidiary is or is required to be registered as an “investment company” under the Investment Company Act of 1940.</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V.15 Copyrights, Patents, Trademarks and Licenses, Etc</w:t>
      </w:r>
      <w:r>
        <w:rPr>
          <w:rFonts w:ascii="Times New Roman" w:cs="Times New Roman" w:eastAsia="Times New Roman" w:hAnsi="Times New Roman"/>
          <w:sz w:val="20"/>
          <w:szCs w:val="20"/>
          <w:color w:val="auto"/>
        </w:rPr>
        <w:t>. Each of the Borrowers and their Subsidiaries own or are licensed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have the right to use all of the patents, trademarks, service marks, trade names, copyrights, contractual franchises, authorizations and other rights that are reasonably necessary in the best business judgment of the Borrowers for the operation of their respective businesses, without conflict with the rights of any other Person which could reasonably be expected to have a Material Adverse Effect. To the best knowledge of the Borrowers, as of the date hereof, no slogan or other advertising device, product, process, method, substance, part or other material now employed, or now contemplated to be employed, by the Borrowers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Borrowers, proposed, which, in any case, could reasonably be expected to have a Material Adverse Effect.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V.16 Disclosure</w:t>
      </w:r>
      <w:r>
        <w:rPr>
          <w:rFonts w:ascii="Times New Roman" w:cs="Times New Roman" w:eastAsia="Times New Roman" w:hAnsi="Times New Roman"/>
          <w:sz w:val="20"/>
          <w:szCs w:val="20"/>
          <w:color w:val="auto"/>
        </w:rPr>
        <w:t>. Each Borrower has disclosed to the Administrative Agent and the Lenders all agreements, instruments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Toro represents only that such information was prepared in good faith based upon assumptions believed to be reasonable at the time.</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V.17 Compliance with Laws</w:t>
      </w:r>
      <w:r>
        <w:rPr>
          <w:rFonts w:ascii="Times New Roman" w:cs="Times New Roman" w:eastAsia="Times New Roman" w:hAnsi="Times New Roman"/>
          <w:sz w:val="20"/>
          <w:szCs w:val="20"/>
          <w:color w:val="auto"/>
        </w:rPr>
        <w:t>. Each of the Borrowers and each Subsidiary thereof is in compliance in all material respects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requirements of all Laws and all orders, writs, injunctions and decrees applicable to it or to its properties, except in such instances in which</w:t>
      </w:r>
    </w:p>
    <w:p>
      <w:pPr>
        <w:spacing w:after="0" w:line="1" w:lineRule="exact"/>
        <w:rPr>
          <w:sz w:val="20"/>
          <w:szCs w:val="20"/>
          <w:color w:val="auto"/>
        </w:rPr>
      </w:pPr>
    </w:p>
    <w:p>
      <w:pPr>
        <w:jc w:val="both"/>
        <w:ind w:firstLine="8"/>
        <w:spacing w:after="0" w:line="253" w:lineRule="auto"/>
        <w:tabs>
          <w:tab w:leader="none" w:pos="30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V.18</w:t>
        <w:tab/>
        <w:t>Representations as to Foreign Obligors</w:t>
      </w:r>
      <w:r>
        <w:rPr>
          <w:rFonts w:ascii="Times New Roman" w:cs="Times New Roman" w:eastAsia="Times New Roman" w:hAnsi="Times New Roman"/>
          <w:sz w:val="20"/>
          <w:szCs w:val="20"/>
          <w:color w:val="auto"/>
        </w:rPr>
        <w:t>. Each of Toro and each Foreign Obligor represents and warrants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the Lenders that:</w:t>
      </w:r>
    </w:p>
    <w:p>
      <w:pPr>
        <w:spacing w:after="0" w:line="207" w:lineRule="exact"/>
        <w:rPr>
          <w:sz w:val="20"/>
          <w:szCs w:val="20"/>
          <w:color w:val="auto"/>
        </w:rPr>
      </w:pPr>
    </w:p>
    <w:p>
      <w:pPr>
        <w:jc w:val="both"/>
        <w:ind w:firstLine="656"/>
        <w:spacing w:after="0" w:line="253" w:lineRule="auto"/>
        <w:tabs>
          <w:tab w:leader="none" w:pos="128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20"/>
          <w:szCs w:val="20"/>
          <w:u w:val="single" w:color="auto"/>
          <w:color w:val="auto"/>
        </w:rPr>
        <w:t>Applicable Foreign Obligor Documents</w:t>
      </w:r>
      <w:r>
        <w:rPr>
          <w:rFonts w:ascii="Times New Roman" w:cs="Times New Roman" w:eastAsia="Times New Roman" w:hAnsi="Times New Roman"/>
          <w:sz w:val="20"/>
          <w:szCs w:val="20"/>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656"/>
        <w:spacing w:after="0" w:line="250" w:lineRule="auto"/>
        <w:tabs>
          <w:tab w:leader="none" w:pos="12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(ii) any charge or tax as has been timely paid and (iii) with respect to the admissibility of documents in evidence in the Grand Duchy of Luxembourg, the registration of the Agreement with the </w:t>
      </w:r>
      <w:r>
        <w:rPr>
          <w:rFonts w:ascii="Times New Roman" w:cs="Times New Roman" w:eastAsia="Times New Roman" w:hAnsi="Times New Roman"/>
          <w:sz w:val="20"/>
          <w:szCs w:val="20"/>
          <w:i w:val="1"/>
          <w:iCs w:val="1"/>
          <w:color w:val="auto"/>
        </w:rPr>
        <w:t>Administration de l'Enregistrement, des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Domaines et de la TVA </w:t>
      </w:r>
      <w:r>
        <w:rPr>
          <w:rFonts w:ascii="Times New Roman" w:cs="Times New Roman" w:eastAsia="Times New Roman" w:hAnsi="Times New Roman"/>
          <w:sz w:val="20"/>
          <w:szCs w:val="20"/>
          <w:color w:val="auto"/>
        </w:rPr>
        <w:t>in the Grand Duchy of Luxembourg which might be required in the case of legal proceedings being brought before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Luxembourg courts in order for the Applicable Foreign Obligor Documents to be admissible in evidence in the Grand Duchy of Luxembourg.</w:t>
      </w:r>
    </w:p>
    <w:p>
      <w:pPr>
        <w:spacing w:after="0" w:line="193" w:lineRule="exact"/>
        <w:rPr>
          <w:rFonts w:ascii="Times New Roman" w:cs="Times New Roman" w:eastAsia="Times New Roman" w:hAnsi="Times New Roman"/>
          <w:sz w:val="20"/>
          <w:szCs w:val="20"/>
          <w:color w:val="auto"/>
        </w:rPr>
      </w:pPr>
    </w:p>
    <w:p>
      <w:pPr>
        <w:jc w:val="both"/>
        <w:ind w:firstLine="656"/>
        <w:spacing w:after="0" w:line="266" w:lineRule="auto"/>
        <w:tabs>
          <w:tab w:leader="none" w:pos="1286"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(x) with respect to Toro Luxembourg, the registration of the Agreement with the </w:t>
      </w:r>
      <w:r>
        <w:rPr>
          <w:rFonts w:ascii="Times New Roman" w:cs="Times New Roman" w:eastAsia="Times New Roman" w:hAnsi="Times New Roman"/>
          <w:sz w:val="19"/>
          <w:szCs w:val="19"/>
          <w:i w:val="1"/>
          <w:iCs w:val="1"/>
          <w:color w:val="auto"/>
        </w:rPr>
        <w:t xml:space="preserve">Administration de l'Enregistrement, des Domaines et de la TVA </w:t>
      </w:r>
      <w:r>
        <w:rPr>
          <w:rFonts w:ascii="Times New Roman" w:cs="Times New Roman" w:eastAsia="Times New Roman" w:hAnsi="Times New Roman"/>
          <w:sz w:val="19"/>
          <w:szCs w:val="19"/>
          <w:color w:val="auto"/>
        </w:rPr>
        <w:t>in the Grand Duchy of Luxembourg as may be required in the case of legal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proceedings being brought before the Luxembourg courts or, in the case that the Agreement must be produced before an official Luxembourg authority or, in the case that the Agreement is referred to in a public deed, in which case either a nominal registration duty or an </w:t>
      </w:r>
      <w:r>
        <w:rPr>
          <w:rFonts w:ascii="Times New Roman" w:cs="Times New Roman" w:eastAsia="Times New Roman" w:hAnsi="Times New Roman"/>
          <w:sz w:val="19"/>
          <w:szCs w:val="19"/>
          <w:i w:val="1"/>
          <w:iCs w:val="1"/>
          <w:color w:val="auto"/>
        </w:rPr>
        <w:t>ad valorem</w:t>
      </w:r>
      <w:r>
        <w:rPr>
          <w:rFonts w:ascii="Times New Roman" w:cs="Times New Roman" w:eastAsia="Times New Roman" w:hAnsi="Times New Roman"/>
          <w:sz w:val="19"/>
          <w:szCs w:val="19"/>
          <w:color w:val="auto"/>
        </w:rPr>
        <w:t xml:space="preserve"> duty will be payable depending on the nature of the document to be registered, or (y) as has been disclosed to the Administrative Agent.</w:t>
      </w:r>
    </w:p>
    <w:p>
      <w:pPr>
        <w:spacing w:after="0" w:line="168" w:lineRule="exact"/>
        <w:rPr>
          <w:rFonts w:ascii="Times New Roman" w:cs="Times New Roman" w:eastAsia="Times New Roman" w:hAnsi="Times New Roman"/>
          <w:sz w:val="19"/>
          <w:szCs w:val="19"/>
          <w:color w:val="auto"/>
        </w:rPr>
      </w:pPr>
    </w:p>
    <w:p>
      <w:pPr>
        <w:jc w:val="both"/>
        <w:ind w:firstLine="656"/>
        <w:spacing w:after="0" w:line="257" w:lineRule="auto"/>
        <w:tabs>
          <w:tab w:leader="none" w:pos="12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notification or authorization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made or obtained as soon as is reasonably practicable).</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Toro Luxembourg complies with all requirements of the Luxembourg legislation and regulations on the domiciliation of companies, and in particular with the Luxembourg Act of 31 May 1999 on the domiciliation of companies.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Toro Luxembourg is not subject to any Luxembourg Insolvency Proceedings.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Borrowing under the Loan Documents by Toro Lux would not cause any borrowing or similar limit binding upon it to</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exceeded.</w:t>
      </w:r>
    </w:p>
    <w:p>
      <w:pPr>
        <w:spacing w:after="0" w:line="19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V.19 Taxpayer Identification Number; Other Identifying Information</w:t>
      </w:r>
      <w:r>
        <w:rPr>
          <w:rFonts w:ascii="Times New Roman" w:cs="Times New Roman" w:eastAsia="Times New Roman" w:hAnsi="Times New Roman"/>
          <w:sz w:val="20"/>
          <w:szCs w:val="20"/>
          <w:color w:val="auto"/>
        </w:rPr>
        <w:t>. The true and correct U.S. taxpayer identification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number of each Borrower that is not a Foreign Obligor is set forth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The true and correct unique identification number of each Foreign Obligor that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hereto on the Closing Date that has been issued by its jurisdiction of organization and the name of such jurisdiction are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V.20 OFAC</w:t>
      </w:r>
      <w:r>
        <w:rPr>
          <w:rFonts w:ascii="Times New Roman" w:cs="Times New Roman" w:eastAsia="Times New Roman" w:hAnsi="Times New Roman"/>
          <w:sz w:val="20"/>
          <w:szCs w:val="20"/>
          <w:color w:val="auto"/>
        </w:rPr>
        <w:t>. Neither any Borrower, nor any of its Subsidiaries, nor, to the knowledge of any Borrower and its Subsidiaries,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officer, employee, agent, affiliate or representative thereof, is an individual or entity currently the subject of any Sanctions, nor is any Borrower or any Subsidiary located, organized or resident in a Designated Jurisdiction.</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V.21 Anti-Corruption Laws</w:t>
      </w:r>
      <w:r>
        <w:rPr>
          <w:rFonts w:ascii="Times New Roman" w:cs="Times New Roman" w:eastAsia="Times New Roman" w:hAnsi="Times New Roman"/>
          <w:sz w:val="20"/>
          <w:szCs w:val="20"/>
          <w:color w:val="auto"/>
        </w:rPr>
        <w:t>. Each of the Borrowers and each Subsidiary, to the knowledge of any Borrower and its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used reasonable efforts to conduct their businesses in compliance with applicable anti-corruption laws, and have instituted and maintained policies and procedures designed to promote and achieve compliance with such laws.</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V.22 Beneficial Ownership</w:t>
      </w:r>
      <w:r>
        <w:rPr>
          <w:rFonts w:ascii="Times New Roman" w:cs="Times New Roman" w:eastAsia="Times New Roman" w:hAnsi="Times New Roman"/>
          <w:sz w:val="20"/>
          <w:szCs w:val="20"/>
          <w:color w:val="auto"/>
        </w:rPr>
        <w:t>. The information included in the Beneficial Ownership Certification, if applicable, provided by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on or prior to the Closing Date, as updated from time to time in accordance with this Agreement, is true, complete and correct in all respects as of the Closing Date and as of the date any such update is delivered.</w:t>
      </w:r>
    </w:p>
    <w:p>
      <w:pPr>
        <w:spacing w:after="0" w:line="17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V.23</w:t>
        <w:tab/>
        <w:t>Covered Entity</w:t>
      </w:r>
      <w:r>
        <w:rPr>
          <w:rFonts w:ascii="Times New Roman" w:cs="Times New Roman" w:eastAsia="Times New Roman" w:hAnsi="Times New Roman"/>
          <w:sz w:val="20"/>
          <w:szCs w:val="20"/>
          <w:color w:val="auto"/>
        </w:rPr>
        <w:t>. No Borrower is a Covered Entity.</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So long as any Lender shall have any Commitment hereunder, any Loan or other Obligation hereunder shall remain unpaid or unsatisfied, or any Letter of Credit shall remain outstanding, Toro shall, and shall (except in the case of the covenants set forth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Subsidiary to:</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VI.1</w:t>
        <w:tab/>
        <w:t>Financial Statements</w:t>
      </w:r>
      <w:r>
        <w:rPr>
          <w:rFonts w:ascii="Times New Roman" w:cs="Times New Roman" w:eastAsia="Times New Roman" w:hAnsi="Times New Roman"/>
          <w:sz w:val="20"/>
          <w:szCs w:val="20"/>
          <w:color w:val="auto"/>
        </w:rPr>
        <w:t>. Deliver to the Administrative Agent and each Lender, in form and detail satisfactory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the Required Lenders:</w:t>
      </w:r>
    </w:p>
    <w:p>
      <w:pPr>
        <w:spacing w:after="0" w:line="200" w:lineRule="exact"/>
        <w:rPr>
          <w:sz w:val="20"/>
          <w:szCs w:val="20"/>
          <w:color w:val="auto"/>
        </w:rPr>
      </w:pPr>
    </w:p>
    <w:p>
      <w:pPr>
        <w:jc w:val="both"/>
        <w:ind w:firstLine="656"/>
        <w:spacing w:after="0" w:line="251" w:lineRule="auto"/>
        <w:tabs>
          <w:tab w:leader="none" w:pos="128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120 days after the end of each fiscal year of Toro (or such longer time period as may be permitted by the SEC, including pursuant to Rule 12b-25 or other SEC permitted extensions), a consolidated balance sheet of Toro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60 days after the end of each of the first three fiscal quarters of each fiscal year of Toro (or such longer time period as may be permitted by the SEC, including pursuant to Rule 12b-25 or other SEC permitted extensions), a consolidated balance sheet of Toro and its Subsidiaries as at the end of such fiscal quarter, and the related consolidated statements of income or operations, stockholders’ equity and cash flows for such fiscal quarter and for the portion of Toro’s fiscal year then ended, setting forth in each case in comparative form the figures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20"/>
          <w:szCs w:val="20"/>
          <w:color w:val="auto"/>
        </w:rPr>
        <w:t>corresponding fiscal quarter of the previous fiscal year and the corresponding portion of the previous fiscal year, all in reasonable detail, such consolidated statements to be certified by a Responsible Officer of Toro as fairly presenting the financial condition, results of operations, stockholders’ equity and cash flows of Toro and its Subsidiaries in accordance with GAAP, subject only to normal year-end audit adjustments and the absence of footnotes.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Toro shall not be separately required to furnish such information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Toro to furnish the information and materials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at the times specified therein.</w:t>
      </w:r>
    </w:p>
    <w:p>
      <w:pPr>
        <w:spacing w:after="0" w:line="15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VI.2 Certificates; Other Information</w:t>
      </w:r>
      <w:r>
        <w:rPr>
          <w:rFonts w:ascii="Times New Roman" w:cs="Times New Roman" w:eastAsia="Times New Roman" w:hAnsi="Times New Roman"/>
          <w:sz w:val="20"/>
          <w:szCs w:val="20"/>
          <w:color w:val="auto"/>
        </w:rPr>
        <w:t>. Deliver to the Administrative Agent and each Lender, in form and detail satisfactory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Administrative Agent and the Required Lenders:</w:t>
      </w:r>
    </w:p>
    <w:p>
      <w:pPr>
        <w:spacing w:after="0" w:line="142" w:lineRule="exact"/>
        <w:rPr>
          <w:sz w:val="20"/>
          <w:szCs w:val="20"/>
          <w:color w:val="auto"/>
        </w:rPr>
      </w:pPr>
    </w:p>
    <w:p>
      <w:pPr>
        <w:ind w:right="20" w:firstLine="656"/>
        <w:spacing w:after="0" w:line="283" w:lineRule="auto"/>
        <w:tabs>
          <w:tab w:leader="none" w:pos="128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duly completed Compliance Certificate signed by a Responsible Officer of Toro;</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by the Administrative Agent or any Lender, copies of any detailed audit reports, management letters or recommendations submitted to the board of directors (or the audit committee of the board of directors) of Toro by independent accountants in connection with the accounts or books of Toro or any Subsidiary, or any audit of any of them;</w:t>
      </w:r>
    </w:p>
    <w:p>
      <w:pPr>
        <w:spacing w:after="0" w:line="16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are available, copies of each annual report, proxy or financial statement or other report or communication sent to the stockholders of Toro, and copies of all annual, regular, periodic and special reports and registration statements which Toro may file or be required to file with the SEC under Section 13 or 15(d) of the Exchange Act, and not otherwise required to be delivered to the Administrative Agent pursuant hereto;</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closing of a Receivables Purchase Facility, a copy of the documentation related thereto certified by a Responsible Officer as being true, correct and complete;</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it is not precluded from doing so by the rules of the SEC or other comparable agency, promptly, and in any event within five Business Days after receipt thereof by any Loan Party or any Subsidiary thereof,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any Loan Party or any Subsidiary thereof;</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regarding the business, financial or corporate affairs of Toro or any Subsidiary, or compliance with the terms of the Loan Documents, as the Administrative Agent or any Lender may from time to time reasonably request.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Toro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posts such documents, or provides a link thereto on Toro’s website on the Internet at the website address listed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or (ii) on which such documents are posted on Toro’s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Toro shall deliver paper copies of such documents to the Administrative Agent or any Lender that requests Toro to deliver such paper copies until a written request to cease delivering paper copies is given by the Administrative Agent or such Lender. The Administrative Agent shall have no obligation to request the delivery or to maintain copies of the documents referred to above, and in any event shall have no responsibility to monitor compliance by Toro with any such request for delivery, and each Lender shall be solely responsible for requesting delivery to it or maintaining its copies of such documents.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the Sustainability Coordinator and/or the Arrangers will make available to the Lenders and the L/C Issuer materials and/or information provided by or on behalf of the Borrowers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w:t>
      </w:r>
    </w:p>
    <w:p>
      <w:pPr>
        <w:spacing w:after="0" w:line="2" w:lineRule="exact"/>
        <w:rPr>
          <w:sz w:val="20"/>
          <w:szCs w:val="20"/>
          <w:color w:val="auto"/>
        </w:rPr>
      </w:pPr>
    </w:p>
    <w:p>
      <w:pPr>
        <w:jc w:val="both"/>
        <w:ind w:firstLine="8"/>
        <w:spacing w:after="0" w:line="249" w:lineRule="auto"/>
        <w:tabs>
          <w:tab w:leader="none" w:pos="32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with respect to such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VI.3</w:t>
        <w:tab/>
        <w:t>Notices</w:t>
      </w:r>
      <w:r>
        <w:rPr>
          <w:rFonts w:ascii="Times New Roman" w:cs="Times New Roman" w:eastAsia="Times New Roman" w:hAnsi="Times New Roman"/>
          <w:sz w:val="20"/>
          <w:szCs w:val="20"/>
          <w:color w:val="auto"/>
        </w:rPr>
        <w:t>. Promptly notify the Administrative Agent and each Lender:</w:t>
      </w:r>
    </w:p>
    <w:p>
      <w:pPr>
        <w:spacing w:after="0" w:line="220" w:lineRule="exact"/>
        <w:rPr>
          <w:sz w:val="20"/>
          <w:szCs w:val="20"/>
          <w:color w:val="auto"/>
        </w:rPr>
      </w:pPr>
    </w:p>
    <w:p>
      <w:pPr>
        <w:ind w:firstLine="656"/>
        <w:spacing w:after="0" w:line="283" w:lineRule="auto"/>
        <w:tabs>
          <w:tab w:leader="none" w:pos="1286"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 or Event of Default, and of the occurrence or existence of any event or circumstance that foreseeably will become a Default or Event of Default;</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matter that has resulted or could reasonably be expected to result in a Material Adverse Effect, including (i) breach or non-performance of, or any default under, a Contractual Obligation of any Borrower or any Subsidiary; (ii) any dispute, litigation, investigation, proceeding or suspension between any Borrower or any Subsidiary and any Governmental Authority; or (iii) the commencement of, or any material development in, any litigation or proceeding affecting any Borrower or any Subsidiary, including pursuant to any applicable Environmental Laws in each case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which (A) is reasonably likely to create liability to any Borrower in excess of $75,000,000 in any individual circumstance or in excess of $125,000,000 in the aggregate for all such circumstances, or (B) is otherwise reasonably likely to have a Material Adverse Effect and (iv) other matter that has resulted or is reasonably likely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04" w:name="page105"/>
    <w:bookmarkEnd w:id="104"/>
    <w:p>
      <w:pPr>
        <w:jc w:val="both"/>
        <w:ind w:firstLine="656"/>
        <w:spacing w:after="0" w:line="258" w:lineRule="auto"/>
        <w:tabs>
          <w:tab w:leader="none" w:pos="128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of the following events affecting any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any of the Borrowers or any ERISA Affiliate with respect to such event:</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increase in the Unfunded Pension Liability of any Pension Plan;</w:t>
      </w:r>
    </w:p>
    <w:p>
      <w:pPr>
        <w:spacing w:after="0" w:line="22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or the commencement of contributions to, any Plan subject to Section 412 of the Code by any Borrower or any ERISA Affiliate; or</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945"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any amendment to a Plan subject to Section 412 of the Code, if such amendment results in a material increase in contributions or Unfunded Pension Liability;</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material change in accounting policies or financial reporting practices by the Borrowers or any of their consolidated Subsidiaries not reflected in periodic reports filed by Toro with the SEC, including any determination by the Borrowers referred to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2.10(b)</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announcement by Moody’s or S&amp;P of any change in a Debt Rating; and</w:t>
      </w:r>
    </w:p>
    <w:p>
      <w:pPr>
        <w:spacing w:after="0" w:line="215" w:lineRule="exact"/>
        <w:rPr>
          <w:rFonts w:ascii="Times New Roman" w:cs="Times New Roman" w:eastAsia="Times New Roman" w:hAnsi="Times New Roman"/>
          <w:sz w:val="20"/>
          <w:szCs w:val="20"/>
          <w:color w:val="auto"/>
        </w:rPr>
      </w:pPr>
    </w:p>
    <w:p>
      <w:pPr>
        <w:ind w:right="20" w:firstLine="656"/>
        <w:spacing w:after="0" w:line="283" w:lineRule="auto"/>
        <w:tabs>
          <w:tab w:leader="none" w:pos="129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change in the information provided in the Beneficial Ownership Certification that would result in a change to the list of beneficial owners identified in such certification.</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6.03(e</w:t>
      </w:r>
      <w:r>
        <w:rPr>
          <w:rFonts w:ascii="Times New Roman" w:cs="Times New Roman" w:eastAsia="Times New Roman" w:hAnsi="Times New Roman"/>
          <w:sz w:val="20"/>
          <w:szCs w:val="20"/>
          <w:color w:val="auto"/>
        </w:rPr>
        <w:t xml:space="preserve">)) shall be accompanied by a statement of a Responsible Officer of Toro setting forth details of the occurrence referred to therein and stating what action the applicable Borrower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or foreseeably will be breached or violated.</w:t>
      </w:r>
    </w:p>
    <w:p>
      <w:pPr>
        <w:spacing w:after="0" w:line="1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VI.4 Anti-Corruption Laws; Sanctions</w:t>
      </w:r>
      <w:r>
        <w:rPr>
          <w:rFonts w:ascii="Times New Roman" w:cs="Times New Roman" w:eastAsia="Times New Roman" w:hAnsi="Times New Roman"/>
          <w:sz w:val="20"/>
          <w:szCs w:val="20"/>
          <w:color w:val="auto"/>
        </w:rPr>
        <w:t>. Use reasonable efforts to conduct its business in compliance with the United States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VI.5 Preservation of Existence, Etc</w:t>
      </w:r>
      <w:r>
        <w:rPr>
          <w:rFonts w:ascii="Times New Roman" w:cs="Times New Roman" w:eastAsia="Times New Roman" w:hAnsi="Times New Roman"/>
          <w:sz w:val="20"/>
          <w:szCs w:val="20"/>
          <w:color w:val="auto"/>
        </w:rPr>
        <w:t>. (a) Preserve, renew and maintain in full force and effect its legal existence and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standing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notwithstanding any of the foregoing, Toro shall be permitted to liquidate any Subsidiary into Toro or another Subsidiary in accordance with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thereafter dissolve such Subsidiary.</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VI.6 Maintenance of Properties</w:t>
      </w:r>
      <w:r>
        <w:rPr>
          <w:rFonts w:ascii="Times New Roman" w:cs="Times New Roman" w:eastAsia="Times New Roman" w:hAnsi="Times New Roman"/>
          <w:sz w:val="20"/>
          <w:szCs w:val="20"/>
          <w:color w:val="auto"/>
        </w:rPr>
        <w:t>. Exercise its best business judgment to maintain and preserve all its property which is used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useful in its business in good working order and condition, ordinary wear and tear excepted;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shall prevent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05" w:name="page106"/>
    <w:bookmarkEnd w:id="105"/>
    <w:p>
      <w:pPr>
        <w:jc w:val="both"/>
        <w:spacing w:after="0" w:line="283" w:lineRule="auto"/>
        <w:rPr>
          <w:sz w:val="20"/>
          <w:szCs w:val="20"/>
          <w:color w:val="auto"/>
        </w:rPr>
      </w:pPr>
      <w:r>
        <w:rPr>
          <w:rFonts w:ascii="Times New Roman" w:cs="Times New Roman" w:eastAsia="Times New Roman" w:hAnsi="Times New Roman"/>
          <w:sz w:val="20"/>
          <w:szCs w:val="20"/>
          <w:color w:val="auto"/>
        </w:rPr>
        <w:t>Borrower or Subsidiary from discontinuing the operation or maintenance of any such property if such discontinuance will not result in a Material Adverse Effect.</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VI.7 Maintenance of Insurance</w:t>
      </w:r>
      <w:r>
        <w:rPr>
          <w:rFonts w:ascii="Times New Roman" w:cs="Times New Roman" w:eastAsia="Times New Roman" w:hAnsi="Times New Roman"/>
          <w:sz w:val="20"/>
          <w:szCs w:val="20"/>
          <w:color w:val="auto"/>
        </w:rPr>
        <w:t>. Maintain with financially sound and reputable insurers, insurance with respect to its properties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business against loss or damage of the kinds customarily insured against by Persons engaged in the same or similar business, of such types and in such amounts as are customarily carried under similar circumstances by such other Persons;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shall be deemed to prevent the Borrowers or their Subsidiaries from self-insuring or insuring through a captive insurance subsidiary such risks as are customarily self-insured or insured through captive insurance subsidiaries by other corporations in the same business and similarly situated in accordance with sound business practices.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VI.8 Compliance with Laws and Contractual Obligations</w:t>
      </w:r>
      <w:r>
        <w:rPr>
          <w:rFonts w:ascii="Times New Roman" w:cs="Times New Roman" w:eastAsia="Times New Roman" w:hAnsi="Times New Roman"/>
          <w:sz w:val="20"/>
          <w:szCs w:val="20"/>
          <w:color w:val="auto"/>
        </w:rPr>
        <w:t>. Comply, and cause each Subsidiary to comply, with all Contractual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and 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VI.9 Books and Records</w:t>
      </w:r>
      <w:r>
        <w:rPr>
          <w:rFonts w:ascii="Times New Roman" w:cs="Times New Roman" w:eastAsia="Times New Roman" w:hAnsi="Times New Roman"/>
          <w:sz w:val="20"/>
          <w:szCs w:val="20"/>
          <w:color w:val="auto"/>
        </w:rPr>
        <w:t>. Maintain proper books of record and account, in which full, true and correct entries in conformity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GAAP consistently applied shall be made of all financial transactions and matters involving the assets and business of Toro or such Subsidiary, as the case may be.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VI.10 Inspection Rights</w:t>
      </w:r>
      <w:r>
        <w:rPr>
          <w:rFonts w:ascii="Times New Roman" w:cs="Times New Roman" w:eastAsia="Times New Roman" w:hAnsi="Times New Roman"/>
          <w:sz w:val="20"/>
          <w:szCs w:val="20"/>
          <w:color w:val="auto"/>
        </w:rPr>
        <w:t>. Permit representatives and independent contractors of the Administrative Agent and each Lender to visit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inspect any of its properties, to examine its corporate, financial and operating records, and make copies thereof or abstracts therefrom (except to the extent any of such records are confidential or proprietary in nature), and to discuss its affairs, finances and accounts with its directors, officers, and independent public accountants, all at such reasonable times during normal business hours and as often as may be reasonably desired, upon reasonable advance notice to Toro;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VI.11 Use of Proceeds</w:t>
      </w:r>
      <w:r>
        <w:rPr>
          <w:rFonts w:ascii="Times New Roman" w:cs="Times New Roman" w:eastAsia="Times New Roman" w:hAnsi="Times New Roman"/>
          <w:sz w:val="20"/>
          <w:szCs w:val="20"/>
          <w:color w:val="auto"/>
        </w:rPr>
        <w:t>. Each Borrower shall use the proceeds of the Credit Extensions for (a) general working capital needs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capital expenditures (b) the replacement and refinancing of outstanding indebtedness under the Existing Term Loan Credit Agreement, (c) subject to the proviso below, the purchase or other acquisition by Toro of shares of its capital stock and related preferred stock purchase rights to the extent permitted by </w:t>
      </w:r>
      <w:r>
        <w:rPr>
          <w:rFonts w:ascii="Times New Roman" w:cs="Times New Roman" w:eastAsia="Times New Roman" w:hAnsi="Times New Roman"/>
          <w:sz w:val="20"/>
          <w:szCs w:val="20"/>
          <w:u w:val="single" w:color="auto"/>
          <w:color w:val="auto"/>
        </w:rPr>
        <w:t>Section 7.04(c)</w:t>
      </w:r>
      <w:r>
        <w:rPr>
          <w:rFonts w:ascii="Times New Roman" w:cs="Times New Roman" w:eastAsia="Times New Roman" w:hAnsi="Times New Roman"/>
          <w:sz w:val="20"/>
          <w:szCs w:val="20"/>
          <w:color w:val="auto"/>
        </w:rPr>
        <w:t xml:space="preserve">, and (d) other lawful corporate purposes (including Acquisitions) other than, directly or indirectly, (i) for purposes of undertaking an Acquisition or Joint Venture in contravention of any Law or of any Loan Document, (ii) to purchase or carry Margin Stock, (iii) to repay or otherwise refinance indebtedness of any Borrower or others incurred to purchase or carry Margin Stock, (iv) to extend credit for the purpose of purchasing or carrying any Margin Stock, or (v) to acquire any security in a transaction that is actively opposed by the board of directors (or similar governing body) of the selling Persons or the Persons whose securities are to be acquired;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notwithstanding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above, Toro may use proceeds of Loans as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so long as either (x) the Margin Stock so acquired is promptly retired following the purchase or other acquisition thereof or (y) at all times and after giving effect to each such purchase or acquisition, not more than twenty five percent (25%) of the consolidated total assets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83" w:lineRule="auto"/>
        <w:rPr>
          <w:sz w:val="20"/>
          <w:szCs w:val="20"/>
          <w:color w:val="auto"/>
        </w:rPr>
      </w:pPr>
      <w:r>
        <w:rPr>
          <w:rFonts w:ascii="Times New Roman" w:cs="Times New Roman" w:eastAsia="Times New Roman" w:hAnsi="Times New Roman"/>
          <w:sz w:val="20"/>
          <w:szCs w:val="20"/>
          <w:color w:val="auto"/>
        </w:rPr>
        <w:t>Borrowers and their Subsidiaries on a consolidated basis are represented by Margin Stock owned by the Borrowers and their Subsidiaries on a consolidated basis.</w:t>
      </w:r>
    </w:p>
    <w:p>
      <w:pPr>
        <w:spacing w:after="0" w:line="1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VI.12 Approvals and Authorizations</w:t>
      </w:r>
      <w:r>
        <w:rPr>
          <w:rFonts w:ascii="Times New Roman" w:cs="Times New Roman" w:eastAsia="Times New Roman" w:hAnsi="Times New Roman"/>
          <w:sz w:val="20"/>
          <w:szCs w:val="20"/>
          <w:color w:val="auto"/>
        </w:rPr>
        <w:t>. Maintain all authorizations, consents, approvals and licenses from, exemptions 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28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So long as any Lender shall have any Commitment hereunder, or any Loan, Swing Line Loan or other Obligation shall remain unpaid or unsatisfied, or any Letter of Credit shall remain outstanding, unless the Required Lenders waive compliance in writing:</w:t>
      </w:r>
    </w:p>
    <w:p>
      <w:pPr>
        <w:spacing w:after="0" w:line="16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VII.1 Limitation on Liens</w:t>
      </w:r>
      <w:r>
        <w:rPr>
          <w:rFonts w:ascii="Times New Roman" w:cs="Times New Roman" w:eastAsia="Times New Roman" w:hAnsi="Times New Roman"/>
          <w:sz w:val="20"/>
          <w:szCs w:val="20"/>
          <w:color w:val="auto"/>
        </w:rPr>
        <w:t>. None of the Borrowers shall, or permit any Subsidiary to, directly or indirectly, make, create, incur,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assume or suffer to exist any Lien upon or with respect to any part of their respective property, whether now owned or hereafter acquired, other than the following (“</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660" w:firstLine="644"/>
        <w:spacing w:after="0" w:line="259" w:lineRule="auto"/>
        <w:tabs>
          <w:tab w:leader="none" w:pos="195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Lien existing on property of any Borrower or any Subsidiary on the Closing Date and set forth in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securing Indebtedness outstanding on such date (“</w:t>
      </w:r>
      <w:r>
        <w:rPr>
          <w:rFonts w:ascii="Times New Roman" w:cs="Times New Roman" w:eastAsia="Times New Roman" w:hAnsi="Times New Roman"/>
          <w:sz w:val="20"/>
          <w:szCs w:val="20"/>
          <w:u w:val="single" w:color="auto"/>
          <w:color w:val="auto"/>
        </w:rPr>
        <w:t>Existing Liens</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Lien created under any Loan Document;</w:t>
      </w:r>
    </w:p>
    <w:p>
      <w:pPr>
        <w:spacing w:after="0" w:line="233" w:lineRule="exact"/>
        <w:rPr>
          <w:rFonts w:ascii="Times New Roman" w:cs="Times New Roman" w:eastAsia="Times New Roman" w:hAnsi="Times New Roman"/>
          <w:sz w:val="22"/>
          <w:szCs w:val="22"/>
          <w:color w:val="auto"/>
        </w:rPr>
      </w:pPr>
    </w:p>
    <w:p>
      <w:pPr>
        <w:ind w:left="660" w:firstLine="644"/>
        <w:spacing w:after="0" w:line="259" w:lineRule="auto"/>
        <w:tabs>
          <w:tab w:leader="none" w:pos="195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Liens for taxes, fees, assessments or other governmental charges which are not delinquent or remain payable without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notice of lien has been filed or recorded under the Code;</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67" w:lineRule="auto"/>
        <w:tabs>
          <w:tab w:leader="none" w:pos="195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203" w:lineRule="exact"/>
        <w:rPr>
          <w:rFonts w:ascii="Times New Roman" w:cs="Times New Roman" w:eastAsia="Times New Roman" w:hAnsi="Times New Roman"/>
          <w:sz w:val="21"/>
          <w:szCs w:val="21"/>
          <w:color w:val="auto"/>
        </w:rPr>
      </w:pPr>
    </w:p>
    <w:p>
      <w:pPr>
        <w:ind w:left="660" w:firstLine="644"/>
        <w:spacing w:after="0" w:line="245" w:lineRule="auto"/>
        <w:tabs>
          <w:tab w:leader="none" w:pos="195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222"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Liens on the property of any Borrower or any of its Subsidiaries securing (i) the non-delinquent performance of bids, trade contracts (other than for borrowed money), leases, statutory obligations, (ii) contingent obligations on surety and appeal bonds, and (iii) other non-delinquent obligations of a like nature; in each case,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07" w:name="page108"/>
    <w:bookmarkEnd w:id="107"/>
    <w:p>
      <w:pPr>
        <w:jc w:val="both"/>
        <w:ind w:left="660" w:firstLine="644"/>
        <w:spacing w:after="0" w:line="248" w:lineRule="auto"/>
        <w:tabs>
          <w:tab w:leader="none" w:pos="195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Borrowers and their Subsidiaries;</w:t>
      </w:r>
    </w:p>
    <w:p>
      <w:pPr>
        <w:spacing w:after="0" w:line="22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Liens on property of a Person subject to an Acquisition existing at the time of such Acquisition;</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Liens existing on the Closing Date on property of one or more Subsidiaries securing Indebtedness of such</w:t>
      </w:r>
    </w:p>
    <w:p>
      <w:pPr>
        <w:spacing w:after="0" w:line="1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Subsidiaries;</w:t>
      </w:r>
    </w:p>
    <w:p>
      <w:pPr>
        <w:spacing w:after="0" w:line="234"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Liens on Receivables, lease receivables and other obligations owing to any of the Borrowers or any domestic Wholly-Owned Subsidiary to the extent such Receivables, lease receivables and other obligations have been sold under a Receivables Purchase Facility permitted under Section 7.02(d);</w:t>
      </w:r>
    </w:p>
    <w:p>
      <w:pPr>
        <w:spacing w:after="0" w:line="208"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5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Liens arising solely by virtue of any statutory or common law provision relating to banker’s liens, rights of set-off or similar rights and remedies as to deposit accounts or other funds maintained with a creditor depository institution; provided that</w:t>
      </w:r>
    </w:p>
    <w:p>
      <w:pPr>
        <w:jc w:val="both"/>
        <w:ind w:left="660" w:hanging="4"/>
        <w:spacing w:after="0" w:line="253" w:lineRule="auto"/>
        <w:tabs>
          <w:tab w:leader="none" w:pos="91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deposit account is not a dedicated cash collateral account and is not subject to restrictions against access by the applicable Borrower in excess of those set forth by regulations promulgated by the FRB, and (ii) such deposit account is not intended by any Borrower or any Subsidiary to provide collateral to the depository institution; and</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4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Liens not otherwise permitted hereunder on any property securing Indebtedness; provided that the amount of Indebtedness so secured together with Indebtedness permitted to be secured pursuant to Section 7.01(a) above shall not exceed in the aggregate at any time outstanding 10% of the consolidated total tangible assets (balance sheet total assets less goodwill and intangibles) of Toro and its Subsidiaries determined as of the end of the most recently ended fiscal quarter of Toro.</w:t>
      </w:r>
    </w:p>
    <w:p>
      <w:pPr>
        <w:spacing w:after="0" w:line="188"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VII.2 Disposition of Assets</w:t>
      </w:r>
      <w:r>
        <w:rPr>
          <w:rFonts w:ascii="Times New Roman" w:cs="Times New Roman" w:eastAsia="Times New Roman" w:hAnsi="Times New Roman"/>
          <w:sz w:val="20"/>
          <w:szCs w:val="20"/>
          <w:color w:val="auto"/>
        </w:rPr>
        <w:t>. None of the Borrowers shall, nor shall suffer or permit any Subsidiary to, directly or indirectly,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Disposition or enter into any agreement to make any Disposition, except:</w:t>
      </w:r>
    </w:p>
    <w:p>
      <w:pPr>
        <w:spacing w:after="0" w:line="169"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or used, worn-out or surplus property, all in the ordinary course of business;</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07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9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Receivables of Toro or any Subsidiaries to Red Iron and, to the extent TCC has become a Borrower hereunder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TCC;</w:t>
      </w:r>
    </w:p>
    <w:p>
      <w:pPr>
        <w:spacing w:after="0" w:line="199" w:lineRule="exact"/>
        <w:rPr>
          <w:rFonts w:ascii="Times New Roman" w:cs="Times New Roman" w:eastAsia="Times New Roman" w:hAnsi="Times New Roman"/>
          <w:sz w:val="20"/>
          <w:szCs w:val="20"/>
          <w:color w:val="auto"/>
        </w:rPr>
      </w:pPr>
    </w:p>
    <w:p>
      <w:pPr>
        <w:ind w:right="20" w:firstLine="656"/>
        <w:spacing w:after="0" w:line="269" w:lineRule="auto"/>
        <w:tabs>
          <w:tab w:leader="none" w:pos="127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by any Originator of Receivables pursuant to Receivables Purchase Facilities or other Disposition of Receivables at any time of Toro or its Subsidiaries,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53" w:lineRule="auto"/>
        <w:rPr>
          <w:sz w:val="20"/>
          <w:szCs w:val="20"/>
          <w:color w:val="auto"/>
        </w:rPr>
      </w:pPr>
      <w:r>
        <w:rPr>
          <w:rFonts w:ascii="Times New Roman" w:cs="Times New Roman" w:eastAsia="Times New Roman" w:hAnsi="Times New Roman"/>
          <w:sz w:val="20"/>
          <w:szCs w:val="20"/>
          <w:color w:val="auto"/>
        </w:rPr>
        <w:t>Dispositions made in connection with any Floor Plan Financing Arrangements, whether pursuant to a securitization facility, a factoring arrangement or other manner of monetization thereof; provided that the outstanding unpaid amount of all such Receivables so sold in the aggregate shall not at any time exceed $200,000,000; or (ii) Dispositions by any Originator of Receivables pursuant to Receivables Purchase Facilities or other Disposition of Receivables at any time of Toro or its Subsidiaries in connection with any Floor Plan Financing Arrangements, whether pursuant to a securitization facility, a factoring arrangement or other manner of monetization thereof;</w:t>
      </w:r>
    </w:p>
    <w:p>
      <w:pPr>
        <w:spacing w:after="0" w:line="192" w:lineRule="exact"/>
        <w:rPr>
          <w:sz w:val="20"/>
          <w:szCs w:val="20"/>
          <w:color w:val="auto"/>
        </w:rPr>
      </w:pPr>
    </w:p>
    <w:p>
      <w:pPr>
        <w:jc w:val="both"/>
        <w:ind w:firstLine="656"/>
        <w:spacing w:after="0" w:line="253" w:lineRule="auto"/>
        <w:tabs>
          <w:tab w:leader="none" w:pos="1082"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made in accordance with Toro’s investment policy, (ii) Dispositions made in connection with Acquisitions, (iii) Dispositions of interests in Joint Ventures; (iv) Dispositions made in connection with Swap Contracts, (v) permitted Dispositions of Subsidiaries, (vi) Dispositions in connection with purchases by Toro of shares of its capital stock and associated rights to purchase shares of Toro’s preferred stock pursuant to Toro’s shareholder rights plan to the extent permitted by </w:t>
      </w:r>
      <w:r>
        <w:rPr>
          <w:rFonts w:ascii="Times New Roman" w:cs="Times New Roman" w:eastAsia="Times New Roman" w:hAnsi="Times New Roman"/>
          <w:sz w:val="20"/>
          <w:szCs w:val="20"/>
          <w:u w:val="single" w:color="auto"/>
          <w:color w:val="auto"/>
        </w:rPr>
        <w:t>Sections 6.11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7.04(c)</w:t>
      </w:r>
      <w:r>
        <w:rPr>
          <w:rFonts w:ascii="Times New Roman" w:cs="Times New Roman" w:eastAsia="Times New Roman" w:hAnsi="Times New Roman"/>
          <w:sz w:val="20"/>
          <w:szCs w:val="20"/>
          <w:color w:val="auto"/>
        </w:rPr>
        <w:t>, and (vii) Dispositions of Equity Interests in Red Iron;</w:t>
      </w:r>
    </w:p>
    <w:p>
      <w:pPr>
        <w:spacing w:after="0" w:line="19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58"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not otherwise permitted hereunder; provided, that (i) at the time of any such Disposition, no Event of Default shall exist or shall result from such Disposition and (ii) the aggregate value of all assets so sold by Toro and its Subsidiaries shall not exceed in any fiscal year 15% of the consolidated total assets of Toro and its Subsidiaries determined as of the end of the most recently ended fiscal quarter of Toro;</w:t>
      </w:r>
    </w:p>
    <w:p>
      <w:pPr>
        <w:spacing w:after="0" w:line="172"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142"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Toro or any Subsidiary, including any Subsidiary Borrower, may sell, assign, lease, convey, transfer or otherwise dispose of assets to one of the Borrowers or another Wholly-Owned Subsidiary or in connection with the discontinuance of any line of business if the discontinuance of such line of business will not result in a Material Adverse Effect;</w:t>
      </w:r>
    </w:p>
    <w:p>
      <w:pPr>
        <w:spacing w:after="0" w:line="161" w:lineRule="exact"/>
        <w:rPr>
          <w:rFonts w:ascii="Times New Roman" w:cs="Times New Roman" w:eastAsia="Times New Roman" w:hAnsi="Times New Roman"/>
          <w:sz w:val="20"/>
          <w:szCs w:val="20"/>
          <w:color w:val="auto"/>
        </w:rPr>
      </w:pPr>
    </w:p>
    <w:p>
      <w:pPr>
        <w:jc w:val="both"/>
        <w:ind w:firstLine="656"/>
        <w:spacing w:after="0" w:line="264" w:lineRule="auto"/>
        <w:tabs>
          <w:tab w:leader="none" w:pos="1172"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or transfers of cash or other property including capital stock (i) in payment for goods or services in the ordinary course of business to the extent not otherwise prohibited hereunder and (ii) in connection with investments, including (A) investments in accordance with Toro’s investment policy as adopted from time to time, (B) extensions of credit in the nature of accounts receivable or notes receivable arising from the sale or lease of goods or services in the ordinary course of business or extensions of credit by any Borrower to any of Toro’s Wholly-Owned Subsidiaries or by any of Toro’s Wholly-Owned Subsidiaries to any Borrower or to another of Toro’s Wholly-Owned Subsidiaries or extensions of credit made in the ordinary course of its business consistent with past practices to distributors or dealers of Toro’s and its Subsidiaries’ products, (C) investments incurred in order to consummate Acquisitions, (D) investments in Joint Ventures,</w:t>
      </w:r>
    </w:p>
    <w:p>
      <w:pPr>
        <w:ind w:left="320" w:hanging="312"/>
        <w:spacing w:after="0"/>
        <w:tabs>
          <w:tab w:leader="none" w:pos="3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under Swap Contracts, (F) investments made in Subsidiaries, and (G) investments in Red Iron;</w:t>
      </w:r>
    </w:p>
    <w:p>
      <w:pPr>
        <w:spacing w:after="0" w:line="207"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resulting from any casualty or condemnation;</w:t>
      </w:r>
    </w:p>
    <w:p>
      <w:pPr>
        <w:spacing w:after="0" w:line="215"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in connection with Restricted Payments permitted under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the granting of Permitted Liens; and</w:t>
      </w:r>
    </w:p>
    <w:p>
      <w:pPr>
        <w:spacing w:after="0" w:line="22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the payment of Contingent Obligations or Indebtedness not otherwise prohibited hereunder.</w:t>
      </w:r>
    </w:p>
    <w:p>
      <w:pPr>
        <w:spacing w:after="0" w:line="212"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VII.3 Consolidations and Mergers</w:t>
      </w:r>
      <w:r>
        <w:rPr>
          <w:rFonts w:ascii="Times New Roman" w:cs="Times New Roman" w:eastAsia="Times New Roman" w:hAnsi="Times New Roman"/>
          <w:sz w:val="20"/>
          <w:szCs w:val="20"/>
          <w:color w:val="auto"/>
        </w:rPr>
        <w:t>. None of the Borrowers shall, or permit any Subsidiary to, merge, consolidate with or into,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convey, transfer, lease or otherwise dispose of (whether in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transaction or in a series of transactions) all or substantially all of its assets (whether now owned or hereafter acquired) to or in favor of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except:</w:t>
      </w:r>
    </w:p>
    <w:p>
      <w:pPr>
        <w:spacing w:after="0" w:line="200" w:lineRule="exact"/>
        <w:rPr>
          <w:sz w:val="20"/>
          <w:szCs w:val="20"/>
          <w:color w:val="auto"/>
        </w:rPr>
      </w:pPr>
    </w:p>
    <w:p>
      <w:pPr>
        <w:jc w:val="both"/>
        <w:ind w:firstLine="656"/>
        <w:spacing w:after="0" w:line="258" w:lineRule="auto"/>
        <w:tabs>
          <w:tab w:leader="none" w:pos="112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(other than TCC, to the extent TCC becomes a Borrower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including any Subsidiary Borrower, may merge with one of the Borrowers, or with any one or more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transaction shall be between a Subsidiary and a Wholly-Owned Subsidiary, the surviving Person shall be a Wholly-Owned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such transaction shall be between a Subsidiary and a Subsidiary Borrower, the surviving Person shall be a Subsidiary Borrower, as applicable;</w:t>
      </w:r>
    </w:p>
    <w:p>
      <w:pPr>
        <w:spacing w:after="0" w:line="18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TCC may merge with or sell all or substantially all of its assets to Toro;</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(other than TCC, to the extent TCC becomes a Borrower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including any Subsidiary Borrower, may sell all or substantially all of its assets (upon voluntary liquidation or otherwise), to one of the Borrowers or another Wholly-Owned Subsidiary; and</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those transactions otherwise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and</w:t>
      </w:r>
    </w:p>
    <w:p>
      <w:pPr>
        <w:spacing w:after="0" w:line="256"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order to consummate Acquisitions.</w:t>
      </w:r>
    </w:p>
    <w:p>
      <w:pPr>
        <w:spacing w:after="0" w:line="21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VII.4 Restricted Payments</w:t>
      </w:r>
      <w:r>
        <w:rPr>
          <w:rFonts w:ascii="Times New Roman" w:cs="Times New Roman" w:eastAsia="Times New Roman" w:hAnsi="Times New Roman"/>
          <w:sz w:val="20"/>
          <w:szCs w:val="20"/>
          <w:color w:val="auto"/>
        </w:rPr>
        <w:t>. None of the Borrowers shall, or shall suffer or permit any Material Subsidiary to, declare or make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except that:</w:t>
      </w:r>
    </w:p>
    <w:p>
      <w:pPr>
        <w:spacing w:after="0" w:line="182" w:lineRule="exact"/>
        <w:rPr>
          <w:sz w:val="20"/>
          <w:szCs w:val="20"/>
          <w:color w:val="auto"/>
        </w:rPr>
      </w:pPr>
    </w:p>
    <w:p>
      <w:pPr>
        <w:ind w:right="20" w:firstLine="656"/>
        <w:spacing w:after="0" w:line="269" w:lineRule="auto"/>
        <w:tabs>
          <w:tab w:leader="none" w:pos="114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any Wholly-Owned Subsidiary may declare and make dividend payments or other distributions payable solely in its common stock;</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167" w:lineRule="exact"/>
        <w:rPr>
          <w:rFonts w:ascii="Times New Roman" w:cs="Times New Roman" w:eastAsia="Times New Roman" w:hAnsi="Times New Roman"/>
          <w:sz w:val="20"/>
          <w:szCs w:val="20"/>
          <w:color w:val="auto"/>
        </w:rPr>
      </w:pPr>
    </w:p>
    <w:p>
      <w:pPr>
        <w:jc w:val="both"/>
        <w:ind w:firstLine="656"/>
        <w:spacing w:after="0" w:line="257" w:lineRule="auto"/>
        <w:tabs>
          <w:tab w:leader="none" w:pos="109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(both before and after giving pro forma effect to such Restricted Payment) the Leverage Ratio for such period is less than or equal to the maximum permitted Leverage Ratio then in effect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Toro may declare and pay cash dividends to its stockholders and purchase, redeem or otherwise acquire shares of its capital stock or warrants, rights or options to acquire any such shares for cash without restriction;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immediately after giving effect to any such proposed action, no Default or Event of Default would exist; and</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5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TCC, to the extent TCC becomes a Borrower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any Subsidiary Borrower may declare and pay dividends to Toro or its parent company and any Wholly-Owned Subsidiary may declare and pay dividends to its parent company.</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VII.5 Maximum Leverage Ratio</w:t>
      </w:r>
      <w:r>
        <w:rPr>
          <w:rFonts w:ascii="Times New Roman" w:cs="Times New Roman" w:eastAsia="Times New Roman" w:hAnsi="Times New Roman"/>
          <w:sz w:val="20"/>
          <w:szCs w:val="20"/>
          <w:color w:val="auto"/>
        </w:rPr>
        <w:t>. Toro, on a consolidated basis, shall not, as of the end of any fiscal quarter, permit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consolidated ratio of (a) total Indebtedness as of such date to (b) the sum of Consolidated EBIT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depreciation and amortization expense (the “</w:t>
      </w:r>
      <w:r>
        <w:rPr>
          <w:rFonts w:ascii="Times New Roman" w:cs="Times New Roman" w:eastAsia="Times New Roman" w:hAnsi="Times New Roman"/>
          <w:sz w:val="20"/>
          <w:szCs w:val="20"/>
          <w:u w:val="single" w:color="auto"/>
          <w:color w:val="auto"/>
        </w:rPr>
        <w:t>Leverage Ratio</w:t>
      </w:r>
      <w:r>
        <w:rPr>
          <w:rFonts w:ascii="Times New Roman" w:cs="Times New Roman" w:eastAsia="Times New Roman" w:hAnsi="Times New Roman"/>
          <w:sz w:val="20"/>
          <w:szCs w:val="20"/>
          <w:color w:val="auto"/>
        </w:rPr>
        <w:t xml:space="preserve">”) for the period of four prior fiscal quarters ending on such date to be more than 3.50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after the occurrence of any Acquisition (or series of related transactions for the purpose of or resulting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20"/>
          <w:szCs w:val="20"/>
          <w:color w:val="auto"/>
        </w:rPr>
        <w:t>Acquisition) with aggregate consideration in excess of $75,000,000 (the “</w:t>
      </w:r>
      <w:r>
        <w:rPr>
          <w:rFonts w:ascii="Times New Roman" w:cs="Times New Roman" w:eastAsia="Times New Roman" w:hAnsi="Times New Roman"/>
          <w:sz w:val="20"/>
          <w:szCs w:val="20"/>
          <w:u w:val="single" w:color="auto"/>
          <w:color w:val="auto"/>
        </w:rPr>
        <w:t>Triggering Acquisition</w:t>
      </w:r>
      <w:r>
        <w:rPr>
          <w:rFonts w:ascii="Times New Roman" w:cs="Times New Roman" w:eastAsia="Times New Roman" w:hAnsi="Times New Roman"/>
          <w:sz w:val="20"/>
          <w:szCs w:val="20"/>
          <w:color w:val="auto"/>
        </w:rPr>
        <w:t>”), at the option of Toro, for each of the four consecutive fiscal quarters ending after such option exercise (a “</w:t>
      </w:r>
      <w:r>
        <w:rPr>
          <w:rFonts w:ascii="Times New Roman" w:cs="Times New Roman" w:eastAsia="Times New Roman" w:hAnsi="Times New Roman"/>
          <w:sz w:val="20"/>
          <w:szCs w:val="20"/>
          <w:u w:val="single" w:color="auto"/>
          <w:color w:val="auto"/>
        </w:rPr>
        <w:t>Covenant Holiday</w:t>
      </w:r>
      <w:r>
        <w:rPr>
          <w:rFonts w:ascii="Times New Roman" w:cs="Times New Roman" w:eastAsia="Times New Roman" w:hAnsi="Times New Roman"/>
          <w:sz w:val="20"/>
          <w:szCs w:val="20"/>
          <w:color w:val="auto"/>
        </w:rPr>
        <w:t xml:space="preserve">”), the Leverage Ratio as of the last day of such fiscal quarter shall not exceed 4.00 to 1.00;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after any Covenant Holiday, prior to the exercise by Toro of any subsequent Covenant Holiday, (i) there shall not have been a Covenant Holiday in effect for the fiscal quarter immediately prior to the applicable Triggering Acquisition, and (ii) the Leverage Ratio for the four consecutive fiscal quarters ending immediately prior to the applicable Triggering Acquisition shall not be higher than 3.50 to 1.00.</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VII.6 Red Iron</w:t>
      </w:r>
      <w:r>
        <w:rPr>
          <w:rFonts w:ascii="Times New Roman" w:cs="Times New Roman" w:eastAsia="Times New Roman" w:hAnsi="Times New Roman"/>
          <w:sz w:val="20"/>
          <w:szCs w:val="20"/>
          <w:color w:val="auto"/>
        </w:rPr>
        <w:t>. None of the Borrowers shall, or permit any Subsidiary to, agree to permit Red Iron to retain or defer payment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undisputed amounts due by Red Iron to Toro or any Subsidiary (other than as an offset in payment of amounts due by Toro or such Subsidiaries to Red Iron) in an aggregate amount at any time in excess of $35,000,000.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VII.7 Sanctions</w:t>
      </w:r>
      <w:r>
        <w:rPr>
          <w:rFonts w:ascii="Times New Roman" w:cs="Times New Roman" w:eastAsia="Times New Roman" w:hAnsi="Times New Roman"/>
          <w:sz w:val="20"/>
          <w:szCs w:val="20"/>
          <w:color w:val="auto"/>
        </w:rPr>
        <w:t>. No Borrower shall directly or indirectly use the proceeds of any Credit Extension, or lend, contribute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Sustainability Coordinator, Arranger, Administrative Agent, L/C Issuer, Swing Line Lender, or otherwise) of Sanctions.</w:t>
      </w:r>
    </w:p>
    <w:p>
      <w:pPr>
        <w:spacing w:after="0" w:line="16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VII.8 Anti-Corruption Laws</w:t>
      </w:r>
      <w:r>
        <w:rPr>
          <w:rFonts w:ascii="Times New Roman" w:cs="Times New Roman" w:eastAsia="Times New Roman" w:hAnsi="Times New Roman"/>
          <w:sz w:val="20"/>
          <w:szCs w:val="20"/>
          <w:color w:val="auto"/>
        </w:rPr>
        <w:t>. No Borrower shall directly or indirectly use the proceeds of any Credit Extension for any purpose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would breach the United States Foreign Corrupt Practices Act of 1977, the UK Bribery Act 2010, or other similar legislation in other jurisdictions.</w:t>
      </w:r>
    </w:p>
    <w:p>
      <w:pPr>
        <w:spacing w:after="0" w:line="2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VIII.1 Events of Default</w:t>
      </w:r>
      <w:r>
        <w:rPr>
          <w:rFonts w:ascii="Times New Roman" w:cs="Times New Roman" w:eastAsia="Times New Roman" w:hAnsi="Times New Roman"/>
          <w:sz w:val="20"/>
          <w:szCs w:val="20"/>
          <w:color w:val="auto"/>
        </w:rPr>
        <w:t>. Any of the following shall constitute an event of default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58"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Any Borrower or any other Loan Party fails to pay (i) when and as required to be paid herein, and in the currency required hereunder, any amount of principal of any Loan or any L/C Obligation, or (ii) within five (5) days after the same becomes due, any interest on any Loan or on any L/C Obligation, or any fee due hereunder, or (iii) within five (5) days after the same becomes due, any other amount payable hereunder or under any other Loan Document; or</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Toro fails to perform or observe any term, covenant or agreement contained in any of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Any Borrower fails to perform or observe any other term or covenant contained in this Agreement or any other Loan Document (and such failure does not otherwise constitute an Event of Default under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and such default shall continue unremedied for a period of 30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Borrowers are diligently and in good faith attempting to cure such default, such default is curable and such default will not possibly result in a Material Adverse Effect, then the Borrowers may have additional time to cure such default as specified in writing by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additional time shall not exceed 60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11" w:name="page112"/>
    <w:bookmarkEnd w:id="111"/>
    <w:p>
      <w:pPr>
        <w:jc w:val="both"/>
        <w:ind w:left="-220" w:firstLine="656"/>
        <w:spacing w:after="0" w:line="253" w:lineRule="auto"/>
        <w:tabs>
          <w:tab w:leader="none" w:pos="106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or warranty by any Borrower or any Subsidiary made or deemed made herein, in any other Loan Document, or which is contained in any certificate, document or financial or other statement by any Borrower, any Subsidiary, or any Responsible Officer, furnished at any time under this Agreement, or in or under any other Loan Document, is incorrect or misleading in any material respect (except, if a qualifier relating to materiality, Material Adverse Effect or a similar concept applies, such representation or warranty shall have been incorrect in any respect) on or as of the date made or deemed made; or</w:t>
      </w:r>
    </w:p>
    <w:p>
      <w:pPr>
        <w:spacing w:after="0" w:line="191" w:lineRule="exact"/>
        <w:rPr>
          <w:rFonts w:ascii="Times New Roman" w:cs="Times New Roman" w:eastAsia="Times New Roman" w:hAnsi="Times New Roman"/>
          <w:sz w:val="20"/>
          <w:szCs w:val="20"/>
          <w:color w:val="auto"/>
        </w:rPr>
      </w:pPr>
    </w:p>
    <w:p>
      <w:pPr>
        <w:jc w:val="both"/>
        <w:ind w:left="-220" w:firstLine="656"/>
        <w:spacing w:after="0" w:line="248" w:lineRule="auto"/>
        <w:tabs>
          <w:tab w:leader="none" w:pos="106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(i) Any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$100,000,000 or more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any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w:t>
      </w:r>
      <w:r>
        <w:rPr>
          <w:rFonts w:ascii="Times New Roman" w:cs="Times New Roman" w:eastAsia="Times New Roman" w:hAnsi="Times New Roman"/>
          <w:sz w:val="20"/>
          <w:szCs w:val="20"/>
          <w:u w:val="single" w:color="auto"/>
          <w:color w:val="auto"/>
        </w:rPr>
        <w:t>Receivables Purchase Facility Termination</w:t>
      </w:r>
      <w:r>
        <w:rPr>
          <w:rFonts w:ascii="Times New Roman" w:cs="Times New Roman" w:eastAsia="Times New Roman" w:hAnsi="Times New Roman"/>
          <w:sz w:val="20"/>
          <w:szCs w:val="20"/>
          <w:color w:val="auto"/>
        </w:rPr>
        <w:t>”) other than any such Receivables Purchase Facility Termination that arises solely as a result of (i) a down-grading of the credit rating of any bank or financial institution not affiliated with the Borrowers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Borrowers that no waiver by the Lenders of 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 Borrowers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Borrowers; or</w:t>
      </w:r>
    </w:p>
    <w:p>
      <w:pPr>
        <w:spacing w:after="0" w:line="214" w:lineRule="exact"/>
        <w:rPr>
          <w:rFonts w:ascii="Times New Roman" w:cs="Times New Roman" w:eastAsia="Times New Roman" w:hAnsi="Times New Roman"/>
          <w:sz w:val="20"/>
          <w:szCs w:val="20"/>
          <w:color w:val="auto"/>
        </w:rPr>
      </w:pPr>
    </w:p>
    <w:p>
      <w:pPr>
        <w:jc w:val="both"/>
        <w:ind w:left="-220" w:firstLine="656"/>
        <w:spacing w:after="0" w:line="258" w:lineRule="auto"/>
        <w:tabs>
          <w:tab w:leader="none" w:pos="107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Voluntary Proceedings.</w:t>
      </w:r>
      <w:r>
        <w:rPr>
          <w:rFonts w:ascii="Times New Roman" w:cs="Times New Roman" w:eastAsia="Times New Roman" w:hAnsi="Times New Roman"/>
          <w:sz w:val="20"/>
          <w:szCs w:val="20"/>
          <w:color w:val="auto"/>
        </w:rPr>
        <w:t xml:space="preserve"> Any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020"/>
          </w:cols>
          <w:pgMar w:left="540" w:top="1413" w:right="339" w:bottom="1440" w:gutter="0" w:footer="0" w:header="0"/>
        </w:sectPr>
      </w:pPr>
    </w:p>
    <w:bookmarkStart w:id="112" w:name="page113"/>
    <w:bookmarkEnd w:id="112"/>
    <w:p>
      <w:pPr>
        <w:jc w:val="both"/>
        <w:ind w:firstLine="656"/>
        <w:spacing w:after="0" w:line="251" w:lineRule="auto"/>
        <w:tabs>
          <w:tab w:leader="none" w:pos="12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Proceedings</w:t>
      </w:r>
      <w:r>
        <w:rPr>
          <w:rFonts w:ascii="Times New Roman" w:cs="Times New Roman" w:eastAsia="Times New Roman" w:hAnsi="Times New Roman"/>
          <w:sz w:val="20"/>
          <w:szCs w:val="20"/>
          <w:color w:val="auto"/>
        </w:rPr>
        <w:t>. (i) Any involuntary Insolvency Proceeding is commenced or filed against any Borrower or any Material Subsidiary, or any writ, judgment, warrant of attachment, execution or similar process, is issued or levied against a substantial part of any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any Borrower or any Material Subsidiary admits the material allegations of a petition against it in any Insolvency Proceeding, or an order for relief (or similar order under non-U.S. law) is ordered in any Insolvency Proceeding; or (iii) any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Monetary Judgments</w:t>
      </w:r>
      <w:r>
        <w:rPr>
          <w:rFonts w:ascii="Times New Roman" w:cs="Times New Roman" w:eastAsia="Times New Roman" w:hAnsi="Times New Roman"/>
          <w:sz w:val="20"/>
          <w:szCs w:val="20"/>
          <w:color w:val="auto"/>
        </w:rPr>
        <w:t>. One or more non-interlocutory judgments, non-interlocutory orders, decrees or arbitration awards is entered against any or all of the Borrowers or any Material Subsidiary involving in the aggregate a liability (to the extent not covered by independent third-party insurance as to which the insurer does not dispute coverage) as to any single or related series of transactions, incidents or conditions, of $100,000,000 or more, and the same shall remain unsatisfied, unvacated and unstayed pending appeal for a period of 30 days after the entry thereof; or</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Non-Monetary Judgments.</w:t>
      </w:r>
      <w:r>
        <w:rPr>
          <w:rFonts w:ascii="Times New Roman" w:cs="Times New Roman" w:eastAsia="Times New Roman" w:hAnsi="Times New Roman"/>
          <w:sz w:val="20"/>
          <w:szCs w:val="20"/>
          <w:color w:val="auto"/>
        </w:rPr>
        <w:t xml:space="preserve"> Any non-monetary judgment, order or decree is entered against any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liability of any Borrower under Title IV of ERISA to the Pension Plan, Multiemployer Plan or the PBGC in an aggregate amount of $100,000,000 or more, or (ii) any Borrower or any ERISA Affiliate fails to pay when due, after the expiration of any applicable grace period, any installment payment with respect to its withdrawal liability under Section 4201 of ERISA under a Multiemployer Plan in an aggregate amount of $100,000,000 or more; or</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Term SOFR Loans or Alternative Currency Term Rate Loans which are subject to the application of, and the Borrowers accordingly complying with the terms of,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or is declared by a court of competent jurisdiction to be null and void, invalid or unenforceable in any respect; or any Borrower denies that is has any or further liability or obligation under any Loan Document, or purports to revoke, terminate or rescind any Loan Document; or</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2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VIII.2 Remedies Upon Event of Default</w:t>
      </w:r>
      <w:r>
        <w:rPr>
          <w:rFonts w:ascii="Times New Roman" w:cs="Times New Roman" w:eastAsia="Times New Roman" w:hAnsi="Times New Roman"/>
          <w:sz w:val="20"/>
          <w:szCs w:val="20"/>
          <w:color w:val="auto"/>
        </w:rPr>
        <w:t>. If any Event of Default occurs and is continuing, the Administrative Agent shall,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or may, with the consent of, the Required Lenders, take any or all of the following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13" w:right="339" w:bottom="1440" w:gutter="0" w:footer="0" w:header="0"/>
        </w:sectPr>
      </w:pPr>
    </w:p>
    <w:bookmarkStart w:id="113" w:name="page114"/>
    <w:bookmarkEnd w:id="113"/>
    <w:p>
      <w:pPr>
        <w:ind w:firstLine="656"/>
        <w:spacing w:after="0" w:line="283" w:lineRule="auto"/>
        <w:tabs>
          <w:tab w:leader="none" w:pos="128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Borrowers Cash Collateralize the L/C Obligations (in an amount equal to the then Outstanding Amount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 and</w:t>
      </w:r>
    </w:p>
    <w:p>
      <w:pPr>
        <w:spacing w:after="0" w:line="200"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6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VIII.3 Application of Funds</w:t>
      </w:r>
      <w:r>
        <w:rPr>
          <w:rFonts w:ascii="Times New Roman" w:cs="Times New Roman" w:eastAsia="Times New Roman" w:hAnsi="Times New Roman"/>
          <w:sz w:val="20"/>
          <w:szCs w:val="20"/>
          <w:color w:val="auto"/>
        </w:rPr>
        <w:t>. 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after the Loans have automatically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be applied by the Administrative Agent in the following order:</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Administrative Agent for the account of the L/C Issuer, to Cash Collateralize that portion of L/C Obligations comprised of the aggregate undrawn amount of Letters of Credit to the extent not otherwise Cash Collateralized by any Borrower pursuant to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9"/>
          <w:szCs w:val="19"/>
          <w:u w:val="single" w:color="auto"/>
          <w:color w:val="auto"/>
        </w:rPr>
        <w:t>Last</w:t>
      </w:r>
      <w:r>
        <w:rPr>
          <w:rFonts w:ascii="Times New Roman" w:cs="Times New Roman" w:eastAsia="Times New Roman" w:hAnsi="Times New Roman"/>
          <w:sz w:val="19"/>
          <w:szCs w:val="19"/>
          <w:color w:val="auto"/>
        </w:rPr>
        <w:t>, the balance, if any, after all of the Obligations have been indefeasibly paid in full, to the Borrowers or as otherwise required by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IX.1 Appointment and Authority</w:t>
      </w:r>
      <w:r>
        <w:rPr>
          <w:rFonts w:ascii="Times New Roman" w:cs="Times New Roman" w:eastAsia="Times New Roman" w:hAnsi="Times New Roman"/>
          <w:sz w:val="20"/>
          <w:szCs w:val="20"/>
          <w:color w:val="auto"/>
        </w:rPr>
        <w:t>. Each of the Lenders and the L/C Issuer hereby irrevocably appoints Bank of America to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IX.2 Rights as a Lender</w:t>
      </w:r>
      <w:r>
        <w:rPr>
          <w:rFonts w:ascii="Times New Roman" w:cs="Times New Roman" w:eastAsia="Times New Roman" w:hAnsi="Times New Roman"/>
          <w:sz w:val="20"/>
          <w:szCs w:val="20"/>
          <w:color w:val="auto"/>
        </w:rPr>
        <w:t>. The Person serving as the Administrative Agent hereunder shall have the same rights and powers in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Borrowers or any Subsidiary or other Affiliate thereof as if such Person were not the Administrative Agent hereunder and without any duty to account therefor to the Lenders or to provide notice or consent of the Lenders with respect thereto.</w:t>
      </w:r>
    </w:p>
    <w:p>
      <w:pPr>
        <w:spacing w:after="0" w:line="1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IX.3 Exculpatory Provisions</w:t>
      </w:r>
      <w:r>
        <w:rPr>
          <w:rFonts w:ascii="Times New Roman" w:cs="Times New Roman" w:eastAsia="Times New Roman" w:hAnsi="Times New Roman"/>
          <w:sz w:val="20"/>
          <w:szCs w:val="20"/>
          <w:color w:val="auto"/>
        </w:rPr>
        <w:t>. Neither the Administrative Agent, the Sustainability Coordinator nor any Arranger, as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any duties or obligations except those expressly set forth herein and in the other Loan Documents, and its duties hereunder shall be administrative in nature. Without limiting the generality of the foregoing, neither the Administrative Agent, the Sustainability Coordinator nor any Arranger, as applicable:</w:t>
      </w:r>
    </w:p>
    <w:p>
      <w:pPr>
        <w:spacing w:after="0" w:line="168"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subject to any fiduciary or other implied duties, regardless of whether a Default has occurred and is continuing;</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72" w:lineRule="exact"/>
        <w:rPr>
          <w:sz w:val="20"/>
          <w:szCs w:val="20"/>
          <w:color w:val="auto"/>
        </w:rPr>
      </w:pPr>
    </w:p>
    <w:p>
      <w:pPr>
        <w:jc w:val="both"/>
        <w:ind w:firstLine="656"/>
        <w:spacing w:after="0" w:line="257" w:lineRule="auto"/>
        <w:tabs>
          <w:tab w:leader="none" w:pos="128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have any duty or responsibility to disclose, nor shall be liable for the failure to disclose, to any Lender, any credit or other information concerning the business, prospects, operations, property, financial or other condition or creditworthiness of any of the Borrowers or any of their respective Affiliates, that is communicated to, or obtained by or in the possession of, the Administrative Agent, the Sustainability Coordinator, any Arranger or any of their Related Parties in any capacity, except for notices, reports and other documents expressly required to be furnished to the Lenders by the Administrative Agent herein;</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7"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Toro, a Lender or the L/C Issuer; or</w:t>
      </w:r>
    </w:p>
    <w:p>
      <w:pPr>
        <w:spacing w:after="0" w:line="19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0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IX.4 Reliance by Administrative Agent</w:t>
      </w:r>
      <w:r>
        <w:rPr>
          <w:rFonts w:ascii="Times New Roman" w:cs="Times New Roman" w:eastAsia="Times New Roman" w:hAnsi="Times New Roman"/>
          <w:sz w:val="20"/>
          <w:szCs w:val="20"/>
          <w:color w:val="auto"/>
        </w:rPr>
        <w:t>. The Administrative Agent shall be entitled to rely upon, and shall not incur any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Toro),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16" w:name="page117"/>
    <w:bookmarkEnd w:id="116"/>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IX.5 Delegation of Duties</w:t>
      </w:r>
      <w:r>
        <w:rPr>
          <w:rFonts w:ascii="Times New Roman" w:cs="Times New Roman" w:eastAsia="Times New Roman" w:hAnsi="Times New Roman"/>
          <w:sz w:val="20"/>
          <w:szCs w:val="20"/>
          <w:color w:val="auto"/>
        </w:rPr>
        <w:t>. The Administrative Agent may perform any and all of its duties and exercise its rights and powers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IX.6 Resignation or Removal of Administrative Agent</w:t>
      </w:r>
      <w:r>
        <w:rPr>
          <w:rFonts w:ascii="Times New Roman" w:cs="Times New Roman" w:eastAsia="Times New Roman" w:hAnsi="Times New Roman"/>
          <w:sz w:val="19"/>
          <w:szCs w:val="19"/>
          <w:color w:val="auto"/>
        </w:rPr>
        <w:t>. The Administrative Agent may at any time give notice of its resignation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Lenders, the L/C Issuer and Toro. Upon receipt of any such notice of resignation, the Required Lenders shall have the right, in consultation with Toro,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9"/>
          <w:szCs w:val="19"/>
          <w:u w:val="single" w:color="auto"/>
          <w:color w:val="auto"/>
        </w:rPr>
        <w:t>Resignation Effective Date</w:t>
      </w:r>
      <w:r>
        <w:rPr>
          <w:rFonts w:ascii="Times New Roman" w:cs="Times New Roman" w:eastAsia="Times New Roman" w:hAnsi="Times New Roman"/>
          <w:sz w:val="19"/>
          <w:szCs w:val="19"/>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179" w:lineRule="exact"/>
        <w:rPr>
          <w:sz w:val="20"/>
          <w:szCs w:val="20"/>
          <w:color w:val="auto"/>
        </w:rPr>
      </w:pPr>
    </w:p>
    <w:p>
      <w:pPr>
        <w:jc w:val="both"/>
        <w:ind w:firstLine="656"/>
        <w:spacing w:after="0" w:line="251" w:lineRule="auto"/>
        <w:tabs>
          <w:tab w:leader="none" w:pos="128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Person serving as Administrative Agent is a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thereof, the Required Lenders may, to the extent permitted by Applicable Law, by notice in writing to Toro and such Person remove such Person as Administrative Agent and, with the consent of Toro unless an Event of Default has occurred and is continuing (such consent not to be unreasonably withheld)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90"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09" w:right="339" w:bottom="1440" w:gutter="0" w:footer="0" w:header="0"/>
        </w:sectPr>
      </w:pPr>
    </w:p>
    <w:bookmarkStart w:id="117" w:name="page118"/>
    <w:bookmarkEnd w:id="117"/>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Agent shall be discharged from all of its duties and obligations hereunder or under the other Loan Documents (if not already discharged therefrom as provided above in this Section). The fees payable by Borrowers to a successor Administrative Agent shall be the same as those payable to its predecessor unless otherwise agreed between Toro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9"/>
          <w:szCs w:val="19"/>
          <w:u w:val="single" w:color="auto"/>
          <w:color w:val="auto"/>
        </w:rPr>
        <w:t>Section 11.04</w:t>
      </w:r>
      <w:r>
        <w:rPr>
          <w:rFonts w:ascii="Times New Roman" w:cs="Times New Roman" w:eastAsia="Times New Roman" w:hAnsi="Times New Roman"/>
          <w:sz w:val="19"/>
          <w:szCs w:val="19"/>
          <w:color w:val="auto"/>
        </w:rPr>
        <w:t xml:space="preserve">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178" w:lineRule="exact"/>
        <w:rPr>
          <w:sz w:val="20"/>
          <w:szCs w:val="20"/>
          <w:color w:val="auto"/>
        </w:rPr>
      </w:pPr>
    </w:p>
    <w:p>
      <w:pPr>
        <w:jc w:val="both"/>
        <w:ind w:firstLine="656"/>
        <w:spacing w:after="0" w:line="249" w:lineRule="auto"/>
        <w:tabs>
          <w:tab w:leader="none" w:pos="128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Toro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b w:val="1"/>
          <w:bCs w:val="1"/>
          <w:color w:val="auto"/>
        </w:rPr>
        <w:t>IX.7 Non-Reliance on the Administrative Agent, the Sustainability Coordinator, the Arrangers and the Other Lenders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Lender and the L/C Issuer expressly acknowledges that none of the Administrative Agent, the Sustainability Coordinator nor any Arranger has made any representation or warranty to it, and that no act by the Administrative Agent, the Sustainability Coordinator nor any Arranger hereafter taken, including any consent to, and acceptance of any assignment or review of the affairs of the Borrowers or any Affiliate thereof, shall be deemed to constitute any representation or warranty by the Administrative Agent, the Sustainability Coordinator or any Arranger to any Lender as to any matter, including whether the Administrative Agent, the Sustainability Coordinator or any Arranger has disclosed material information in their (or their Related Parties’) possession. Each Lender and the L/C Issuer represents to the Administrative Agent, the Sustainability Coordinator and the Arrangers that it has, independently and without reliance upon the Administrative Agent, the Sustainability Coordinator,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Borrowers and their Subsidiaries, and all applicable bank or other regulatory Laws relating to the transactions contemplated hereby, and made its own decision to enter into this Agreement and to extend credit to each of the Borrowers hereunder. Each Lender and the L/C Issuer also acknowledges that it will, independently and without reliance upon the Administrative Agent, the Sustainability Coordinator, any Arranger, any other Lender or any of their Related Parties and based on such documents and information as it shall from time to time deem appropriate, continue to make its own credit analysis, appraisals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50" w:lineRule="auto"/>
        <w:rPr>
          <w:sz w:val="20"/>
          <w:szCs w:val="20"/>
          <w:color w:val="auto"/>
        </w:rPr>
      </w:pPr>
      <w:r>
        <w:rPr>
          <w:rFonts w:ascii="Times New Roman" w:cs="Times New Roman" w:eastAsia="Times New Roman" w:hAnsi="Times New Roman"/>
          <w:sz w:val="20"/>
          <w:szCs w:val="20"/>
          <w:color w:val="auto"/>
        </w:rPr>
        <w:t>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each of the Borrowers.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IX.8 No Other Duties, Etc</w:t>
      </w:r>
      <w:r>
        <w:rPr>
          <w:rFonts w:ascii="Times New Roman" w:cs="Times New Roman" w:eastAsia="Times New Roman" w:hAnsi="Times New Roman"/>
          <w:sz w:val="20"/>
          <w:szCs w:val="20"/>
          <w:color w:val="auto"/>
        </w:rPr>
        <w:t>. Anything herein to the contrary notwithstanding, none of the Sustainability Coordinator, joint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bookrunners, the arrangers, the co-syndication agents or the co-documentation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IX.9 Administrative Agent May File Proofs of Claim</w:t>
      </w:r>
      <w:r>
        <w:rPr>
          <w:rFonts w:ascii="Times New Roman" w:cs="Times New Roman" w:eastAsia="Times New Roman" w:hAnsi="Times New Roman"/>
          <w:sz w:val="20"/>
          <w:szCs w:val="20"/>
          <w:color w:val="auto"/>
        </w:rPr>
        <w:t>. In case of the pendency of any receivership, insolvency, liquidation,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91" w:lineRule="exact"/>
        <w:rPr>
          <w:sz w:val="20"/>
          <w:szCs w:val="20"/>
          <w:color w:val="auto"/>
        </w:rPr>
      </w:pPr>
    </w:p>
    <w:p>
      <w:pPr>
        <w:jc w:val="both"/>
        <w:ind w:firstLine="656"/>
        <w:spacing w:after="0" w:line="253" w:lineRule="auto"/>
        <w:tabs>
          <w:tab w:leader="none" w:pos="128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7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or the L/C Issuer in any such proceeding.</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IX.10 Recovery of Erroneous Payments</w:t>
      </w:r>
      <w:r>
        <w:rPr>
          <w:rFonts w:ascii="Times New Roman" w:cs="Times New Roman" w:eastAsia="Times New Roman" w:hAnsi="Times New Roman"/>
          <w:sz w:val="20"/>
          <w:szCs w:val="20"/>
          <w:color w:val="auto"/>
        </w:rPr>
        <w:t>. Without limitation of any other provision in this Agreement, if at any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makes a payment hereunder in error to any Credit Party, whether or not in respect of an Obligation due and owing by the Borrowers at such time, where such payment is a Rescindable Amount, then in any such event, each Credit Party receiving a Rescindable Amount severally agrees to repay to the Administrative Agent forthwith on demand the Rescindable Amount received by such Credit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IX.11</w:t>
      </w:r>
      <w:r>
        <w:rPr>
          <w:sz w:val="20"/>
          <w:szCs w:val="20"/>
          <w:color w:val="auto"/>
        </w:rPr>
        <w:tab/>
      </w:r>
      <w:r>
        <w:rPr>
          <w:rFonts w:ascii="Times New Roman" w:cs="Times New Roman" w:eastAsia="Times New Roman" w:hAnsi="Times New Roman"/>
          <w:sz w:val="19"/>
          <w:szCs w:val="19"/>
          <w:b w:val="1"/>
          <w:bCs w:val="1"/>
          <w:color w:val="auto"/>
        </w:rPr>
        <w:t>No Lender is an Employee Benefit Plan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4" w:lineRule="auto"/>
        <w:tabs>
          <w:tab w:leader="none" w:pos="128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Toro or any other Loan Party, that at least one of the following is and will be true:</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 or this Agreement;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5"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6"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120" w:name="page121"/>
    <w:bookmarkEnd w:id="120"/>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2" w:lineRule="exact"/>
        <w:rPr>
          <w:sz w:val="20"/>
          <w:szCs w:val="20"/>
          <w:color w:val="auto"/>
        </w:rPr>
      </w:pPr>
    </w:p>
    <w:p>
      <w:pPr>
        <w:ind w:left="660" w:right="20" w:firstLine="644"/>
        <w:spacing w:after="0" w:line="283" w:lineRule="auto"/>
        <w:tabs>
          <w:tab w:leader="none" w:pos="1945"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w:t>
      </w:r>
    </w:p>
    <w:p>
      <w:pPr>
        <w:spacing w:after="0" w:line="1" w:lineRule="exact"/>
        <w:rPr>
          <w:rFonts w:ascii="Times New Roman" w:cs="Times New Roman" w:eastAsia="Times New Roman" w:hAnsi="Times New Roman"/>
          <w:sz w:val="20"/>
          <w:szCs w:val="20"/>
          <w:color w:val="auto"/>
        </w:rPr>
      </w:pP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Toro or any other Loan Party, that none of the Administrative Agent or the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3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GUARANTY</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X.1 The Guaranty</w:t>
      </w:r>
      <w:r>
        <w:rPr>
          <w:rFonts w:ascii="Times New Roman" w:cs="Times New Roman" w:eastAsia="Times New Roman" w:hAnsi="Times New Roman"/>
          <w:sz w:val="20"/>
          <w:szCs w:val="20"/>
          <w:color w:val="auto"/>
        </w:rPr>
        <w:t>. Toro hereby unconditionally guarantees the full and punctual payment (whether at stated maturity,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acceleration or otherwise) of the principal of and interest on each Loan made by the Lenders or any Lender to any Subsidiary Borrower and each Letter of Credit issued by the L/C Issuer for any Subsidiary Borrower, in each case pursuant to this Agreement; and the full and punctual payment of all other amounts payable by any Subsidiary Borrower under this Agreement. Upon failure by any Subsidiary Borrower to pay punctually any such amount, Toro shall forthwith on demand pay the amount not so paid at the place and in the manner specified in this Agreement.</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X.2 Guaranty Unconditional</w:t>
      </w:r>
      <w:r>
        <w:rPr>
          <w:rFonts w:ascii="Times New Roman" w:cs="Times New Roman" w:eastAsia="Times New Roman" w:hAnsi="Times New Roman"/>
          <w:sz w:val="20"/>
          <w:szCs w:val="20"/>
          <w:color w:val="auto"/>
        </w:rPr>
        <w:t>. The obligations of Toro hereunder are a guaranty of payment and not of collection,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unconditional and absolute and, without limiting the generality of the foregoing, shall not be released, discharged or otherwise affected by:</w:t>
      </w:r>
    </w:p>
    <w:p>
      <w:pPr>
        <w:spacing w:after="0" w:line="169" w:lineRule="exact"/>
        <w:rPr>
          <w:sz w:val="20"/>
          <w:szCs w:val="20"/>
          <w:color w:val="auto"/>
        </w:rPr>
      </w:pPr>
    </w:p>
    <w:p>
      <w:pPr>
        <w:ind w:firstLine="656"/>
        <w:spacing w:after="0" w:line="269" w:lineRule="auto"/>
        <w:tabs>
          <w:tab w:leader="none" w:pos="115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extension, renewal, settlement, compromise, waiver or release in respect of any obligation of any Subsidiary Borrower under this Agreement or any Note, by operation of law or otherwise;</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amendment of or supplement to this Agreement or any Note;</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097"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release, non-perfection or invalidity of any direct or indirect security for any obligation of any Subsidiary Borrower under this Agreement or any Note;</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8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corporate existence, structure or ownership of any Subsidiary Borrower, or any insolvency, bankruptcy, reorganization or other similar proceeding affecting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13" w:right="339" w:bottom="1440" w:gutter="0" w:footer="0" w:header="0"/>
        </w:sectPr>
      </w:pPr>
    </w:p>
    <w:bookmarkStart w:id="121" w:name="page122"/>
    <w:bookmarkEnd w:id="121"/>
    <w:p>
      <w:pPr>
        <w:ind w:right="20"/>
        <w:spacing w:after="0" w:line="283" w:lineRule="auto"/>
        <w:rPr>
          <w:sz w:val="20"/>
          <w:szCs w:val="20"/>
          <w:color w:val="auto"/>
        </w:rPr>
      </w:pPr>
      <w:r>
        <w:rPr>
          <w:rFonts w:ascii="Times New Roman" w:cs="Times New Roman" w:eastAsia="Times New Roman" w:hAnsi="Times New Roman"/>
          <w:sz w:val="20"/>
          <w:szCs w:val="20"/>
          <w:color w:val="auto"/>
        </w:rPr>
        <w:t>Subsidiary Borrower or its assets or any resulting release or discharge of any obligation of such Subsidiary Borrower contained in this Agreement or any Note;</w:t>
      </w:r>
    </w:p>
    <w:p>
      <w:pPr>
        <w:spacing w:after="0" w:line="146" w:lineRule="exact"/>
        <w:rPr>
          <w:sz w:val="20"/>
          <w:szCs w:val="20"/>
          <w:color w:val="auto"/>
        </w:rPr>
      </w:pPr>
    </w:p>
    <w:p>
      <w:pPr>
        <w:jc w:val="both"/>
        <w:ind w:firstLine="656"/>
        <w:spacing w:after="0" w:line="261" w:lineRule="auto"/>
        <w:tabs>
          <w:tab w:leader="none" w:pos="116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existence of any claim, set-off or other rights which Toro may have at any time against any Subsidiary Borrower, any Administrative Agent, any Lender or any other corporation or person, whether in connection herewith or any unrelated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prevent the assertion of any such claim by separate suit or compulsory counterclaim;</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6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invalidity or unenforceability relating to or against any Subsidiary Borrower for any reason of this Agreement or any Note, or any provision of Applicable Law or regulation purporting to prohibit the payment by any Subsidiary Borrower of the principal of or interest on any Note or any other amount payable by it under this Agreement; or</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act or omission to act or delay of any kind by any Subsidiary Borrower, the Administrative Agent, any Lender or any other Person or any other circumstance whatsoever which might, but for the provisions of this paragraph, constitute a legal or equitable discharge of Toro’s obligations hereunder.</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The obligations of Toro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are independent of the obligation of any Subsidiary Borrower pursuant to this Agreement or any Note issued by such Subsidiary Borrower and a separate action or actions may be brought and prosecuted against Toro to enforce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irrespective of whether any action is brought against any Subsidiary Borrower or whether any Subsidiary Borrower is joined in any such action or actions.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X.3 Discharge Only Upon Payment In Full; Reinstatement In Certain Circumstances</w:t>
      </w:r>
      <w:r>
        <w:rPr>
          <w:rFonts w:ascii="Times New Roman" w:cs="Times New Roman" w:eastAsia="Times New Roman" w:hAnsi="Times New Roman"/>
          <w:sz w:val="20"/>
          <w:szCs w:val="20"/>
          <w:color w:val="auto"/>
        </w:rPr>
        <w:t>. Toro’s obligations hereunder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remain in full force and effect until all the Commitments shall have terminated and the principal of and interest on the Notes and all other amounts payable by any Subsidiary Borrower under this Agreement shall have been paid in full. If at any time any payment of the principal of or interest on any Note or any other amount payable by any Subsidiary Borrower under this Agreement is rescinded or must be otherwise restored or returned upon the insolvency, bankruptcy or reorganization of such Subsidiary Borrower or otherwise, Toro’s obligations hereunder with respect to such payment shall be reinstated as though such payment had been due but not made at such time.</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X.4 Waiver by Toro</w:t>
      </w:r>
      <w:r>
        <w:rPr>
          <w:rFonts w:ascii="Times New Roman" w:cs="Times New Roman" w:eastAsia="Times New Roman" w:hAnsi="Times New Roman"/>
          <w:sz w:val="20"/>
          <w:szCs w:val="20"/>
          <w:color w:val="auto"/>
        </w:rPr>
        <w:t>. Toro irrevocably waives acceptance hereof, presentment, demand, protest and any notice not provided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as well as any requirement that at any time any action be taken by any Person against any Subsidiary Borrower or any other Person.</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X.5 No Subrogation</w:t>
      </w:r>
      <w:r>
        <w:rPr>
          <w:rFonts w:ascii="Times New Roman" w:cs="Times New Roman" w:eastAsia="Times New Roman" w:hAnsi="Times New Roman"/>
          <w:sz w:val="20"/>
          <w:szCs w:val="20"/>
          <w:color w:val="auto"/>
        </w:rPr>
        <w:t>. Toro shall not exercise any right of subrogation, contribution, indemnity, reimbursement or similar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any payments it makes under this Guaranty until all of the Obligations and any amounts payable under this Guaranty have been indefeasibly paid and performed in full and the Commitments are terminated. If any amounts are paid to Toro in violation of the foregoing limitation, then such amounts shall be held in trust for the benefit of the Lenders and shall forthwith be paid to the Lenders to reduce the amount of the Obligations, whether matured or unmatured.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X.6 Stay of Acceleration</w:t>
      </w:r>
      <w:r>
        <w:rPr>
          <w:rFonts w:ascii="Times New Roman" w:cs="Times New Roman" w:eastAsia="Times New Roman" w:hAnsi="Times New Roman"/>
          <w:sz w:val="20"/>
          <w:szCs w:val="20"/>
          <w:color w:val="auto"/>
        </w:rPr>
        <w:t>. If acceleration of the time for payment of any amount payable by any Subsidiary Borrower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the Notes is stayed upon the insolvency, bankruptcy or reorganization of such Subsidiary Borrower, all such amounts otherwise subject to acceleration under the terms of this Agreement shall nonetheless be payable by Toro hereunder forthwith on demand by the Administrative Agent made at the request of the Required Lenders.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122" w:name="page123"/>
    <w:bookmarkEnd w:id="122"/>
    <w:p>
      <w:pPr>
        <w:spacing w:after="0" w:line="2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XI.1 Amendments, Etc</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2.02(g)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3.03(b)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3.03(c)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unless otherwise expressly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herein, no amendment or waiver of any provision of this Agreement or any other Loan Document, and no consent to any departure by the Borrowers or any other Loan Party therefrom, shall be effective unless in writing signed by the Required Lenders and the Borrowers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191" w:lineRule="exact"/>
        <w:rPr>
          <w:sz w:val="20"/>
          <w:szCs w:val="20"/>
          <w:color w:val="auto"/>
        </w:rPr>
      </w:pPr>
    </w:p>
    <w:p>
      <w:pPr>
        <w:jc w:val="both"/>
        <w:ind w:firstLine="656"/>
        <w:spacing w:after="0" w:line="258" w:lineRule="auto"/>
        <w:tabs>
          <w:tab w:leader="none" w:pos="128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waive any condition set forth in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or, in the case of the initial Credit Extension,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without the written consent of each Lender; or, (ii) without limiting the generality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waive any condition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as to any Credit Extension under a particular Facility without the written consent of the Required Revolving Lenders or the Required Term Lenders, as the case may be;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without the written consent of such Lender, or (ii) extend the expiry date of any Letter of Credit to a date after the Letter of Credit Expiration Date, without the written consent of each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of principal, interest, fees or other amounts due to the Lenders (or any of them) hereunder (excluding mandatory prepayments) or under any other Loan Document without the written consent of each Lender directly affected thereby;</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of the second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78"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without the prior written consent of each Lender directly affected thereby, modify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(ii) without the written consent of (a) if such Facility is the Term Facility, the Required Term Lenders and (b) if such Facility is the Revolving Credit Facility, the Required Revolving Lenders, the order of application of any reduction in the Commitments or any prepayment of Loans among the Facilities from the application thereof set forth in the applicable provisions of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2.06(b)</w:t>
      </w:r>
      <w:r>
        <w:rPr>
          <w:rFonts w:ascii="Times New Roman" w:cs="Times New Roman" w:eastAsia="Times New Roman" w:hAnsi="Times New Roman"/>
          <w:sz w:val="20"/>
          <w:szCs w:val="20"/>
          <w:color w:val="auto"/>
        </w:rPr>
        <w:t>, respectively, in any manner that materially and adversely affects the Lenders under the respective Facility;</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or the definitions of “Alternative Currency” or “Eligible Currency” without the written consent of each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w:t>
      </w:r>
    </w:p>
    <w:p>
      <w:pPr>
        <w:spacing w:after="0" w:line="200"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(i) any provision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83" w:lineRule="auto"/>
        <w:rPr>
          <w:sz w:val="20"/>
          <w:szCs w:val="20"/>
          <w:color w:val="auto"/>
        </w:rPr>
      </w:pPr>
      <w:r>
        <w:rPr>
          <w:rFonts w:ascii="Times New Roman" w:cs="Times New Roman" w:eastAsia="Times New Roman" w:hAnsi="Times New Roman"/>
          <w:sz w:val="20"/>
          <w:szCs w:val="20"/>
          <w:color w:val="auto"/>
        </w:rPr>
        <w:t xml:space="preserve">than the definitions specified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11.01(g)</w:t>
      </w:r>
      <w:r>
        <w:rPr>
          <w:rFonts w:ascii="Times New Roman" w:cs="Times New Roman" w:eastAsia="Times New Roman" w:hAnsi="Times New Roman"/>
          <w:sz w:val="20"/>
          <w:szCs w:val="20"/>
          <w:color w:val="auto"/>
        </w:rPr>
        <w:t>), without the written consent of each Lender or (ii) the definition of “Required Revolving Lenders,” or “Required Term Lenders,” without the written consent of each Lender under the applicable Facility;</w:t>
      </w:r>
    </w:p>
    <w:p>
      <w:pPr>
        <w:spacing w:after="0" w:line="146" w:lineRule="exact"/>
        <w:rPr>
          <w:sz w:val="20"/>
          <w:szCs w:val="20"/>
          <w:color w:val="auto"/>
        </w:rPr>
      </w:pPr>
    </w:p>
    <w:p>
      <w:pPr>
        <w:jc w:val="both"/>
        <w:ind w:firstLine="656"/>
        <w:spacing w:after="0" w:line="261" w:lineRule="auto"/>
        <w:tabs>
          <w:tab w:leader="none" w:pos="128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and materially adversely affect the rights of Lenders holding Commitments or Loans of one Class differently from the rights of Lenders holding Commitments or Loans of any other Class without the written consent of the Required Revolving Lenders or the Required Term Lenders, as applicable;</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any greater restriction on the ability of any Lender under a Facility to assign any of its rights or obligations hereunder without the written consent of (i) if such Facility is the Term Facility, the Required Term Lenders, and (ii) if such Facility is the Revolving Credit Facility, the Required Revolving Lenders;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Toro from the Guaranty without the written consent of each Lender;</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Toro acting together identify any ambiguity, omission, mistake, typographical error or other defect in any provision of this Agreement or any other Loan Document (including the schedules and exhibits thereto), then the Administrative Agent and Toro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XI.2</w:t>
        <w:tab/>
        <w:t>Notices; Effectiveness; Electronic Communication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53" w:lineRule="auto"/>
        <w:tabs>
          <w:tab w:leader="none" w:pos="128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electronic communication as follows, and all notices and other communications expressly permitted hereunder to be given by telephone shall be made to the applicable telephone number,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13" w:right="339" w:bottom="1440" w:gutter="0" w:footer="0" w:header="0"/>
        </w:sectPr>
      </w:pPr>
    </w:p>
    <w:bookmarkStart w:id="124" w:name="page125"/>
    <w:bookmarkEnd w:id="124"/>
    <w:p>
      <w:pPr>
        <w:ind w:left="660" w:firstLine="644"/>
        <w:spacing w:after="0" w:line="283" w:lineRule="auto"/>
        <w:tabs>
          <w:tab w:leader="none" w:pos="195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Borrowers, the Administrative Agent, the L/C Issuer or the Swing Line Lender, to the address, electronic mail address or telephone number specified for such Person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56"/>
        <w:spacing w:after="0" w:line="253" w:lineRule="auto"/>
        <w:tabs>
          <w:tab w:leader="none" w:pos="12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L/C Issuer, the Swing Line Lender or Toro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9"/>
          <w:szCs w:val="19"/>
          <w:u w:val="single" w:color="auto"/>
          <w:color w:val="auto"/>
        </w:rPr>
        <w:t>clause</w:t>
      </w:r>
    </w:p>
    <w:p>
      <w:pPr>
        <w:spacing w:after="0" w:line="2" w:lineRule="exact"/>
        <w:rPr>
          <w:sz w:val="20"/>
          <w:szCs w:val="20"/>
          <w:color w:val="auto"/>
        </w:rPr>
      </w:pPr>
    </w:p>
    <w:p>
      <w:pPr>
        <w:ind w:left="240" w:hanging="232"/>
        <w:spacing w:after="0"/>
        <w:tabs>
          <w:tab w:leader="none" w:pos="240" w:val="left"/>
        </w:tabs>
        <w:numPr>
          <w:ilvl w:val="0"/>
          <w:numId w:val="1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w:t>
      </w:r>
    </w:p>
    <w:p>
      <w:pPr>
        <w:spacing w:after="0" w:line="6" w:lineRule="exact"/>
        <w:rPr>
          <w:rFonts w:ascii="Times New Roman" w:cs="Times New Roman" w:eastAsia="Times New Roman" w:hAnsi="Times New Roman"/>
          <w:sz w:val="20"/>
          <w:szCs w:val="20"/>
          <w:u w:val="single" w:color="auto"/>
          <w:color w:val="auto"/>
        </w:rPr>
      </w:pPr>
    </w:p>
    <w:p>
      <w:pPr>
        <w:ind w:firstLine="8"/>
        <w:spacing w:after="0" w:line="267" w:lineRule="auto"/>
        <w:tabs>
          <w:tab w:leader="none" w:pos="236" w:val="left"/>
        </w:tabs>
        <w:numPr>
          <w:ilvl w:val="0"/>
          <w:numId w:val="1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61" w:lineRule="exact"/>
        <w:rPr>
          <w:rFonts w:ascii="Times New Roman" w:cs="Times New Roman" w:eastAsia="Times New Roman" w:hAnsi="Times New Roman"/>
          <w:sz w:val="20"/>
          <w:szCs w:val="20"/>
          <w:u w:val="single" w:color="auto"/>
          <w:color w:val="auto"/>
        </w:rPr>
      </w:pPr>
    </w:p>
    <w:p>
      <w:pPr>
        <w:ind w:left="1300" w:hanging="644"/>
        <w:spacing w:after="0"/>
        <w:tabs>
          <w:tab w:leader="none" w:pos="130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8" w:lineRule="exact"/>
        <w:rPr>
          <w:rFonts w:ascii="Times New Roman" w:cs="Times New Roman" w:eastAsia="Times New Roman" w:hAnsi="Times New Roman"/>
          <w:sz w:val="20"/>
          <w:szCs w:val="20"/>
          <w:color w:val="auto"/>
        </w:rPr>
      </w:pP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any Borrower, any Lender, the L/C Issuer or any other Person for losses, claims, damages, liabilities or expenses of any kind (whether in tort, contract or otherwise) (x) arising out of any Borrower’s or the Administrative Agent’s transmission of Borrower Materials or notices through the Platform, any other electronic platform or electronic messaging service, or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96" w:lineRule="exact"/>
        <w:rPr>
          <w:sz w:val="20"/>
          <w:szCs w:val="20"/>
          <w:color w:val="auto"/>
        </w:rPr>
      </w:pPr>
    </w:p>
    <w:p>
      <w:pPr>
        <w:jc w:val="both"/>
        <w:ind w:firstLine="656"/>
        <w:spacing w:after="0" w:line="249" w:lineRule="auto"/>
        <w:tabs>
          <w:tab w:leader="none" w:pos="12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Borrowers, the Administrative Agent, the L/C Issuer and the Swing Line Lender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Toro, the Administrative Agent, the L/C Issuer and the Swing Line Lender.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20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6"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XI.3 No Waiver; Cumulative Remedies; Enforcement</w:t>
      </w:r>
      <w:r>
        <w:rPr>
          <w:rFonts w:ascii="Times New Roman" w:cs="Times New Roman" w:eastAsia="Times New Roman" w:hAnsi="Times New Roman"/>
          <w:sz w:val="20"/>
          <w:szCs w:val="20"/>
          <w:color w:val="auto"/>
        </w:rPr>
        <w:t>. No failure by any Lender, the L/C Issuer or the Administrative Agent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1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auto"/>
        </w:rPr>
        <w:t>privileges herein provided are cumulative and not exclusive of any rights, remedies, powers and privileges provided by law.</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XI.4</w:t>
        <w:tab/>
        <w:t>Expenses; Indemnity; Damage Waiver</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49" w:lineRule="auto"/>
        <w:tabs>
          <w:tab w:leader="none" w:pos="128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96"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Toro</w:t>
      </w:r>
      <w:r>
        <w:rPr>
          <w:rFonts w:ascii="Times New Roman" w:cs="Times New Roman" w:eastAsia="Times New Roman" w:hAnsi="Times New Roman"/>
          <w:sz w:val="20"/>
          <w:szCs w:val="20"/>
          <w:color w:val="auto"/>
        </w:rPr>
        <w:t>. The Borrowers shall indemnify the Administrative Agent (and any sub-agent thereof), the Sustainability Coordinator, each Arranger, each Lender and the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(including, without limitation, the Indemnitee’s reliance on any Communication executed using an Electronic Signature, or in the form of an Electronic Record), the performance by the parties hereto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Toro or any other Loan Party, and regardless of whether any Indemnitee is a party thereto, </w:t>
      </w:r>
      <w:r>
        <w:rPr>
          <w:rFonts w:ascii="Times New Roman" w:cs="Times New Roman" w:eastAsia="Times New Roman" w:hAnsi="Times New Roman"/>
          <w:sz w:val="20"/>
          <w:szCs w:val="20"/>
          <w:b w:val="1"/>
          <w:bCs w:val="1"/>
          <w:color w:val="auto"/>
        </w:rPr>
        <w:t>IN ALL CASES, WHETHER OR</w:t>
      </w:r>
    </w:p>
    <w:p>
      <w:pPr>
        <w:spacing w:after="0" w:line="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NOT CAUSED BY OR ARISING, IN WHOLE OR IN PART, OUT OF THE COMPARATIVE, CONTRIBUTORY OR SOLE NEGLIGENCE OF THE INDEMNITEE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such indemnity shall not, as to any Indemnitee, be available to the extent that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losses, claims, damages, liabilities or related expenses (x) are determined by a court of competent jurisdiction by final and nonappealable judgment to have resulted from the gross negligence or willful misconduct of such Indemnitee or (y) result from a claim brought by Toro or any other Loan Party against an Indemnitee for breach in bad faith of such Indemnitee’s obligations hereunder or under any other Loan Document, if Toro or such other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81" w:lineRule="exact"/>
        <w:rPr>
          <w:sz w:val="20"/>
          <w:szCs w:val="20"/>
          <w:color w:val="auto"/>
        </w:rPr>
      </w:pPr>
    </w:p>
    <w:p>
      <w:pPr>
        <w:jc w:val="both"/>
        <w:ind w:firstLine="656"/>
        <w:spacing w:after="0" w:line="251" w:lineRule="auto"/>
        <w:tabs>
          <w:tab w:leader="none" w:pos="128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Borrowers for any reason fail to indefeasibly pay any amount required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shall be liable for any damages arising from the use by unintended recipients of any information or other materials obtained by such unintended recipients by such Indemnitee through interception or misdirection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61" w:lineRule="auto"/>
        <w:rPr>
          <w:sz w:val="20"/>
          <w:szCs w:val="20"/>
          <w:color w:val="auto"/>
        </w:rPr>
      </w:pPr>
      <w:r>
        <w:rPr>
          <w:rFonts w:ascii="Times New Roman" w:cs="Times New Roman" w:eastAsia="Times New Roman" w:hAnsi="Times New Roman"/>
          <w:sz w:val="20"/>
          <w:szCs w:val="20"/>
          <w:color w:val="auto"/>
        </w:rPr>
        <w:t>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1"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thirty days after demand therefor.</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agreements in this Section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5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XI.5 Payments Set Aside</w:t>
      </w:r>
      <w:r>
        <w:rPr>
          <w:rFonts w:ascii="Times New Roman" w:cs="Times New Roman" w:eastAsia="Times New Roman" w:hAnsi="Times New Roman"/>
          <w:sz w:val="20"/>
          <w:szCs w:val="20"/>
          <w:color w:val="auto"/>
        </w:rPr>
        <w:t>. To the extent that any payment by or on behalf of any Borrower is made to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preceding sentence shall survive the payment in full of the Obligations and the termination of this Agreement.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XI.6</w:t>
        <w:tab/>
        <w:t>Successors and Assigns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56"/>
        <w:spacing w:after="0" w:line="250" w:lineRule="auto"/>
        <w:tabs>
          <w:tab w:leader="none" w:pos="128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(ii) by way of participation in accordance with the provisions of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or (iii) by way of pledge or assignment of a security interest subject to the restrictions of </w:t>
      </w:r>
      <w:r>
        <w:rPr>
          <w:rFonts w:ascii="Times New Roman" w:cs="Times New Roman" w:eastAsia="Times New Roman" w:hAnsi="Times New Roman"/>
          <w:sz w:val="20"/>
          <w:szCs w:val="20"/>
          <w:u w:val="single" w:color="auto"/>
          <w:color w:val="auto"/>
        </w:rPr>
        <w:t>subsection (f)</w:t>
      </w:r>
      <w:r>
        <w:rPr>
          <w:rFonts w:ascii="Times New Roman" w:cs="Times New Roman" w:eastAsia="Times New Roman" w:hAnsi="Times New Roman"/>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9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participations in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13" w:right="339" w:bottom="1440" w:gutter="0" w:footer="0" w:header="0"/>
        </w:sectPr>
      </w:pPr>
    </w:p>
    <w:bookmarkStart w:id="129" w:name="page130"/>
    <w:bookmarkEnd w:id="129"/>
    <w:p>
      <w:pPr>
        <w:spacing w:after="0" w:line="283" w:lineRule="auto"/>
        <w:rPr>
          <w:sz w:val="20"/>
          <w:szCs w:val="20"/>
          <w:color w:val="auto"/>
        </w:rPr>
      </w:pPr>
      <w:r>
        <w:rPr>
          <w:rFonts w:ascii="Times New Roman" w:cs="Times New Roman" w:eastAsia="Times New Roman" w:hAnsi="Times New Roman"/>
          <w:sz w:val="20"/>
          <w:szCs w:val="20"/>
          <w:color w:val="auto"/>
        </w:rPr>
        <w:t xml:space="preserve">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46" w:lineRule="exact"/>
        <w:rPr>
          <w:sz w:val="20"/>
          <w:szCs w:val="20"/>
          <w:color w:val="auto"/>
        </w:rPr>
      </w:pPr>
    </w:p>
    <w:p>
      <w:pPr>
        <w:ind w:left="1940" w:hanging="636"/>
        <w:spacing w:after="0"/>
        <w:tabs>
          <w:tab w:leader="none" w:pos="19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Amounts.</w:t>
      </w:r>
    </w:p>
    <w:p>
      <w:pPr>
        <w:spacing w:after="0" w:line="256" w:lineRule="exact"/>
        <w:rPr>
          <w:rFonts w:ascii="Times New Roman" w:cs="Times New Roman" w:eastAsia="Times New Roman" w:hAnsi="Times New Roman"/>
          <w:sz w:val="20"/>
          <w:szCs w:val="20"/>
          <w:color w:val="auto"/>
        </w:rPr>
      </w:pPr>
    </w:p>
    <w:p>
      <w:pPr>
        <w:jc w:val="both"/>
        <w:ind w:left="1300" w:firstLine="652"/>
        <w:spacing w:after="0" w:line="248" w:lineRule="auto"/>
        <w:tabs>
          <w:tab w:leader="none" w:pos="2585"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Loans at the time owing to it under or in the case of an assignment to a Lender, an Affiliate of a Lender or an Approved Fund, no minimum amount need be assigned; and</w:t>
      </w:r>
    </w:p>
    <w:p>
      <w:pPr>
        <w:spacing w:after="0" w:line="221"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587"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subsection (b)(i)(A)</w:t>
      </w:r>
      <w:r>
        <w:rPr>
          <w:rFonts w:ascii="Times New Roman" w:cs="Times New Roman" w:eastAsia="Times New Roman" w:hAnsi="Times New Roman"/>
          <w:sz w:val="20"/>
          <w:szCs w:val="20"/>
          <w:color w:val="auto"/>
        </w:rPr>
        <w:t xml:space="preserve"> of this Section, the aggregate amount of the applicable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Facility, unless each of the Administrative Agent and, so long as no Event of Default has occurred and is continuing, Toro otherwise consents (each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5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apply to the Swing Line Lender’s rights and obligations in respect of Swing Line Loans;</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(i)(B)</w:t>
      </w:r>
      <w:r>
        <w:rPr>
          <w:rFonts w:ascii="Times New Roman" w:cs="Times New Roman" w:eastAsia="Times New Roman" w:hAnsi="Times New Roman"/>
          <w:sz w:val="20"/>
          <w:szCs w:val="20"/>
          <w:color w:val="auto"/>
        </w:rPr>
        <w:t xml:space="preserve"> of this Section and, in addition:</w:t>
      </w:r>
    </w:p>
    <w:p>
      <w:pPr>
        <w:spacing w:after="0" w:line="199" w:lineRule="exact"/>
        <w:rPr>
          <w:rFonts w:ascii="Times New Roman" w:cs="Times New Roman" w:eastAsia="Times New Roman" w:hAnsi="Times New Roman"/>
          <w:sz w:val="20"/>
          <w:szCs w:val="20"/>
          <w:color w:val="auto"/>
        </w:rPr>
      </w:pPr>
    </w:p>
    <w:p>
      <w:pPr>
        <w:jc w:val="both"/>
        <w:ind w:left="1300" w:firstLine="652"/>
        <w:spacing w:after="0" w:line="248" w:lineRule="auto"/>
        <w:tabs>
          <w:tab w:leader="none" w:pos="2585"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consent of Toro (such consent not to be unreasonably withheld)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Toro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Toro’s consent shall be deemed reasonably withheld where such assignment would result in additional or increased costs to any Borrower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w:t>
      </w:r>
    </w:p>
    <w:p>
      <w:pPr>
        <w:spacing w:after="0" w:line="224" w:lineRule="exact"/>
        <w:rPr>
          <w:rFonts w:ascii="Times New Roman" w:cs="Times New Roman" w:eastAsia="Times New Roman" w:hAnsi="Times New Roman"/>
          <w:sz w:val="22"/>
          <w:szCs w:val="22"/>
          <w:color w:val="auto"/>
        </w:rPr>
      </w:pPr>
    </w:p>
    <w:p>
      <w:pPr>
        <w:ind w:left="1300" w:firstLine="652"/>
        <w:spacing w:after="0" w:line="245" w:lineRule="auto"/>
        <w:tabs>
          <w:tab w:leader="none" w:pos="2587"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13" w:right="339" w:bottom="1440" w:gutter="0" w:footer="0" w:header="0"/>
        </w:sectPr>
      </w:pPr>
    </w:p>
    <w:bookmarkStart w:id="130" w:name="page131"/>
    <w:bookmarkEnd w:id="130"/>
    <w:p>
      <w:pPr>
        <w:ind w:left="1300" w:right="20"/>
        <w:spacing w:after="0" w:line="283" w:lineRule="auto"/>
        <w:rPr>
          <w:sz w:val="20"/>
          <w:szCs w:val="20"/>
          <w:color w:val="auto"/>
        </w:rPr>
      </w:pPr>
      <w:r>
        <w:rPr>
          <w:rFonts w:ascii="Times New Roman" w:cs="Times New Roman" w:eastAsia="Times New Roman" w:hAnsi="Times New Roman"/>
          <w:sz w:val="20"/>
          <w:szCs w:val="20"/>
          <w:color w:val="auto"/>
        </w:rPr>
        <w:t>Commitment if such assignment is to a Person that is not a Lender with a Commitment, an Affiliate of such Lender or an Approved Fund with respect to such Lender; and</w:t>
      </w:r>
    </w:p>
    <w:p>
      <w:pPr>
        <w:spacing w:after="0" w:line="173" w:lineRule="exact"/>
        <w:rPr>
          <w:sz w:val="20"/>
          <w:szCs w:val="20"/>
          <w:color w:val="auto"/>
        </w:rPr>
      </w:pPr>
    </w:p>
    <w:p>
      <w:pPr>
        <w:ind w:left="1300" w:firstLine="652"/>
        <w:spacing w:after="0" w:line="259" w:lineRule="auto"/>
        <w:tabs>
          <w:tab w:leader="none" w:pos="2587"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consent of the L/C Issuer and the Swing Line Lender (such consent not to be unreasonably withheld or delayed) shall be required for any assignment in respect of the Revolving Credit Facility.</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9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any Borrower or any Borrower’s Affiliates or Subsidiaries, or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a holding company, investment vehicle or trust for, or owned and operated for the primary benefit of one or more natural persons).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Toro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w:t>
      </w:r>
    </w:p>
    <w:p>
      <w:pPr>
        <w:spacing w:after="0" w:line="192" w:lineRule="exact"/>
        <w:rPr>
          <w:sz w:val="20"/>
          <w:szCs w:val="20"/>
          <w:color w:val="auto"/>
        </w:rPr>
      </w:pPr>
    </w:p>
    <w:p>
      <w:pPr>
        <w:jc w:val="both"/>
        <w:ind w:firstLine="656"/>
        <w:spacing w:after="0" w:line="251" w:lineRule="auto"/>
        <w:tabs>
          <w:tab w:leader="none" w:pos="128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each of the Borrowers and any Lender, at any reasonable time and from time to time upon reasonable prior notice.</w:t>
      </w:r>
    </w:p>
    <w:p>
      <w:pPr>
        <w:spacing w:after="0" w:line="19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any Borrower or any Affiliate or Subsidiary of any Borrower)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without regard to the existence of any participation.</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that affects such Participant. Subject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Section, each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Borrowers’ request and expense, to use reasonable efforts to cooperate with the Borrowers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6" w:lineRule="exact"/>
        <w:rPr>
          <w:sz w:val="20"/>
          <w:szCs w:val="20"/>
          <w:color w:val="auto"/>
        </w:rPr>
      </w:pPr>
    </w:p>
    <w:p>
      <w:pPr>
        <w:jc w:val="both"/>
        <w:ind w:firstLine="656"/>
        <w:spacing w:after="0" w:line="253" w:lineRule="auto"/>
        <w:tabs>
          <w:tab w:leader="none" w:pos="128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upon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Toro’s prior written consent. A Participant that would be a Foreign Lender if it were a Lender shall not be entitled to the benefits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unless Toro is notified of the participation sold to such Participant and such Participant agrees, for the benefit of the Borrowers,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as though it were a Lender.</w:t>
      </w:r>
    </w:p>
    <w:p>
      <w:pPr>
        <w:spacing w:after="0" w:line="19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xml:space="preserve">. Notwithstanding anything to the contrary contained herein, if at any time Bank of America assigns all of its Commitment and Loans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Bank of America may, (i) upon 30 days’ notice to Toro and the Lenders, resign as L/C Issuer and/or (ii) upon 30 days’ notice to Toro, resign as Swing Line Lender. In the event of any such resignation as L/C Issuer or Swing Line Lender, Toro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Toro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53" w:lineRule="auto"/>
        <w:rPr>
          <w:sz w:val="20"/>
          <w:szCs w:val="20"/>
          <w:color w:val="auto"/>
        </w:rPr>
      </w:pPr>
      <w:r>
        <w:rPr>
          <w:rFonts w:ascii="Times New Roman" w:cs="Times New Roman" w:eastAsia="Times New Roman" w:hAnsi="Times New Roman"/>
          <w:sz w:val="20"/>
          <w:szCs w:val="20"/>
          <w:color w:val="auto"/>
        </w:rPr>
        <w:t>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whereupon such substitute letters of credit or other arrangements shall be deemed to be, and the Letters of Credit issued by the retiring L/C Issuer shall cease to be Letters of Credit hereunder.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b w:val="1"/>
          <w:bCs w:val="1"/>
          <w:color w:val="auto"/>
        </w:rPr>
        <w:t>XI.7 Treatment of Certain Information; Confidentiality</w:t>
      </w:r>
      <w:r>
        <w:rPr>
          <w:rFonts w:ascii="Times New Roman" w:cs="Times New Roman" w:eastAsia="Times New Roman" w:hAnsi="Times New Roman"/>
          <w:sz w:val="19"/>
          <w:szCs w:val="19"/>
          <w:color w:val="auto"/>
        </w:rPr>
        <w:t>. Each of the Administrative Agent, the Lenders and the L/C Issuer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agrees to maintain the confidentiality of the Information (as defined below), except that Information may be disclosed (a) to its Affiliates, its auditors and to its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(ii) any actual or prospective counterparty (or its advisors) to any swap or derivative transaction relating to a Borrower and its obligations, (g) on a confidential basis to (i) any rating agency in connection with rating Toro or its Subsidiaries or the credit facilities provided hereunder, (ii) the provider of any Platform or other electronic delivery service used by the Administrative Agent, the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Toro or (i) to the extent such Information</w:t>
      </w:r>
    </w:p>
    <w:p>
      <w:pPr>
        <w:spacing w:after="0" w:line="11" w:lineRule="exact"/>
        <w:rPr>
          <w:sz w:val="20"/>
          <w:szCs w:val="20"/>
          <w:color w:val="auto"/>
        </w:rPr>
      </w:pPr>
    </w:p>
    <w:p>
      <w:pPr>
        <w:jc w:val="both"/>
        <w:ind w:firstLine="8"/>
        <w:spacing w:after="0" w:line="249" w:lineRule="auto"/>
        <w:tabs>
          <w:tab w:leader="none" w:pos="29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publicly available other than as a result of a breach of this Section or (y) becomes available to the Administrative Agent, any Lender, the L/C Issuer or any of their respective Affiliates on a nonconfidential basis from a source other than any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any Borrower or any Subsidiary relating to any Borrower or any Subsidiary or any of their respective businesses, other than any such information that is available to the Administrative Agent, any Lender or the L/C Issuer on a nonconfidential basis prior to disclosure by any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(a) the Information may include material non-public information concerning any Borrower or a Subsidiary, as the case may be, (b) it has developed compliance procedures regarding the use of material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83" w:lineRule="auto"/>
        <w:rPr>
          <w:sz w:val="20"/>
          <w:szCs w:val="20"/>
          <w:color w:val="auto"/>
        </w:rPr>
      </w:pPr>
      <w:r>
        <w:rPr>
          <w:rFonts w:ascii="Times New Roman" w:cs="Times New Roman" w:eastAsia="Times New Roman" w:hAnsi="Times New Roman"/>
          <w:sz w:val="20"/>
          <w:szCs w:val="20"/>
          <w:color w:val="auto"/>
        </w:rPr>
        <w:t>information and (c) it will handle such material non-public information in accordance with Applicable Law, including United States Federal and state securities Laws.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XI.8 Right of Setoff</w:t>
      </w:r>
      <w:r>
        <w:rPr>
          <w:rFonts w:ascii="Times New Roman" w:cs="Times New Roman" w:eastAsia="Times New Roman" w:hAnsi="Times New Roman"/>
          <w:sz w:val="20"/>
          <w:szCs w:val="20"/>
          <w:color w:val="auto"/>
        </w:rPr>
        <w:t>. If an Event of Default shall have occurred and be continuing, each Lender, the L/C Issuer and each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Toro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2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XI.9 Interest Rate Limitation</w:t>
      </w:r>
      <w:r>
        <w:rPr>
          <w:rFonts w:ascii="Times New Roman" w:cs="Times New Roman" w:eastAsia="Times New Roman" w:hAnsi="Times New Roman"/>
          <w:sz w:val="20"/>
          <w:szCs w:val="20"/>
          <w:color w:val="auto"/>
        </w:rPr>
        <w:t>. Notwithstanding anything to the contrary contained in any Loan Document, the interest paid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XI.10 Integration; Effectiveness</w:t>
      </w:r>
      <w:r>
        <w:rPr>
          <w:rFonts w:ascii="Times New Roman" w:cs="Times New Roman" w:eastAsia="Times New Roman" w:hAnsi="Times New Roman"/>
          <w:sz w:val="20"/>
          <w:szCs w:val="20"/>
          <w:color w:val="auto"/>
        </w:rPr>
        <w:t>. This Agreement, the other Loan Documents, and any separate letter agreements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61" w:lineRule="auto"/>
        <w:rPr>
          <w:sz w:val="20"/>
          <w:szCs w:val="20"/>
          <w:color w:val="auto"/>
        </w:rPr>
      </w:pPr>
      <w:r>
        <w:rPr>
          <w:rFonts w:ascii="Times New Roman" w:cs="Times New Roman" w:eastAsia="Times New Roman" w:hAnsi="Times New Roman"/>
          <w:sz w:val="20"/>
          <w:szCs w:val="20"/>
          <w:color w:val="auto"/>
        </w:rPr>
        <w:t>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XI.11 Survival of Representations and Warranties</w:t>
      </w:r>
      <w:r>
        <w:rPr>
          <w:rFonts w:ascii="Times New Roman" w:cs="Times New Roman" w:eastAsia="Times New Roman" w:hAnsi="Times New Roman"/>
          <w:sz w:val="20"/>
          <w:szCs w:val="20"/>
          <w:color w:val="auto"/>
        </w:rPr>
        <w:t>. All representations and warranties made hereunder and in any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XI.12</w:t>
      </w:r>
      <w:r>
        <w:rPr>
          <w:sz w:val="20"/>
          <w:szCs w:val="20"/>
          <w:color w:val="auto"/>
        </w:rPr>
        <w:tab/>
      </w: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any provision of this Agreement or the other Loan Documents is held to be illegal, invalid or unenforceable,</w:t>
      </w:r>
    </w:p>
    <w:p>
      <w:pPr>
        <w:spacing w:after="0" w:line="32" w:lineRule="exact"/>
        <w:rPr>
          <w:sz w:val="20"/>
          <w:szCs w:val="20"/>
          <w:color w:val="auto"/>
        </w:rPr>
      </w:pPr>
    </w:p>
    <w:p>
      <w:pPr>
        <w:jc w:val="both"/>
        <w:ind w:firstLine="8"/>
        <w:spacing w:after="0" w:line="264" w:lineRule="auto"/>
        <w:tabs>
          <w:tab w:leader="none" w:pos="272"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9"/>
          <w:szCs w:val="19"/>
          <w:u w:val="single" w:color="auto"/>
          <w:color w:val="auto"/>
        </w:rPr>
        <w:t>Section 11.12</w:t>
      </w:r>
      <w:r>
        <w:rPr>
          <w:rFonts w:ascii="Times New Roman" w:cs="Times New Roman" w:eastAsia="Times New Roman" w:hAnsi="Times New Roman"/>
          <w:sz w:val="19"/>
          <w:szCs w:val="19"/>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XI.13 Replacement of Lenders</w:t>
      </w:r>
      <w:r>
        <w:rPr>
          <w:rFonts w:ascii="Times New Roman" w:cs="Times New Roman" w:eastAsia="Times New Roman" w:hAnsi="Times New Roman"/>
          <w:sz w:val="20"/>
          <w:szCs w:val="20"/>
          <w:color w:val="auto"/>
        </w:rPr>
        <w:t>. If (i) any Lender requests compensation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(ii) any Borrower is required to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(iii) any Lender is a Non-Consenting Lender (as defined below), or (iv) any Lender is a Defaulting Lender, then Toro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0"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shall have paid to the Administrative Agent the assignment fee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Borrowers (in the case of all other amounts);</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13" w:right="339" w:bottom="1440" w:gutter="0" w:footer="0" w:header="0"/>
        </w:sectPr>
      </w:pPr>
    </w:p>
    <w:bookmarkStart w:id="136" w:name="page137"/>
    <w:bookmarkEnd w:id="136"/>
    <w:p>
      <w:pPr>
        <w:ind w:left="1300" w:hanging="644"/>
        <w:spacing w:after="0"/>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Toro to require such assignment and delegation cease to apply.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For the purposes of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a “Non-Consenting Lender” means a Lender that fails to approve an amendment, waiver or consent requested by Toro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(b) has been approved by the Required Lenders.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party hereto agrees that (a) an assignment required pursuant to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may be effected pursuant to an Assignment and Assumption executed by Toro, the Administrative Agent and the assignee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to the contrary, (i)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XI.14</w:t>
      </w:r>
      <w:r>
        <w:rPr>
          <w:sz w:val="20"/>
          <w:szCs w:val="20"/>
          <w:color w:val="auto"/>
        </w:rPr>
        <w:tab/>
      </w:r>
      <w:r>
        <w:rPr>
          <w:rFonts w:ascii="Times New Roman" w:cs="Times New Roman" w:eastAsia="Times New Roman" w:hAnsi="Times New Roman"/>
          <w:sz w:val="19"/>
          <w:szCs w:val="19"/>
          <w:b w:val="1"/>
          <w:bCs w:val="1"/>
          <w:color w:val="auto"/>
        </w:rPr>
        <w:t>Governing Law; Jurisdiction;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74" w:lineRule="auto"/>
        <w:tabs>
          <w:tab w:leader="none" w:pos="128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56" w:lineRule="exact"/>
        <w:rPr>
          <w:rFonts w:ascii="Times New Roman" w:cs="Times New Roman" w:eastAsia="Times New Roman" w:hAnsi="Times New Roman"/>
          <w:sz w:val="19"/>
          <w:szCs w:val="19"/>
          <w:color w:val="auto"/>
        </w:rPr>
      </w:pPr>
    </w:p>
    <w:p>
      <w:pPr>
        <w:jc w:val="both"/>
        <w:ind w:firstLine="656"/>
        <w:spacing w:after="0" w:line="269" w:lineRule="auto"/>
        <w:tabs>
          <w:tab w:leader="none" w:pos="1284"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50" w:lineRule="auto"/>
        <w:rPr>
          <w:sz w:val="20"/>
          <w:szCs w:val="20"/>
          <w:color w:val="auto"/>
        </w:rPr>
      </w:pPr>
      <w:r>
        <w:rPr>
          <w:rFonts w:ascii="Times New Roman" w:cs="Times New Roman" w:eastAsia="Times New Roman" w:hAnsi="Times New Roman"/>
          <w:sz w:val="20"/>
          <w:szCs w:val="20"/>
          <w:color w:val="auto"/>
        </w:rPr>
        <w:t>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ANY OTHER LOAN PARTY OR ITS PROPERTIES IN THE COURTS OF ANY JURISDICTION.</w:t>
      </w:r>
    </w:p>
    <w:p>
      <w:pPr>
        <w:spacing w:after="0" w:line="200" w:lineRule="exact"/>
        <w:rPr>
          <w:sz w:val="20"/>
          <w:szCs w:val="20"/>
          <w:color w:val="auto"/>
        </w:rPr>
      </w:pPr>
    </w:p>
    <w:p>
      <w:pPr>
        <w:jc w:val="both"/>
        <w:ind w:firstLine="656"/>
        <w:spacing w:after="0" w:line="251" w:lineRule="auto"/>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xml:space="preserve">.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XI.15 Waiver of Jury Trial</w:t>
      </w:r>
      <w:r>
        <w:rPr>
          <w:rFonts w:ascii="Times New Roman" w:cs="Times New Roman" w:eastAsia="Times New Roman" w:hAnsi="Times New Roman"/>
          <w:sz w:val="20"/>
          <w:szCs w:val="20"/>
          <w:color w:val="auto"/>
        </w:rPr>
        <w:t>. EACH PARTY HERETO HEREBY IRREVOCABLY WAIVES, TO THE FULLEST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XI.16 USA PATRIOT Act Notice</w:t>
      </w:r>
      <w:r>
        <w:rPr>
          <w:rFonts w:ascii="Times New Roman" w:cs="Times New Roman" w:eastAsia="Times New Roman" w:hAnsi="Times New Roman"/>
          <w:sz w:val="20"/>
          <w:szCs w:val="20"/>
          <w:color w:val="auto"/>
        </w:rPr>
        <w:t>. Each Lender that is subject to the Act and the Administrative Agent (for itself and not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behalf of any Lender) hereby notifies the Borrowers that pursuant to the requirements of the Act, it is required to obtain, verify and record information that identifies the Borrowers, which information includes the name and address of each Borrower and other information that will allow such Lender or the Administrative Agent, as applicable, to identify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61" w:lineRule="auto"/>
        <w:rPr>
          <w:sz w:val="20"/>
          <w:szCs w:val="20"/>
          <w:color w:val="auto"/>
        </w:rPr>
      </w:pPr>
      <w:r>
        <w:rPr>
          <w:rFonts w:ascii="Times New Roman" w:cs="Times New Roman" w:eastAsia="Times New Roman" w:hAnsi="Times New Roman"/>
          <w:sz w:val="20"/>
          <w:szCs w:val="20"/>
          <w:color w:val="auto"/>
        </w:rPr>
        <w:t>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XI.17</w:t>
      </w:r>
      <w:r>
        <w:rPr>
          <w:sz w:val="20"/>
          <w:szCs w:val="20"/>
          <w:color w:val="auto"/>
        </w:rPr>
        <w:tab/>
      </w:r>
      <w:r>
        <w:rPr>
          <w:rFonts w:ascii="Times New Roman" w:cs="Times New Roman" w:eastAsia="Times New Roman" w:hAnsi="Times New Roman"/>
          <w:sz w:val="19"/>
          <w:szCs w:val="19"/>
          <w:b w:val="1"/>
          <w:bCs w:val="1"/>
          <w:color w:val="auto"/>
        </w:rPr>
        <w:t>Liability of the Borrowers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2" w:lineRule="auto"/>
        <w:tabs>
          <w:tab w:leader="none" w:pos="128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TCC becomes a Borrower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all obligations of Toro and TCC or either one of them under this Agreement and the other Loan Documents to which they are a party, shall be joint and several obligations of Toro and TCC (each of the foregoing, a “</w:t>
      </w:r>
      <w:r>
        <w:rPr>
          <w:rFonts w:ascii="Times New Roman" w:cs="Times New Roman" w:eastAsia="Times New Roman" w:hAnsi="Times New Roman"/>
          <w:sz w:val="20"/>
          <w:szCs w:val="20"/>
          <w:u w:val="single" w:color="auto"/>
          <w:color w:val="auto"/>
        </w:rPr>
        <w:t>Joint Borrower</w:t>
      </w:r>
      <w:r>
        <w:rPr>
          <w:rFonts w:ascii="Times New Roman" w:cs="Times New Roman" w:eastAsia="Times New Roman" w:hAnsi="Times New Roman"/>
          <w:sz w:val="20"/>
          <w:szCs w:val="20"/>
          <w:color w:val="auto"/>
        </w:rPr>
        <w:t xml:space="preserve">”). Only Toro shall be liable as a guarantor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hereof for the obligations of the Subsidiary Borrowers under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hereof. All obligations of the Subsidiary Borrowers (other than TCC) under this Agreement and all of the other Loan Documents shall be several and not joint, the result of which shall be that each such Subsidiary Borrower is obligated to repay only those Loans made by the Lenders to such Subsidiary Borrower and interest, fees, expenses and other obligations owing by such Subsidiary Borrower in connection with such Loans; and no Subsidiary Borrower (other than TCC) shall be liable, jointly with the Borrowers or otherwise, in respect of any Credit Extensions made to, or on behalf of, the Borrowers, or any interest, costs, fees, expenses, taxes, and indemnities related to such Credit Extensions.</w:t>
      </w:r>
    </w:p>
    <w:p>
      <w:pPr>
        <w:spacing w:after="0" w:line="189"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TCC becomes a Borrower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each Joint Borrower agrees that no Lender shall have any responsibility to inquire into the apportionment, allocation or disposition of the proceeds of any Credit Extension as among the Joint Borrowers, and acknowledges that its liability hereunder shall not be reduced or diminished by the identity of the Joint Borrower giving or receiving of notices and other communications, making requests for, or effecting conversions or continuations of, Loans or Letters of Credit, executing and delivering certificates, or receiving or allocating disbursements from the Lenders. Each Joint Borrower acknowledges that the handling of this credit facility on a joint borrowing basis as set forth in this Agreement is solely an accommodation to Joint Borrowers and is done at their request. Each Joint Borrower agrees that no Lender shall incur any liability to any Joint Borrower as a result thereof. Each Joint Borrower represents and warrants to the Lenders that the request for joint handling of the Loans, L/C Obligations and other Obligations made hereunder was made because the Joint Borrowers are engaged in related operations and are interdependent. Each Joint Borrower expects to derive benefit, directly or indirectly, from such availability because the successful operation of Joint Borrowers is dependent on the continued successful performance of the functions of the group.</w:t>
      </w:r>
    </w:p>
    <w:p>
      <w:pPr>
        <w:spacing w:after="0" w:line="186"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(including each Subsidiary Borrower) irrevocably appoints Toro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Borrower hereunder. Any acknowledgment, consent, direction, certification or other action which might otherwise be valid or effective only if given or taken by all Borrowers, or by each Borrower acting singly, shall be valid and effective if given or taken only by Toro, whether or not any such other Borrower joins therein. Any notice, demand, consent, acknowledgement, direction, certification or other communication delivered to Toro in accordance with the terms of this Agreement or any other Loan Document shall be deemed to have been delivered to each Borrower.</w:t>
      </w:r>
    </w:p>
    <w:p>
      <w:pPr>
        <w:spacing w:after="0" w:line="1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XI.18 Judgment Currency</w:t>
      </w:r>
      <w:r>
        <w:rPr>
          <w:rFonts w:ascii="Times New Roman" w:cs="Times New Roman" w:eastAsia="Times New Roman" w:hAnsi="Times New Roman"/>
          <w:sz w:val="20"/>
          <w:szCs w:val="20"/>
          <w:color w:val="auto"/>
        </w:rPr>
        <w:t>. If, for the purposes of obtaining judgment in any court, it is necessary to convert a sum due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other Loan Document in one currency into another currency, the rate of exchange used shall be that at which in accordance with normal banking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50" w:lineRule="auto"/>
        <w:rPr>
          <w:sz w:val="20"/>
          <w:szCs w:val="20"/>
          <w:color w:val="auto"/>
        </w:rPr>
      </w:pPr>
      <w:r>
        <w:rPr>
          <w:rFonts w:ascii="Times New Roman" w:cs="Times New Roman" w:eastAsia="Times New Roman" w:hAnsi="Times New Roman"/>
          <w:sz w:val="20"/>
          <w:szCs w:val="20"/>
          <w:color w:val="auto"/>
        </w:rPr>
        <w:t>the Administrative Agent could purchase the first currency with such other currency on the Business Day preceding that on which final judgment is given. The obligation of each Borrower in respect of any such sum due from it to the Administrative Agent, the L/C Issuer or any Lender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the L/C Issuer or such Lender, as the case may be, of any sum adjudged to be so due in the Judgment Currency, the Administrative Agent, the L/C Issuer or such Lender, as the case may be, may in accordance with normal banking procedures purchase the Agreement Currency with the Judgment Currency. If the amount of the Agreement Currency so purchased is less than the sum originally due to the Administrative Agent, the L/C Issuer or any Lender from any Borrower in the Agreement Currency, such Borrower agrees, as a separate obligation and notwithstanding any such judgment, to indemnify the Administrative Agent, the L/C Issuer or such Lender, as the case may be, against such loss. If the amount of the Agreement Currency so purchased is greater than the sum originally due to the Administrative Agent, the L/C Issuer or any Lender in such currency, the Administrative Agent, the L/C Issuer or such Lender, as the case may be, agrees to return the amount of any excess to such Borrower (or to any other Person who may be entitled thereto under Applicable Law).</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XI.19 Automatic Debits of Principal, Interest, Fees</w:t>
      </w:r>
      <w:r>
        <w:rPr>
          <w:rFonts w:ascii="Times New Roman" w:cs="Times New Roman" w:eastAsia="Times New Roman" w:hAnsi="Times New Roman"/>
          <w:sz w:val="20"/>
          <w:szCs w:val="20"/>
          <w:color w:val="auto"/>
        </w:rPr>
        <w:t>. With respect to any principal, any interest, the Facility Fee, any arrangement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 any letter of credit fee or any other fee, or any other cost or expense (including Attorney Costs) due and payable to the Administrative Agent, Bank of America, the Swing Line Lender, the L/C Issuer or any Arranger under the Loan Documents, the Borrowers hereby irrevocably authorize Bank of America to debit any deposit account of any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XI.20</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XI.21 No Advisory or Fiduciary Responsibility</w:t>
      </w:r>
      <w:r>
        <w:rPr>
          <w:rFonts w:ascii="Times New Roman" w:cs="Times New Roman" w:eastAsia="Times New Roman" w:hAnsi="Times New Roman"/>
          <w:sz w:val="20"/>
          <w:szCs w:val="20"/>
          <w:color w:val="auto"/>
        </w:rPr>
        <w:t>. In connection with all aspects of each transaction contemplated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in 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the Sustainability Coordinator and the Arrangers are arm’s-length commercial transactions between such Borrower, each other Loan Party and their respective Affiliates, on the one hand, and the Administrative Agent, the Sustainability Coordinator and the Arrangers on the other hand, (B) each of such Borrower and the other Loan Parties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(ii)(A) the Administrative Agent, the Sustainability Coordinator and the Arrangers each is and has been acting solely as a principal and, except as expressly agreed in writing by the relevant parties, has not been, is not, and will not be acting as an advisor, agent or fiduciary for such Borrower, any other Loan Party or any of their respective Affiliates or any other Person and (B) neither the Administrative Agent, the Sustainability Coordinator nor the Arrangers has any obligation to such Borrower, any other Loan Party or any of their respective Affiliates with respect to the transactions contemplated hereby except those obligations expressly set forth herein and in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20"/>
          <w:szCs w:val="20"/>
          <w:color w:val="auto"/>
        </w:rPr>
        <w:t>and (iii) the Administrative Agent, the Sustainability Coordinator and the Arrangers and their respective Affiliates may be engaged in a broad range of transactions that involve interests that differ from those of such Borrower, the other Loan Parties and their respective Affiliates, and neither the Administrative Agent, the Sustainability Coordinator nor the Arrangers has any obligation to disclose any of such interests to such Borrower, any other Loan Party or any of their respective Affiliates. To the fullest extent permitted by law, each of the Borrowers and each other Loan Party hereby waives and releases any claims that it may have against the Administrative Agent, the Sustainability Coordinator or any Arranger with respect to any breach or alleged breach of agency or fiduciary duty in connection with any aspect of any transaction contemplated hereby.</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XI.22 Electronic Execution of Assignments and Certain Other Documents</w:t>
      </w:r>
      <w:r>
        <w:rPr>
          <w:rFonts w:ascii="Times New Roman" w:cs="Times New Roman" w:eastAsia="Times New Roman" w:hAnsi="Times New Roman"/>
          <w:sz w:val="20"/>
          <w:szCs w:val="20"/>
          <w:color w:val="auto"/>
        </w:rPr>
        <w:t>. This Agreement, any Loan Document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 including Communications required to be in writing, may be in the form of an Electronic Record and may be executed using Electronic Signatures. Each of the Loan Parties and each of the Administrative Agent and each Credit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the L/C Issuer nor Swing 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without limiting the foregoing, (a) to the extent the Administrative Agent, L/C Issuer and/or Swing 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(b) upon the request of the Administrative Agent or any Credit Party, any Electronic Signature shall be promptly followed by such manually executed counterpart.</w:t>
      </w:r>
    </w:p>
    <w:p>
      <w:pPr>
        <w:spacing w:after="0" w:line="20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83" w:lineRule="auto"/>
        <w:rPr>
          <w:sz w:val="20"/>
          <w:szCs w:val="20"/>
          <w:color w:val="auto"/>
        </w:rPr>
      </w:pPr>
      <w:r>
        <w:rPr>
          <w:rFonts w:ascii="Times New Roman" w:cs="Times New Roman" w:eastAsia="Times New Roman" w:hAnsi="Times New Roman"/>
          <w:sz w:val="20"/>
          <w:szCs w:val="20"/>
          <w:color w:val="auto"/>
        </w:rPr>
        <w:t>telephone and believed by it to be genuine and signed or sent or otherwise authenticated (whether or not such Person in fact meets the requirements set forth in the Loan Documents for being the maker thereof).</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of the Loan Parties and each Credit Party hereby waives (i) any argument, defense or right to contest the legal effect, validity or enforceability of this Agreement and any other Loan Document based solely on the lack of paper original copies of this Agreement and/or such other Loan Document, and (ii) waives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XI.23 ENTIRE AGREEMENT</w:t>
      </w:r>
      <w:r>
        <w:rPr>
          <w:rFonts w:ascii="Times New Roman" w:cs="Times New Roman" w:eastAsia="Times New Roman" w:hAnsi="Times New Roman"/>
          <w:sz w:val="20"/>
          <w:szCs w:val="20"/>
          <w:color w:val="auto"/>
        </w:rPr>
        <w:t>. THIS AGREEMENT AND THE OTHER LOAN DOCUMENTS REPRESENT THE FINAL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AMONG THE PARTIES AND MAY NOT BE CONTRADICTED BY EVIDENCE OF PRIOR, CONTEMPORANEOUS, OR SUBSEQUENT ORAL AGREEMENTS OF THE PARTIES. THERE ARE NO UNWRITTEN ORAL AGREEMENTS AMONG THE PARTIES.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XI.24 Acknowledgement and Consent to Bail-In of Affected Financial Institutions</w:t>
      </w:r>
      <w:r>
        <w:rPr>
          <w:rFonts w:ascii="Times New Roman" w:cs="Times New Roman" w:eastAsia="Times New Roman" w:hAnsi="Times New Roman"/>
          <w:sz w:val="20"/>
          <w:szCs w:val="20"/>
          <w:color w:val="auto"/>
        </w:rPr>
        <w:t>. Notwithstanding anything to the contrary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Loan Document or in any other agreement, arrangement or understanding among any such parties, each party hereto acknowledges that any liability of any Lender or the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firstLine="656"/>
        <w:spacing w:after="0" w:line="283" w:lineRule="auto"/>
        <w:tabs>
          <w:tab w:leader="none" w:pos="128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the L/C Issuer that is an Affected Financial Institution; and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5"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XI.25 Acknowledgement Regarding Any Supported QFCs</w:t>
      </w:r>
      <w:r>
        <w:rPr>
          <w:rFonts w:ascii="Times New Roman" w:cs="Times New Roman" w:eastAsia="Times New Roman" w:hAnsi="Times New Roman"/>
          <w:sz w:val="20"/>
          <w:szCs w:val="20"/>
          <w:color w:val="auto"/>
        </w:rPr>
        <w:t>. To the extent that the Loan Documents provide support, through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1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color w:val="auto"/>
        </w:rPr>
        <w:t>Supported QFC may in fact be stated to be governed by the laws of the State of New York and/or of the United States or any other state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200" w:lineRule="exact"/>
        <w:rPr>
          <w:sz w:val="20"/>
          <w:szCs w:val="20"/>
          <w:color w:val="auto"/>
        </w:rPr>
      </w:pPr>
    </w:p>
    <w:p>
      <w:pPr>
        <w:jc w:val="both"/>
        <w:ind w:firstLine="656"/>
        <w:spacing w:after="0" w:line="251" w:lineRule="auto"/>
        <w:tabs>
          <w:tab w:leader="none" w:pos="128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 the following terms have the following meanings:</w:t>
      </w:r>
    </w:p>
    <w:p>
      <w:pPr>
        <w:spacing w:after="0" w:line="229" w:lineRule="exact"/>
        <w:rPr>
          <w:rFonts w:ascii="Times New Roman" w:cs="Times New Roman" w:eastAsia="Times New Roman" w:hAnsi="Times New Roman"/>
          <w:sz w:val="20"/>
          <w:szCs w:val="20"/>
          <w:color w:val="auto"/>
        </w:rPr>
      </w:pPr>
    </w:p>
    <w:p>
      <w:pPr>
        <w:ind w:left="660" w:firstLine="644"/>
        <w:spacing w:after="0" w:line="283" w:lineRule="auto"/>
        <w:tabs>
          <w:tab w:leader="none" w:pos="1954"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55"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56"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1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i w:val="1"/>
          <w:iCs w:val="1"/>
          <w:color w:val="auto"/>
        </w:rPr>
        <w:t xml:space="preserve">IN WITNESS WHEREOF, </w:t>
      </w:r>
      <w:r>
        <w:rPr>
          <w:rFonts w:ascii="Times New Roman" w:cs="Times New Roman" w:eastAsia="Times New Roman" w:hAnsi="Times New Roman"/>
          <w:sz w:val="19"/>
          <w:szCs w:val="19"/>
          <w:color w:val="auto"/>
        </w:rPr>
        <w:t>the parties hereto have caused this Agreement to be duly executed as of the date first above written.</w:t>
      </w:r>
    </w:p>
    <w:p>
      <w:pPr>
        <w:sectPr>
          <w:pgSz w:w="11900" w:h="16838" w:orient="portrait"/>
          <w:cols w:equalWidth="0" w:num="1">
            <w:col w:w="9980"/>
          </w:cols>
          <w:pgMar w:left="980" w:top="1409" w:right="939" w:bottom="1440" w:gutter="0" w:footer="0" w:header="0"/>
        </w:sectPr>
      </w:pP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THE TORO COMPANY</w:t>
      </w:r>
    </w:p>
    <w:p>
      <w:pPr>
        <w:spacing w:after="0" w:line="24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-10795</wp:posOffset>
            </wp:positionV>
            <wp:extent cx="1123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Angela C. Drake</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VP and Chief Financial Officer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-10795</wp:posOffset>
            </wp:positionV>
            <wp:extent cx="11410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1095" cy="8890"/>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Julie A. Kerekes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Title: Treasurer and Senior Managing Director,</w:t>
      </w:r>
    </w:p>
    <w:p>
      <w:pPr>
        <w:spacing w:after="0" w:line="1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Global Tax and Investor Relations</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TORO LUXEMBOURG S.À R.L.</w:t>
      </w:r>
    </w:p>
    <w:p>
      <w:pPr>
        <w:spacing w:after="0" w:line="26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-10795</wp:posOffset>
            </wp:positionV>
            <wp:extent cx="1141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Julie A. Kerekes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Class A. Manager</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Usama 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-10795</wp:posOffset>
            </wp:positionV>
            <wp:extent cx="900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Usama Ajan</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Class B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980"/>
          </w:cols>
          <w:pgMar w:left="980" w:top="1409" w:right="939" w:bottom="1440" w:gutter="0" w:footer="0" w:header="0"/>
          <w:type w:val="continuous"/>
        </w:sectPr>
      </w:pPr>
    </w:p>
    <w:bookmarkStart w:id="144" w:name="page145"/>
    <w:bookmarkEnd w:id="144"/>
    <w:p>
      <w:pPr>
        <w:ind w:left="2780"/>
        <w:spacing w:after="0"/>
        <w:rPr>
          <w:sz w:val="20"/>
          <w:szCs w:val="20"/>
          <w:color w:val="auto"/>
        </w:rPr>
      </w:pPr>
      <w:r>
        <w:rPr>
          <w:rFonts w:ascii="Times New Roman" w:cs="Times New Roman" w:eastAsia="Times New Roman" w:hAnsi="Times New Roman"/>
          <w:sz w:val="20"/>
          <w:szCs w:val="20"/>
          <w:b w:val="1"/>
          <w:bCs w:val="1"/>
          <w:color w:val="auto"/>
        </w:rPr>
        <w:t>BANK OF AMERICA, 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045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457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Angela Larkin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145" w:name="page146"/>
    <w:bookmarkEnd w:id="145"/>
    <w:p>
      <w:pPr>
        <w:ind w:left="2780"/>
        <w:spacing w:after="0"/>
        <w:rPr>
          <w:sz w:val="20"/>
          <w:szCs w:val="20"/>
          <w:color w:val="auto"/>
        </w:rPr>
      </w:pPr>
      <w:r>
        <w:rPr>
          <w:rFonts w:ascii="Times New Roman" w:cs="Times New Roman" w:eastAsia="Times New Roman" w:hAnsi="Times New Roman"/>
          <w:sz w:val="19"/>
          <w:szCs w:val="19"/>
          <w:b w:val="1"/>
          <w:bCs w:val="1"/>
          <w:color w:val="auto"/>
        </w:rPr>
        <w:t>BANK OF AMERICA, 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Lender, L/C Issuer and Swing Line Lender</w:t>
      </w: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 Quinn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3785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 Quinn Richardson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20"/>
          </w:cols>
          <w:pgMar w:left="1440" w:top="1409" w:right="1439" w:bottom="1440" w:gutter="0" w:footer="0" w:header="0"/>
        </w:sectPr>
      </w:pPr>
    </w:p>
    <w:bookmarkStart w:id="146" w:name="page147"/>
    <w:bookmarkEnd w:id="146"/>
    <w:p>
      <w:pPr>
        <w:ind w:left="2780"/>
        <w:spacing w:after="0"/>
        <w:rPr>
          <w:sz w:val="20"/>
          <w:szCs w:val="20"/>
          <w:color w:val="auto"/>
        </w:rPr>
      </w:pPr>
      <w:r>
        <w:rPr>
          <w:rFonts w:ascii="Times New Roman" w:cs="Times New Roman" w:eastAsia="Times New Roman" w:hAnsi="Times New Roman"/>
          <w:sz w:val="19"/>
          <w:szCs w:val="19"/>
          <w:b w:val="1"/>
          <w:bCs w:val="1"/>
          <w:color w:val="auto"/>
        </w:rPr>
        <w:t xml:space="preserve">U.S. BANK NATIONAL ASSOCIATION, </w:t>
      </w: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Tyrone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204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Tyrone Parker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147" w:name="page148"/>
    <w:bookmarkEnd w:id="147"/>
    <w:p>
      <w:pPr>
        <w:ind w:left="2780"/>
        <w:spacing w:after="0"/>
        <w:rPr>
          <w:sz w:val="20"/>
          <w:szCs w:val="20"/>
          <w:color w:val="auto"/>
        </w:rPr>
      </w:pPr>
      <w:r>
        <w:rPr>
          <w:rFonts w:ascii="Times New Roman" w:cs="Times New Roman" w:eastAsia="Times New Roman" w:hAnsi="Times New Roman"/>
          <w:sz w:val="19"/>
          <w:szCs w:val="19"/>
          <w:b w:val="1"/>
          <w:bCs w:val="1"/>
          <w:color w:val="auto"/>
        </w:rPr>
        <w:t xml:space="preserve">WELLS FARGO BANK, NATIONAL ASSOCIATION, </w:t>
      </w: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Steven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455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5515"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Steven Chen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148" w:name="page149"/>
    <w:bookmarkEnd w:id="148"/>
    <w:p>
      <w:pPr>
        <w:ind w:left="2780"/>
        <w:spacing w:after="0"/>
        <w:rPr>
          <w:sz w:val="20"/>
          <w:szCs w:val="20"/>
          <w:color w:val="auto"/>
        </w:rPr>
      </w:pPr>
      <w:r>
        <w:rPr>
          <w:rFonts w:ascii="Times New Roman" w:cs="Times New Roman" w:eastAsia="Times New Roman" w:hAnsi="Times New Roman"/>
          <w:sz w:val="19"/>
          <w:szCs w:val="19"/>
          <w:b w:val="1"/>
          <w:bCs w:val="1"/>
          <w:color w:val="auto"/>
        </w:rPr>
        <w:t xml:space="preserve">PNC BANK, NATIONAL ASSOCIATION, </w:t>
      </w: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Matthew Schmaling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322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Matthew Schmaling</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149" w:name="page150"/>
    <w:bookmarkEnd w:id="149"/>
    <w:p>
      <w:pPr>
        <w:ind w:left="2780"/>
        <w:spacing w:after="0"/>
        <w:rPr>
          <w:sz w:val="20"/>
          <w:szCs w:val="20"/>
          <w:color w:val="auto"/>
        </w:rPr>
      </w:pPr>
      <w:r>
        <w:rPr>
          <w:rFonts w:ascii="Times New Roman" w:cs="Times New Roman" w:eastAsia="Times New Roman" w:hAnsi="Times New Roman"/>
          <w:sz w:val="20"/>
          <w:szCs w:val="20"/>
          <w:b w:val="1"/>
          <w:bCs w:val="1"/>
          <w:color w:val="auto"/>
        </w:rPr>
        <w:t xml:space="preserve">BMO BANK N.A.,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Manuel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28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Manuel Diaz</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150" w:name="page151"/>
    <w:bookmarkEnd w:id="150"/>
    <w:p>
      <w:pPr>
        <w:ind w:left="2780"/>
        <w:spacing w:after="0"/>
        <w:rPr>
          <w:sz w:val="20"/>
          <w:szCs w:val="20"/>
          <w:color w:val="auto"/>
        </w:rPr>
      </w:pPr>
      <w:r>
        <w:rPr>
          <w:rFonts w:ascii="Times New Roman" w:cs="Times New Roman" w:eastAsia="Times New Roman" w:hAnsi="Times New Roman"/>
          <w:sz w:val="19"/>
          <w:szCs w:val="19"/>
          <w:b w:val="1"/>
          <w:bCs w:val="1"/>
          <w:color w:val="auto"/>
        </w:rPr>
        <w:t xml:space="preserve">HSBC BANK USA, NATIONAL ASSOCIATION, </w:t>
      </w: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Casey Klepsch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2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Casey Klepsch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151" w:name="page152"/>
    <w:bookmarkEnd w:id="151"/>
    <w:p>
      <w:pPr>
        <w:ind w:left="2780"/>
        <w:spacing w:after="0"/>
        <w:rPr>
          <w:sz w:val="20"/>
          <w:szCs w:val="20"/>
          <w:color w:val="auto"/>
        </w:rPr>
      </w:pPr>
      <w:r>
        <w:rPr>
          <w:rFonts w:ascii="Times New Roman" w:cs="Times New Roman" w:eastAsia="Times New Roman" w:hAnsi="Times New Roman"/>
          <w:sz w:val="19"/>
          <w:szCs w:val="19"/>
          <w:b w:val="1"/>
          <w:bCs w:val="1"/>
          <w:color w:val="auto"/>
        </w:rPr>
        <w:t xml:space="preserve">JPMORGAN CHASE BANK, N.A., </w:t>
      </w: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Charles W.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1398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Charles W. Shaw</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152" w:name="page153"/>
    <w:bookmarkEnd w:id="152"/>
    <w:p>
      <w:pPr>
        <w:ind w:left="2780"/>
        <w:spacing w:after="0"/>
        <w:rPr>
          <w:sz w:val="20"/>
          <w:szCs w:val="20"/>
          <w:color w:val="auto"/>
        </w:rPr>
      </w:pPr>
      <w:r>
        <w:rPr>
          <w:rFonts w:ascii="Times New Roman" w:cs="Times New Roman" w:eastAsia="Times New Roman" w:hAnsi="Times New Roman"/>
          <w:sz w:val="20"/>
          <w:szCs w:val="20"/>
          <w:b w:val="1"/>
          <w:bCs w:val="1"/>
          <w:color w:val="auto"/>
        </w:rPr>
        <w:t xml:space="preserve">TRUIST BANK,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Jason Hembree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464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Jason Hembree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Second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sectPr>
      <w:pgSz w:w="11900" w:h="16838" w:orient="portrait"/>
      <w:cols w:equalWidth="0" w:num="1">
        <w:col w:w="9019"/>
      </w:cols>
      <w:pgMar w:left="1440" w:top="1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A"/>
      <w:numFmt w:val="bullet"/>
      <w:start w:val="1"/>
    </w:lvl>
  </w:abstractNum>
  <w:abstractNum w:abstractNumId="2">
    <w:nsid w:val="74DE0EE3"/>
    <w:multiLevelType w:val="hybridMultilevel"/>
    <w:lvl w:ilvl="0">
      <w:lvlJc w:val="left"/>
      <w:lvlText w:val="B"/>
      <w:numFmt w:val="bullet"/>
      <w:start w:val="1"/>
    </w:lvl>
  </w:abstractNum>
  <w:abstractNum w:abstractNumId="3">
    <w:nsid w:val="68EBC550"/>
    <w:multiLevelType w:val="hybridMultilevel"/>
    <w:lvl w:ilvl="0">
      <w:lvlJc w:val="left"/>
      <w:lvlText w:val="F"/>
      <w:numFmt w:val="bullet"/>
      <w:start w:val="1"/>
    </w:lvl>
  </w:abstractNum>
  <w:abstractNum w:abstractNumId="4">
    <w:nsid w:val="2DF6D648"/>
    <w:multiLevelType w:val="hybridMultilevel"/>
    <w:lvl w:ilvl="0">
      <w:lvlJc w:val="left"/>
      <w:lvlText w:val="G"/>
      <w:numFmt w:val="bullet"/>
      <w:start w:val="1"/>
    </w:lvl>
  </w:abstractNum>
  <w:abstractNum w:abstractNumId="5">
    <w:nsid w:val="46B7D447"/>
    <w:multiLevelType w:val="hybridMultilevel"/>
    <w:lvl w:ilvl="0">
      <w:lvlJc w:val="left"/>
      <w:lvlText w:val="(%1)"/>
      <w:numFmt w:val="lowerLetter"/>
      <w:start w:val="1"/>
    </w:lvl>
  </w:abstractNum>
  <w:abstractNum w:abstractNumId="6">
    <w:nsid w:val="4A2AC315"/>
    <w:multiLevelType w:val="hybridMultilevel"/>
    <w:lvl w:ilvl="0">
      <w:lvlJc w:val="left"/>
      <w:lvlText w:val="(%1)"/>
      <w:numFmt w:val="lowerLetter"/>
      <w:start w:val="1"/>
    </w:lvl>
  </w:abstractNum>
  <w:abstractNum w:abstractNumId="7">
    <w:nsid w:val="39EE015C"/>
    <w:multiLevelType w:val="hybridMultilevel"/>
    <w:lvl w:ilvl="0">
      <w:lvlJc w:val="left"/>
      <w:lvlText w:val="(%1)"/>
      <w:numFmt w:val="lowerLetter"/>
      <w:start w:val="1"/>
    </w:lvl>
  </w:abstractNum>
  <w:abstractNum w:abstractNumId="8">
    <w:nsid w:val="57FC4FBB"/>
    <w:multiLevelType w:val="hybridMultilevel"/>
    <w:lvl w:ilvl="0">
      <w:lvlJc w:val="left"/>
      <w:lvlText w:val="(%1)"/>
      <w:numFmt w:val="lowerLetter"/>
      <w:start w:val="3"/>
    </w:lvl>
  </w:abstractNum>
  <w:abstractNum w:abstractNumId="9">
    <w:nsid w:val="CC1016F"/>
    <w:multiLevelType w:val="hybridMultilevel"/>
    <w:lvl w:ilvl="0">
      <w:lvlJc w:val="left"/>
      <w:lvlText w:val="(%1)"/>
      <w:numFmt w:val="lowerRoman"/>
      <w:start w:val="2"/>
    </w:lvl>
  </w:abstractNum>
  <w:abstractNum w:abstractNumId="10">
    <w:nsid w:val="43F18422"/>
    <w:multiLevelType w:val="hybridMultilevel"/>
    <w:lvl w:ilvl="0">
      <w:lvlJc w:val="left"/>
      <w:lvlText w:val="(%1)"/>
      <w:numFmt w:val="lowerLetter"/>
      <w:start w:val="3"/>
    </w:lvl>
  </w:abstractNum>
  <w:abstractNum w:abstractNumId="11">
    <w:nsid w:val="60EF0119"/>
    <w:multiLevelType w:val="hybridMultilevel"/>
    <w:lvl w:ilvl="0">
      <w:lvlJc w:val="left"/>
      <w:lvlText w:val="(%1)"/>
      <w:numFmt w:val="lowerLetter"/>
      <w:start w:val="7"/>
    </w:lvl>
  </w:abstractNum>
  <w:abstractNum w:abstractNumId="12">
    <w:nsid w:val="26F324BA"/>
    <w:multiLevelType w:val="hybridMultilevel"/>
    <w:lvl w:ilvl="0">
      <w:lvlJc w:val="left"/>
      <w:lvlText w:val="(%1)"/>
      <w:numFmt w:val="lowerRoman"/>
      <w:start w:val="2"/>
    </w:lvl>
  </w:abstractNum>
  <w:abstractNum w:abstractNumId="13">
    <w:nsid w:val="7F01579B"/>
    <w:multiLevelType w:val="hybridMultilevel"/>
    <w:lvl w:ilvl="0">
      <w:lvlJc w:val="left"/>
      <w:lvlText w:val="(%1)"/>
      <w:numFmt w:val="lowerLetter"/>
      <w:start w:val="2"/>
    </w:lvl>
  </w:abstractNum>
  <w:abstractNum w:abstractNumId="14">
    <w:nsid w:val="49DA307D"/>
    <w:multiLevelType w:val="hybridMultilevel"/>
    <w:lvl w:ilvl="0">
      <w:lvlJc w:val="left"/>
      <w:lvlText w:val="(%1)"/>
      <w:numFmt w:val="lowerLetter"/>
      <w:start w:val="1"/>
    </w:lvl>
  </w:abstractNum>
  <w:abstractNum w:abstractNumId="15">
    <w:nsid w:val="7055A5F5"/>
    <w:multiLevelType w:val="hybridMultilevel"/>
    <w:lvl w:ilvl="0">
      <w:lvlJc w:val="left"/>
      <w:lvlText w:val="(%1)"/>
      <w:numFmt w:val="lowerRoman"/>
      <w:start w:val="1"/>
    </w:lvl>
  </w:abstractNum>
  <w:abstractNum w:abstractNumId="16">
    <w:nsid w:val="5FB8370B"/>
    <w:multiLevelType w:val="hybridMultilevel"/>
    <w:lvl w:ilvl="0">
      <w:lvlJc w:val="left"/>
      <w:lvlText w:val="(%1)"/>
      <w:numFmt w:val="lowerRoman"/>
      <w:start w:val="2"/>
    </w:lvl>
  </w:abstractNum>
  <w:abstractNum w:abstractNumId="17">
    <w:nsid w:val="50801EE1"/>
    <w:multiLevelType w:val="hybridMultilevel"/>
    <w:lvl w:ilvl="0">
      <w:lvlJc w:val="left"/>
      <w:lvlText w:val="(%1)"/>
      <w:numFmt w:val="lowerLetter"/>
      <w:start w:val="2"/>
    </w:lvl>
  </w:abstractNum>
  <w:abstractNum w:abstractNumId="18">
    <w:nsid w:val="488AC1A"/>
    <w:multiLevelType w:val="hybridMultilevel"/>
    <w:lvl w:ilvl="0">
      <w:lvlJc w:val="left"/>
      <w:lvlText w:val="(%1)"/>
      <w:numFmt w:val="lowerLetter"/>
      <w:start w:val="1"/>
    </w:lvl>
  </w:abstractNum>
  <w:abstractNum w:abstractNumId="19">
    <w:nsid w:val="5FB8011C"/>
    <w:multiLevelType w:val="hybridMultilevel"/>
    <w:lvl w:ilvl="0">
      <w:lvlJc w:val="left"/>
      <w:lvlText w:val="(%1)"/>
      <w:numFmt w:val="lowerLetter"/>
      <w:start w:val="2"/>
    </w:lvl>
  </w:abstractNum>
  <w:abstractNum w:abstractNumId="20">
    <w:nsid w:val="6AA78F7F"/>
    <w:multiLevelType w:val="hybridMultilevel"/>
    <w:lvl w:ilvl="0">
      <w:lvlJc w:val="left"/>
      <w:lvlText w:val="(%1)"/>
      <w:numFmt w:val="lowerLetter"/>
      <w:start w:val="1"/>
    </w:lvl>
  </w:abstractNum>
  <w:abstractNum w:abstractNumId="21">
    <w:nsid w:val="7672BD23"/>
    <w:multiLevelType w:val="hybridMultilevel"/>
    <w:lvl w:ilvl="0">
      <w:lvlJc w:val="left"/>
      <w:lvlText w:val="(%1)"/>
      <w:numFmt w:val="lowerLetter"/>
      <w:start w:val="2"/>
    </w:lvl>
  </w:abstractNum>
  <w:abstractNum w:abstractNumId="22">
    <w:nsid w:val="6FC75AF8"/>
    <w:multiLevelType w:val="hybridMultilevel"/>
    <w:lvl w:ilvl="0">
      <w:lvlJc w:val="left"/>
      <w:lvlText w:val="(%1)"/>
      <w:numFmt w:val="lowerLetter"/>
      <w:start w:val="1"/>
    </w:lvl>
  </w:abstractNum>
  <w:abstractNum w:abstractNumId="23">
    <w:nsid w:val="6A5F7029"/>
    <w:multiLevelType w:val="hybridMultilevel"/>
    <w:lvl w:ilvl="0">
      <w:lvlJc w:val="left"/>
      <w:lvlText w:val="(%1)"/>
      <w:numFmt w:val="lowerLetter"/>
      <w:start w:val="2"/>
    </w:lvl>
    <w:lvl w:ilvl="1">
      <w:lvlJc w:val="left"/>
      <w:lvlText w:val="(%2)"/>
      <w:numFmt w:val="lowerRoman"/>
      <w:start w:val="1"/>
    </w:lvl>
  </w:abstractNum>
  <w:abstractNum w:abstractNumId="24">
    <w:nsid w:val="7D5E18F8"/>
    <w:multiLevelType w:val="hybridMultilevel"/>
    <w:lvl w:ilvl="0">
      <w:lvlJc w:val="left"/>
      <w:lvlText w:val="(%1)"/>
      <w:numFmt w:val="lowerLetter"/>
      <w:start w:val="5"/>
    </w:lvl>
  </w:abstractNum>
  <w:abstractNum w:abstractNumId="25">
    <w:nsid w:val="5F3534A4"/>
    <w:multiLevelType w:val="hybridMultilevel"/>
    <w:lvl w:ilvl="0">
      <w:lvlJc w:val="left"/>
      <w:lvlText w:val="(%1)"/>
      <w:numFmt w:val="lowerLetter"/>
      <w:start w:val="1"/>
    </w:lvl>
  </w:abstractNum>
  <w:abstractNum w:abstractNumId="26">
    <w:nsid w:val="73A1821B"/>
    <w:multiLevelType w:val="hybridMultilevel"/>
    <w:lvl w:ilvl="0">
      <w:lvlJc w:val="left"/>
      <w:lvlText w:val="(%1)"/>
      <w:numFmt w:val="lowerLetter"/>
      <w:start w:val="3"/>
    </w:lvl>
  </w:abstractNum>
  <w:abstractNum w:abstractNumId="27">
    <w:nsid w:val="7DE67713"/>
    <w:multiLevelType w:val="hybridMultilevel"/>
    <w:lvl w:ilvl="0">
      <w:lvlJc w:val="left"/>
      <w:lvlText w:val="(%1)"/>
      <w:numFmt w:val="lowerLetter"/>
      <w:start w:val="1"/>
    </w:lvl>
  </w:abstractNum>
  <w:abstractNum w:abstractNumId="28">
    <w:nsid w:val="555C55B5"/>
    <w:multiLevelType w:val="hybridMultilevel"/>
    <w:lvl w:ilvl="0">
      <w:lvlJc w:val="left"/>
      <w:lvlText w:val="(%1)"/>
      <w:numFmt w:val="lowerLetter"/>
      <w:start w:val="1"/>
    </w:lvl>
  </w:abstractNum>
  <w:abstractNum w:abstractNumId="29">
    <w:nsid w:val="3FA62ACA"/>
    <w:multiLevelType w:val="hybridMultilevel"/>
    <w:lvl w:ilvl="0">
      <w:lvlJc w:val="left"/>
      <w:lvlText w:val="(%1)"/>
      <w:numFmt w:val="lowerLetter"/>
      <w:start w:val="1"/>
    </w:lvl>
  </w:abstractNum>
  <w:abstractNum w:abstractNumId="30">
    <w:nsid w:val="14FCE74E"/>
    <w:multiLevelType w:val="hybridMultilevel"/>
    <w:lvl w:ilvl="0">
      <w:lvlJc w:val="left"/>
      <w:lvlText w:val="(%1)"/>
      <w:numFmt w:val="lowerLetter"/>
      <w:start w:val="2"/>
    </w:lvl>
  </w:abstractNum>
  <w:abstractNum w:abstractNumId="31">
    <w:nsid w:val="6A3DD3E8"/>
    <w:multiLevelType w:val="hybridMultilevel"/>
    <w:lvl w:ilvl="0">
      <w:lvlJc w:val="left"/>
      <w:lvlText w:val="(%1)"/>
      <w:numFmt w:val="lowerLetter"/>
      <w:start w:val="1"/>
    </w:lvl>
  </w:abstractNum>
  <w:abstractNum w:abstractNumId="32">
    <w:nsid w:val="71C91298"/>
    <w:multiLevelType w:val="hybridMultilevel"/>
    <w:lvl w:ilvl="0">
      <w:lvlJc w:val="left"/>
      <w:lvlText w:val="(%1)"/>
      <w:numFmt w:val="lowerLetter"/>
      <w:start w:val="1"/>
    </w:lvl>
  </w:abstractNum>
  <w:abstractNum w:abstractNumId="33">
    <w:nsid w:val="9DAF632"/>
    <w:multiLevelType w:val="hybridMultilevel"/>
    <w:lvl w:ilvl="0">
      <w:lvlJc w:val="left"/>
      <w:lvlText w:val="%1"/>
      <w:numFmt w:val="decimal"/>
      <w:start w:val="1"/>
    </w:lvl>
    <w:lvl w:ilvl="1">
      <w:lvlJc w:val="left"/>
      <w:lvlText w:val="(%2)"/>
      <w:numFmt w:val="lowerLetter"/>
      <w:start w:val="1"/>
    </w:lvl>
  </w:abstractNum>
  <w:abstractNum w:abstractNumId="34">
    <w:nsid w:val="53299938"/>
    <w:multiLevelType w:val="hybridMultilevel"/>
    <w:lvl w:ilvl="0">
      <w:lvlJc w:val="left"/>
      <w:lvlText w:val="(%1)"/>
      <w:numFmt w:val="decimal"/>
      <w:start w:val="5"/>
    </w:lvl>
    <w:lvl w:ilvl="1">
      <w:lvlJc w:val="left"/>
      <w:lvlText w:val="%2"/>
      <w:numFmt w:val="lowerLetter"/>
      <w:start w:val="1"/>
    </w:lvl>
  </w:abstractNum>
  <w:abstractNum w:abstractNumId="35">
    <w:nsid w:val="1FBFE8E0"/>
    <w:multiLevelType w:val="hybridMultilevel"/>
    <w:lvl w:ilvl="0">
      <w:lvlJc w:val="left"/>
      <w:lvlText w:val="(%1)"/>
      <w:numFmt w:val="decimal"/>
      <w:start w:val="1"/>
    </w:lvl>
    <w:lvl w:ilvl="1">
      <w:lvlJc w:val="left"/>
      <w:lvlText w:val="(%2)"/>
      <w:numFmt w:val="lowerLetter"/>
      <w:start w:val="2"/>
    </w:lvl>
  </w:abstractNum>
  <w:abstractNum w:abstractNumId="36">
    <w:nsid w:val="5092CA79"/>
    <w:multiLevelType w:val="hybridMultilevel"/>
    <w:lvl w:ilvl="0">
      <w:lvlJc w:val="left"/>
      <w:lvlText w:val="(%1)"/>
      <w:numFmt w:val="lowerLetter"/>
      <w:start w:val="3"/>
    </w:lvl>
  </w:abstractNum>
  <w:abstractNum w:abstractNumId="37">
    <w:nsid w:val="1D545C4D"/>
    <w:multiLevelType w:val="hybridMultilevel"/>
    <w:lvl w:ilvl="0">
      <w:lvlJc w:val="left"/>
      <w:lvlText w:val="(%1)"/>
      <w:numFmt w:val="lowerLetter"/>
      <w:start w:val="1"/>
    </w:lvl>
    <w:lvl w:ilvl="1">
      <w:lvlJc w:val="left"/>
      <w:lvlText w:val="(%2)"/>
      <w:numFmt w:val="lowerLetter"/>
      <w:start w:val="9"/>
    </w:lvl>
  </w:abstractNum>
  <w:abstractNum w:abstractNumId="38">
    <w:nsid w:val="59ADEA3D"/>
    <w:multiLevelType w:val="hybridMultilevel"/>
    <w:lvl w:ilvl="0">
      <w:lvlJc w:val="left"/>
      <w:lvlText w:val="(%1)"/>
      <w:numFmt w:val="lowerRoman"/>
      <w:start w:val="2"/>
    </w:lvl>
    <w:lvl w:ilvl="1">
      <w:lvlJc w:val="left"/>
      <w:lvlText w:val="(%2)"/>
      <w:numFmt w:val="upperLetter"/>
      <w:start w:val="1"/>
    </w:lvl>
  </w:abstractNum>
  <w:abstractNum w:abstractNumId="39">
    <w:nsid w:val="288F1A3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40">
    <w:nsid w:val="2A155DB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1">
    <w:nsid w:val="1D9F6E5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2">
    <w:nsid w:val="97E1B4E"/>
    <w:multiLevelType w:val="hybridMultilevel"/>
    <w:lvl w:ilvl="0">
      <w:lvlJc w:val="left"/>
      <w:lvlText w:val="(%1)"/>
      <w:numFmt w:val="upperLetter"/>
      <w:start w:val="8"/>
    </w:lvl>
    <w:lvl w:ilvl="1">
      <w:lvlJc w:val="left"/>
      <w:lvlText w:val="(%2)"/>
      <w:numFmt w:val="lowerRoman"/>
      <w:start w:val="2"/>
    </w:lvl>
  </w:abstractNum>
  <w:abstractNum w:abstractNumId="43">
    <w:nsid w:val="51088277"/>
    <w:multiLevelType w:val="hybridMultilevel"/>
    <w:lvl w:ilvl="0">
      <w:lvlJc w:val="left"/>
      <w:lvlText w:val="%1"/>
      <w:numFmt w:val="lowerLetter"/>
      <w:start w:val="1"/>
    </w:lvl>
    <w:lvl w:ilvl="1">
      <w:lvlJc w:val="left"/>
      <w:lvlText w:val="(%2)"/>
      <w:numFmt w:val="lowerRoman"/>
      <w:start w:val="4"/>
    </w:lvl>
  </w:abstractNum>
  <w:abstractNum w:abstractNumId="44">
    <w:nsid w:val="1CA0C5FA"/>
    <w:multiLevelType w:val="hybridMultilevel"/>
    <w:lvl w:ilvl="0">
      <w:lvlJc w:val="left"/>
      <w:lvlText w:val="(%1)"/>
      <w:numFmt w:val="lowerLetter"/>
      <w:start w:val="3"/>
    </w:lvl>
    <w:lvl w:ilvl="1">
      <w:lvlJc w:val="left"/>
      <w:lvlText w:val="(%2)"/>
      <w:numFmt w:val="lowerRoman"/>
      <w:start w:val="1"/>
    </w:lvl>
  </w:abstractNum>
  <w:abstractNum w:abstractNumId="45">
    <w:nsid w:val="53584BCB"/>
    <w:multiLevelType w:val="hybridMultilevel"/>
    <w:lvl w:ilvl="0">
      <w:lvlJc w:val="left"/>
      <w:lvlText w:val="(%1)"/>
      <w:numFmt w:val="lowerRoman"/>
      <w:start w:val="2"/>
    </w:lvl>
  </w:abstractNum>
  <w:abstractNum w:abstractNumId="46">
    <w:nsid w:val="415E286C"/>
    <w:multiLevelType w:val="hybridMultilevel"/>
    <w:lvl w:ilvl="0">
      <w:lvlJc w:val="left"/>
      <w:lvlText w:val="(%1)"/>
      <w:numFmt w:val="lowerRoman"/>
      <w:start w:val="6"/>
    </w:lvl>
  </w:abstractNum>
  <w:abstractNum w:abstractNumId="47">
    <w:nsid w:val="7C58FD05"/>
    <w:multiLevelType w:val="hybridMultilevel"/>
    <w:lvl w:ilvl="0">
      <w:lvlJc w:val="left"/>
      <w:lvlText w:val="(%1)"/>
      <w:numFmt w:val="lowerLetter"/>
      <w:start w:val="4"/>
    </w:lvl>
    <w:lvl w:ilvl="1">
      <w:lvlJc w:val="left"/>
      <w:lvlText w:val="(%2)"/>
      <w:numFmt w:val="lowerRoman"/>
      <w:start w:val="1"/>
    </w:lvl>
  </w:abstractNum>
  <w:abstractNum w:abstractNumId="48">
    <w:nsid w:val="23D86AAC"/>
    <w:multiLevelType w:val="hybridMultilevel"/>
    <w:lvl w:ilvl="0">
      <w:lvlJc w:val="left"/>
      <w:lvlText w:val="(%1)"/>
      <w:numFmt w:val="lowerRoman"/>
      <w:start w:val="4"/>
    </w:lvl>
  </w:abstractNum>
  <w:abstractNum w:abstractNumId="49">
    <w:nsid w:val="45E6D486"/>
    <w:multiLevelType w:val="hybridMultilevel"/>
    <w:lvl w:ilvl="0">
      <w:lvlJc w:val="left"/>
      <w:lvlText w:val="(%1)"/>
      <w:numFmt w:val="lowerLetter"/>
      <w:start w:val="6"/>
    </w:lvl>
  </w:abstractNum>
  <w:abstractNum w:abstractNumId="50">
    <w:nsid w:val="5C10FE21"/>
    <w:multiLevelType w:val="hybridMultilevel"/>
    <w:lvl w:ilvl="0">
      <w:lvlJc w:val="left"/>
      <w:lvlText w:val="(%1)"/>
      <w:numFmt w:val="lowerLetter"/>
      <w:start w:val="7"/>
    </w:lvl>
  </w:abstractNum>
  <w:abstractNum w:abstractNumId="51">
    <w:nsid w:val="E7FFA2B"/>
    <w:multiLevelType w:val="hybridMultilevel"/>
    <w:lvl w:ilvl="0">
      <w:lvlJc w:val="left"/>
      <w:lvlText w:val="(%1)"/>
      <w:numFmt w:val="lowerLetter"/>
      <w:start w:val="10"/>
    </w:lvl>
  </w:abstractNum>
  <w:abstractNum w:abstractNumId="52">
    <w:nsid w:val="3C5991AA"/>
    <w:multiLevelType w:val="hybridMultilevel"/>
    <w:lvl w:ilvl="0">
      <w:lvlJc w:val="left"/>
      <w:lvlText w:val="(%1)"/>
      <w:numFmt w:val="lowerLetter"/>
      <w:start w:val="1"/>
    </w:lvl>
  </w:abstractNum>
  <w:abstractNum w:abstractNumId="53">
    <w:nsid w:val="4BD8591A"/>
    <w:multiLevelType w:val="hybridMultilevel"/>
    <w:lvl w:ilvl="0">
      <w:lvlJc w:val="left"/>
      <w:lvlText w:val="(%1)"/>
      <w:numFmt w:val="lowerLetter"/>
      <w:start w:val="3"/>
    </w:lvl>
    <w:lvl w:ilvl="1">
      <w:lvlJc w:val="left"/>
      <w:lvlText w:val="(%2)"/>
      <w:numFmt w:val="lowerRoman"/>
      <w:start w:val="1"/>
    </w:lvl>
  </w:abstractNum>
  <w:abstractNum w:abstractNumId="54">
    <w:nsid w:val="78DF6A55"/>
    <w:multiLevelType w:val="hybridMultilevel"/>
    <w:lvl w:ilvl="0">
      <w:lvlJc w:val="left"/>
      <w:lvlText w:val="%1"/>
      <w:numFmt w:val="lowerLetter"/>
      <w:start w:val="1"/>
    </w:lvl>
    <w:lvl w:ilvl="1">
      <w:lvlJc w:val="left"/>
      <w:lvlText w:val="(%2)"/>
      <w:numFmt w:val="lowerRoman"/>
      <w:start w:val="4"/>
    </w:lvl>
  </w:abstractNum>
  <w:abstractNum w:abstractNumId="55">
    <w:nsid w:val="39B7AAA2"/>
    <w:multiLevelType w:val="hybridMultilevel"/>
    <w:lvl w:ilvl="0">
      <w:lvlJc w:val="left"/>
      <w:lvlText w:val="(%1)"/>
      <w:numFmt w:val="lowerLetter"/>
      <w:start w:val="4"/>
    </w:lvl>
    <w:lvl w:ilvl="1">
      <w:lvlJc w:val="left"/>
      <w:lvlText w:val="(%2)"/>
      <w:numFmt w:val="lowerRoman"/>
      <w:start w:val="1"/>
    </w:lvl>
  </w:abstractNum>
  <w:abstractNum w:abstractNumId="56">
    <w:nsid w:val="2B0D8DBE"/>
    <w:multiLevelType w:val="hybridMultilevel"/>
    <w:lvl w:ilvl="0">
      <w:lvlJc w:val="left"/>
      <w:lvlText w:val="(%1)"/>
      <w:numFmt w:val="upperLetter"/>
      <w:start w:val="1"/>
    </w:lvl>
  </w:abstractNum>
  <w:abstractNum w:abstractNumId="57">
    <w:nsid w:val="6C80EC70"/>
    <w:multiLevelType w:val="hybridMultilevel"/>
    <w:lvl w:ilvl="0">
      <w:lvlJc w:val="left"/>
      <w:lvlText w:val="%1"/>
      <w:numFmt w:val="lowerLetter"/>
      <w:start w:val="1"/>
    </w:lvl>
    <w:lvl w:ilvl="1">
      <w:lvlJc w:val="left"/>
      <w:lvlText w:val="(%2)"/>
      <w:numFmt w:val="lowerLetter"/>
      <w:start w:val="9"/>
    </w:lvl>
  </w:abstractNum>
  <w:abstractNum w:abstractNumId="58">
    <w:nsid w:val="379E21B5"/>
    <w:multiLevelType w:val="hybridMultilevel"/>
    <w:lvl w:ilvl="0">
      <w:lvlJc w:val="left"/>
      <w:lvlText w:val="(%1)"/>
      <w:numFmt w:val="lowerLetter"/>
      <w:start w:val="1"/>
    </w:lvl>
    <w:lvl w:ilvl="1">
      <w:lvlJc w:val="left"/>
      <w:lvlText w:val="%2"/>
      <w:numFmt w:val="lowerLetter"/>
      <w:start w:val="1"/>
    </w:lvl>
  </w:abstractNum>
  <w:abstractNum w:abstractNumId="59">
    <w:nsid w:val="69E373"/>
    <w:multiLevelType w:val="hybridMultilevel"/>
    <w:lvl w:ilvl="0">
      <w:lvlJc w:val="left"/>
      <w:lvlText w:val="(%1)"/>
      <w:numFmt w:val="lowerLetter"/>
      <w:start w:val="1"/>
    </w:lvl>
  </w:abstractNum>
  <w:abstractNum w:abstractNumId="60">
    <w:nsid w:val="2C27173B"/>
    <w:multiLevelType w:val="hybridMultilevel"/>
    <w:lvl w:ilvl="0">
      <w:lvlJc w:val="left"/>
      <w:lvlText w:val="(%1)"/>
      <w:numFmt w:val="lowerLetter"/>
      <w:start w:val="2"/>
    </w:lvl>
  </w:abstractNum>
  <w:abstractNum w:abstractNumId="61">
    <w:nsid w:val="4C9B0904"/>
    <w:multiLevelType w:val="hybridMultilevel"/>
    <w:lvl w:ilvl="0">
      <w:lvlJc w:val="left"/>
      <w:lvlText w:val="(%1)"/>
      <w:numFmt w:val="lowerLetter"/>
      <w:start w:val="1"/>
    </w:lvl>
  </w:abstractNum>
  <w:abstractNum w:abstractNumId="62">
    <w:nsid w:val="6AA7B75C"/>
    <w:multiLevelType w:val="hybridMultilevel"/>
    <w:lvl w:ilvl="0">
      <w:lvlJc w:val="left"/>
      <w:lvlText w:val="(%1)"/>
      <w:numFmt w:val="lowerLetter"/>
      <w:start w:val="2"/>
    </w:lvl>
  </w:abstractNum>
  <w:abstractNum w:abstractNumId="63">
    <w:nsid w:val="1DF029D3"/>
    <w:multiLevelType w:val="hybridMultilevel"/>
    <w:lvl w:ilvl="0">
      <w:lvlJc w:val="left"/>
      <w:lvlText w:val="(%1)"/>
      <w:numFmt w:val="lowerRoman"/>
      <w:start w:val="5"/>
    </w:lvl>
    <w:lvl w:ilvl="1">
      <w:lvlJc w:val="left"/>
      <w:lvlText w:val="(%2)"/>
      <w:numFmt w:val="lowerLetter"/>
    </w:lvl>
    <w:lvl w:ilvl="2">
      <w:lvlJc w:val="left"/>
      <w:lvlText w:val="(%3)"/>
      <w:numFmt w:val="lowerRoman"/>
      <w:start w:val="1"/>
    </w:lvl>
  </w:abstractNum>
  <w:abstractNum w:abstractNumId="64">
    <w:nsid w:val="5675FF3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5">
    <w:nsid w:val="3DD15094"/>
    <w:multiLevelType w:val="hybridMultilevel"/>
    <w:lvl w:ilvl="0">
      <w:lvlJc w:val="left"/>
      <w:lvlText w:val="(%1)"/>
      <w:numFmt w:val="lowerLetter"/>
      <w:start w:val="1"/>
    </w:lvl>
    <w:lvl w:ilvl="1">
      <w:lvlJc w:val="left"/>
      <w:lvlText w:val="(%2)"/>
      <w:numFmt w:val="lowerLetter"/>
      <w:start w:val="9"/>
    </w:lvl>
  </w:abstractNum>
  <w:abstractNum w:abstractNumId="66">
    <w:nsid w:val="3DB012B3"/>
    <w:multiLevelType w:val="hybridMultilevel"/>
    <w:lvl w:ilvl="0">
      <w:lvlJc w:val="left"/>
      <w:lvlText w:val="(%1)"/>
      <w:numFmt w:val="lowerLetter"/>
      <w:start w:val="1"/>
    </w:lvl>
  </w:abstractNum>
  <w:abstractNum w:abstractNumId="67">
    <w:nsid w:val="2708C9AF"/>
    <w:multiLevelType w:val="hybridMultilevel"/>
    <w:lvl w:ilvl="0">
      <w:lvlJc w:val="left"/>
      <w:lvlText w:val="(%1)"/>
      <w:numFmt w:val="lowerLetter"/>
      <w:start w:val="1"/>
    </w:lvl>
  </w:abstractNum>
  <w:abstractNum w:abstractNumId="68">
    <w:nsid w:val="5B25ACE2"/>
    <w:multiLevelType w:val="hybridMultilevel"/>
    <w:lvl w:ilvl="0">
      <w:lvlJc w:val="left"/>
      <w:lvlText w:val="(%1)"/>
      <w:numFmt w:val="lowerLetter"/>
      <w:start w:val="1"/>
    </w:lvl>
  </w:abstractNum>
  <w:abstractNum w:abstractNumId="69">
    <w:nsid w:val="175DFCF0"/>
    <w:multiLevelType w:val="hybridMultilevel"/>
    <w:lvl w:ilvl="0">
      <w:lvlJc w:val="left"/>
      <w:lvlText w:val="(%1)"/>
      <w:numFmt w:val="lowerRoman"/>
      <w:start w:val="2"/>
    </w:lvl>
  </w:abstractNum>
  <w:abstractNum w:abstractNumId="70">
    <w:nsid w:val="4F97E3E4"/>
    <w:multiLevelType w:val="hybridMultilevel"/>
    <w:lvl w:ilvl="0">
      <w:lvlJc w:val="left"/>
      <w:lvlText w:val="(%1)"/>
      <w:numFmt w:val="lowerLetter"/>
      <w:start w:val="2"/>
    </w:lvl>
  </w:abstractNum>
  <w:abstractNum w:abstractNumId="71">
    <w:nsid w:val="53B0A9E"/>
    <w:multiLevelType w:val="hybridMultilevel"/>
    <w:lvl w:ilvl="0">
      <w:lvlJc w:val="left"/>
      <w:lvlText w:val="(%1)"/>
      <w:numFmt w:val="lowerLetter"/>
      <w:start w:val="1"/>
    </w:lvl>
    <w:lvl w:ilvl="1">
      <w:lvlJc w:val="left"/>
      <w:lvlText w:val="(%2)"/>
      <w:numFmt w:val="lowerRoman"/>
      <w:start w:val="1"/>
    </w:lvl>
  </w:abstractNum>
  <w:abstractNum w:abstractNumId="72">
    <w:nsid w:val="34FD6B4F"/>
    <w:multiLevelType w:val="hybridMultilevel"/>
    <w:lvl w:ilvl="0">
      <w:lvlJc w:val="left"/>
      <w:lvlText w:val="(%1)"/>
      <w:numFmt w:val="lowerLetter"/>
      <w:start w:val="1"/>
    </w:lvl>
  </w:abstractNum>
  <w:abstractNum w:abstractNumId="73">
    <w:nsid w:val="5915FF32"/>
    <w:multiLevelType w:val="hybridMultilevel"/>
    <w:lvl w:ilvl="0">
      <w:lvlJc w:val="left"/>
      <w:lvlText w:val="(%1)"/>
      <w:numFmt w:val="upperLetter"/>
      <w:start w:val="1"/>
    </w:lvl>
  </w:abstractNum>
  <w:abstractNum w:abstractNumId="74">
    <w:nsid w:val="56438D15"/>
    <w:multiLevelType w:val="hybridMultilevel"/>
    <w:lvl w:ilvl="0">
      <w:lvlJc w:val="left"/>
      <w:lvlText w:val="(%1)"/>
      <w:numFmt w:val="lowerLetter"/>
      <w:start w:val="3"/>
    </w:lvl>
    <w:lvl w:ilvl="1">
      <w:lvlJc w:val="left"/>
      <w:lvlText w:val="(%2)"/>
      <w:numFmt w:val="lowerLetter"/>
      <w:start w:val="9"/>
    </w:lvl>
  </w:abstractNum>
  <w:abstractNum w:abstractNumId="75">
    <w:nsid w:val="519E3149"/>
    <w:multiLevelType w:val="hybridMultilevel"/>
    <w:lvl w:ilvl="0">
      <w:lvlJc w:val="left"/>
      <w:lvlText w:val="(%1)"/>
      <w:numFmt w:val="lowerRoman"/>
      <w:start w:val="1"/>
    </w:lvl>
  </w:abstractNum>
  <w:abstractNum w:abstractNumId="76">
    <w:nsid w:val="2C6E4AFD"/>
    <w:multiLevelType w:val="hybridMultilevel"/>
    <w:lvl w:ilvl="0">
      <w:lvlJc w:val="left"/>
      <w:lvlText w:val="(%1)"/>
      <w:numFmt w:val="lowerLetter"/>
      <w:start w:val="4"/>
    </w:lvl>
  </w:abstractNum>
  <w:abstractNum w:abstractNumId="77">
    <w:nsid w:val="17A1B582"/>
    <w:multiLevelType w:val="hybridMultilevel"/>
    <w:lvl w:ilvl="0">
      <w:lvlJc w:val="left"/>
      <w:lvlText w:val="(%1)"/>
      <w:numFmt w:val="lowerLetter"/>
      <w:start w:val="7"/>
    </w:lvl>
  </w:abstractNum>
  <w:abstractNum w:abstractNumId="78">
    <w:nsid w:val="4DF72E4E"/>
    <w:multiLevelType w:val="hybridMultilevel"/>
    <w:lvl w:ilvl="0">
      <w:lvlJc w:val="left"/>
      <w:lvlText w:val="(%1)"/>
      <w:numFmt w:val="lowerLetter"/>
      <w:start w:val="1"/>
    </w:lvl>
  </w:abstractNum>
  <w:abstractNum w:abstractNumId="79">
    <w:nsid w:val="5046B5A9"/>
    <w:multiLevelType w:val="hybridMultilevel"/>
    <w:lvl w:ilvl="0">
      <w:lvlJc w:val="left"/>
      <w:lvlText w:val="(%1)"/>
      <w:numFmt w:val="lowerLetter"/>
      <w:start w:val="1"/>
    </w:lvl>
    <w:lvl w:ilvl="1">
      <w:lvlJc w:val="left"/>
      <w:lvlText w:val="(%2)"/>
      <w:numFmt w:val="lowerRoman"/>
      <w:start w:val="1"/>
    </w:lvl>
  </w:abstractNum>
  <w:abstractNum w:abstractNumId="80">
    <w:nsid w:val="5D888A08"/>
    <w:multiLevelType w:val="hybridMultilevel"/>
    <w:lvl w:ilvl="0">
      <w:lvlJc w:val="left"/>
      <w:lvlText w:val="(%1)"/>
      <w:numFmt w:val="lowerRoman"/>
      <w:start w:val="3"/>
    </w:lvl>
    <w:lvl w:ilvl="1">
      <w:lvlJc w:val="left"/>
      <w:lvlText w:val="(%2)"/>
      <w:numFmt w:val="upperLetter"/>
      <w:start w:val="1"/>
    </w:lvl>
  </w:abstractNum>
  <w:abstractNum w:abstractNumId="81">
    <w:nsid w:val="2A082C70"/>
    <w:multiLevelType w:val="hybridMultilevel"/>
    <w:lvl w:ilvl="0">
      <w:lvlJc w:val="left"/>
      <w:lvlText w:val="%1"/>
      <w:numFmt w:val="lowerLetter"/>
      <w:start w:val="1"/>
    </w:lvl>
    <w:lvl w:ilvl="1">
      <w:lvlJc w:val="left"/>
      <w:lvlText w:val="(%2)"/>
      <w:numFmt w:val="lowerLetter"/>
      <w:start w:val="22"/>
    </w:lvl>
  </w:abstractNum>
  <w:abstractNum w:abstractNumId="82">
    <w:nsid w:val="5EC6AFD4"/>
    <w:multiLevelType w:val="hybridMultilevel"/>
    <w:lvl w:ilvl="0">
      <w:lvlJc w:val="left"/>
      <w:lvlText w:val="(%1)"/>
      <w:numFmt w:val="lowerLetter"/>
      <w:start w:val="2"/>
    </w:lvl>
    <w:lvl w:ilvl="1">
      <w:lvlJc w:val="left"/>
      <w:lvlText w:val="%2"/>
      <w:numFmt w:val="lowerLetter"/>
      <w:start w:val="1"/>
    </w:lvl>
  </w:abstractNum>
  <w:abstractNum w:abstractNumId="83">
    <w:nsid w:val="19E21BB2"/>
    <w:multiLevelType w:val="hybridMultilevel"/>
    <w:lvl w:ilvl="0">
      <w:lvlJc w:val="left"/>
      <w:lvlText w:val="(%1)"/>
      <w:numFmt w:val="lowerRoman"/>
      <w:start w:val="10"/>
    </w:lvl>
  </w:abstractNum>
  <w:abstractNum w:abstractNumId="84">
    <w:nsid w:val="75E0858A"/>
    <w:multiLevelType w:val="hybridMultilevel"/>
    <w:lvl w:ilvl="0">
      <w:lvlJc w:val="left"/>
      <w:lvlText w:val="(%1)"/>
      <w:numFmt w:val="lowerLetter"/>
      <w:start w:val="1"/>
    </w:lvl>
  </w:abstractNum>
  <w:abstractNum w:abstractNumId="85">
    <w:nsid w:val="57A61A29"/>
    <w:multiLevelType w:val="hybridMultilevel"/>
    <w:lvl w:ilvl="0">
      <w:lvlJc w:val="left"/>
      <w:lvlText w:val="(%1)"/>
      <w:numFmt w:val="lowerLetter"/>
      <w:start w:val="2"/>
    </w:lvl>
  </w:abstractNum>
  <w:abstractNum w:abstractNumId="86">
    <w:nsid w:val="5399C654"/>
    <w:multiLevelType w:val="hybridMultilevel"/>
    <w:lvl w:ilvl="0">
      <w:lvlJc w:val="left"/>
      <w:lvlText w:val="(%1)"/>
      <w:numFmt w:val="lowerLetter"/>
      <w:start w:val="1"/>
    </w:lvl>
  </w:abstractNum>
  <w:abstractNum w:abstractNumId="87">
    <w:nsid w:val="20EE1348"/>
    <w:multiLevelType w:val="hybridMultilevel"/>
    <w:lvl w:ilvl="0">
      <w:lvlJc w:val="left"/>
      <w:lvlText w:val="(%1)"/>
      <w:numFmt w:val="lowerLetter"/>
      <w:start w:val="2"/>
    </w:lvl>
  </w:abstractNum>
  <w:abstractNum w:abstractNumId="88">
    <w:nsid w:val="4427069A"/>
    <w:multiLevelType w:val="hybridMultilevel"/>
    <w:lvl w:ilvl="0">
      <w:lvlJc w:val="left"/>
      <w:lvlText w:val="(%1)"/>
      <w:numFmt w:val="lowerLetter"/>
      <w:start w:val="1"/>
    </w:lvl>
    <w:lvl w:ilvl="1">
      <w:lvlJc w:val="left"/>
      <w:lvlText w:val="(%2)"/>
      <w:numFmt w:val="lowerRoman"/>
      <w:start w:val="1"/>
    </w:lvl>
  </w:abstractNum>
  <w:abstractNum w:abstractNumId="89">
    <w:nsid w:val="B37E80A"/>
    <w:multiLevelType w:val="hybridMultilevel"/>
    <w:lvl w:ilvl="0">
      <w:lvlJc w:val="left"/>
      <w:lvlText w:val="(%1)"/>
      <w:numFmt w:val="lowerLetter"/>
      <w:start w:val="2"/>
    </w:lvl>
    <w:lvl w:ilvl="1">
      <w:lvlJc w:val="left"/>
      <w:lvlText w:val="(%2)"/>
      <w:numFmt w:val="lowerRoman"/>
      <w:start w:val="1"/>
    </w:lvl>
  </w:abstractNum>
  <w:abstractNum w:abstractNumId="90">
    <w:nsid w:val="2157F6B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91">
    <w:nsid w:val="704E1DD5"/>
    <w:multiLevelType w:val="hybridMultilevel"/>
    <w:lvl w:ilvl="0">
      <w:lvlJc w:val="left"/>
      <w:lvlText w:val="(%1)"/>
      <w:numFmt w:val="upperLetter"/>
      <w:start w:val="61"/>
    </w:lvl>
  </w:abstractNum>
  <w:abstractNum w:abstractNumId="92">
    <w:nsid w:val="57D2F10E"/>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2"/>
    </w:lvl>
  </w:abstractNum>
  <w:abstractNum w:abstractNumId="93">
    <w:nsid w:val="BFFAE18"/>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94">
    <w:nsid w:val="E3E47A8"/>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95">
    <w:nsid w:val="2E48F044"/>
    <w:multiLevelType w:val="hybridMultilevel"/>
    <w:lvl w:ilvl="0">
      <w:lvlJc w:val="left"/>
      <w:lvlText w:val="%1"/>
      <w:numFmt w:val="lowerLetter"/>
      <w:start w:val="1"/>
    </w:lvl>
    <w:lvl w:ilvl="1">
      <w:lvlJc w:val="left"/>
      <w:lvlText w:val="(%2)"/>
      <w:numFmt w:val="lowerLetter"/>
      <w:start w:val="61"/>
    </w:lvl>
  </w:abstractNum>
  <w:abstractNum w:abstractNumId="96">
    <w:nsid w:val="49D0FEAC"/>
    <w:multiLevelType w:val="hybridMultilevel"/>
    <w:lvl w:ilvl="0">
      <w:lvlJc w:val="left"/>
      <w:lvlText w:val="(%1)"/>
      <w:numFmt w:val="lowerLetter"/>
      <w:start w:val="6"/>
    </w:lvl>
    <w:lvl w:ilvl="1">
      <w:lvlJc w:val="left"/>
      <w:lvlText w:val="%2"/>
      <w:numFmt w:val="lowerLetter"/>
      <w:start w:val="1"/>
    </w:lvl>
  </w:abstractNum>
  <w:abstractNum w:abstractNumId="97">
    <w:nsid w:val="4BEE5A5B"/>
    <w:multiLevelType w:val="hybridMultilevel"/>
    <w:lvl w:ilvl="0">
      <w:lvlJc w:val="left"/>
      <w:lvlText w:val="(%1)"/>
      <w:numFmt w:val="lowerLetter"/>
      <w:start w:val="1"/>
    </w:lvl>
  </w:abstractNum>
  <w:abstractNum w:abstractNumId="98">
    <w:nsid w:val="5551B9F3"/>
    <w:multiLevelType w:val="hybridMultilevel"/>
    <w:lvl w:ilvl="0">
      <w:lvlJc w:val="left"/>
      <w:lvlText w:val="(%1)"/>
      <w:numFmt w:val="lowerLetter"/>
      <w:start w:val="2"/>
    </w:lvl>
    <w:lvl w:ilvl="1">
      <w:lvlJc w:val="left"/>
      <w:lvlText w:val="(%2)"/>
      <w:numFmt w:val="lowerRoman"/>
      <w:start w:val="1"/>
    </w:lvl>
  </w:abstractNum>
  <w:abstractNum w:abstractNumId="99">
    <w:nsid w:val="24F6AB8E"/>
    <w:multiLevelType w:val="hybridMultilevel"/>
    <w:lvl w:ilvl="0">
      <w:lvlJc w:val="left"/>
      <w:lvlText w:val="(%1)"/>
      <w:numFmt w:val="lowerLetter"/>
      <w:start w:val="3"/>
    </w:lvl>
    <w:lvl w:ilvl="1">
      <w:lvlJc w:val="left"/>
      <w:lvlText w:val="(%2)"/>
      <w:numFmt w:val="lowerLetter"/>
      <w:start w:val="9"/>
    </w:lvl>
  </w:abstractNum>
  <w:abstractNum w:abstractNumId="100">
    <w:nsid w:val="634C574C"/>
    <w:multiLevelType w:val="hybridMultilevel"/>
    <w:lvl w:ilvl="0">
      <w:lvlJc w:val="left"/>
      <w:lvlText w:val="(%1)"/>
      <w:numFmt w:val="lowerRoman"/>
      <w:start w:val="4"/>
    </w:lvl>
  </w:abstractNum>
  <w:abstractNum w:abstractNumId="101">
    <w:nsid w:val="24E99DD7"/>
    <w:multiLevelType w:val="hybridMultilevel"/>
    <w:lvl w:ilvl="0">
      <w:lvlJc w:val="left"/>
      <w:lvlText w:val="(%1)"/>
      <w:numFmt w:val="lowerLetter"/>
      <w:start w:val="4"/>
    </w:lvl>
  </w:abstractNum>
  <w:abstractNum w:abstractNumId="102">
    <w:nsid w:val="2A31B62D"/>
    <w:multiLevelType w:val="hybridMultilevel"/>
    <w:lvl w:ilvl="0">
      <w:lvlJc w:val="left"/>
      <w:lvlText w:val="(%1)"/>
      <w:numFmt w:val="lowerLetter"/>
      <w:start w:val="5"/>
    </w:lvl>
  </w:abstractNum>
  <w:abstractNum w:abstractNumId="103">
    <w:nsid w:val="1849C29B"/>
    <w:multiLevelType w:val="hybridMultilevel"/>
    <w:lvl w:ilvl="0">
      <w:lvlJc w:val="left"/>
      <w:lvlText w:val="(%1)"/>
      <w:numFmt w:val="lowerLetter"/>
      <w:start w:val="1"/>
    </w:lvl>
    <w:lvl w:ilvl="1">
      <w:lvlJc w:val="left"/>
      <w:lvlText w:val="(%2)"/>
      <w:numFmt w:val="lowerRoman"/>
      <w:start w:val="1"/>
    </w:lvl>
  </w:abstractNum>
  <w:abstractNum w:abstractNumId="104">
    <w:nsid w:val="7DFF9D09"/>
    <w:multiLevelType w:val="hybridMultilevel"/>
    <w:lvl w:ilvl="0">
      <w:lvlJc w:val="left"/>
      <w:lvlText w:val="(%1)"/>
      <w:numFmt w:val="lowerLetter"/>
      <w:start w:val="2"/>
    </w:lvl>
  </w:abstractNum>
  <w:abstractNum w:abstractNumId="105">
    <w:nsid w:val="754342"/>
    <w:multiLevelType w:val="hybridMultilevel"/>
    <w:lvl w:ilvl="0">
      <w:lvlJc w:val="left"/>
      <w:lvlText w:val="(%1)"/>
      <w:numFmt w:val="lowerLetter"/>
      <w:start w:val="3"/>
    </w:lvl>
  </w:abstractNum>
  <w:abstractNum w:abstractNumId="106">
    <w:nsid w:val="69E7F3E5"/>
    <w:multiLevelType w:val="hybridMultilevel"/>
    <w:lvl w:ilvl="0">
      <w:lvlJc w:val="left"/>
      <w:lvlText w:val="(%1)"/>
      <w:numFmt w:val="lowerLetter"/>
      <w:start w:val="1"/>
    </w:lvl>
  </w:abstractNum>
  <w:abstractNum w:abstractNumId="107">
    <w:nsid w:val="2A6DE806"/>
    <w:multiLevelType w:val="hybridMultilevel"/>
    <w:lvl w:ilvl="0">
      <w:lvlJc w:val="left"/>
      <w:lvlText w:val="(%1)"/>
      <w:numFmt w:val="lowerLetter"/>
      <w:start w:val="4"/>
    </w:lvl>
  </w:abstractNum>
  <w:abstractNum w:abstractNumId="108">
    <w:nsid w:val="1816F8C4"/>
    <w:multiLevelType w:val="hybridMultilevel"/>
    <w:lvl w:ilvl="0">
      <w:lvlJc w:val="left"/>
      <w:lvlText w:val="(%1)"/>
      <w:numFmt w:val="lowerLetter"/>
      <w:start w:val="1"/>
    </w:lvl>
  </w:abstractNum>
  <w:abstractNum w:abstractNumId="109">
    <w:nsid w:val="37DF2233"/>
    <w:multiLevelType w:val="hybridMultilevel"/>
    <w:lvl w:ilvl="0">
      <w:lvlJc w:val="left"/>
      <w:lvlText w:val="(%1)"/>
      <w:numFmt w:val="lowerLetter"/>
      <w:start w:val="1"/>
    </w:lvl>
    <w:lvl w:ilvl="1">
      <w:lvlJc w:val="left"/>
      <w:lvlText w:val="(%2)"/>
      <w:numFmt w:val="lowerRoman"/>
      <w:start w:val="1"/>
    </w:lvl>
  </w:abstractNum>
  <w:abstractNum w:abstractNumId="110">
    <w:nsid w:val="7AB49DAF"/>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2"/>
    </w:lvl>
  </w:abstractNum>
  <w:abstractNum w:abstractNumId="111">
    <w:nsid w:val="759F82C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2">
    <w:nsid w:val="61E74EA3"/>
    <w:multiLevelType w:val="hybridMultilevel"/>
    <w:lvl w:ilvl="0">
      <w:lvlJc w:val="left"/>
      <w:lvlText w:val="(%1)"/>
      <w:numFmt w:val="lowerLetter"/>
      <w:start w:val="1"/>
    </w:lvl>
  </w:abstractNum>
  <w:abstractNum w:abstractNumId="113">
    <w:nsid w:val="597B4D84"/>
    <w:multiLevelType w:val="hybridMultilevel"/>
    <w:lvl w:ilvl="0">
      <w:lvlJc w:val="left"/>
      <w:lvlText w:val="(%1)"/>
      <w:numFmt w:val="lowerLetter"/>
      <w:start w:val="1"/>
    </w:lvl>
  </w:abstractNum>
  <w:abstractNum w:abstractNumId="114">
    <w:nsid w:val="F819E7F"/>
    <w:multiLevelType w:val="hybridMultilevel"/>
    <w:lvl w:ilvl="0">
      <w:lvlJc w:val="left"/>
      <w:lvlText w:val="%1"/>
      <w:numFmt w:val="lowerLetter"/>
      <w:start w:val="1"/>
    </w:lvl>
    <w:lvl w:ilvl="1">
      <w:lvlJc w:val="left"/>
      <w:lvlText w:val="(%2)"/>
      <w:numFmt w:val="lowerLetter"/>
      <w:start w:val="1"/>
    </w:lvl>
  </w:abstractNum>
  <w:abstractNum w:abstractNumId="115">
    <w:nsid w:val="57C7D42D"/>
    <w:multiLevelType w:val="hybridMultilevel"/>
    <w:lvl w:ilvl="0">
      <w:lvlJc w:val="left"/>
      <w:lvlText w:val="(%1)"/>
      <w:numFmt w:val="lowerLetter"/>
      <w:start w:val="9"/>
    </w:lvl>
    <w:lvl w:ilvl="1">
      <w:lvlJc w:val="left"/>
      <w:lvlText w:val="(%2)"/>
      <w:numFmt w:val="lowerLetter"/>
      <w:start w:val="3"/>
    </w:lvl>
  </w:abstractNum>
  <w:abstractNum w:abstractNumId="116">
    <w:nsid w:val="312167AD"/>
    <w:multiLevelType w:val="hybridMultilevel"/>
    <w:lvl w:ilvl="0">
      <w:lvlJc w:val="left"/>
      <w:lvlText w:val="(%1)"/>
      <w:numFmt w:val="lowerLetter"/>
      <w:start w:val="1"/>
    </w:lvl>
  </w:abstractNum>
  <w:abstractNum w:abstractNumId="117">
    <w:nsid w:val="631B64D4"/>
    <w:multiLevelType w:val="hybridMultilevel"/>
    <w:lvl w:ilvl="0">
      <w:lvlJc w:val="left"/>
      <w:lvlText w:val="(%1)"/>
      <w:numFmt w:val="lowerLetter"/>
      <w:start w:val="2"/>
    </w:lvl>
  </w:abstractNum>
  <w:abstractNum w:abstractNumId="118">
    <w:nsid w:val="78B5E776"/>
    <w:multiLevelType w:val="hybridMultilevel"/>
    <w:lvl w:ilvl="0">
      <w:lvlJc w:val="left"/>
      <w:lvlText w:val="(%1)"/>
      <w:numFmt w:val="lowerLetter"/>
      <w:start w:val="1"/>
    </w:lvl>
  </w:abstractNum>
  <w:abstractNum w:abstractNumId="119">
    <w:nsid w:val="75486E47"/>
    <w:multiLevelType w:val="hybridMultilevel"/>
    <w:lvl w:ilvl="0">
      <w:lvlJc w:val="left"/>
      <w:lvlText w:val="(%1)"/>
      <w:numFmt w:val="lowerLetter"/>
      <w:start w:val="2"/>
    </w:lvl>
  </w:abstractNum>
  <w:abstractNum w:abstractNumId="120">
    <w:nsid w:val="6E534CDE"/>
    <w:multiLevelType w:val="hybridMultilevel"/>
    <w:lvl w:ilvl="0">
      <w:lvlJc w:val="left"/>
      <w:lvlText w:val="(%1)"/>
      <w:numFmt w:val="lowerLetter"/>
      <w:start w:val="1"/>
    </w:lvl>
  </w:abstractNum>
  <w:abstractNum w:abstractNumId="121">
    <w:nsid w:val="1A0DDE32"/>
    <w:multiLevelType w:val="hybridMultilevel"/>
    <w:lvl w:ilvl="0">
      <w:lvlJc w:val="left"/>
      <w:lvlText w:val="(%1)"/>
      <w:numFmt w:val="lowerLetter"/>
      <w:start w:val="1"/>
    </w:lvl>
  </w:abstractNum>
  <w:abstractNum w:abstractNumId="122">
    <w:nsid w:val="65968C1C"/>
    <w:multiLevelType w:val="hybridMultilevel"/>
    <w:lvl w:ilvl="0">
      <w:lvlJc w:val="left"/>
      <w:lvlText w:val="(%1)"/>
      <w:numFmt w:val="lowerLetter"/>
      <w:start w:val="2"/>
    </w:lvl>
  </w:abstractNum>
  <w:abstractNum w:abstractNumId="123">
    <w:nsid w:val="46263DEC"/>
    <w:multiLevelType w:val="hybridMultilevel"/>
    <w:lvl w:ilvl="0">
      <w:lvlJc w:val="left"/>
      <w:lvlText w:val="(%1)"/>
      <w:numFmt w:val="lowerLetter"/>
      <w:start w:val="1"/>
    </w:lvl>
  </w:abstractNum>
  <w:abstractNum w:abstractNumId="124">
    <w:nsid w:val="260D8C4A"/>
    <w:multiLevelType w:val="hybridMultilevel"/>
    <w:lvl w:ilvl="0">
      <w:lvlJc w:val="left"/>
      <w:lvlText w:val="(%1)"/>
      <w:numFmt w:val="lowerLetter"/>
      <w:start w:val="1"/>
    </w:lvl>
  </w:abstractNum>
  <w:abstractNum w:abstractNumId="125">
    <w:nsid w:val="73D4D3C4"/>
    <w:multiLevelType w:val="hybridMultilevel"/>
    <w:lvl w:ilvl="0">
      <w:lvlJc w:val="left"/>
      <w:lvlText w:val="(%1)"/>
      <w:numFmt w:val="lowerLetter"/>
      <w:start w:val="23"/>
    </w:lvl>
  </w:abstractNum>
  <w:abstractNum w:abstractNumId="126">
    <w:nsid w:val="746F2E30"/>
    <w:multiLevelType w:val="hybridMultilevel"/>
    <w:lvl w:ilvl="0">
      <w:lvlJc w:val="left"/>
      <w:lvlText w:val="(%1)"/>
      <w:numFmt w:val="lowerLetter"/>
      <w:start w:val="1"/>
    </w:lvl>
  </w:abstractNum>
  <w:abstractNum w:abstractNumId="127">
    <w:nsid w:val="6FDE8AF6"/>
    <w:multiLevelType w:val="hybridMultilevel"/>
    <w:lvl w:ilvl="0">
      <w:lvlJc w:val="left"/>
      <w:lvlText w:val="(%1)"/>
      <w:numFmt w:val="lowerLetter"/>
      <w:start w:val="3"/>
    </w:lvl>
    <w:lvl w:ilvl="1">
      <w:lvlJc w:val="left"/>
      <w:lvlText w:val="(%2)"/>
      <w:numFmt w:val="lowerRoman"/>
      <w:start w:val="1"/>
    </w:lvl>
  </w:abstractNum>
  <w:abstractNum w:abstractNumId="128">
    <w:nsid w:val="3FC32E20"/>
    <w:multiLevelType w:val="hybridMultilevel"/>
    <w:lvl w:ilvl="0">
      <w:lvlJc w:val="left"/>
      <w:lvlText w:val="(%1)"/>
      <w:numFmt w:val="lowerLetter"/>
      <w:start w:val="1"/>
    </w:lvl>
  </w:abstractNum>
  <w:abstractNum w:abstractNumId="129">
    <w:nsid w:val="49C0E823"/>
    <w:multiLevelType w:val="hybridMultilevel"/>
    <w:lvl w:ilvl="0">
      <w:lvlJc w:val="left"/>
      <w:lvlText w:val="%1"/>
      <w:numFmt w:val="lowerLetter"/>
      <w:start w:val="1"/>
    </w:lvl>
    <w:lvl w:ilvl="1">
      <w:lvlJc w:val="left"/>
      <w:lvlText w:val="(%2)"/>
      <w:numFmt w:val="lowerLetter"/>
      <w:start w:val="7"/>
    </w:lvl>
  </w:abstractNum>
  <w:abstractNum w:abstractNumId="130">
    <w:nsid w:val="14D53685"/>
    <w:multiLevelType w:val="hybridMultilevel"/>
    <w:lvl w:ilvl="0">
      <w:lvlJc w:val="left"/>
      <w:lvlText w:val="(%1)"/>
      <w:numFmt w:val="lowerLetter"/>
      <w:start w:val="9"/>
    </w:lvl>
    <w:lvl w:ilvl="1">
      <w:lvlJc w:val="left"/>
      <w:lvlText w:val="(%2)"/>
      <w:numFmt w:val="lowerLetter"/>
      <w:start w:val="12"/>
    </w:lvl>
  </w:abstractNum>
  <w:abstractNum w:abstractNumId="131">
    <w:nsid w:val="230F856C"/>
    <w:multiLevelType w:val="hybridMultilevel"/>
    <w:lvl w:ilvl="0">
      <w:lvlJc w:val="left"/>
      <w:lvlText w:val="(%1)"/>
      <w:numFmt w:val="lowerLetter"/>
      <w:start w:val="1"/>
    </w:lvl>
  </w:abstractNum>
  <w:abstractNum w:abstractNumId="132">
    <w:nsid w:val="6EAA85FB"/>
    <w:multiLevelType w:val="hybridMultilevel"/>
    <w:lvl w:ilvl="0">
      <w:lvlJc w:val="left"/>
      <w:lvlText w:val="%1"/>
      <w:numFmt w:val="upperLetter"/>
      <w:start w:val="1"/>
    </w:lvl>
    <w:lvl w:ilvl="1">
      <w:lvlJc w:val="left"/>
      <w:lvlText w:val="(%2)"/>
      <w:numFmt w:val="lowerLetter"/>
      <w:start w:val="5"/>
    </w:lvl>
  </w:abstractNum>
  <w:abstractNum w:abstractNumId="133">
    <w:nsid w:val="3F06ECB2"/>
    <w:multiLevelType w:val="hybridMultilevel"/>
    <w:lvl w:ilvl="0">
      <w:lvlJc w:val="left"/>
      <w:lvlText w:val="(%1)"/>
      <w:numFmt w:val="upperLetter"/>
      <w:start w:val="5"/>
    </w:lvl>
    <w:lvl w:ilvl="1">
      <w:lvlJc w:val="left"/>
      <w:lvlText w:val="(%2)"/>
      <w:numFmt w:val="lowerLetter"/>
      <w:start w:val="9"/>
    </w:lvl>
  </w:abstractNum>
  <w:abstractNum w:abstractNumId="134">
    <w:nsid w:val="3B594807"/>
    <w:multiLevelType w:val="hybridMultilevel"/>
    <w:lvl w:ilvl="0">
      <w:lvlJc w:val="left"/>
      <w:lvlText w:val="(%1)"/>
      <w:numFmt w:val="lowerLetter"/>
      <w:start w:val="1"/>
    </w:lvl>
  </w:abstractNum>
  <w:abstractNum w:abstractNumId="135">
    <w:nsid w:val="6CAA2304"/>
    <w:multiLevelType w:val="hybridMultilevel"/>
    <w:lvl w:ilvl="0">
      <w:lvlJc w:val="left"/>
      <w:lvlText w:val="(%1)"/>
      <w:numFmt w:val="lowerLetter"/>
      <w:start w:val="1"/>
    </w:lvl>
  </w:abstractNum>
  <w:abstractNum w:abstractNumId="136">
    <w:nsid w:val="3F7C2FF4"/>
    <w:multiLevelType w:val="hybridMultilevel"/>
    <w:lvl w:ilvl="0">
      <w:lvlJc w:val="left"/>
      <w:lvlText w:val="(%1)"/>
      <w:numFmt w:val="lowerLetter"/>
      <w:start w:val="1"/>
    </w:lvl>
  </w:abstractNum>
  <w:abstractNum w:abstractNumId="137">
    <w:nsid w:val="25413BEC"/>
    <w:multiLevelType w:val="hybridMultilevel"/>
    <w:lvl w:ilvl="0">
      <w:lvlJc w:val="left"/>
      <w:lvlText w:val="(%1)"/>
      <w:numFmt w:val="lowerLetter"/>
      <w:start w:val="4"/>
    </w:lvl>
  </w:abstractNum>
  <w:abstractNum w:abstractNumId="138">
    <w:nsid w:val="17180B0B"/>
    <w:multiLevelType w:val="hybridMultilevel"/>
    <w:lvl w:ilvl="0">
      <w:lvlJc w:val="left"/>
      <w:lvlText w:val="(%1)"/>
      <w:numFmt w:val="lowerLetter"/>
      <w:start w:val="7"/>
    </w:lvl>
  </w:abstractNum>
  <w:abstractNum w:abstractNumId="139">
    <w:nsid w:val="579328B9"/>
    <w:multiLevelType w:val="hybridMultilevel"/>
    <w:lvl w:ilvl="0">
      <w:lvlJc w:val="left"/>
      <w:lvlText w:val="(%1)"/>
      <w:numFmt w:val="lowerLetter"/>
      <w:start w:val="1"/>
    </w:lvl>
  </w:abstractNum>
  <w:abstractNum w:abstractNumId="140">
    <w:nsid w:val="5D205E20"/>
    <w:multiLevelType w:val="hybridMultilevel"/>
    <w:lvl w:ilvl="0">
      <w:lvlJc w:val="left"/>
      <w:lvlText w:val="(%1)"/>
      <w:numFmt w:val="lowerLetter"/>
      <w:start w:val="1"/>
    </w:lvl>
  </w:abstractNum>
  <w:abstractNum w:abstractNumId="141">
    <w:nsid w:val="11CCA8BA"/>
    <w:multiLevelType w:val="hybridMultilevel"/>
    <w:lvl w:ilvl="0">
      <w:lvlJc w:val="left"/>
      <w:lvlText w:val="(%1)"/>
      <w:numFmt w:val="lowerLetter"/>
      <w:start w:val="3"/>
    </w:lvl>
  </w:abstractNum>
  <w:abstractNum w:abstractNumId="142">
    <w:nsid w:val="4D32AB86"/>
    <w:multiLevelType w:val="hybridMultilevel"/>
    <w:lvl w:ilvl="0">
      <w:lvlJc w:val="left"/>
      <w:lvlText w:val="(%1)"/>
      <w:numFmt w:val="lowerLetter"/>
      <w:start w:val="1"/>
    </w:lvl>
  </w:abstractNum>
  <w:abstractNum w:abstractNumId="143">
    <w:nsid w:val="3F07ACC3"/>
    <w:multiLevelType w:val="hybridMultilevel"/>
    <w:lvl w:ilvl="0">
      <w:lvlJc w:val="left"/>
      <w:lvlText w:val="(%1)"/>
      <w:numFmt w:val="lowerLetter"/>
      <w:start w:val="3"/>
    </w:lvl>
  </w:abstractNum>
  <w:abstractNum w:abstractNumId="144">
    <w:nsid w:val="6B47F63E"/>
    <w:multiLevelType w:val="hybridMultilevel"/>
    <w:lvl w:ilvl="0">
      <w:lvlJc w:val="left"/>
      <w:lvlText w:val="(%1)"/>
      <w:numFmt w:val="lowerLetter"/>
      <w:start w:val="1"/>
    </w:lvl>
  </w:abstractNum>
  <w:abstractNum w:abstractNumId="145">
    <w:nsid w:val="5CB44A05"/>
    <w:multiLevelType w:val="hybridMultilevel"/>
    <w:lvl w:ilvl="0">
      <w:lvlJc w:val="left"/>
      <w:lvlText w:val="(%1)"/>
      <w:numFmt w:val="lowerLetter"/>
      <w:start w:val="1"/>
    </w:lvl>
    <w:lvl w:ilvl="1">
      <w:lvlJc w:val="left"/>
      <w:lvlText w:val="(%2)"/>
      <w:numFmt w:val="lowerRoman"/>
      <w:start w:val="1"/>
    </w:lvl>
  </w:abstractNum>
  <w:abstractNum w:abstractNumId="146">
    <w:nsid w:val="16CF80F1"/>
    <w:multiLevelType w:val="hybridMultilevel"/>
    <w:lvl w:ilvl="0">
      <w:lvlJc w:val="left"/>
      <w:lvlText w:val="%1"/>
      <w:numFmt w:val="lowerLetter"/>
      <w:start w:val="1"/>
    </w:lvl>
    <w:lvl w:ilvl="1">
      <w:lvlJc w:val="left"/>
      <w:lvlText w:val="(%2)"/>
      <w:numFmt w:val="lowerRoman"/>
      <w:start w:val="4"/>
    </w:lvl>
  </w:abstractNum>
  <w:abstractNum w:abstractNumId="147">
    <w:nsid w:val="1C695DEC"/>
    <w:multiLevelType w:val="hybridMultilevel"/>
    <w:lvl w:ilvl="0">
      <w:lvlJc w:val="left"/>
      <w:lvlText w:val="(%1)"/>
      <w:numFmt w:val="lowerLetter"/>
      <w:start w:val="2"/>
    </w:lvl>
    <w:lvl w:ilvl="1">
      <w:lvlJc w:val="left"/>
      <w:lvlText w:val="%2"/>
      <w:numFmt w:val="lowerRoman"/>
      <w:start w:val="1"/>
    </w:lvl>
  </w:abstractNum>
  <w:abstractNum w:abstractNumId="148">
    <w:nsid w:val="3FCFAED9"/>
    <w:multiLevelType w:val="hybridMultilevel"/>
    <w:lvl w:ilvl="0">
      <w:lvlJc w:val="left"/>
      <w:lvlText w:val="(%1)"/>
      <w:numFmt w:val="lowerLetter"/>
      <w:start w:val="1"/>
    </w:lvl>
  </w:abstractNum>
  <w:abstractNum w:abstractNumId="149">
    <w:nsid w:val="F856867"/>
    <w:multiLevelType w:val="hybridMultilevel"/>
    <w:lvl w:ilvl="0">
      <w:lvlJc w:val="left"/>
      <w:lvlText w:val="(%1)"/>
      <w:numFmt w:val="lowerLetter"/>
      <w:start w:val="5"/>
    </w:lvl>
  </w:abstractNum>
  <w:abstractNum w:abstractNumId="150">
    <w:nsid w:val="11B1CC33"/>
    <w:multiLevelType w:val="hybridMultilevel"/>
    <w:lvl w:ilvl="0">
      <w:lvlJc w:val="left"/>
      <w:lvlText w:val="(%1)"/>
      <w:numFmt w:val="lowerLetter"/>
      <w:start w:val="1"/>
    </w:lvl>
  </w:abstractNum>
  <w:abstractNum w:abstractNumId="151">
    <w:nsid w:val="2E22FBB7"/>
    <w:multiLevelType w:val="hybridMultilevel"/>
    <w:lvl w:ilvl="0">
      <w:lvlJc w:val="left"/>
      <w:lvlText w:val="(%1)"/>
      <w:numFmt w:val="lowerLetter"/>
      <w:start w:val="8"/>
    </w:lvl>
  </w:abstractNum>
  <w:abstractNum w:abstractNumId="152">
    <w:nsid w:val="29934699"/>
    <w:multiLevelType w:val="hybridMultilevel"/>
    <w:lvl w:ilvl="0">
      <w:lvlJc w:val="left"/>
      <w:lvlText w:val="(%1)"/>
      <w:numFmt w:val="lowerLetter"/>
      <w:start w:val="1"/>
    </w:lvl>
  </w:abstractNum>
  <w:abstractNum w:abstractNumId="153">
    <w:nsid w:val="77485850"/>
    <w:multiLevelType w:val="hybridMultilevel"/>
    <w:lvl w:ilvl="0">
      <w:lvlJc w:val="left"/>
      <w:lvlText w:val="(%1)"/>
      <w:numFmt w:val="lowerRoman"/>
      <w:start w:val="1"/>
    </w:lvl>
  </w:abstractNum>
  <w:abstractNum w:abstractNumId="154">
    <w:nsid w:val="744939A3"/>
    <w:multiLevelType w:val="hybridMultilevel"/>
    <w:lvl w:ilvl="0">
      <w:lvlJc w:val="left"/>
      <w:lvlText w:val="(%1)"/>
      <w:numFmt w:val="lowerLetter"/>
      <w:start w:val="2"/>
    </w:lvl>
  </w:abstractNum>
  <w:abstractNum w:abstractNumId="155">
    <w:nsid w:val="4FA0D2E3"/>
    <w:multiLevelType w:val="hybridMultilevel"/>
    <w:lvl w:ilvl="0">
      <w:lvlJc w:val="left"/>
      <w:lvlText w:val="(%1)"/>
      <w:numFmt w:val="lowerLetter"/>
      <w:start w:val="9"/>
    </w:lvl>
    <w:lvl w:ilvl="1">
      <w:lvlJc w:val="left"/>
      <w:lvlText w:val="%2"/>
      <w:numFmt w:val="lowerLetter"/>
      <w:start w:val="1"/>
    </w:lvl>
  </w:abstractNum>
  <w:abstractNum w:abstractNumId="156">
    <w:nsid w:val="6B1D2C14"/>
    <w:multiLevelType w:val="hybridMultilevel"/>
    <w:lvl w:ilvl="0">
      <w:lvlJc w:val="left"/>
      <w:lvlText w:val="(%1)"/>
      <w:numFmt w:val="lowerLetter"/>
      <w:start w:val="9"/>
    </w:lvl>
    <w:lvl w:ilvl="1">
      <w:lvlJc w:val="left"/>
      <w:lvlText w:val="(%2)"/>
      <w:numFmt w:val="lowerLetter"/>
      <w:start w:val="3"/>
    </w:lvl>
  </w:abstractNum>
  <w:abstractNum w:abstractNumId="157">
    <w:nsid w:val="68B867D3"/>
    <w:multiLevelType w:val="hybridMultilevel"/>
    <w:lvl w:ilvl="0">
      <w:lvlJc w:val="left"/>
      <w:lvlText w:val="(%1)"/>
      <w:numFmt w:val="lowerLetter"/>
      <w:start w:val="4"/>
    </w:lvl>
  </w:abstractNum>
  <w:abstractNum w:abstractNumId="158">
    <w:nsid w:val="3F7F5DD9"/>
    <w:multiLevelType w:val="hybridMultilevel"/>
    <w:lvl w:ilvl="0">
      <w:lvlJc w:val="left"/>
      <w:lvlText w:val="(%1)"/>
      <w:numFmt w:val="lowerLetter"/>
      <w:start w:val="1"/>
    </w:lvl>
  </w:abstractNum>
  <w:abstractNum w:abstractNumId="159">
    <w:nsid w:val="2AE05A34"/>
    <w:multiLevelType w:val="hybridMultilevel"/>
    <w:lvl w:ilvl="0">
      <w:lvlJc w:val="left"/>
      <w:lvlText w:val="(%1)"/>
      <w:numFmt w:val="lowerLetter"/>
      <w:start w:val="3"/>
    </w:lvl>
  </w:abstractNum>
  <w:abstractNum w:abstractNumId="160">
    <w:nsid w:val="32794FF7"/>
    <w:multiLevelType w:val="hybridMultilevel"/>
    <w:lvl w:ilvl="0">
      <w:lvlJc w:val="left"/>
      <w:lvlText w:val="(%1)"/>
      <w:numFmt w:val="lowerLetter"/>
      <w:start w:val="5"/>
    </w:lvl>
  </w:abstractNum>
  <w:abstractNum w:abstractNumId="161">
    <w:nsid w:val="5454945E"/>
    <w:multiLevelType w:val="hybridMultilevel"/>
    <w:lvl w:ilvl="0">
      <w:lvlJc w:val="left"/>
      <w:lvlText w:val="(%1)"/>
      <w:numFmt w:val="lowerLetter"/>
      <w:start w:val="1"/>
    </w:lvl>
  </w:abstractNum>
  <w:abstractNum w:abstractNumId="162">
    <w:nsid w:val="4DEFDFA0"/>
    <w:multiLevelType w:val="hybridMultilevel"/>
    <w:lvl w:ilvl="0">
      <w:lvlJc w:val="left"/>
      <w:lvlText w:val="(%1)"/>
      <w:numFmt w:val="lowerRoman"/>
      <w:start w:val="1"/>
    </w:lvl>
    <w:lvl w:ilvl="1">
      <w:lvlJc w:val="left"/>
      <w:lvlText w:val="(%2)"/>
      <w:numFmt w:val="upperLetter"/>
      <w:start w:val="1"/>
    </w:lvl>
  </w:abstractNum>
  <w:abstractNum w:abstractNumId="163">
    <w:nsid w:val="2123D5F2"/>
    <w:multiLevelType w:val="hybridMultilevel"/>
    <w:lvl w:ilvl="0">
      <w:lvlJc w:val="left"/>
      <w:lvlText w:val="%1"/>
      <w:numFmt w:val="lowerRoman"/>
      <w:start w:val="1"/>
    </w:lvl>
    <w:lvl w:ilvl="1">
      <w:lvlJc w:val="left"/>
      <w:lvlText w:val="(%2)"/>
      <w:numFmt w:val="upperLetter"/>
      <w:start w:val="3"/>
    </w:lvl>
  </w:abstractNum>
  <w:abstractNum w:abstractNumId="164">
    <w:nsid w:val="135B8110"/>
    <w:multiLevelType w:val="hybridMultilevel"/>
    <w:lvl w:ilvl="0">
      <w:lvlJc w:val="left"/>
      <w:lvlText w:val="(%1)"/>
      <w:numFmt w:val="lowerRoman"/>
      <w:start w:val="4"/>
    </w:lvl>
    <w:lvl w:ilvl="1">
      <w:lvlJc w:val="left"/>
      <w:lvlText w:val="%2"/>
      <w:numFmt w:val="upperLetter"/>
      <w:start w:val="1"/>
    </w:lvl>
  </w:abstractNum>
  <w:abstractNum w:abstractNumId="165">
    <w:nsid w:val="94927A8"/>
    <w:multiLevelType w:val="hybridMultilevel"/>
    <w:lvl w:ilvl="0">
      <w:lvlJc w:val="left"/>
      <w:lvlText w:val="(%1)"/>
      <w:numFmt w:val="lowerLetter"/>
      <w:start w:val="3"/>
    </w:lvl>
  </w:abstractNum>
  <w:abstractNum w:abstractNumId="166">
    <w:nsid w:val="DCDF8F6"/>
    <w:multiLevelType w:val="hybridMultilevel"/>
    <w:lvl w:ilvl="0">
      <w:lvlJc w:val="left"/>
      <w:lvlText w:val="(%1)"/>
      <w:numFmt w:val="lowerLetter"/>
      <w:start w:val="5"/>
    </w:lvl>
  </w:abstractNum>
  <w:abstractNum w:abstractNumId="167">
    <w:nsid w:val="52D7B105"/>
    <w:multiLevelType w:val="hybridMultilevel"/>
    <w:lvl w:ilvl="0">
      <w:lvlJc w:val="left"/>
      <w:lvlText w:val="(%1)"/>
      <w:numFmt w:val="lowerRoman"/>
      <w:start w:val="10"/>
    </w:lvl>
  </w:abstractNum>
  <w:abstractNum w:abstractNumId="168">
    <w:nsid w:val="2E8A6394"/>
    <w:multiLevelType w:val="hybridMultilevel"/>
    <w:lvl w:ilvl="0">
      <w:lvlJc w:val="left"/>
      <w:lvlText w:val="(%1)"/>
      <w:numFmt w:val="lowerLetter"/>
      <w:start w:val="1"/>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lowerLetter"/>
      <w:start w:val="4"/>
    </w:lvl>
  </w:abstractNum>
  <w:abstractNum w:abstractNumId="171">
    <w:nsid w:val="BAAC1B4"/>
    <w:multiLevelType w:val="hybridMultilevel"/>
    <w:lvl w:ilvl="0">
      <w:lvlJc w:val="left"/>
      <w:lvlText w:val="(%1)"/>
      <w:numFmt w:val="lowerLetter"/>
      <w:start w:val="1"/>
    </w:lvl>
  </w:abstractNum>
  <w:abstractNum w:abstractNumId="172">
    <w:nsid w:val="36B2ACBC"/>
    <w:multiLevelType w:val="hybridMultilevel"/>
    <w:lvl w:ilvl="0">
      <w:lvlJc w:val="left"/>
      <w:lvlText w:val="(%1)"/>
      <w:numFmt w:val="lowerLetter"/>
      <w:start w:val="3"/>
    </w:lvl>
  </w:abstractNum>
  <w:abstractNum w:abstractNumId="173">
    <w:nsid w:val="779D8544"/>
    <w:multiLevelType w:val="hybridMultilevel"/>
    <w:lvl w:ilvl="0">
      <w:lvlJc w:val="left"/>
      <w:lvlText w:val="(%1)"/>
      <w:numFmt w:val="lowerLetter"/>
      <w:start w:val="1"/>
    </w:lvl>
  </w:abstractNum>
  <w:abstractNum w:abstractNumId="174">
    <w:nsid w:val="4AB26E78"/>
    <w:multiLevelType w:val="hybridMultilevel"/>
    <w:lvl w:ilvl="0">
      <w:lvlJc w:val="left"/>
      <w:lvlText w:val="(%1)"/>
      <w:numFmt w:val="lowerLetter"/>
      <w:start w:val="1"/>
    </w:lvl>
    <w:lvl w:ilvl="1">
      <w:lvlJc w:val="left"/>
      <w:lvlText w:val="(%2)"/>
      <w:numFmt w:val="lowerRoman"/>
      <w:start w:val="1"/>
    </w:lvl>
  </w:abstractNum>
  <w:abstractNum w:abstractNumId="175">
    <w:nsid w:val="21FAA2F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2024-10-03T05:37:52Z</dcterms:created>
  <dcterms:modified xsi:type="dcterms:W3CDTF">2024-10-03T05:37:52Z</dcterms:modified>
</cp:coreProperties>
</file>