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9,679.526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her last report: 40.076 units acquired on January 12, 2009; 55.346 units acquired on April 13, 2009; 48.665 units acquired on July 10, 2009; and 37.460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2019-12-16T23:37:19Z</dcterms:created>
  <dcterms:modified xsi:type="dcterms:W3CDTF">2019-12-16T23:37:19Z</dcterms:modified>
</cp:coreProperties>
</file>