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February 3, 2006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85" w:right="23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680" w:space="720"/>
            <w:col w:w="3260"/>
          </w:cols>
          <w:pgMar w:left="240" w:top="585"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jc w:val="both"/>
        <w:ind w:right="2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2880"/>
        <w:spacing w:after="0" w:line="207" w:lineRule="exact"/>
        <w:tabs>
          <w:tab w:leader="none" w:pos="3320" w:val="left"/>
          <w:tab w:leader="none" w:pos="5700" w:val="left"/>
          <w:tab w:leader="none" w:pos="614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5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38" w:lineRule="exact"/>
        <w:rPr>
          <w:sz w:val="24"/>
          <w:szCs w:val="24"/>
          <w:color w:val="auto"/>
        </w:rPr>
      </w:pPr>
    </w:p>
    <w:p>
      <w:pPr>
        <w:spacing w:after="0" w:line="207" w:lineRule="exact"/>
        <w:tabs>
          <w:tab w:leader="none" w:pos="3880" w:val="left"/>
          <w:tab w:leader="none" w:pos="7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4"/>
          <w:szCs w:val="24"/>
          <w:color w:val="auto"/>
        </w:rPr>
      </w:pPr>
    </w:p>
    <w:p>
      <w:pPr>
        <w:ind w:left="2880"/>
        <w:spacing w:after="0" w:line="207" w:lineRule="exact"/>
        <w:tabs>
          <w:tab w:leader="none" w:pos="3320" w:val="left"/>
          <w:tab w:leader="none" w:pos="5700" w:val="left"/>
          <w:tab w:leader="none" w:pos="6140" w:val="left"/>
        </w:tabs>
        <w:rPr>
          <w:sz w:val="20"/>
          <w:szCs w:val="20"/>
          <w:color w:val="auto"/>
        </w:rPr>
      </w:pPr>
      <w:r>
        <w:rPr>
          <w:rFonts w:ascii="Arial" w:cs="Arial" w:eastAsia="Arial" w:hAnsi="Arial"/>
          <w:sz w:val="18"/>
          <w:szCs w:val="18"/>
          <w:color w:val="auto"/>
        </w:rPr>
        <w:t>Yes</w:t>
        <w:tab/>
        <w:t>o</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March 3, 2006 was 42,633,551.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202" w:lineRule="exact"/>
        <w:rPr>
          <w:sz w:val="24"/>
          <w:szCs w:val="24"/>
          <w:color w:val="auto"/>
        </w:rPr>
      </w:pPr>
    </w:p>
    <w:tbl>
      <w:tblPr>
        <w:tblLayout w:type="fixed"/>
        <w:tblInd w:w="20" w:type="dxa"/>
        <w:tblCellMar>
          <w:top w:w="0" w:type="dxa"/>
          <w:left w:w="0" w:type="dxa"/>
          <w:bottom w:w="0" w:type="dxa"/>
          <w:right w:w="0" w:type="dxa"/>
        </w:tblCellMar>
      </w:tblPr>
      <w:tr>
        <w:trPr>
          <w:trHeight w:val="171"/>
        </w:trPr>
        <w:tc>
          <w:tcPr>
            <w:tcW w:w="640" w:type="dxa"/>
            <w:vAlign w:val="bottom"/>
            <w:gridSpan w:val="2"/>
            <w:vMerge w:val="restart"/>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660" w:type="dxa"/>
            <w:vAlign w:val="bottom"/>
            <w:gridSpan w:val="2"/>
            <w:vMerge w:val="restart"/>
          </w:tcPr>
          <w:p>
            <w:pPr>
              <w:spacing w:after="0"/>
              <w:rPr>
                <w:sz w:val="14"/>
                <w:szCs w:val="14"/>
                <w:color w:val="auto"/>
              </w:rPr>
            </w:pPr>
          </w:p>
        </w:tc>
        <w:tc>
          <w:tcPr>
            <w:tcW w:w="8920" w:type="dxa"/>
            <w:vAlign w:val="bottom"/>
            <w:gridSpan w:val="15"/>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11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156"/>
        </w:trPr>
        <w:tc>
          <w:tcPr>
            <w:tcW w:w="64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920" w:type="dxa"/>
            <w:vAlign w:val="bottom"/>
            <w:gridSpan w:val="15"/>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tcPr>
          <w:p>
            <w:pPr>
              <w:spacing w:after="0"/>
              <w:rPr>
                <w:rFonts w:ascii="Arial" w:cs="Arial" w:eastAsia="Arial" w:hAnsi="Arial"/>
                <w:sz w:val="18"/>
                <w:szCs w:val="18"/>
                <w:b w:val="1"/>
                <w:bCs w:val="1"/>
                <w:color w:val="0000EE"/>
                <w:w w:val="87"/>
              </w:rPr>
            </w:pPr>
            <w:hyperlink w:anchor="page2">
              <w:r>
                <w:rPr>
                  <w:rFonts w:ascii="Arial" w:cs="Arial" w:eastAsia="Arial" w:hAnsi="Arial"/>
                  <w:sz w:val="18"/>
                  <w:szCs w:val="18"/>
                  <w:b w:val="1"/>
                  <w:bCs w:val="1"/>
                  <w:color w:val="0000EE"/>
                  <w:w w:val="87"/>
                </w:rPr>
                <w:t>Item 1.</w:t>
              </w:r>
            </w:hyperlink>
          </w:p>
        </w:tc>
        <w:tc>
          <w:tcPr>
            <w:tcW w:w="100" w:type="dxa"/>
            <w:vAlign w:val="bottom"/>
            <w:tcBorders>
              <w:top w:val="single" w:sz="8" w:color="0000EE"/>
            </w:tcBorders>
          </w:tcPr>
          <w:p>
            <w:pPr>
              <w:spacing w:after="0"/>
              <w:rPr>
                <w:sz w:val="24"/>
                <w:szCs w:val="24"/>
                <w:color w:val="auto"/>
              </w:rPr>
            </w:pPr>
          </w:p>
        </w:tc>
        <w:tc>
          <w:tcPr>
            <w:tcW w:w="660" w:type="dxa"/>
            <w:vAlign w:val="bottom"/>
            <w:gridSpan w:val="2"/>
          </w:tcPr>
          <w:p>
            <w:pPr>
              <w:spacing w:after="0"/>
              <w:rPr>
                <w:sz w:val="24"/>
                <w:szCs w:val="24"/>
                <w:color w:val="auto"/>
              </w:rPr>
            </w:pPr>
          </w:p>
        </w:tc>
        <w:tc>
          <w:tcPr>
            <w:tcW w:w="2440" w:type="dxa"/>
            <w:vAlign w:val="bottom"/>
            <w:tcBorders>
              <w:top w:val="single" w:sz="8" w:color="0000EE"/>
            </w:tcBorders>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6480" w:type="dxa"/>
            <w:vAlign w:val="bottom"/>
            <w:gridSpan w:val="9"/>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40" w:type="dxa"/>
            <w:vAlign w:val="bottom"/>
            <w:gridSpan w:val="14"/>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Statements of Earnings (Unaudited) -</w:t>
              </w:r>
            </w:hyperlink>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gridSpan w:val="13"/>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Three Months Ended February 3, 2006 and January 28, 2005</w:t>
              </w:r>
            </w:hyperlink>
          </w:p>
        </w:tc>
        <w:tc>
          <w:tcPr>
            <w:tcW w:w="1180" w:type="dxa"/>
            <w:vAlign w:val="bottom"/>
            <w:gridSpan w:val="7"/>
          </w:tcPr>
          <w:p>
            <w:pPr>
              <w:jc w:val="right"/>
              <w:ind w:right="20"/>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(Unaudited) -</w:t>
              </w:r>
            </w:hyperlink>
          </w:p>
        </w:tc>
        <w:tc>
          <w:tcPr>
            <w:tcW w:w="4780" w:type="dxa"/>
            <w:vAlign w:val="bottom"/>
            <w:gridSpan w:val="8"/>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gridSpan w:val="13"/>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February 3, 2006, January 28, 2005, and October 31, 2005</w:t>
              </w:r>
            </w:hyperlink>
          </w:p>
        </w:tc>
        <w:tc>
          <w:tcPr>
            <w:tcW w:w="1180" w:type="dxa"/>
            <w:vAlign w:val="bottom"/>
            <w:gridSpan w:val="7"/>
          </w:tcPr>
          <w:p>
            <w:pPr>
              <w:jc w:val="right"/>
              <w:ind w:right="20"/>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Cash Flows (Unaudited) -</w:t>
              </w:r>
            </w:hyperlink>
          </w:p>
        </w:tc>
        <w:tc>
          <w:tcPr>
            <w:tcW w:w="400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gridSpan w:val="1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Months Ended February 3, 2006 and January 28, 2005</w:t>
              </w:r>
            </w:hyperlink>
          </w:p>
        </w:tc>
        <w:tc>
          <w:tcPr>
            <w:tcW w:w="1180" w:type="dxa"/>
            <w:vAlign w:val="bottom"/>
            <w:gridSpan w:val="7"/>
          </w:tcPr>
          <w:p>
            <w:pPr>
              <w:jc w:val="right"/>
              <w:ind w:righ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4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 (Unaudited)</w:t>
              </w:r>
            </w:hyperlink>
          </w:p>
        </w:tc>
        <w:tc>
          <w:tcPr>
            <w:tcW w:w="1180" w:type="dxa"/>
            <w:vAlign w:val="bottom"/>
            <w:gridSpan w:val="7"/>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6-11</w:t>
              </w:r>
            </w:hyperlink>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rFonts w:ascii="Arial" w:cs="Arial" w:eastAsia="Arial" w:hAnsi="Arial"/>
                <w:sz w:val="18"/>
                <w:szCs w:val="18"/>
                <w:b w:val="1"/>
                <w:bCs w:val="1"/>
                <w:color w:val="0000EE"/>
                <w:w w:val="87"/>
              </w:rPr>
            </w:pPr>
            <w:hyperlink w:anchor="page7">
              <w:r>
                <w:rPr>
                  <w:rFonts w:ascii="Arial" w:cs="Arial" w:eastAsia="Arial" w:hAnsi="Arial"/>
                  <w:sz w:val="18"/>
                  <w:szCs w:val="18"/>
                  <w:b w:val="1"/>
                  <w:bCs w:val="1"/>
                  <w:color w:val="0000EE"/>
                  <w:w w:val="87"/>
                </w:rPr>
                <w:t>Item 2.</w:t>
              </w:r>
            </w:hyperlink>
          </w:p>
        </w:tc>
        <w:tc>
          <w:tcPr>
            <w:tcW w:w="760" w:type="dxa"/>
            <w:vAlign w:val="bottom"/>
            <w:gridSpan w:val="3"/>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vMerge w:val="continue"/>
          </w:tcPr>
          <w:p>
            <w:pPr>
              <w:spacing w:after="0"/>
              <w:rPr>
                <w:sz w:val="24"/>
                <w:szCs w:val="24"/>
                <w:color w:val="auto"/>
              </w:rPr>
            </w:pPr>
          </w:p>
        </w:tc>
        <w:tc>
          <w:tcPr>
            <w:tcW w:w="7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60" w:type="dxa"/>
            <w:vAlign w:val="bottom"/>
            <w:gridSpan w:val="1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Management’s Discussion and Analysis of Financial Condition and Results of Operations</w:t>
              </w:r>
            </w:hyperlink>
          </w:p>
        </w:tc>
        <w:tc>
          <w:tcPr>
            <w:tcW w:w="2280" w:type="dxa"/>
            <w:vAlign w:val="bottom"/>
          </w:tcPr>
          <w:p>
            <w:pPr>
              <w:spacing w:after="0"/>
              <w:rPr>
                <w:sz w:val="24"/>
                <w:szCs w:val="24"/>
                <w:color w:val="auto"/>
              </w:rPr>
            </w:pPr>
          </w:p>
        </w:tc>
        <w:tc>
          <w:tcPr>
            <w:tcW w:w="1180" w:type="dxa"/>
            <w:vAlign w:val="bottom"/>
            <w:gridSpan w:val="7"/>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11-18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rFonts w:ascii="Arial" w:cs="Arial" w:eastAsia="Arial" w:hAnsi="Arial"/>
                <w:sz w:val="18"/>
                <w:szCs w:val="18"/>
                <w:b w:val="1"/>
                <w:bCs w:val="1"/>
                <w:color w:val="0000EE"/>
                <w:w w:val="87"/>
              </w:rPr>
            </w:pPr>
            <w:hyperlink w:anchor="page12">
              <w:r>
                <w:rPr>
                  <w:rFonts w:ascii="Arial" w:cs="Arial" w:eastAsia="Arial" w:hAnsi="Arial"/>
                  <w:sz w:val="18"/>
                  <w:szCs w:val="18"/>
                  <w:b w:val="1"/>
                  <w:bCs w:val="1"/>
                  <w:color w:val="0000EE"/>
                  <w:w w:val="87"/>
                </w:rPr>
                <w:t>Item 3.</w:t>
              </w:r>
            </w:hyperlink>
          </w:p>
        </w:tc>
        <w:tc>
          <w:tcPr>
            <w:tcW w:w="7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6460" w:type="dxa"/>
            <w:vAlign w:val="bottom"/>
            <w:gridSpan w:val="1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Quantitative and Qualitative Disclosures about Market Risk</w:t>
              </w:r>
            </w:hyperlink>
          </w:p>
        </w:tc>
        <w:tc>
          <w:tcPr>
            <w:tcW w:w="2280" w:type="dxa"/>
            <w:vAlign w:val="bottom"/>
          </w:tcPr>
          <w:p>
            <w:pPr>
              <w:spacing w:after="0"/>
              <w:rPr>
                <w:sz w:val="24"/>
                <w:szCs w:val="24"/>
                <w:color w:val="auto"/>
              </w:rPr>
            </w:pPr>
          </w:p>
        </w:tc>
        <w:tc>
          <w:tcPr>
            <w:tcW w:w="1180" w:type="dxa"/>
            <w:vAlign w:val="bottom"/>
            <w:gridSpan w:val="7"/>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18-19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rFonts w:ascii="Arial" w:cs="Arial" w:eastAsia="Arial" w:hAnsi="Arial"/>
                <w:sz w:val="18"/>
                <w:szCs w:val="18"/>
                <w:b w:val="1"/>
                <w:bCs w:val="1"/>
                <w:color w:val="0000EE"/>
                <w:w w:val="87"/>
              </w:rPr>
            </w:pPr>
            <w:hyperlink w:anchor="page13">
              <w:r>
                <w:rPr>
                  <w:rFonts w:ascii="Arial" w:cs="Arial" w:eastAsia="Arial" w:hAnsi="Arial"/>
                  <w:sz w:val="18"/>
                  <w:szCs w:val="18"/>
                  <w:b w:val="1"/>
                  <w:bCs w:val="1"/>
                  <w:color w:val="0000EE"/>
                  <w:w w:val="87"/>
                </w:rPr>
                <w:t>Item 4.</w:t>
              </w:r>
            </w:hyperlink>
          </w:p>
        </w:tc>
        <w:tc>
          <w:tcPr>
            <w:tcW w:w="7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Controls and Procedures</w:t>
              </w:r>
            </w:hyperlink>
          </w:p>
        </w:tc>
        <w:tc>
          <w:tcPr>
            <w:tcW w:w="4440" w:type="dxa"/>
            <w:vAlign w:val="bottom"/>
            <w:gridSpan w:val="7"/>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gridSpan w:val="6"/>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gridSpan w:val="4"/>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PART II.</w:t>
              </w:r>
            </w:hyperlink>
          </w:p>
        </w:tc>
        <w:tc>
          <w:tcPr>
            <w:tcW w:w="8920" w:type="dxa"/>
            <w:vAlign w:val="bottom"/>
            <w:gridSpan w:val="15"/>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OTHER INFORMATION:</w:t>
              </w:r>
            </w:hyperlink>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Item 1.</w:t>
              </w:r>
            </w:hyperlink>
          </w:p>
        </w:tc>
        <w:tc>
          <w:tcPr>
            <w:tcW w:w="6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gridSpan w:val="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6840" w:type="dxa"/>
            <w:vAlign w:val="bottom"/>
            <w:gridSpan w:val="10"/>
          </w:tcPr>
          <w:p>
            <w:pPr>
              <w:spacing w:after="0"/>
              <w:rPr>
                <w:sz w:val="24"/>
                <w:szCs w:val="24"/>
                <w:color w:val="auto"/>
              </w:rPr>
            </w:pPr>
          </w:p>
        </w:tc>
        <w:tc>
          <w:tcPr>
            <w:tcW w:w="1180" w:type="dxa"/>
            <w:vAlign w:val="bottom"/>
            <w:gridSpan w:val="7"/>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5"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0" w:type="dxa"/>
            <w:vAlign w:val="bottom"/>
            <w:gridSpan w:val="2"/>
          </w:tcPr>
          <w:p>
            <w:pPr>
              <w:spacing w:after="0"/>
              <w:rPr>
                <w:rFonts w:ascii="Arial" w:cs="Arial" w:eastAsia="Arial" w:hAnsi="Arial"/>
                <w:sz w:val="18"/>
                <w:szCs w:val="18"/>
                <w:b w:val="1"/>
                <w:bCs w:val="1"/>
                <w:color w:val="0000EE"/>
                <w:w w:val="94"/>
              </w:rPr>
            </w:pPr>
            <w:hyperlink w:anchor="page14">
              <w:r>
                <w:rPr>
                  <w:rFonts w:ascii="Arial" w:cs="Arial" w:eastAsia="Arial" w:hAnsi="Arial"/>
                  <w:sz w:val="18"/>
                  <w:szCs w:val="18"/>
                  <w:b w:val="1"/>
                  <w:bCs w:val="1"/>
                  <w:color w:val="0000EE"/>
                  <w:w w:val="94"/>
                </w:rPr>
                <w:t>Item 1A.</w:t>
              </w:r>
            </w:hyperlink>
          </w:p>
        </w:tc>
        <w:tc>
          <w:tcPr>
            <w:tcW w:w="800" w:type="dxa"/>
            <w:vAlign w:val="bottom"/>
          </w:tcPr>
          <w:p>
            <w:pPr>
              <w:spacing w:after="0"/>
              <w:rPr>
                <w:sz w:val="17"/>
                <w:szCs w:val="17"/>
                <w:color w:val="auto"/>
              </w:rPr>
            </w:pPr>
          </w:p>
        </w:tc>
        <w:tc>
          <w:tcPr>
            <w:tcW w:w="9720" w:type="dxa"/>
            <w:vAlign w:val="bottom"/>
            <w:gridSpan w:val="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220" w:type="dxa"/>
            <w:vAlign w:val="bottom"/>
            <w:gridSpan w:val="2"/>
          </w:tcPr>
          <w:p>
            <w:pPr>
              <w:jc w:val="right"/>
              <w:ind w:right="40"/>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20</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Item 2.</w:t>
              </w:r>
            </w:hyperlink>
          </w:p>
        </w:tc>
        <w:tc>
          <w:tcPr>
            <w:tcW w:w="800" w:type="dxa"/>
            <w:vAlign w:val="bottom"/>
          </w:tcPr>
          <w:p>
            <w:pPr>
              <w:spacing w:after="0"/>
              <w:rPr>
                <w:sz w:val="24"/>
                <w:szCs w:val="24"/>
                <w:color w:val="auto"/>
              </w:rPr>
            </w:pPr>
          </w:p>
        </w:tc>
        <w:tc>
          <w:tcPr>
            <w:tcW w:w="9720" w:type="dxa"/>
            <w:vAlign w:val="bottom"/>
            <w:gridSpan w:val="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Changes in Securities, Use of Proceeds, and Issuer Purchases of Equity Securities</w:t>
              </w:r>
            </w:hyperlink>
          </w:p>
        </w:tc>
        <w:tc>
          <w:tcPr>
            <w:tcW w:w="220" w:type="dxa"/>
            <w:vAlign w:val="bottom"/>
            <w:gridSpan w:val="2"/>
          </w:tcPr>
          <w:p>
            <w:pPr>
              <w:jc w:val="right"/>
              <w:ind w:right="40"/>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21</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120" w:type="dxa"/>
            <w:vAlign w:val="bottom"/>
            <w:gridSpan w:val="2"/>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480" w:type="dxa"/>
            <w:vAlign w:val="bottom"/>
            <w:gridSpan w:val="3"/>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Item 6.</w:t>
              </w:r>
            </w:hyperlink>
          </w:p>
        </w:tc>
        <w:tc>
          <w:tcPr>
            <w:tcW w:w="9720" w:type="dxa"/>
            <w:vAlign w:val="bottom"/>
            <w:gridSpan w:val="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Exhibits</w:t>
              </w:r>
            </w:hyperlink>
          </w:p>
        </w:tc>
        <w:tc>
          <w:tcPr>
            <w:tcW w:w="220" w:type="dxa"/>
            <w:vAlign w:val="bottom"/>
            <w:gridSpan w:val="2"/>
          </w:tcPr>
          <w:p>
            <w:pPr>
              <w:jc w:val="right"/>
              <w:ind w:right="40"/>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22</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6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gridSpan w:val="2"/>
          </w:tcPr>
          <w:p>
            <w:pPr>
              <w:spacing w:after="0"/>
              <w:rPr>
                <w:rFonts w:ascii="Arial" w:cs="Arial" w:eastAsia="Arial" w:hAnsi="Arial"/>
                <w:sz w:val="18"/>
                <w:szCs w:val="18"/>
                <w:color w:val="0000EE"/>
                <w:w w:val="85"/>
              </w:rPr>
            </w:pPr>
            <w:hyperlink w:anchor="page15">
              <w:r>
                <w:rPr>
                  <w:rFonts w:ascii="Arial" w:cs="Arial" w:eastAsia="Arial" w:hAnsi="Arial"/>
                  <w:sz w:val="18"/>
                  <w:szCs w:val="18"/>
                  <w:color w:val="0000EE"/>
                  <w:w w:val="85"/>
                </w:rPr>
                <w:t>Signatures</w:t>
              </w:r>
            </w:hyperlink>
          </w:p>
        </w:tc>
        <w:tc>
          <w:tcPr>
            <w:tcW w:w="8960" w:type="dxa"/>
            <w:vAlign w:val="bottom"/>
            <w:gridSpan w:val="3"/>
          </w:tcPr>
          <w:p>
            <w:pPr>
              <w:spacing w:after="0"/>
              <w:rPr>
                <w:sz w:val="24"/>
                <w:szCs w:val="24"/>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23</w:t>
              </w:r>
            </w:hyperlink>
          </w:p>
        </w:tc>
      </w:tr>
      <w:tr>
        <w:trPr>
          <w:trHeight w:val="45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5120" w:type="dxa"/>
            <w:vAlign w:val="bottom"/>
            <w:gridSpan w:val="2"/>
          </w:tcPr>
          <w:p>
            <w:pPr>
              <w:jc w:val="right"/>
              <w:ind w:right="1620"/>
              <w:spacing w:after="0"/>
              <w:rPr>
                <w:sz w:val="20"/>
                <w:szCs w:val="20"/>
                <w:color w:val="auto"/>
              </w:rPr>
            </w:pPr>
            <w:r>
              <w:rPr>
                <w:rFonts w:ascii="Arial" w:cs="Arial" w:eastAsia="Arial" w:hAnsi="Arial"/>
                <w:sz w:val="18"/>
                <w:szCs w:val="18"/>
                <w:color w:val="auto"/>
              </w:rPr>
              <w:t>2</w:t>
            </w:r>
          </w:p>
        </w:tc>
        <w:tc>
          <w:tcPr>
            <w:tcW w:w="38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118"/>
        </w:trPr>
        <w:tc>
          <w:tcPr>
            <w:tcW w:w="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980" w:type="dxa"/>
            <w:vAlign w:val="bottom"/>
            <w:tcBorders>
              <w:bottom w:val="single" w:sz="8" w:color="808080"/>
            </w:tcBorders>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1. FINANCIAL INFORMATION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February 3,</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January 28,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369,640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sales</w:t>
            </w: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237,766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225,250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121,663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107,205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102,239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Earnings from operations</w:t>
            </w:r>
          </w:p>
        </w:tc>
        <w:tc>
          <w:tcPr>
            <w:tcW w:w="2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(4,243)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2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earnings</w:t>
            </w:r>
          </w:p>
        </w:tc>
        <w:tc>
          <w:tcPr>
            <w:tcW w:w="27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11,176</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net earnings per share of common stock</w:t>
            </w:r>
          </w:p>
        </w:tc>
        <w:tc>
          <w:tcPr>
            <w:tcW w:w="2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net earnings per share of common stock</w:t>
            </w:r>
          </w:p>
        </w:tc>
        <w:tc>
          <w:tcPr>
            <w:tcW w:w="2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0.32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Weighted average number of shares of common stock outstanding — Basic</w:t>
            </w: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43,608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0"/>
              </w:rPr>
              <w:t>Weighted average number of shares of common stock outstanding — Diluted</w:t>
            </w: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44,959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47,758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color w:val="auto"/>
                <w:w w:val="94"/>
              </w:rPr>
              <w:t>See accompanying notes to condensed consolidated financial statements.</w:t>
            </w: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720" w:type="dxa"/>
            <w:vAlign w:val="bottom"/>
          </w:tcPr>
          <w:p>
            <w:pPr>
              <w:jc w:val="right"/>
              <w:ind w:right="249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0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February 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28,</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608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19,744</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7,467</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313,157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295,687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276,364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14,756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70,251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54,662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58,558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716,888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666,233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514,232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ind w:left="3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349,154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319,183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339,607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160,718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12,036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21,465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81,208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78,082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5,249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980,459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3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62,162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bl>
    <w:p>
      <w:pPr>
        <w:sectPr>
          <w:pgSz w:w="11900" w:h="16838" w:orient="portrait"/>
          <w:cols w:equalWidth="0" w:num="1">
            <w:col w:w="11440"/>
          </w:cols>
          <w:pgMar w:left="240" w:top="108" w:right="21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95,213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90,459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87,952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256,605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235,683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252,879</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403,753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388,349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341,202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4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175,000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175,035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175,000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income taxes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Deferred revenue and other long-term liabilities</w:t>
            </w:r>
          </w:p>
        </w:tc>
        <w:tc>
          <w:tcPr>
            <w:tcW w:w="4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8,166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9,629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Preferred stock, par value $1.00 per share, authorized 1,000,000 voting and 850,000</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non-voting shares, none issued and outstanding</w:t>
            </w:r>
          </w:p>
        </w:tc>
        <w:tc>
          <w:tcPr>
            <w:tcW w:w="4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160"/>
              <w:spacing w:after="0" w:line="201" w:lineRule="exact"/>
              <w:rPr>
                <w:sz w:val="20"/>
                <w:szCs w:val="20"/>
                <w:color w:val="auto"/>
              </w:rPr>
            </w:pPr>
            <w:r>
              <w:rPr>
                <w:rFonts w:ascii="Arial" w:cs="Arial" w:eastAsia="Arial" w:hAnsi="Arial"/>
                <w:sz w:val="18"/>
                <w:szCs w:val="18"/>
                <w:color w:val="auto"/>
                <w:w w:val="94"/>
              </w:rPr>
              <w:t>Common stock, par value $1.00 per share, authorized 100,000,000 shares, issued and</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w w:val="97"/>
              </w:rPr>
              <w:t>outstanding 42,561,238 shares as of February 3, 2006 (net of 11,470,982 treasury</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shares), 43,257,212 shares as of January 28, 2005 (net of 10,775,008 treasury</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w w:val="95"/>
              </w:rPr>
              <w:t>shares), and 41,898,463 shares as of October 31, 2005 (net of 12,133,757 treasury</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shares)</w:t>
            </w:r>
          </w:p>
        </w:tc>
        <w:tc>
          <w:tcPr>
            <w:tcW w:w="4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42,561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43,258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41,899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360,336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359,716</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(11,486)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(10,119)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(11,581)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391,411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353,193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980,459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928,580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916,737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740" w:type="dxa"/>
            <w:vAlign w:val="bottom"/>
            <w:gridSpan w:val="2"/>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gridSpan w:val="2"/>
          </w:tcPr>
          <w:p>
            <w:pPr>
              <w:jc w:val="right"/>
              <w:ind w:right="89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320" w:type="dxa"/>
            <w:vAlign w:val="bottom"/>
            <w:tcBorders>
              <w:bottom w:val="single" w:sz="8" w:color="808080"/>
            </w:tcBorders>
            <w:gridSpan w:val="4"/>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320" w:type="dxa"/>
            <w:vAlign w:val="bottom"/>
            <w:gridSpan w:val="4"/>
          </w:tcPr>
          <w:p>
            <w:pPr>
              <w:jc w:val="center"/>
              <w:ind w:left="3170"/>
              <w:spacing w:after="0"/>
              <w:rPr>
                <w:sz w:val="20"/>
                <w:szCs w:val="20"/>
                <w:color w:val="auto"/>
              </w:rPr>
            </w:pPr>
            <w:r>
              <w:rPr>
                <w:rFonts w:ascii="Arial" w:cs="Arial" w:eastAsia="Arial" w:hAnsi="Arial"/>
                <w:sz w:val="18"/>
                <w:szCs w:val="18"/>
                <w:b w:val="1"/>
                <w:bCs w:val="1"/>
                <w:color w:val="auto"/>
                <w:w w:val="99"/>
              </w:rPr>
              <w:t>THE TORO COMPANY AND SUBSIDIARIES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4"/>
          </w:tcPr>
          <w:p>
            <w:pPr>
              <w:jc w:val="center"/>
              <w:ind w:left="3170"/>
              <w:spacing w:after="0"/>
              <w:rPr>
                <w:sz w:val="20"/>
                <w:szCs w:val="20"/>
                <w:color w:val="auto"/>
              </w:rPr>
            </w:pPr>
            <w:r>
              <w:rPr>
                <w:rFonts w:ascii="Arial" w:cs="Arial" w:eastAsia="Arial" w:hAnsi="Arial"/>
                <w:sz w:val="18"/>
                <w:szCs w:val="18"/>
                <w:b w:val="1"/>
                <w:bCs w:val="1"/>
                <w:color w:val="auto"/>
                <w:w w:val="88"/>
              </w:rPr>
              <w:t>Condensed Consolidated Statements of Cash Flows (Unaudited)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jc w:val="center"/>
              <w:ind w:left="4770"/>
              <w:spacing w:after="0"/>
              <w:rPr>
                <w:sz w:val="20"/>
                <w:szCs w:val="20"/>
                <w:color w:val="auto"/>
              </w:rPr>
            </w:pPr>
            <w:r>
              <w:rPr>
                <w:rFonts w:ascii="Arial" w:cs="Arial" w:eastAsia="Arial" w:hAnsi="Arial"/>
                <w:sz w:val="18"/>
                <w:szCs w:val="18"/>
                <w:b w:val="1"/>
                <w:bCs w:val="1"/>
                <w:color w:val="auto"/>
                <w:w w:val="89"/>
              </w:rPr>
              <w:t>(Dollars in thousands)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9"/>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February 3,</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1"/>
              <w:spacing w:after="0" w:line="119" w:lineRule="exact"/>
              <w:rPr>
                <w:sz w:val="20"/>
                <w:szCs w:val="20"/>
                <w:color w:val="auto"/>
              </w:rPr>
            </w:pPr>
            <w:r>
              <w:rPr>
                <w:rFonts w:ascii="Arial" w:cs="Arial" w:eastAsia="Arial" w:hAnsi="Arial"/>
                <w:sz w:val="13"/>
                <w:szCs w:val="13"/>
                <w:b w:val="1"/>
                <w:bCs w:val="1"/>
                <w:color w:val="auto"/>
              </w:rPr>
              <w:t>January 28,</w:t>
            </w: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2006</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earnings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14,279</w:t>
            </w:r>
          </w:p>
        </w:tc>
        <w:tc>
          <w:tcPr>
            <w:tcW w:w="200" w:type="dxa"/>
            <w:vAlign w:val="bottom"/>
          </w:tcPr>
          <w:p>
            <w:pPr>
              <w:spacing w:after="0"/>
              <w:rPr>
                <w:sz w:val="18"/>
                <w:szCs w:val="18"/>
                <w:color w:val="auto"/>
              </w:rPr>
            </w:pPr>
          </w:p>
        </w:tc>
        <w:tc>
          <w:tcPr>
            <w:tcW w:w="220" w:type="dxa"/>
            <w:vAlign w:val="bottom"/>
            <w:gridSpan w:val="3"/>
          </w:tcPr>
          <w:p>
            <w:pPr>
              <w:jc w:val="right"/>
              <w:ind w:right="45"/>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11,176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Equity losses from an investment</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and amortization</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9,429</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Increase in deferred income taxes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(11,679)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(17,599)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(28,371)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(2,270)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deferred revenue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3,123</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(53,328)</w:t>
            </w:r>
          </w:p>
        </w:tc>
        <w:tc>
          <w:tcPr>
            <w:tcW w:w="2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(54,778)</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(8,026)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other assets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Proceeds from sale of a business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Increase in short-term debt</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51,575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61,023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12,275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(27,587)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(83,763)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(3,923)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36,430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(20,885)</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(21,658)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(83,289)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90,756</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-6238240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-6238240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40"/>
          </w:cols>
          <w:pgMar w:left="240" w:top="125" w:right="219" w:bottom="98"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98"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February 3,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February 3, 2006 cannot be annualized to determine the expected results for the fiscal year ending October 31, 2006. Certain amounts from prior period’s financial statements have been reclassified to conform to this period’s presentation.</w:t>
      </w:r>
    </w:p>
    <w:p>
      <w:pPr>
        <w:spacing w:after="0" w:line="17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2005.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preparing the consolidated financial statements in conformity with accounting principles generally accepted in the United States of America, management must make decisions that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most recent Annual Report on Form 10-K provides a summary of the significant accounting policies followed in the preparation of the financial statements. Other footnotes to the consolidated financial statements in the company’s Annual Report on Form 10-K describe various elements of the financial statements and the assumptions made in determining specific amounts.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(loss)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February 3,</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January 28,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tcBorders>
              <w:bottom w:val="single" w:sz="8" w:color="auto"/>
            </w:tcBorders>
            <w:vMerge w:val="continue"/>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Unrealized (loss) gain on derivative instruments, net of taxes</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120" w:type="dxa"/>
            <w:vAlign w:val="bottom"/>
          </w:tcPr>
          <w:p>
            <w:pPr>
              <w:spacing w:after="0"/>
              <w:rPr>
                <w:sz w:val="24"/>
                <w:szCs w:val="24"/>
                <w:color w:val="auto"/>
              </w:rPr>
            </w:pPr>
          </w:p>
        </w:tc>
        <w:tc>
          <w:tcPr>
            <w:tcW w:w="3000" w:type="dxa"/>
            <w:vAlign w:val="bottom"/>
          </w:tcPr>
          <w:p>
            <w:pPr>
              <w:jc w:val="right"/>
              <w:ind w:right="227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12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accounts for stock-based compensation awards in accordance with the provisions of Statement of Financial Accounting Standards (SFAS) No. 123 (Revised 2004), “Share-Based Payment.” During the first quarter of fiscal 2006, option awards were granted with an exercise price equal to the market price of the company’s common stock as of the date of grant. For certain non-officer employees, the options vest after two years from the date of grant and have a five-year contractual term. Other options granted during the first quarter of fiscal 2006 vest one-third each year over a three year period and have a ten-year contractual term. Compensation expense equal to the grant date fair value is recognized for these awards over the vesting period. The company also issues Performance Shares to key employees. The company determines the fair value of these Performance Shares as of the date of grant and recognizes the expense over the vesting period. Total compensation expense for these awards was $2.1 million for the first quarter of fiscal 2006 and $2.0 million for the first quarter of fiscal 2005.</w:t>
      </w:r>
    </w:p>
    <w:p>
      <w:pPr>
        <w:spacing w:after="0" w:line="192"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fair value of each share-based option is estimated on the date of grant using a Black-Scholes valuation method that uses the assumptions noted in the following table. The expected life is a significant assumption as it determines the period for which the risk-free interest rate, volatility, and dividend yield must be applied. The expected life is the average length of time over which the employee groups will exercise their options, which is based on historical experience with similar grants. Separate groups of employees that have similar historical exercise behavior are considered separately for valuation purposes. Expected volatilities are based on the movement of the company’s stock over the most recent historical period equivalent to the expected life of the option. The risk-free rate for periods within the contractual life of the option is based on the U.S. Treasury rate over the expected life at the time of grant. Dividend yield is estimated over the expected life based on the company’s dividend policy, historical dividends paid, expected increase in future cash dividends, and expected increase in the company’s stock price. The following table illustrates the assumptions for options granted in the following fiscal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174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February 3, 2006</w:t>
            </w:r>
          </w:p>
        </w:tc>
        <w:tc>
          <w:tcPr>
            <w:tcW w:w="15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January 28, 2005</w:t>
            </w:r>
          </w:p>
        </w:tc>
        <w:tc>
          <w:tcPr>
            <w:tcW w:w="100" w:type="dxa"/>
            <w:vAlign w:val="bottom"/>
          </w:tcPr>
          <w:p>
            <w:pPr>
              <w:spacing w:after="0"/>
              <w:rPr>
                <w:sz w:val="12"/>
                <w:szCs w:val="12"/>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- 6.5</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tcPr>
          <w:p>
            <w:pPr>
              <w:jc w:val="right"/>
              <w:spacing w:after="0"/>
              <w:rPr>
                <w:sz w:val="20"/>
                <w:szCs w:val="20"/>
                <w:color w:val="auto"/>
              </w:rPr>
            </w:pPr>
            <w:r>
              <w:rPr>
                <w:rFonts w:ascii="Arial" w:cs="Arial" w:eastAsia="Arial" w:hAnsi="Arial"/>
                <w:sz w:val="18"/>
                <w:szCs w:val="18"/>
                <w:color w:val="auto"/>
              </w:rPr>
              <w:t>25.26%</w:t>
            </w:r>
          </w:p>
        </w:tc>
        <w:tc>
          <w:tcPr>
            <w:tcW w:w="820" w:type="dxa"/>
            <w:vAlign w:val="bottom"/>
          </w:tcPr>
          <w:p>
            <w:pPr>
              <w:ind w:left="20"/>
              <w:spacing w:after="0"/>
              <w:rPr>
                <w:sz w:val="20"/>
                <w:szCs w:val="20"/>
                <w:color w:val="auto"/>
              </w:rPr>
            </w:pPr>
            <w:r>
              <w:rPr>
                <w:rFonts w:ascii="Arial" w:cs="Arial" w:eastAsia="Arial" w:hAnsi="Arial"/>
                <w:sz w:val="18"/>
                <w:szCs w:val="18"/>
                <w:color w:val="auto"/>
              </w:rPr>
              <w:t>- 26.96%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25.87%</w:t>
            </w:r>
          </w:p>
        </w:tc>
        <w:tc>
          <w:tcPr>
            <w:tcW w:w="820" w:type="dxa"/>
            <w:vAlign w:val="bottom"/>
          </w:tcPr>
          <w:p>
            <w:pPr>
              <w:ind w:left="20"/>
              <w:spacing w:after="0"/>
              <w:rPr>
                <w:sz w:val="20"/>
                <w:szCs w:val="20"/>
                <w:color w:val="auto"/>
              </w:rPr>
            </w:pPr>
            <w:r>
              <w:rPr>
                <w:rFonts w:ascii="Arial" w:cs="Arial" w:eastAsia="Arial" w:hAnsi="Arial"/>
                <w:sz w:val="18"/>
                <w:szCs w:val="18"/>
                <w:color w:val="auto"/>
              </w:rPr>
              <w:t>- 30.41%</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540" w:type="dxa"/>
            <w:vAlign w:val="bottom"/>
            <w:gridSpan w:val="2"/>
            <w:shd w:val="clear" w:color="auto" w:fill="CCEEFF"/>
          </w:tcPr>
          <w:p>
            <w:pPr>
              <w:jc w:val="right"/>
              <w:ind w:right="414"/>
              <w:spacing w:after="0"/>
              <w:rPr>
                <w:sz w:val="20"/>
                <w:szCs w:val="20"/>
                <w:color w:val="auto"/>
              </w:rPr>
            </w:pPr>
            <w:r>
              <w:rPr>
                <w:rFonts w:ascii="Arial" w:cs="Arial" w:eastAsia="Arial" w:hAnsi="Arial"/>
                <w:sz w:val="18"/>
                <w:szCs w:val="18"/>
                <w:color w:val="auto"/>
              </w:rPr>
              <w:t>26.12%</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tcPr>
          <w:p>
            <w:pPr>
              <w:jc w:val="right"/>
              <w:spacing w:after="0"/>
              <w:rPr>
                <w:sz w:val="20"/>
                <w:szCs w:val="20"/>
                <w:color w:val="auto"/>
              </w:rPr>
            </w:pPr>
            <w:r>
              <w:rPr>
                <w:rFonts w:ascii="Arial" w:cs="Arial" w:eastAsia="Arial" w:hAnsi="Arial"/>
                <w:sz w:val="18"/>
                <w:szCs w:val="18"/>
                <w:color w:val="auto"/>
              </w:rPr>
              <w:t>4.399%</w:t>
            </w:r>
          </w:p>
        </w:tc>
        <w:tc>
          <w:tcPr>
            <w:tcW w:w="820" w:type="dxa"/>
            <w:vAlign w:val="bottom"/>
          </w:tcPr>
          <w:p>
            <w:pPr>
              <w:ind w:left="20"/>
              <w:spacing w:after="0"/>
              <w:rPr>
                <w:sz w:val="20"/>
                <w:szCs w:val="20"/>
                <w:color w:val="auto"/>
              </w:rPr>
            </w:pPr>
            <w:r>
              <w:rPr>
                <w:rFonts w:ascii="Arial" w:cs="Arial" w:eastAsia="Arial" w:hAnsi="Arial"/>
                <w:sz w:val="18"/>
                <w:szCs w:val="18"/>
                <w:color w:val="auto"/>
              </w:rPr>
              <w:t>- 4.526%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w:t>
            </w:r>
          </w:p>
        </w:tc>
        <w:tc>
          <w:tcPr>
            <w:tcW w:w="820" w:type="dxa"/>
            <w:vAlign w:val="bottom"/>
          </w:tcPr>
          <w:p>
            <w:pPr>
              <w:ind w:left="20"/>
              <w:spacing w:after="0"/>
              <w:rPr>
                <w:sz w:val="20"/>
                <w:szCs w:val="20"/>
                <w:color w:val="auto"/>
              </w:rPr>
            </w:pPr>
            <w:r>
              <w:rPr>
                <w:rFonts w:ascii="Arial" w:cs="Arial" w:eastAsia="Arial" w:hAnsi="Arial"/>
                <w:sz w:val="18"/>
                <w:szCs w:val="18"/>
                <w:color w:val="auto"/>
              </w:rPr>
              <w:t>- 4.04%</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- 0.70%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- 0.25%</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40"/>
          </w:cols>
          <w:pgMar w:left="240" w:top="337" w:right="21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2460" w:type="dxa"/>
            <w:vAlign w:val="bottom"/>
          </w:tcPr>
          <w:p>
            <w:pPr>
              <w:jc w:val="right"/>
              <w:ind w:right="550"/>
              <w:spacing w:after="0"/>
              <w:rPr>
                <w:sz w:val="20"/>
                <w:szCs w:val="20"/>
                <w:color w:val="auto"/>
              </w:rPr>
            </w:pPr>
            <w:r>
              <w:rPr>
                <w:rFonts w:ascii="Arial" w:cs="Arial" w:eastAsia="Arial" w:hAnsi="Arial"/>
                <w:sz w:val="18"/>
                <w:szCs w:val="18"/>
                <w:color w:val="auto"/>
              </w:rPr>
              <w:t>0.67%</w:t>
            </w:r>
          </w:p>
        </w:tc>
        <w:tc>
          <w:tcPr>
            <w:tcW w:w="1120" w:type="dxa"/>
            <w:vAlign w:val="bottom"/>
          </w:tcPr>
          <w:p>
            <w:pPr>
              <w:jc w:val="right"/>
              <w:spacing w:after="0"/>
              <w:rPr>
                <w:sz w:val="20"/>
                <w:szCs w:val="20"/>
                <w:color w:val="auto"/>
              </w:rPr>
            </w:pPr>
            <w:r>
              <w:rPr>
                <w:rFonts w:ascii="Arial" w:cs="Arial" w:eastAsia="Arial" w:hAnsi="Arial"/>
                <w:sz w:val="18"/>
                <w:szCs w:val="18"/>
                <w:color w:val="auto"/>
              </w:rPr>
              <w:t>0.22%</w:t>
            </w: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weighted-average fair value of options granted during the first quarters of fiscal 2006 and 2005 was $10.90 and $11.14, respectively. The fair value of Performance Shares granted during the first quarters of fiscal 2006 and 2005 was $41.44 and $37.02,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Inventories are valued at the lower of cost or net realizable value, with cost determined by the last-in, first-out (LIFO) method for most inventories and first-in, first-out (FIFO) for all other inventories. The company establishes a reserve for excess, slow-moving, and obsolete inventory that is based on the difference between the cost and estimated market value for that inventory. These reserves are based on a review and comparison of current inventory levels to the planned production as well as planned and historical sales of the inventory.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February 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January 28,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ind w:left="20"/>
              <w:spacing w:after="0"/>
              <w:rPr>
                <w:sz w:val="20"/>
                <w:szCs w:val="20"/>
                <w:color w:val="auto"/>
              </w:rPr>
            </w:pPr>
            <w:r>
              <w:rPr>
                <w:rFonts w:ascii="Arial" w:cs="Arial" w:eastAsia="Arial" w:hAnsi="Arial"/>
                <w:sz w:val="14"/>
                <w:szCs w:val="14"/>
                <w:b w:val="1"/>
                <w:bCs w:val="1"/>
                <w:color w:val="auto"/>
              </w:rPr>
              <w:t>October 31,</w:t>
            </w: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6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right w:val="single" w:sz="8" w:color="CCEEFF"/>
            </w:tcBorders>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3"/>
              </w:rPr>
              <w:t>61,824</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Finished goods and service parts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287,289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251,808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231,772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right w:val="single" w:sz="8" w:color="CCEEFF"/>
            </w:tcBorders>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354,202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324,717</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6"/>
              </w:rPr>
              <w:t>293,596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Less: LIFO</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40,011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30,227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40,011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reserves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18,126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18,238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276,364</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6"/>
              </w:rPr>
              <w:t>235,347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94"/>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4820" w:type="dxa"/>
            <w:vAlign w:val="bottom"/>
            <w:gridSpan w:val="4"/>
          </w:tcPr>
          <w:p>
            <w:pPr>
              <w:spacing w:after="0"/>
              <w:rPr>
                <w:sz w:val="20"/>
                <w:szCs w:val="20"/>
                <w:color w:val="auto"/>
              </w:rPr>
            </w:pPr>
            <w:r>
              <w:rPr>
                <w:rFonts w:ascii="Arial" w:cs="Arial" w:eastAsia="Arial" w:hAnsi="Arial"/>
                <w:sz w:val="18"/>
                <w:szCs w:val="18"/>
                <w:b w:val="1"/>
                <w:bCs w:val="1"/>
                <w:color w:val="auto"/>
              </w:rPr>
              <w:t>Per Share Data</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12"/>
          </w:tcPr>
          <w:p>
            <w:pPr>
              <w:spacing w:after="0"/>
              <w:rPr>
                <w:sz w:val="20"/>
                <w:szCs w:val="20"/>
                <w:color w:val="auto"/>
              </w:rPr>
            </w:pPr>
            <w:r>
              <w:rPr>
                <w:rFonts w:ascii="Arial" w:cs="Arial" w:eastAsia="Arial" w:hAnsi="Arial"/>
                <w:sz w:val="18"/>
                <w:szCs w:val="18"/>
                <w:color w:val="auto"/>
                <w:w w:val="93"/>
              </w:rPr>
              <w:t>Reconciliations of basic and diluted weighted average shares of common stock outstanding were as follows: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4"/>
          </w:tcPr>
          <w:p>
            <w:pPr>
              <w:ind w:left="320"/>
              <w:spacing w:after="0"/>
              <w:rPr>
                <w:sz w:val="20"/>
                <w:szCs w:val="20"/>
                <w:color w:val="auto"/>
              </w:rPr>
            </w:pPr>
            <w:r>
              <w:rPr>
                <w:rFonts w:ascii="Arial" w:cs="Arial" w:eastAsia="Arial" w:hAnsi="Arial"/>
                <w:sz w:val="14"/>
                <w:szCs w:val="14"/>
                <w:b w:val="1"/>
                <w:bCs w:val="1"/>
                <w:color w:val="auto"/>
              </w:rPr>
              <w:t>February 3,</w:t>
            </w:r>
          </w:p>
        </w:tc>
        <w:tc>
          <w:tcPr>
            <w:tcW w:w="1500" w:type="dxa"/>
            <w:vAlign w:val="bottom"/>
            <w:gridSpan w:val="4"/>
          </w:tcPr>
          <w:p>
            <w:pPr>
              <w:ind w:left="32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71"/>
        </w:trPr>
        <w:tc>
          <w:tcPr>
            <w:tcW w:w="48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ind w:left="54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Borders>
              <w:top w:val="single" w:sz="8" w:color="auto"/>
            </w:tcBorders>
            <w:gridSpan w:val="3"/>
            <w:shd w:val="clear" w:color="auto" w:fill="CCEEFF"/>
          </w:tcPr>
          <w:p>
            <w:pPr>
              <w:spacing w:after="0" w:line="155" w:lineRule="exact"/>
              <w:rPr>
                <w:sz w:val="20"/>
                <w:szCs w:val="20"/>
                <w:color w:val="auto"/>
              </w:rPr>
            </w:pPr>
            <w:r>
              <w:rPr>
                <w:rFonts w:ascii="Arial" w:cs="Arial" w:eastAsia="Arial" w:hAnsi="Arial"/>
                <w:sz w:val="16"/>
                <w:szCs w:val="16"/>
                <w:i w:val="1"/>
                <w:iCs w:val="1"/>
                <w:color w:val="auto"/>
              </w:rPr>
              <w:t>Basic</w:t>
            </w:r>
          </w:p>
        </w:tc>
        <w:tc>
          <w:tcPr>
            <w:tcW w:w="2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Weighted average number of shares of common stock</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8"/>
                <w:szCs w:val="18"/>
                <w:color w:val="auto"/>
              </w:rPr>
              <w:t>43,459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45,992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EEFF"/>
            </w:tcBorders>
            <w:gridSpan w:val="11"/>
          </w:tcPr>
          <w:p>
            <w:pPr>
              <w:spacing w:after="0"/>
              <w:rPr>
                <w:sz w:val="20"/>
                <w:szCs w:val="20"/>
                <w:color w:val="auto"/>
              </w:rPr>
            </w:pPr>
            <w:r>
              <w:rPr>
                <w:rFonts w:ascii="Arial" w:cs="Arial" w:eastAsia="Arial" w:hAnsi="Arial"/>
                <w:sz w:val="18"/>
                <w:szCs w:val="18"/>
                <w:color w:val="auto"/>
              </w:rPr>
              <w:t>Weighted average number of shares of common stock and assumed issuance of contingent shares</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43,608</w:t>
            </w:r>
          </w:p>
        </w:tc>
        <w:tc>
          <w:tcPr>
            <w:tcW w:w="22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46,136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i w:val="1"/>
                <w:iCs w:val="1"/>
                <w:color w:val="auto"/>
              </w:rPr>
              <w:t>Diluted</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11"/>
          </w:tcPr>
          <w:p>
            <w:pPr>
              <w:spacing w:after="0"/>
              <w:rPr>
                <w:sz w:val="20"/>
                <w:szCs w:val="20"/>
                <w:color w:val="auto"/>
              </w:rPr>
            </w:pPr>
            <w:r>
              <w:rPr>
                <w:rFonts w:ascii="Arial" w:cs="Arial" w:eastAsia="Arial" w:hAnsi="Arial"/>
                <w:sz w:val="18"/>
                <w:szCs w:val="18"/>
                <w:color w:val="auto"/>
              </w:rPr>
              <w:t>Weighted average number of shares of common stock and assumed issuance of contingent shares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8"/>
                <w:szCs w:val="18"/>
                <w:color w:val="auto"/>
              </w:rPr>
              <w:t>43,608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46,136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1,351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1,622</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60" w:type="dxa"/>
            <w:vAlign w:val="bottom"/>
            <w:gridSpan w:val="11"/>
          </w:tcPr>
          <w:p>
            <w:pPr>
              <w:spacing w:after="0" w:line="182" w:lineRule="exact"/>
              <w:rPr>
                <w:sz w:val="20"/>
                <w:szCs w:val="20"/>
                <w:color w:val="auto"/>
              </w:rPr>
            </w:pPr>
            <w:r>
              <w:rPr>
                <w:rFonts w:ascii="Arial" w:cs="Arial" w:eastAsia="Arial" w:hAnsi="Arial"/>
                <w:sz w:val="18"/>
                <w:szCs w:val="18"/>
                <w:color w:val="auto"/>
                <w:w w:val="92"/>
              </w:rPr>
              <w:t>Weighted average number of shares of common stock, assumed issuance of contingent shares, and effect of</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3"/>
          </w:tcPr>
          <w:p>
            <w:pPr>
              <w:ind w:left="160"/>
              <w:spacing w:after="0"/>
              <w:rPr>
                <w:sz w:val="20"/>
                <w:szCs w:val="20"/>
                <w:color w:val="auto"/>
              </w:rPr>
            </w:pPr>
            <w:r>
              <w:rPr>
                <w:rFonts w:ascii="Arial" w:cs="Arial" w:eastAsia="Arial" w:hAnsi="Arial"/>
                <w:sz w:val="18"/>
                <w:szCs w:val="18"/>
                <w:color w:val="auto"/>
              </w:rPr>
              <w:t>dilutive securities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44,959</w:t>
            </w:r>
          </w:p>
        </w:tc>
        <w:tc>
          <w:tcPr>
            <w:tcW w:w="220" w:type="dxa"/>
            <w:vAlign w:val="bottom"/>
          </w:tcPr>
          <w:p>
            <w:pPr>
              <w:spacing w:after="0"/>
              <w:rPr>
                <w:sz w:val="20"/>
                <w:szCs w:val="20"/>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47,758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-2362200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Shares for all periods presented have been adjusted to reflect a two-for-one stock split effective March 28,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in the United States and corporate activities, including corporate financing activities and elimination of intersegment revenues and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February 3, 2006</w:t>
            </w:r>
          </w:p>
        </w:tc>
        <w:tc>
          <w:tcPr>
            <w:tcW w:w="2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42"/>
        </w:trPr>
        <w:tc>
          <w:tcPr>
            <w:tcW w:w="4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4"/>
          </w:tcPr>
          <w:p>
            <w:pPr>
              <w:jc w:val="right"/>
              <w:ind w:right="714"/>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253,605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108,185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369,640</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670</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(8,260)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5,149</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(25,497)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21,312</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498,768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215,803</w:t>
            </w: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265,888</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980,459</w:t>
            </w:r>
          </w:p>
        </w:tc>
      </w:tr>
      <w:tr>
        <w:trPr>
          <w:trHeight w:val="350"/>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28, 2005</w:t>
            </w:r>
          </w:p>
        </w:tc>
        <w:tc>
          <w:tcPr>
            <w:tcW w:w="20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95,876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9,897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689</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(10,586)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4,434</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(26,494)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16,805</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451,636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214,636</w:t>
            </w: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262,308</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928,580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the Other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February 3,</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255"/>
              <w:spacing w:after="0" w:line="119" w:lineRule="exact"/>
              <w:rPr>
                <w:sz w:val="20"/>
                <w:szCs w:val="20"/>
                <w:color w:val="auto"/>
              </w:rPr>
            </w:pPr>
            <w:r>
              <w:rPr>
                <w:rFonts w:ascii="Arial" w:cs="Arial" w:eastAsia="Arial" w:hAnsi="Arial"/>
                <w:sz w:val="13"/>
                <w:szCs w:val="13"/>
                <w:b w:val="1"/>
                <w:bCs w:val="1"/>
                <w:color w:val="auto"/>
              </w:rPr>
              <w:t>January 28,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437"/>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(25,257)</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Finance charge revenue</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701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 of corporate financing expense</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3,481</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(4,243)</w:t>
            </w:r>
          </w:p>
        </w:tc>
        <w:tc>
          <w:tcPr>
            <w:tcW w:w="1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0"/>
        </w:trPr>
        <w:tc>
          <w:tcPr>
            <w:tcW w:w="5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(25,497</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(26,494</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125" w:right="219" w:bottom="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quarter of fiscal 2006 were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Professional</w:t>
            </w: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Residential</w:t>
            </w:r>
          </w:p>
        </w:tc>
        <w:tc>
          <w:tcPr>
            <w:tcW w:w="20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Segment</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2005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Translation adjustment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3, 2006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February 3, 2006</w:t>
            </w:r>
          </w:p>
        </w:tc>
        <w:tc>
          <w:tcPr>
            <w:tcW w:w="1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 2005</w:t>
            </w: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0"/>
                <w:szCs w:val="10"/>
                <w:color w:val="auto"/>
              </w:rPr>
            </w:pPr>
          </w:p>
        </w:tc>
        <w:tc>
          <w:tcPr>
            <w:tcW w:w="17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Gross Carrying</w:t>
            </w:r>
          </w:p>
        </w:tc>
        <w:tc>
          <w:tcPr>
            <w:tcW w:w="420" w:type="dxa"/>
            <w:vAlign w:val="bottom"/>
          </w:tcPr>
          <w:p>
            <w:pPr>
              <w:spacing w:after="0"/>
              <w:rPr>
                <w:sz w:val="10"/>
                <w:szCs w:val="10"/>
                <w:color w:val="auto"/>
              </w:rPr>
            </w:pPr>
          </w:p>
        </w:tc>
        <w:tc>
          <w:tcPr>
            <w:tcW w:w="1300" w:type="dxa"/>
            <w:vAlign w:val="bottom"/>
          </w:tcPr>
          <w:p>
            <w:pPr>
              <w:jc w:val="right"/>
              <w:ind w:right="376"/>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Gross Carrying</w:t>
            </w:r>
          </w:p>
        </w:tc>
        <w:tc>
          <w:tcPr>
            <w:tcW w:w="400" w:type="dxa"/>
            <w:vAlign w:val="bottom"/>
          </w:tcPr>
          <w:p>
            <w:pPr>
              <w:spacing w:after="0"/>
              <w:rPr>
                <w:sz w:val="10"/>
                <w:szCs w:val="10"/>
                <w:color w:val="auto"/>
              </w:rPr>
            </w:pPr>
          </w:p>
        </w:tc>
        <w:tc>
          <w:tcPr>
            <w:tcW w:w="1300" w:type="dxa"/>
            <w:vAlign w:val="bottom"/>
          </w:tcPr>
          <w:p>
            <w:pPr>
              <w:jc w:val="right"/>
              <w:ind w:right="376"/>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4"/>
                <w:szCs w:val="14"/>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Amortization</w:t>
            </w:r>
          </w:p>
        </w:tc>
        <w:tc>
          <w:tcPr>
            <w:tcW w:w="240" w:type="dxa"/>
            <w:vAlign w:val="bottom"/>
          </w:tcPr>
          <w:p>
            <w:pPr>
              <w:spacing w:after="0"/>
              <w:rPr>
                <w:sz w:val="14"/>
                <w:szCs w:val="14"/>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(844)</w:t>
            </w:r>
          </w:p>
        </w:tc>
        <w:tc>
          <w:tcPr>
            <w:tcW w:w="24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w:t>
            </w:r>
          </w:p>
        </w:tc>
        <w:tc>
          <w:tcPr>
            <w:tcW w:w="4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1,239</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4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(1,355)</w:t>
            </w:r>
          </w:p>
        </w:tc>
        <w:tc>
          <w:tcPr>
            <w:tcW w:w="24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2,973</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Amortization expense for intangible assets during the first quarter of fiscal 2006 was $210,000. Estimated amortization expense for the remainder of fiscal 2006 and succeeding fiscal years is as follows: 2006 (remainder), $620,000; 2007, $637,000; 2008, $461,000; 2009, $251,000; 2010, $174,000; 2011, $174,000; and after 2011, $449,000.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had $2.5 million of non-amortizable intangible assets related to the Hayter brand 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products are warranted to ensure customer confidence in design, workmanship, and overall quality. Warranty coverage ranges from a period of six months to seven years, and generally covers parts, labor, and other expenses for non-maintenance repairs, provided operator abuse, improper use, or negligence did not necessitate the repair. An authorized Toro distributor or dealer must perform warranty work. Distributors, dealers, and contractors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additional warranty coverage on select products when the factory warranty period expires.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provisions, claims, and changes in estimates for the three-month periods in fiscal 2006 and 2005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60" w:type="dxa"/>
            <w:vAlign w:val="bottom"/>
          </w:tcPr>
          <w:p>
            <w:pPr>
              <w:jc w:val="right"/>
              <w:ind w:right="419"/>
              <w:spacing w:after="0"/>
              <w:rPr>
                <w:sz w:val="20"/>
                <w:szCs w:val="20"/>
                <w:color w:val="auto"/>
              </w:rPr>
            </w:pPr>
            <w:r>
              <w:rPr>
                <w:rFonts w:ascii="Arial" w:cs="Arial" w:eastAsia="Arial" w:hAnsi="Arial"/>
                <w:sz w:val="14"/>
                <w:szCs w:val="14"/>
                <w:b w:val="1"/>
                <w:bCs w:val="1"/>
                <w:color w:val="auto"/>
              </w:rPr>
              <w:t>Beginning</w:t>
            </w:r>
          </w:p>
        </w:tc>
        <w:tc>
          <w:tcPr>
            <w:tcW w:w="380" w:type="dxa"/>
            <w:vAlign w:val="bottom"/>
          </w:tcPr>
          <w:p>
            <w:pPr>
              <w:spacing w:after="0"/>
              <w:rPr>
                <w:sz w:val="14"/>
                <w:szCs w:val="14"/>
                <w:color w:val="auto"/>
              </w:rPr>
            </w:pPr>
          </w:p>
        </w:tc>
        <w:tc>
          <w:tcPr>
            <w:tcW w:w="1320" w:type="dxa"/>
            <w:vAlign w:val="bottom"/>
            <w:gridSpan w:val="3"/>
          </w:tcPr>
          <w:p>
            <w:pPr>
              <w:jc w:val="right"/>
              <w:ind w:right="522"/>
              <w:spacing w:after="0"/>
              <w:rPr>
                <w:sz w:val="20"/>
                <w:szCs w:val="20"/>
                <w:color w:val="auto"/>
              </w:rPr>
            </w:pPr>
            <w:r>
              <w:rPr>
                <w:rFonts w:ascii="Arial" w:cs="Arial" w:eastAsia="Arial" w:hAnsi="Arial"/>
                <w:sz w:val="14"/>
                <w:szCs w:val="14"/>
                <w:b w:val="1"/>
                <w:bCs w:val="1"/>
                <w:color w:val="auto"/>
              </w:rPr>
              <w:t>Warranty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w w:val="98"/>
              </w:rPr>
              <w:t>Warranty</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399"/>
              <w:spacing w:after="0"/>
              <w:rPr>
                <w:sz w:val="20"/>
                <w:szCs w:val="20"/>
                <w:color w:val="auto"/>
              </w:rPr>
            </w:pPr>
            <w:r>
              <w:rPr>
                <w:rFonts w:ascii="Arial" w:cs="Arial" w:eastAsia="Arial" w:hAnsi="Arial"/>
                <w:sz w:val="14"/>
                <w:szCs w:val="14"/>
                <w:b w:val="1"/>
                <w:bCs w:val="1"/>
                <w:color w:val="auto"/>
              </w:rPr>
              <w:t>Changes in</w:t>
            </w:r>
          </w:p>
        </w:tc>
        <w:tc>
          <w:tcPr>
            <w:tcW w:w="34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479"/>
              <w:spacing w:after="0"/>
              <w:rPr>
                <w:sz w:val="20"/>
                <w:szCs w:val="20"/>
                <w:color w:val="auto"/>
              </w:rPr>
            </w:pPr>
            <w:r>
              <w:rPr>
                <w:rFonts w:ascii="Arial" w:cs="Arial" w:eastAsia="Arial" w:hAnsi="Arial"/>
                <w:sz w:val="14"/>
                <w:szCs w:val="14"/>
                <w:b w:val="1"/>
                <w:bCs w:val="1"/>
                <w:color w:val="auto"/>
              </w:rPr>
              <w:t>Balance</w:t>
            </w:r>
          </w:p>
        </w:tc>
        <w:tc>
          <w:tcPr>
            <w:tcW w:w="380" w:type="dxa"/>
            <w:vAlign w:val="bottom"/>
          </w:tcPr>
          <w:p>
            <w:pPr>
              <w:spacing w:after="0"/>
              <w:rPr>
                <w:sz w:val="14"/>
                <w:szCs w:val="14"/>
                <w:color w:val="auto"/>
              </w:rPr>
            </w:pPr>
          </w:p>
        </w:tc>
        <w:tc>
          <w:tcPr>
            <w:tcW w:w="1320" w:type="dxa"/>
            <w:vAlign w:val="bottom"/>
            <w:gridSpan w:val="3"/>
          </w:tcPr>
          <w:p>
            <w:pPr>
              <w:jc w:val="right"/>
              <w:ind w:right="502"/>
              <w:spacing w:after="0"/>
              <w:rPr>
                <w:sz w:val="20"/>
                <w:szCs w:val="20"/>
                <w:color w:val="auto"/>
              </w:rPr>
            </w:pPr>
            <w:r>
              <w:rPr>
                <w:rFonts w:ascii="Arial" w:cs="Arial" w:eastAsia="Arial" w:hAnsi="Arial"/>
                <w:sz w:val="14"/>
                <w:szCs w:val="14"/>
                <w:b w:val="1"/>
                <w:bCs w:val="1"/>
                <w:color w:val="auto"/>
              </w:rPr>
              <w:t>Provisions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Claims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439"/>
              <w:spacing w:after="0"/>
              <w:rPr>
                <w:sz w:val="20"/>
                <w:szCs w:val="20"/>
                <w:color w:val="auto"/>
              </w:rPr>
            </w:pPr>
            <w:r>
              <w:rPr>
                <w:rFonts w:ascii="Arial" w:cs="Arial" w:eastAsia="Arial" w:hAnsi="Arial"/>
                <w:sz w:val="14"/>
                <w:szCs w:val="14"/>
                <w:b w:val="1"/>
                <w:bCs w:val="1"/>
                <w:color w:val="auto"/>
              </w:rPr>
              <w:t>Estimates</w:t>
            </w:r>
          </w:p>
        </w:tc>
        <w:tc>
          <w:tcPr>
            <w:tcW w:w="34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6"/>
          </w:tcPr>
          <w:p>
            <w:pPr>
              <w:jc w:val="right"/>
              <w:ind w:right="13"/>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3, 2006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61,385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7,983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(7,647)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28, 2005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60,988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7,848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(9,594)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3"/>
          </w:tcPr>
          <w:p>
            <w:pPr>
              <w:jc w:val="right"/>
              <w:ind w:right="922"/>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Postretirement Benefit Plans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40" w:type="dxa"/>
            <w:vAlign w:val="bottom"/>
            <w:gridSpan w:val="6"/>
          </w:tcPr>
          <w:p>
            <w:pPr>
              <w:spacing w:after="0"/>
              <w:rPr>
                <w:sz w:val="20"/>
                <w:szCs w:val="20"/>
                <w:color w:val="auto"/>
              </w:rPr>
            </w:pPr>
            <w:r>
              <w:rPr>
                <w:rFonts w:ascii="Arial" w:cs="Arial" w:eastAsia="Arial" w:hAnsi="Arial"/>
                <w:sz w:val="18"/>
                <w:szCs w:val="18"/>
                <w:color w:val="auto"/>
                <w:w w:val="92"/>
              </w:rPr>
              <w:t>The following table presents the components of net periodic benefit costs: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Borders>
              <w:bottom w:val="single" w:sz="8" w:color="auto"/>
            </w:tcBorders>
            <w:gridSpan w:val="6"/>
          </w:tcPr>
          <w:p>
            <w:pPr>
              <w:jc w:val="right"/>
              <w:ind w:right="37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February 3,</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28,</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jc w:val="right"/>
              <w:ind w:right="153"/>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128</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128</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(48)</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(48)</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Amortization of losses</w:t>
            </w: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CCEEFF"/>
            </w:tcBorders>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expense</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243</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-1932940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-1932940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February 3, 2006, approximately $90,000 of contributions had been made. The company presently expects to contribute a total of $500,000 to its postretirement health-care benefit plan in fiscal 2006.</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maintains The Toro Company Investment, Savings and Employee Stock Ownership Plan for eligible employees. The company’s expenses under this plan were $4.1 million for the first quarter of fiscal 2006 and $3.7 million for the first quarter of fiscal 2005.</w:t>
      </w:r>
    </w:p>
    <w:p>
      <w:pPr>
        <w:sectPr>
          <w:pgSz w:w="11900" w:h="16838" w:orient="portrait"/>
          <w:cols w:equalWidth="0" w:num="1">
            <w:col w:w="11440"/>
          </w:cols>
          <w:pgMar w:left="240" w:top="341" w:right="21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derivative instruments to assist in the management of exposure to currency exchange rates. The company uses derivative instruments only to limit underlying exposure to currency fluctuations, and not for trading purposes. The company documents relationships between hedging instruments and the hedged items, as well as its risk-management objective and strategy for undertaking various hedge transactions. The company assesses, both at the hedge’s inception and on an ongoing basis, whether the derivatives that are used in hedging transactions are highly effective in offsetting changes in cash flows of the hedged item.</w:t>
      </w:r>
    </w:p>
    <w:p>
      <w:pPr>
        <w:spacing w:after="0" w:line="188"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The company enters into foreign currency exchange contracts to hedge the risk from forecasted settlements in local currencies of trade sales and purchases. These contracts are designated as cash flow hedges and are reported at fair value as a hedge asset or liability in prepaid expenses or accrued liabilities, as applicable. Changes in the fair value of these contracts are reported in accumulated other comprehensive income (loss) until the hedged transaction occurs. Once the forecasted transaction has been recognized as a sale or inventory purchase and a related asset or liability recorded in the balance sheet, the related fair value of the derivative hedge contract is reclassified from accumulated other comprehensive income (loss) into earnings. During the three months ended February 3, 2006, the amount of gains reclassified to earnings for such cash flow hedges was $0.5 million. For the three months ended February 3, 2006, the gains treated as an addition to net sales for contracts to hedge trade sales were $0.4 million and the gains treated as a reduction of cost of sales for contracts to hedge inventory purchases were $0.1 million. As of February 3, 2006, the notional amount of such contracts outstanding was $80.8 million. The unrecognized after-tax gain portion of the fair value of the contracts recorded in accumulated other comprehensive loss as of February 3, 2006 was $0.2 million.</w:t>
      </w:r>
    </w:p>
    <w:p>
      <w:pPr>
        <w:spacing w:after="0" w:line="17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company also enters into other foreign currency exchange contracts. These contracts are intended to hedge intercompany financing transactions and other activities and are not designed as hedging instruments under the accounting criteria of SFAS No. 133; therefore, changes in fair value of these instruments are recorded in other income, net.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June 3, 2004, eight individuals who claim to have purchased lawnmowers in Illinois and Minnesota filed a lawsuit (Ronnie Phillips et al. v. Sears Roebuck Corporation et. al., No.04-L-334 (20th Judicial Circuit, St. Clair County, IL)) against the company and eight other defendants alleging that the horsepower labels on the products the plaintiffs purchased were inaccurate. The plaintiffs seek certification of a class of all persons in the United States who, beginning January 1, 1995 through the present, purchased a lawnmower containing a two stroke or four stroke gas combustible engine up to 20 horsepower that was manufactured or sold by the defendants. The complaint seeks an injunction, unspecified compensatory and punitive damages, and attorneys’ fees. No answers have been entered in the case, and there has been no formal discovery. A number of procedural motions have been filed by the defendants, but have not yet been decided. On April 20, 2005, the court issued a stay of discovery and procedural matters to permit the parties to engage in settlement discussions. An attempt at mediation in October 2005 was unsuccessful, and the company expects the stay of procedural matters to be lifted so that various procedural motions may be determined. Management continues to evaluate this lawsuit and is unable to reasonably estimate the likelihood of loss or the amount or range of potential loss that could result from this litigation. Therefore, an accrual has not been established for any potential loss in connection with this lawsuit. The company is also unable to assess at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time whether the lawsuit will have a material adverse effect on its annual consolidated operating results or financial condition, although an unfavorable resolution could be material to the company’s operating results for a particular period.</w:t>
      </w:r>
    </w:p>
    <w:p>
      <w:pPr>
        <w:spacing w:after="0" w:line="17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the ordinary course of business, in addition to that described above, the company may become liable with respect to pending and threatened litigation for product liability, tax, patent, environmental, and other matters. While the ultimate results of current claims, investigations, and lawsuits involving the company are unknown at this time, management believes that, except for the lawsuit discussed above, the outcomes of these cases are unlikely to have a material adverse effect on the consolidated operating results or financial position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Adopted</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March 2005, the Financial Accounting Standards Board (FASB) issued Interpretation No. 47, “Accounting for Conditional Asset Retirement Obligations,” an interpretation of FASB Statement No. 143. FASB Interpretation No. 47 clarifies the timing of liability recognition for legal obligations associated with the retirement of tangible long-lived assets when the timing and (or) method of settlement are conditional on a future event. We adopted provisions of FASB Interpretation No. 47 on November 1, 2005, as required, and the adoption of this Interpretation had an immaterial impact on our consolidated results of operations or financial condition.</w:t>
      </w:r>
    </w:p>
    <w:p>
      <w:pPr>
        <w:spacing w:after="0" w:line="18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November 2004, the FASB issued SFAS No. 151, “Inventory Costs,” which amends the guidance in ARB No. 43, Chapter 4, “Inventory Pricing,” to clarify the accounting for abnormal amounts of idle facility expense, freight, handling costs, and wasted material. This Statement requires that those items be recognized as current-period charges regardless of whether they meet the criterion of “so abnormal.” In addition, this Statement requires that the allocation of fixed production overheads to the costs of conversion be based on the normal capacity of the production facilities. We adopted the provisions of SFAS No. 151 on November 1, 2005, as required, which had an immaterial impact on our consolidated results of operations.</w:t>
      </w:r>
    </w:p>
    <w:p>
      <w:pPr>
        <w:spacing w:after="0" w:line="16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and micro irrigation systems, landscaping equipment, and residential yard products worldwide. Our products are sold through a network of distributors, dealers, hardware retailers, home centers, mass retailers, and over the Internet, mainly through Internet retailers. Our businesses are organized into two segments: professional and residential. A third segment called “other” consists of domestic distribution companies and corporate activities. Our emphasis is to provide well-built, dependable, and innovative products supported by an extensive service network. A significant portion of our revenues has historically been attributable to new and enhanced products. As we enter our final year of our “6 + 8” profitability and growth initiative, we expect to continue to invest in growth strategies directed at underserved markets, such as accelerating our growth in international markets. The goals of this initiative are to achieve a</w:t>
      </w:r>
    </w:p>
    <w:p>
      <w:pPr>
        <w:sectPr>
          <w:pgSz w:w="11900" w:h="16838" w:orient="portrait"/>
          <w:cols w:equalWidth="0" w:num="1">
            <w:col w:w="11420"/>
          </w:cols>
          <w:pgMar w:left="240" w:top="337" w:right="239" w:bottom="0" w:gutter="0" w:footer="0" w:header="0"/>
        </w:sectPr>
      </w:pPr>
    </w:p>
    <w:bookmarkStart w:id="7" w:name="page8"/>
    <w:bookmarkEnd w:id="7"/>
    <w:p>
      <w:pPr>
        <w:spacing w:after="0" w:line="9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consistent after-tax return on net sales of 6 percent or more and grow revenues at an average rate of 8 percent or more over the three-year period ending October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results for the first quarter of fiscal 2006 were strong with net sales growth of 6.6 percent and a double digit net earnings growth rate of 27.8 percent compared to the first quarter of fiscal 2005. Sales were up in all of our segments, led by significant international sales growth as a result of continued strong demand, introduction of new products, and the addition of Hayter Limited, which we acquired in February 2005. Hayter accounted for slightly more than half of our total net sales growth for the first quarter of fiscal 2006 compared to the first quarter of fiscal 2005. Net earnings increased significantly, and as a percentage of net sales rose from 3.2 percent in the first quarter of fiscal 2005 to 3.9 percent in the first quarter of fiscal 2006. Higher gross margins and continued leveraging of selling, general, and administrative expenses contributed to the earnings improvement. Our financial condition remains strong with only modest increases in receivables and inventory levels. We also increased our first quarter cash dividend by 50 percent compared to the quarterly cash dividend paid in the first quarter of fiscal 2005.</w:t>
      </w:r>
    </w:p>
    <w:p>
      <w:pPr>
        <w:spacing w:after="0" w:line="17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fiscal 2006 first quarter results were strong, and we are optimistic that results for the full fiscal year of 2006 will end strong. However, as net sales and earnings for the first quarter of our fiscal year are typically lower than other quarters, the results of our first quarter are not necessarily an indicator of spring season sales trends, which are still ahead. We continue to keep a cautionary eye on the domestic and global economies, weather, field inventory levels, commodity prices, competitive actions, and other factors identified below under the heading “Forward-Looking Information,” which could cause our actual results to differ from our outlook.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First quarter of fiscal 2006 net earnings were $14.3 million or $0.32 per diluted share compared to $11.2 million or $0.23 per diluted share for the first quarter of fiscal 2005, a net earnings increase of 27.8 percent. The primary factors contributing to this increase were higher sales volumes, an increase in gross margins, and improved leveraging of selling, general, and administrative costs. In addition, first quarter of fiscal 2006 diluted earnings per share were benefited by approximately $0.02 per share compared to the first quarter of fiscal 2005 as a result of reduced shares outstanding due to our significant Toro common stock repurchases last fiscal year.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3100" w:type="dxa"/>
            <w:vAlign w:val="bottom"/>
            <w:gridSpan w:val="4"/>
          </w:tcPr>
          <w:p>
            <w:pPr>
              <w:jc w:val="right"/>
              <w:ind w:right="905"/>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8320" w:type="dxa"/>
            <w:vAlign w:val="bottom"/>
          </w:tcPr>
          <w:p>
            <w:pPr>
              <w:spacing w:after="0"/>
              <w:rPr>
                <w:sz w:val="10"/>
                <w:szCs w:val="10"/>
                <w:color w:val="auto"/>
              </w:rPr>
            </w:pPr>
          </w:p>
        </w:tc>
        <w:tc>
          <w:tcPr>
            <w:tcW w:w="1580" w:type="dxa"/>
            <w:vAlign w:val="bottom"/>
            <w:tcBorders>
              <w:top w:val="single" w:sz="8" w:color="auto"/>
            </w:tcBorders>
            <w:gridSpan w:val="2"/>
          </w:tcPr>
          <w:p>
            <w:pPr>
              <w:jc w:val="right"/>
              <w:ind w:right="450"/>
              <w:spacing w:after="0" w:line="119" w:lineRule="exact"/>
              <w:rPr>
                <w:sz w:val="20"/>
                <w:szCs w:val="20"/>
                <w:color w:val="auto"/>
              </w:rPr>
            </w:pPr>
            <w:r>
              <w:rPr>
                <w:rFonts w:ascii="Arial" w:cs="Arial" w:eastAsia="Arial" w:hAnsi="Arial"/>
                <w:sz w:val="13"/>
                <w:szCs w:val="13"/>
                <w:b w:val="1"/>
                <w:bCs w:val="1"/>
                <w:color w:val="auto"/>
              </w:rPr>
              <w:t>February 3,</w:t>
            </w:r>
          </w:p>
        </w:tc>
        <w:tc>
          <w:tcPr>
            <w:tcW w:w="1380" w:type="dxa"/>
            <w:vAlign w:val="bottom"/>
            <w:tcBorders>
              <w:top w:val="single" w:sz="8" w:color="auto"/>
            </w:tcBorders>
          </w:tcPr>
          <w:p>
            <w:pPr>
              <w:jc w:val="right"/>
              <w:ind w:right="254"/>
              <w:spacing w:after="0" w:line="119" w:lineRule="exact"/>
              <w:rPr>
                <w:sz w:val="20"/>
                <w:szCs w:val="20"/>
                <w:color w:val="auto"/>
              </w:rPr>
            </w:pPr>
            <w:r>
              <w:rPr>
                <w:rFonts w:ascii="Arial" w:cs="Arial" w:eastAsia="Arial" w:hAnsi="Arial"/>
                <w:sz w:val="13"/>
                <w:szCs w:val="13"/>
                <w:b w:val="1"/>
                <w:bCs w:val="1"/>
                <w:color w:val="auto"/>
              </w:rPr>
              <w:t>January 28,</w:t>
            </w:r>
          </w:p>
        </w:tc>
        <w:tc>
          <w:tcPr>
            <w:tcW w:w="140" w:type="dxa"/>
            <w:vAlign w:val="bottom"/>
          </w:tcPr>
          <w:p>
            <w:pPr>
              <w:spacing w:after="0"/>
              <w:rPr>
                <w:sz w:val="10"/>
                <w:szCs w:val="10"/>
                <w:color w:val="auto"/>
              </w:rPr>
            </w:pPr>
          </w:p>
        </w:tc>
      </w:tr>
      <w:tr>
        <w:trPr>
          <w:trHeight w:val="171"/>
        </w:trPr>
        <w:tc>
          <w:tcPr>
            <w:tcW w:w="83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CCEEFF"/>
            </w:tcBorders>
          </w:tcPr>
          <w:p>
            <w:pPr>
              <w:spacing w:after="0"/>
              <w:rPr>
                <w:sz w:val="14"/>
                <w:szCs w:val="14"/>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Cost of sales</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(64.3)</w:t>
            </w:r>
          </w:p>
        </w:tc>
        <w:tc>
          <w:tcPr>
            <w:tcW w:w="1520" w:type="dxa"/>
            <w:vAlign w:val="bottom"/>
            <w:gridSpan w:val="2"/>
          </w:tcPr>
          <w:p>
            <w:pPr>
              <w:jc w:val="right"/>
              <w:ind w:right="25"/>
              <w:spacing w:after="0"/>
              <w:rPr>
                <w:sz w:val="20"/>
                <w:szCs w:val="20"/>
                <w:color w:val="auto"/>
              </w:rPr>
            </w:pPr>
            <w:r>
              <w:rPr>
                <w:rFonts w:ascii="Arial" w:cs="Arial" w:eastAsia="Arial" w:hAnsi="Arial"/>
                <w:sz w:val="18"/>
                <w:szCs w:val="18"/>
                <w:color w:val="auto"/>
              </w:rPr>
              <w:t>(64.9)</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(29.0)</w:t>
            </w:r>
          </w:p>
        </w:tc>
        <w:tc>
          <w:tcPr>
            <w:tcW w:w="1520" w:type="dxa"/>
            <w:vAlign w:val="bottom"/>
            <w:gridSpan w:val="2"/>
          </w:tcPr>
          <w:p>
            <w:pPr>
              <w:jc w:val="right"/>
              <w:ind w:right="25"/>
              <w:spacing w:after="0"/>
              <w:rPr>
                <w:sz w:val="20"/>
                <w:szCs w:val="20"/>
                <w:color w:val="auto"/>
              </w:rPr>
            </w:pPr>
            <w:r>
              <w:rPr>
                <w:rFonts w:ascii="Arial" w:cs="Arial" w:eastAsia="Arial" w:hAnsi="Arial"/>
                <w:sz w:val="18"/>
                <w:szCs w:val="18"/>
                <w:color w:val="auto"/>
              </w:rPr>
              <w:t>(29.5)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(1.1)</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Other income, net</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(1.6)</w:t>
            </w:r>
          </w:p>
        </w:tc>
      </w:tr>
      <w:tr>
        <w:trPr>
          <w:trHeight w:val="210"/>
        </w:trPr>
        <w:tc>
          <w:tcPr>
            <w:tcW w:w="8320" w:type="dxa"/>
            <w:vAlign w:val="bottom"/>
          </w:tcPr>
          <w:p>
            <w:pPr>
              <w:spacing w:after="0"/>
              <w:rPr>
                <w:sz w:val="20"/>
                <w:szCs w:val="20"/>
                <w:color w:val="auto"/>
              </w:rPr>
            </w:pPr>
            <w:r>
              <w:rPr>
                <w:rFonts w:ascii="Arial" w:cs="Arial" w:eastAsia="Arial" w:hAnsi="Arial"/>
                <w:sz w:val="18"/>
                <w:szCs w:val="18"/>
                <w:color w:val="auto"/>
              </w:rPr>
              <w:t>Net earnings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7"/>
        </w:trPr>
        <w:tc>
          <w:tcPr>
            <w:tcW w:w="83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Worldwide consolidated net sales for the first quarter of fiscal 2006 were up 6.6 percent compared to last fiscal year’s first quarter. Factoring out the effect of the additional sales from our acquisition of Hayter in February 2005, net sales increased 3.1 percent over last fiscal year’s first quarter. International sales for the first quarter of fiscal 2006 were up significantly, increasing by 33.9 percent compared to the first quarter of fiscal 2005. International sales were strong in both the professional and residential segments as a result of continued growth in demand in international markets, introduction of new products, and improved availability of some products. However, sales of professional segment products in the U.S. were down, mainly for commercial and Exmark landscape contractor equipment, due to efforts to ship product closer to retail demand and reduce field inventory levels. Sales of residential segment products in the U.S. were also down due to lower shipments of Lawn-Boy products due to initial stocking shipments and expanded placement last year for new products. Other segment net sales were up for the first quarter comparison due to strong sales at a company-owned distributorship.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Gross profit for the first quarter of fiscal 2006 increased 8.4 percent compared to the first quarter of fiscal 2005. As a percentage of net sales, gross profit for the first quarter of fiscal 2006 was 35.7 percent compared to 35.1 percent in the first quarter of fiscal 2005. The increase in gross profit as a percentage of net sales was the result of the following factors: (i) price increases introduced on some products to help mitigate the impact of higher commodity costs during the past two years; (ii) cost reduction efforts, including benefits from past and continuing profit improvement initiatives; and (iii) a change in the method of distribution of Exmark products to shipping directly to dealers in certain markets. Somewhat offsetting those positive factors were (i) increased outbound freight costs due to higher fuel costs and increased demand for transportation; (ii) higher tooling costs for new products introduced during the past two years; and (iii) the addition of Hayter sales that carry lower margins than the company total.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Selling, general, and administrative expense (SG&amp;A) for the first quarter of fiscal 2006 increased by 4.9 percent compared to the same period last fiscal year. However, SG&amp;A as a percentage of net sales declined to 29.0 percent in the first quarter of fiscal 2006 compared to 29.5 percent in the first quarter of fiscal 2005. The decrease in SG&amp;A expense as a percentage of net sales was due primarily to leveraging the fixed portion of SG&amp;A costs over higher sales volumes as well as: (i) reduced warranty expense due to lower costs related to a reimbursement received from a vendor for a special product modification and lower claims experience and (ii) lower administrative expenses. Somewhat offsetting those decreases were: (i) increased investments in engineering and information systems as part of our “6 + 8” initiative and (ii) higher incentive compensation expense.</w:t>
      </w:r>
    </w:p>
    <w:p>
      <w:pPr>
        <w:sectPr>
          <w:pgSz w:w="11900" w:h="16934" w:orient="portrait"/>
          <w:cols w:equalWidth="0" w:num="1">
            <w:col w:w="11420"/>
          </w:cols>
          <w:pgMar w:left="240" w:top="125"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for the first quarter of fiscal 2006 increased by 12.8 percent compared to the first quarter of fiscal 2005 due to higher average interest rates on our short-term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Other income, net for the first quarter of fiscal 2006 was $0.9 million compared to $1.1 million for the same period last fiscal year, a decline of 22.3 percent.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due primarily to lower interest income as a result of decreased invested funds.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effective tax rate for the first quarter of fiscal 2006 was 33.0 percent compared to 33.5 percent in the first quarter of fiscal 2005. The decline in the effective tax rate was due to a reduction in the tax on international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described previously, we operate in two reportable business segments: professional and residential. A third reportable segment called “other” consists of company-owned domestic distributorships, corporate activities, and financing functions. Operating earnings for each of our two business segments is defined as earnings from operations plus other income, net. Operating loss for our third “other” segment includes earnings (loss) from operations, corporate activities, including corporate financing activities, other income, net, and interest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0"/>
                <w:szCs w:val="10"/>
                <w:color w:val="auto"/>
              </w:rPr>
            </w:pPr>
          </w:p>
        </w:tc>
        <w:tc>
          <w:tcPr>
            <w:tcW w:w="128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February 3,</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January 28,</w:t>
            </w:r>
          </w:p>
        </w:tc>
        <w:tc>
          <w:tcPr>
            <w:tcW w:w="220" w:type="dxa"/>
            <w:vAlign w:val="bottom"/>
          </w:tcPr>
          <w:p>
            <w:pPr>
              <w:spacing w:after="0"/>
              <w:rPr>
                <w:sz w:val="10"/>
                <w:szCs w:val="10"/>
                <w:color w:val="auto"/>
              </w:rPr>
            </w:pPr>
          </w:p>
        </w:tc>
        <w:tc>
          <w:tcPr>
            <w:tcW w:w="11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0"/>
                <w:szCs w:val="10"/>
                <w:color w:val="auto"/>
              </w:rPr>
            </w:pP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1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76"/>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253,605</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245,230</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20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108,185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95,876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12,309</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5,807</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3"/>
          </w:tcPr>
          <w:p>
            <w:pPr>
              <w:ind w:left="160"/>
              <w:spacing w:after="0"/>
              <w:rPr>
                <w:sz w:val="20"/>
                <w:szCs w:val="20"/>
                <w:color w:val="auto"/>
              </w:rPr>
            </w:pPr>
            <w:r>
              <w:rPr>
                <w:rFonts w:ascii="Arial" w:cs="Arial" w:eastAsia="Arial" w:hAnsi="Arial"/>
                <w:sz w:val="18"/>
                <w:szCs w:val="18"/>
                <w:color w:val="auto"/>
              </w:rPr>
              <w:t>Total *</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346,913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22,727</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22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320" w:type="dxa"/>
            <w:vAlign w:val="bottom"/>
            <w:gridSpan w:val="2"/>
          </w:tcPr>
          <w:p>
            <w:pPr>
              <w:spacing w:after="0"/>
              <w:rPr>
                <w:sz w:val="8"/>
                <w:szCs w:val="8"/>
                <w:color w:val="auto"/>
              </w:rPr>
            </w:pPr>
          </w:p>
        </w:tc>
        <w:tc>
          <w:tcPr>
            <w:tcW w:w="138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gridSpan w:val="3"/>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320" w:type="dxa"/>
            <w:vAlign w:val="bottom"/>
            <w:gridSpan w:val="2"/>
          </w:tcPr>
          <w:p>
            <w:pPr>
              <w:spacing w:after="0"/>
              <w:rPr>
                <w:sz w:val="8"/>
                <w:szCs w:val="8"/>
                <w:color w:val="auto"/>
              </w:rPr>
            </w:pPr>
          </w:p>
        </w:tc>
        <w:tc>
          <w:tcPr>
            <w:tcW w:w="138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120,059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89,653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30,406</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operating earnings (loss)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February 3,</w:t>
            </w:r>
          </w:p>
        </w:tc>
        <w:tc>
          <w:tcPr>
            <w:tcW w:w="200" w:type="dxa"/>
            <w:vAlign w:val="bottom"/>
          </w:tcPr>
          <w:p>
            <w:pPr>
              <w:spacing w:after="0"/>
              <w:rPr>
                <w:sz w:val="10"/>
                <w:szCs w:val="10"/>
                <w:color w:val="auto"/>
              </w:rPr>
            </w:pPr>
          </w:p>
        </w:tc>
        <w:tc>
          <w:tcPr>
            <w:tcW w:w="136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January 28,</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220" w:type="dxa"/>
            <w:vAlign w:val="bottom"/>
            <w:gridSpan w:val="2"/>
            <w:vMerge w:val="restart"/>
          </w:tcPr>
          <w:p>
            <w:pPr>
              <w:spacing w:after="0"/>
              <w:rPr>
                <w:sz w:val="10"/>
                <w:szCs w:val="10"/>
                <w:color w:val="auto"/>
              </w:rPr>
            </w:pPr>
          </w:p>
        </w:tc>
        <w:tc>
          <w:tcPr>
            <w:tcW w:w="13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gridSpan w:val="2"/>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5,149</w:t>
            </w: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4,434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715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(25,497)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(26,494)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997</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21,312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professional segment in the first quarter of fiscal 2006 were up 3.4 percent compared to the first quarter of fiscal 2005.</w:t>
      </w:r>
      <w:r>
        <w:rPr>
          <w:rFonts w:ascii="Arial" w:cs="Arial" w:eastAsia="Arial" w:hAnsi="Arial"/>
          <w:sz w:val="17"/>
          <w:szCs w:val="17"/>
          <w:i w:val="1"/>
          <w:iCs w:val="1"/>
          <w:color w:val="auto"/>
        </w:rPr>
        <w:t xml:space="preserve"> </w:t>
      </w:r>
      <w:r>
        <w:rPr>
          <w:rFonts w:ascii="Arial" w:cs="Arial" w:eastAsia="Arial" w:hAnsi="Arial"/>
          <w:sz w:val="17"/>
          <w:szCs w:val="17"/>
          <w:color w:val="auto"/>
        </w:rPr>
        <w:t>This increase was led by strong international sales, which were up 25.9 percent for the professional segment for the first quarter comparison, due to continued demand in the international markets, the success of new products introduced within the past two years, improved availability of some products, and the additional sales from the Hayter acquisition. Shipments of domestic commercial and Exmark landscape contractor equipment were down for the first quarter comparison due mainly to efforts to ship product closer to retail demand and reduce field inventory levels.</w:t>
      </w:r>
    </w:p>
    <w:p>
      <w:pPr>
        <w:spacing w:after="0" w:line="1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u w:val="single" w:color="auto"/>
          <w:color w:val="auto"/>
        </w:rPr>
        <w:t>Operating Earnings</w:t>
      </w:r>
      <w:r>
        <w:rPr>
          <w:rFonts w:ascii="Arial" w:cs="Arial" w:eastAsia="Arial" w:hAnsi="Arial"/>
          <w:sz w:val="18"/>
          <w:szCs w:val="18"/>
          <w:color w:val="auto"/>
        </w:rPr>
        <w:t>. Operating earnings for the professional segment were $41.7 million in the first quarter of fiscal 2006 compared to $38.9 million in the first quarter of fiscal 2005, an increase of 7.2 percent. Expressed as a percentage of net sales, professional segment operating margins increased to 16.4 percent compared to 15.8 percent in the first quarter of fiscal 2005.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This profit improvement was the result of higher gross margins in the first quarter of fiscal 2006 compared to the first quarter of fiscal 2005 due to the same factors discussed previously in the Gross Profit section above. Somewhat offsetting the operating earnings improvement was an increase in SG&amp;A expense, primarily from increased investments in engineering and marketing as part of our “6 + 8” initiative.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color w:val="auto"/>
        </w:rPr>
        <w:t>. Worldwide net sales for the residential segment in the first quarter of fiscal 2006 were up by 12.8 percent compared to the first quarter of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2005. This increase was led by strong international sales due to continued demand in the international markets, the success of new products introduced within the past two years, and the additional sales from the Hayter acquisition. Domestic shipments of Toro walk power mowers were up due mainly to a key mass customer ordering product earlier than last year. Electric blower sales also increased due to the warm fall weather that extended the selling season and expanded placement at a key retailer. Somewhat offsetting those increases were lower Lawn-Boy walk power mower sales due mainly to initial stocking</w:t>
      </w:r>
    </w:p>
    <w:p>
      <w:pPr>
        <w:sectPr>
          <w:pgSz w:w="11900" w:h="16838" w:orient="portrait"/>
          <w:cols w:equalWidth="0" w:num="1">
            <w:col w:w="11420"/>
          </w:cols>
          <w:pgMar w:left="240" w:top="341" w:right="239" w:bottom="0" w:gutter="0" w:footer="0" w:header="0"/>
        </w:sectPr>
      </w:pPr>
    </w:p>
    <w:bookmarkStart w:id="9" w:name="page10"/>
    <w:bookmarkEnd w:id="9"/>
    <w:p>
      <w:pPr>
        <w:spacing w:after="0" w:line="2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shipments last year as a result of additional store placement in the home center distribution channel and the introduction of new products. Riding product shipments were also down from the comparative quarter due to continued strong competition.</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residential segment increased 16.1 percent in the first quarter of fiscal 2006 compared to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2005. Expressed as a percentage of net sales, residential segment operating margins increased to 4.8 percent compared to 4.6 percent in the first quarter of fiscal 2005. This increase was due mainly to higher gross margins due to the same factors discussed previously in the Gross Profit section above. In addition, SG&amp;A expense as a percentage of net sales slightly decreased due to leveraging the fixed portion of SG&amp;A costs over higher sales volumes.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Net sales for the other segment include sales from our wholly owned domestic distribution companies less sales from the professional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segments to those distribution companies. In addition, elimination of the professional and residential segments’ floor plan interest costs from Toro Credit Company are also included in this segment. The other segment net sales increased $2.0 million or 35.2 percent in the first quarter of fiscal 2006 compared to the first quarter of fiscal 2005 due to increased sales at a company-owned distributorship.</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u w:val="single" w:color="auto"/>
          <w:color w:val="auto"/>
        </w:rPr>
        <w:t>Operating Losses</w:t>
      </w:r>
      <w:r>
        <w:rPr>
          <w:rFonts w:ascii="Arial" w:cs="Arial" w:eastAsia="Arial" w:hAnsi="Arial"/>
          <w:sz w:val="18"/>
          <w:szCs w:val="18"/>
          <w:color w:val="auto"/>
        </w:rPr>
        <w:t>. Operating losses for the other segment were down $1.0 million or 3.8 percent for the first quarter of fiscal 2006 compared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2005. This loss decrease was due to lower administrative costs and lower operating losses at the company-owned distributorships, somewhat offset by higher interest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During the first quarter of fiscal 2006, our financial condition remained strong, and emphasis continued on improving asset management. Average working capital for the first three months of fiscal 2006 was $306.5 million compared to $312.0 million for the first three months of fiscal 2005, a slight decrease of</w:t>
      </w:r>
    </w:p>
    <w:p>
      <w:pPr>
        <w:ind w:right="20"/>
        <w:spacing w:after="0" w:line="270" w:lineRule="auto"/>
        <w:rPr>
          <w:sz w:val="20"/>
          <w:szCs w:val="20"/>
          <w:color w:val="auto"/>
        </w:rPr>
      </w:pPr>
      <w:r>
        <w:rPr>
          <w:rFonts w:ascii="Arial" w:cs="Arial" w:eastAsia="Arial" w:hAnsi="Arial"/>
          <w:sz w:val="17"/>
          <w:szCs w:val="17"/>
          <w:color w:val="auto"/>
        </w:rPr>
        <w:t>1.8 percent. Average receivables for the first three months of fiscal 2006 slightly decreased by 0.1 percent compared to the first three months of fiscal 2005 on a sales increase of 6.6 percent. Factoring out the incremental average receivables for Hayter, average receivables were down 4.8 percent. Average inventory levels slightly increased by 3.3 percent for the first three months of fiscal 2006 compared to the first three months of fiscal 2005, and average inventory turnover improved 2.1 percent for the last twelve months ended February 3, 2006 compared to the last twelve months ended January 28, 2005. Factoring out the incremental average inventory for Hayter, average inventory was down slightly (1.4 percent) for the first three months of fiscal 2006 compared to the first three months of fiscal 2005. These improvements reflect our continuing efforts to improve asset utilization.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operating requirements. We believe that the funds available through existing or anticipated financing arrangements and forecasted cash flows, will be sufficient to provide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necessary capital resources for our anticipated working capital, capital expenditures, acquisitions, debt repayments, dividend payments, and stock repurchases for at least the next twelve months.</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Board of Directors approved a cash dividend of $0.09 per share for the first quarter of fiscal 2006 paid on January 12, 2006, which was an increase over our cash dividend of $0.06 per share for the first quarter of fiscal 2005.</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u w:val="single" w:color="auto"/>
          <w:color w:val="auto"/>
        </w:rPr>
        <w:t>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Our first fiscal quarter historically uses more operating cash than other quarters due to the seasonality of our business. Cash used in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for the first three months of fiscal 2006 was 2.6 percent lower than the first three months of fiscal 2005 due primarily to higher earnings, a lower increase in receivables, and a higher increase in accounts payable and accrued liabilities, somewhat offset by a higher increase in inventory levels and deferred taxes for the first three months of fiscal 2006 compared to the first three months of fiscal 2005. Cash used in investing activities was lower by $2.8 million compared to the first quarter of fiscal 2005, due mainly to cash payments received on notes receivable. In the first quarter of fiscal 2006, we generated $36.4 million cash from financing activities, whereas in the first quarter of fiscal 2005, we used $20.9 million of cash for financing activities. This change of $57.3 million was due to lower levels of our common stock repurchased and an increase in tax benefits for stock-based awards in the first quarter of fiscal 2006 compared to the first quarter of fiscal 2005.</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u w:val="single" w:color="auto"/>
          <w:color w:val="auto"/>
        </w:rPr>
        <w:t>Credit Lines and Other Capital Resources</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is seasonal, with accounts receivable balances historically increasing between January and April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higher sales volumes and extended payment terms made available to our customers, and decreasing between May and December when payments are received. The seasonality of production and shipments causes our working capital requirements to fluctuate during the year. Our peak borrowing usually occurs between February and May. Seasonal cash requirements are financed from operations and with short- and medium-term financing arrangements, including a $175.0 million unsecured senior five-year revolving credit facility, which expires in October 2010. We also have a $75.0 million secured credit line backed by a multi-year credit agreement, expiring in July 2006, which is renewable annually. Interest expense on these credit lines is determined based on a LIBOR or commercial paper rate plus a basis point spread defined in the credit agreements. In addition, our non-U.S. operations and a domestic subsidiary also maintain unsecured short-term lines of credit of approximately $12 million. These facilities bear interest at various rates depending on the rates in their respective countries of operation. We also have a letter of credit subfacility as part of our credit agreements. Average short-term debt was $22.0 million in the first quarter of fiscal 2006 compared to $22.3 million in the first quarter of fiscal 2005, a slight decrease of 1.5 percent. As of February 3, 2006, we had $210.0 million of unutilized availability under our credit agreements.</w:t>
      </w:r>
    </w:p>
    <w:p>
      <w:pPr>
        <w:spacing w:after="0" w:line="18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Significant financial covenants in our credit agreements are interest coverage and debt to capitalization ratios. We were in compliance with all covenants related to our credit agreements as of February 3, 2006, and expect to be in compliance with all covenants during fiscal 2006. If we were out of compliance with any covenant required by our credit agreements,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agreements. If our credit rating falls below investment grade, the interest rate we currently pay on outstanding debt under</w:t>
      </w:r>
    </w:p>
    <w:p>
      <w:pPr>
        <w:sectPr>
          <w:pgSz w:w="11900" w:h="16860" w:orient="portrait"/>
          <w:cols w:equalWidth="0" w:num="1">
            <w:col w:w="11420"/>
          </w:cols>
          <w:pgMar w:left="240" w:top="125" w:right="239" w:bottom="0" w:gutter="0" w:footer="0" w:header="0"/>
        </w:sectPr>
      </w:pPr>
    </w:p>
    <w:bookmarkStart w:id="10" w:name="page11"/>
    <w:bookmarkEnd w:id="10"/>
    <w:p>
      <w:pPr>
        <w:spacing w:after="0" w:line="7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credit agreements would increase, but the credit commitments could not be cancelled by the banks based only on a ratings downgrade. Our debt rating for long-term unsecured senior, non-credit enhanced debt has been unchanged for the first quarter of fiscal 2006 by Standard and Poor’s Ratings Group at BBB-and by Moody’s Investors Service at Baa3.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off-balance sheet arrangements generally relate to customer financing activities, inventory purchase commitments, operating lease commitments, and currency contracts. See our most recently filed Annual Report on Form 10-K for further details regarding our off-balance sheet arrangements and contractual obligations. There has been no material change in this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subject to the effects of inflation and changing prices. In the first quarter of fiscal 2006, average prices paid for fuel, petroleum-based resins, and other commodities were higher compared to the first quarter of fiscal 2005, which resulted in a negative impact on our gross margin and net earnings. We expect this trend to continue for the remainder of fiscal 2006. We will continue to attempt to mitigate the impact of these anticipated increases in commodity prices and other inflationary pressures by actively pursuing internal cost reduction efforts, introduce moderate price increases on some products, and vendor negotiations.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preparing the consolidated financial statements in conformity with accounting principles generally accepted in the United States of America, we must make decisions which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7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significant accounting policies are described in Note 1 to the consolidated financial statements included in our Annual Report on Form 10-K for the fiscal year ended October 31, 2005.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estimates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u w:val="single" w:color="auto"/>
          <w:color w:val="auto"/>
        </w:rPr>
        <w:t>Warranty Reserve</w:t>
      </w:r>
      <w:r>
        <w:rPr>
          <w:rFonts w:ascii="Arial" w:cs="Arial" w:eastAsia="Arial" w:hAnsi="Arial"/>
          <w:sz w:val="17"/>
          <w:szCs w:val="17"/>
          <w:color w:val="auto"/>
        </w:rPr>
        <w:t>. Warranty coverage on our products ranges from a period of six months to seven years, and covers parts, labor, and other expenses for non-maintenance repairs, provided operator abuse, improper use or negligence did not necessitate the repair. At the time of sale, we accrue a warranty reserve by product line for estimated costs in connection with future warranty claims. We also establish reserves for major rework campaigns upon approval.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of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 The accrual for future estimated warranty claims was $60.8 million as of February 3, 2006 compared to $59.3 million as of January 28, 2005.</w:t>
      </w:r>
    </w:p>
    <w:p>
      <w:pPr>
        <w:spacing w:after="0" w:line="18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u w:val="single" w:color="auto"/>
          <w:color w:val="auto"/>
        </w:rPr>
        <w:t>Accounts and Notes Receivable Valuation</w:t>
      </w:r>
      <w:r>
        <w:rPr>
          <w:rFonts w:ascii="Arial" w:cs="Arial" w:eastAsia="Arial" w:hAnsi="Arial"/>
          <w:sz w:val="17"/>
          <w:szCs w:val="17"/>
          <w:color w:val="auto"/>
        </w:rPr>
        <w:t>. We value accounts and notes receivable, net of an allowance for doubtful accounts. Each quarter, we estimate our</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our actual future losses from uncollectible accounts may differ from our estimates. In the event we determined that a smaller or larger uncollectible accounts reserve is appropriate, we would record a credit or charge to selling, general, and administrative expense in the period that we made such a determination. As of February 3, 2006, we had $2.6 million reserved against our accounts and notes receivable compared to $2.3 million as of January 28, 2005.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Internet web sites, or otherwise. Statements that are not historical are forward-looking and reflect expectations and assumptions. We try to identify forward-looking statements in this report and elsewhere by using words such as</w:t>
      </w:r>
    </w:p>
    <w:p>
      <w:pPr>
        <w:sectPr>
          <w:pgSz w:w="11900" w:h="16914" w:orient="portrait"/>
          <w:cols w:equalWidth="0" w:num="1">
            <w:col w:w="11420"/>
          </w:cols>
          <w:pgMar w:left="240" w:top="125" w:right="239" w:bottom="0" w:gutter="0" w:footer="0" w:header="0"/>
        </w:sectPr>
      </w:pPr>
    </w:p>
    <w:bookmarkStart w:id="11" w:name="page12"/>
    <w:bookmarkEnd w:id="11"/>
    <w:p>
      <w:pPr>
        <w:ind w:right="360"/>
        <w:spacing w:after="0" w:line="259" w:lineRule="auto"/>
        <w:rPr>
          <w:sz w:val="20"/>
          <w:szCs w:val="20"/>
          <w:color w:val="auto"/>
        </w:rPr>
      </w:pPr>
      <w:r>
        <w:rPr>
          <w:rFonts w:ascii="Arial" w:cs="Arial" w:eastAsia="Arial" w:hAnsi="Arial"/>
          <w:sz w:val="18"/>
          <w:szCs w:val="18"/>
          <w:i w:val="1"/>
          <w:iCs w:val="1"/>
          <w:color w:val="auto"/>
        </w:rPr>
        <w:t>“expect”, “looking ahead”, “plan”, “anticipate”, “estimate”, “believe”, “should”, “may”, “intend”, and similar expressions.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Forward-looking statements involve risks and uncertainties.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86" w:lineRule="exact"/>
        <w:rPr>
          <w:sz w:val="20"/>
          <w:szCs w:val="20"/>
          <w:color w:val="auto"/>
        </w:rPr>
      </w:pP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Weather conditions may reduce demand for some of our products and adversely affect our net sales.</w:t>
      </w:r>
    </w:p>
    <w:p>
      <w:pPr>
        <w:spacing w:after="0" w:line="12" w:lineRule="exact"/>
        <w:rPr>
          <w:rFonts w:ascii="Arial" w:cs="Arial" w:eastAsia="Arial" w:hAnsi="Arial"/>
          <w:sz w:val="22"/>
          <w:szCs w:val="22"/>
          <w:color w:val="auto"/>
        </w:rPr>
      </w:pPr>
    </w:p>
    <w:p>
      <w:pPr>
        <w:ind w:left="260" w:right="640" w:hanging="252"/>
        <w:spacing w:after="0" w:line="232" w:lineRule="auto"/>
        <w:tabs>
          <w:tab w:leader="none" w:pos="254" w:val="left"/>
        </w:tabs>
        <w:numPr>
          <w:ilvl w:val="0"/>
          <w:numId w:val="1"/>
        </w:numPr>
        <w:rPr>
          <w:rFonts w:ascii="Arial" w:cs="Arial" w:eastAsia="Arial" w:hAnsi="Arial"/>
          <w:sz w:val="22"/>
          <w:szCs w:val="22"/>
          <w:color w:val="auto"/>
        </w:rPr>
      </w:pPr>
      <w:r>
        <w:rPr>
          <w:rFonts w:ascii="Arial" w:cs="Arial" w:eastAsia="Arial" w:hAnsi="Arial"/>
          <w:sz w:val="18"/>
          <w:szCs w:val="18"/>
          <w:color w:val="auto"/>
        </w:rPr>
        <w:t>Increases in the cost and availability of raw materials and components that we purchase and increases in our other costs of doing business, such as transportation costs, may adversely affect our profit margins and business.</w:t>
      </w:r>
    </w:p>
    <w:p>
      <w:pPr>
        <w:spacing w:after="0" w:line="14" w:lineRule="exact"/>
        <w:rPr>
          <w:rFonts w:ascii="Arial" w:cs="Arial" w:eastAsia="Arial" w:hAnsi="Arial"/>
          <w:sz w:val="22"/>
          <w:szCs w:val="22"/>
          <w:color w:val="auto"/>
        </w:rPr>
      </w:pPr>
    </w:p>
    <w:p>
      <w:pPr>
        <w:ind w:left="260" w:right="500" w:hanging="252"/>
        <w:spacing w:after="0" w:line="238" w:lineRule="auto"/>
        <w:tabs>
          <w:tab w:leader="none" w:pos="254" w:val="left"/>
        </w:tabs>
        <w:numPr>
          <w:ilvl w:val="0"/>
          <w:numId w:val="1"/>
        </w:numPr>
        <w:rPr>
          <w:rFonts w:ascii="Arial" w:cs="Arial" w:eastAsia="Arial" w:hAnsi="Arial"/>
          <w:sz w:val="22"/>
          <w:szCs w:val="22"/>
          <w:color w:val="auto"/>
        </w:rPr>
      </w:pPr>
      <w:r>
        <w:rPr>
          <w:rFonts w:ascii="Arial" w:cs="Arial" w:eastAsia="Arial" w:hAnsi="Arial"/>
          <w:sz w:val="18"/>
          <w:szCs w:val="18"/>
          <w:color w:val="auto"/>
        </w:rPr>
        <w:t>Our professional segment net sales are dependent upon the level of growth in the residential and commercial construction markets, growth of homeowners’ outsourcing lawn care, the amount of investment in golf course renovations and improvements, new golf course development, and the amount of government spending.</w:t>
      </w:r>
    </w:p>
    <w:p>
      <w:pPr>
        <w:spacing w:after="0" w:line="13" w:lineRule="exact"/>
        <w:rPr>
          <w:rFonts w:ascii="Arial" w:cs="Arial" w:eastAsia="Arial" w:hAnsi="Arial"/>
          <w:sz w:val="22"/>
          <w:szCs w:val="22"/>
          <w:color w:val="auto"/>
        </w:rPr>
      </w:pPr>
    </w:p>
    <w:p>
      <w:pPr>
        <w:ind w:left="260" w:right="260" w:hanging="252"/>
        <w:spacing w:after="0" w:line="232" w:lineRule="auto"/>
        <w:tabs>
          <w:tab w:leader="none" w:pos="254" w:val="left"/>
        </w:tabs>
        <w:numPr>
          <w:ilvl w:val="0"/>
          <w:numId w:val="1"/>
        </w:numPr>
        <w:rPr>
          <w:rFonts w:ascii="Arial" w:cs="Arial" w:eastAsia="Arial" w:hAnsi="Arial"/>
          <w:sz w:val="22"/>
          <w:szCs w:val="22"/>
          <w:color w:val="auto"/>
        </w:rPr>
      </w:pPr>
      <w:r>
        <w:rPr>
          <w:rFonts w:ascii="Arial" w:cs="Arial" w:eastAsia="Arial" w:hAnsi="Arial"/>
          <w:sz w:val="18"/>
          <w:szCs w:val="18"/>
          <w:color w:val="auto"/>
        </w:rPr>
        <w:t>Our residential segment net sales are dependent upon the amount of shelf space retailers assign to our products, changing buying patterns of customers, and The Home Depot, Inc. as a major customer.</w:t>
      </w:r>
    </w:p>
    <w:p>
      <w:pPr>
        <w:spacing w:after="0" w:line="14" w:lineRule="exact"/>
        <w:rPr>
          <w:rFonts w:ascii="Arial" w:cs="Arial" w:eastAsia="Arial" w:hAnsi="Arial"/>
          <w:sz w:val="22"/>
          <w:szCs w:val="22"/>
          <w:color w:val="auto"/>
        </w:rPr>
      </w:pPr>
    </w:p>
    <w:p>
      <w:pPr>
        <w:ind w:left="260" w:hanging="252"/>
        <w:spacing w:after="0" w:line="271" w:lineRule="auto"/>
        <w:tabs>
          <w:tab w:leader="none" w:pos="254" w:val="left"/>
        </w:tabs>
        <w:numPr>
          <w:ilvl w:val="0"/>
          <w:numId w:val="1"/>
        </w:numPr>
        <w:rPr>
          <w:rFonts w:ascii="Arial" w:cs="Arial" w:eastAsia="Arial" w:hAnsi="Arial"/>
          <w:sz w:val="19"/>
          <w:szCs w:val="19"/>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business.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ind w:left="240" w:hanging="232"/>
        <w:spacing w:after="0" w:line="230" w:lineRule="auto"/>
        <w:tabs>
          <w:tab w:leader="none" w:pos="240" w:val="left"/>
        </w:tabs>
        <w:numPr>
          <w:ilvl w:val="0"/>
          <w:numId w:val="1"/>
        </w:numPr>
        <w:rPr>
          <w:rFonts w:ascii="Arial" w:cs="Arial" w:eastAsia="Arial" w:hAnsi="Arial"/>
          <w:sz w:val="22"/>
          <w:szCs w:val="22"/>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13" w:lineRule="exact"/>
        <w:rPr>
          <w:rFonts w:ascii="Arial" w:cs="Arial" w:eastAsia="Arial" w:hAnsi="Arial"/>
          <w:sz w:val="22"/>
          <w:szCs w:val="22"/>
          <w:color w:val="auto"/>
        </w:rPr>
      </w:pPr>
    </w:p>
    <w:p>
      <w:pPr>
        <w:ind w:left="260" w:right="400" w:hanging="252"/>
        <w:spacing w:after="0" w:line="232" w:lineRule="auto"/>
        <w:tabs>
          <w:tab w:leader="none" w:pos="254" w:val="left"/>
        </w:tabs>
        <w:numPr>
          <w:ilvl w:val="0"/>
          <w:numId w:val="1"/>
        </w:numPr>
        <w:rPr>
          <w:rFonts w:ascii="Arial" w:cs="Arial" w:eastAsia="Arial" w:hAnsi="Arial"/>
          <w:sz w:val="22"/>
          <w:szCs w:val="22"/>
          <w:color w:val="auto"/>
        </w:rPr>
      </w:pPr>
      <w:r>
        <w:rPr>
          <w:rFonts w:ascii="Arial" w:cs="Arial" w:eastAsia="Arial" w:hAnsi="Arial"/>
          <w:sz w:val="18"/>
          <w:szCs w:val="18"/>
          <w:color w:val="auto"/>
        </w:rPr>
        <w:t>We intend to grow our business in part through additional acquisitions, alliances, and joint venture arrangements, which are risky and could harm our business.</w:t>
      </w:r>
    </w:p>
    <w:p>
      <w:pPr>
        <w:spacing w:after="0" w:line="14" w:lineRule="exact"/>
        <w:rPr>
          <w:rFonts w:ascii="Arial" w:cs="Arial" w:eastAsia="Arial" w:hAnsi="Arial"/>
          <w:sz w:val="22"/>
          <w:szCs w:val="22"/>
          <w:color w:val="auto"/>
        </w:rPr>
      </w:pPr>
    </w:p>
    <w:p>
      <w:pPr>
        <w:ind w:left="260" w:right="100" w:hanging="252"/>
        <w:spacing w:after="0" w:line="232" w:lineRule="auto"/>
        <w:tabs>
          <w:tab w:leader="none" w:pos="254" w:val="left"/>
        </w:tabs>
        <w:numPr>
          <w:ilvl w:val="0"/>
          <w:numId w:val="1"/>
        </w:numPr>
        <w:rPr>
          <w:rFonts w:ascii="Arial" w:cs="Arial" w:eastAsia="Arial" w:hAnsi="Arial"/>
          <w:sz w:val="22"/>
          <w:szCs w:val="22"/>
          <w:color w:val="auto"/>
        </w:rPr>
      </w:pPr>
      <w:r>
        <w:rPr>
          <w:rFonts w:ascii="Arial" w:cs="Arial" w:eastAsia="Arial" w:hAnsi="Arial"/>
          <w:sz w:val="18"/>
          <w:szCs w:val="18"/>
          <w:color w:val="auto"/>
        </w:rPr>
        <w:t>If we are unable to smoothly transition leadership roles and responsibilities, retain our key employees, and attract and retain other qualified personnel, we may not be able to meet strategic objectives and our business could suffer.</w:t>
      </w:r>
    </w:p>
    <w:p>
      <w:pPr>
        <w:spacing w:after="0" w:line="14" w:lineRule="exact"/>
        <w:rPr>
          <w:rFonts w:ascii="Arial" w:cs="Arial" w:eastAsia="Arial" w:hAnsi="Arial"/>
          <w:sz w:val="22"/>
          <w:szCs w:val="22"/>
          <w:color w:val="auto"/>
        </w:rPr>
      </w:pPr>
    </w:p>
    <w:p>
      <w:pPr>
        <w:ind w:left="260" w:right="200" w:hanging="252"/>
        <w:spacing w:after="0" w:line="266" w:lineRule="auto"/>
        <w:tabs>
          <w:tab w:leader="none" w:pos="254" w:val="left"/>
        </w:tabs>
        <w:numPr>
          <w:ilvl w:val="0"/>
          <w:numId w:val="1"/>
        </w:numPr>
        <w:rPr>
          <w:rFonts w:ascii="Arial" w:cs="Arial" w:eastAsia="Arial" w:hAnsi="Arial"/>
          <w:sz w:val="19"/>
          <w:szCs w:val="19"/>
          <w:color w:val="auto"/>
        </w:rPr>
      </w:pPr>
      <w:r>
        <w:rPr>
          <w:rFonts w:ascii="Arial" w:cs="Arial" w:eastAsia="Arial" w:hAnsi="Arial"/>
          <w:sz w:val="16"/>
          <w:szCs w:val="16"/>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3" w:lineRule="exact"/>
        <w:rPr>
          <w:rFonts w:ascii="Arial" w:cs="Arial" w:eastAsia="Arial" w:hAnsi="Arial"/>
          <w:sz w:val="19"/>
          <w:szCs w:val="19"/>
          <w:color w:val="auto"/>
        </w:rPr>
      </w:pPr>
    </w:p>
    <w:p>
      <w:pPr>
        <w:ind w:left="260" w:right="220" w:hanging="252"/>
        <w:spacing w:after="0" w:line="241" w:lineRule="auto"/>
        <w:tabs>
          <w:tab w:leader="none" w:pos="254" w:val="left"/>
        </w:tabs>
        <w:numPr>
          <w:ilvl w:val="0"/>
          <w:numId w:val="1"/>
        </w:numPr>
        <w:rPr>
          <w:rFonts w:ascii="Arial" w:cs="Arial" w:eastAsia="Arial" w:hAnsi="Arial"/>
          <w:sz w:val="22"/>
          <w:szCs w:val="22"/>
          <w:color w:val="auto"/>
        </w:rPr>
      </w:pPr>
      <w:r>
        <w:rPr>
          <w:rFonts w:ascii="Arial" w:cs="Arial" w:eastAsia="Arial" w:hAnsi="Arial"/>
          <w:sz w:val="18"/>
          <w:szCs w:val="18"/>
          <w:color w:val="auto"/>
        </w:rPr>
        <w:t>A significant portion of our net sales are financed by third parties. Some Toro dealers and Exmark distributors and dealers finance their inventories with third party financing sources. The termination of our agreements with these third parties, any material change to the terms of our agreements with these third parties or in the availability or terms of credit offered to our customers by these third parties, or any delay in securing replacement credit sources, could adversely affect our sales and operating results.</w:t>
      </w:r>
    </w:p>
    <w:p>
      <w:pPr>
        <w:spacing w:after="0" w:line="13" w:lineRule="exact"/>
        <w:rPr>
          <w:rFonts w:ascii="Arial" w:cs="Arial" w:eastAsia="Arial" w:hAnsi="Arial"/>
          <w:sz w:val="22"/>
          <w:szCs w:val="22"/>
          <w:color w:val="auto"/>
        </w:rPr>
      </w:pPr>
    </w:p>
    <w:p>
      <w:pPr>
        <w:ind w:left="260" w:right="380" w:hanging="252"/>
        <w:spacing w:after="0" w:line="232" w:lineRule="auto"/>
        <w:tabs>
          <w:tab w:leader="none" w:pos="254" w:val="left"/>
        </w:tabs>
        <w:numPr>
          <w:ilvl w:val="0"/>
          <w:numId w:val="1"/>
        </w:numPr>
        <w:rPr>
          <w:rFonts w:ascii="Arial" w:cs="Arial" w:eastAsia="Arial" w:hAnsi="Arial"/>
          <w:sz w:val="22"/>
          <w:szCs w:val="22"/>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w:t>
      </w:r>
    </w:p>
    <w:p>
      <w:pPr>
        <w:spacing w:after="0" w:line="14" w:lineRule="exact"/>
        <w:rPr>
          <w:rFonts w:ascii="Arial" w:cs="Arial" w:eastAsia="Arial" w:hAnsi="Arial"/>
          <w:sz w:val="22"/>
          <w:szCs w:val="22"/>
          <w:color w:val="auto"/>
        </w:rPr>
      </w:pPr>
    </w:p>
    <w:p>
      <w:pPr>
        <w:jc w:val="both"/>
        <w:ind w:left="260" w:right="20" w:hanging="252"/>
        <w:spacing w:after="0" w:line="238" w:lineRule="auto"/>
        <w:tabs>
          <w:tab w:leader="none" w:pos="254" w:val="left"/>
        </w:tabs>
        <w:numPr>
          <w:ilvl w:val="0"/>
          <w:numId w:val="1"/>
        </w:numPr>
        <w:rPr>
          <w:rFonts w:ascii="Arial" w:cs="Arial" w:eastAsia="Arial" w:hAnsi="Arial"/>
          <w:sz w:val="22"/>
          <w:szCs w:val="22"/>
          <w:color w:val="auto"/>
        </w:rPr>
      </w:pPr>
      <w:r>
        <w:rPr>
          <w:rFonts w:ascii="Arial" w:cs="Arial" w:eastAsia="Arial" w:hAnsi="Arial"/>
          <w:sz w:val="18"/>
          <w:szCs w:val="18"/>
          <w:color w:val="auto"/>
        </w:rPr>
        <w:t>We manufacture our products at and distribute our products from several locations in the United States and internationally. Any disruption at any of these facilities or our inability to cost-effectively expand existing and move production between manufacturing facilities could adversely affect our business and operating results.</w:t>
      </w:r>
    </w:p>
    <w:p>
      <w:pPr>
        <w:spacing w:after="0" w:line="13" w:lineRule="exact"/>
        <w:rPr>
          <w:rFonts w:ascii="Arial" w:cs="Arial" w:eastAsia="Arial" w:hAnsi="Arial"/>
          <w:sz w:val="22"/>
          <w:szCs w:val="22"/>
          <w:color w:val="auto"/>
        </w:rPr>
      </w:pPr>
    </w:p>
    <w:p>
      <w:pPr>
        <w:ind w:left="260" w:right="120" w:hanging="252"/>
        <w:spacing w:after="0" w:line="283" w:lineRule="auto"/>
        <w:tabs>
          <w:tab w:leader="none" w:pos="254" w:val="left"/>
        </w:tabs>
        <w:numPr>
          <w:ilvl w:val="0"/>
          <w:numId w:val="1"/>
        </w:numPr>
        <w:rPr>
          <w:rFonts w:ascii="Arial" w:cs="Arial" w:eastAsia="Arial" w:hAnsi="Arial"/>
          <w:sz w:val="19"/>
          <w:szCs w:val="19"/>
          <w:color w:val="auto"/>
        </w:rPr>
      </w:pPr>
      <w:r>
        <w:rPr>
          <w:rFonts w:ascii="Arial" w:cs="Arial" w:eastAsia="Arial" w:hAnsi="Arial"/>
          <w:sz w:val="16"/>
          <w:szCs w:val="16"/>
          <w:color w:val="auto"/>
        </w:rPr>
        <w:t>Our business is subject to a number of other factors that may adversely affect our operating results, financial condition, or business, such as changes in domestic and global economies, including but not limited to slow growth rate, slow down in home sales, rise in interest rates, inflation, unemployment, weaker consumer confidence, and currency exchange rates; natural disasters that may result in shortages of raw materials, higher fuel costs, and an increase in insurance premiums; financial viability of some distributors and dealers, changes in distributor ownership, our success in partnering with new dealers, and our customers’ ability to pay amounts owed to us; and continued threat of terrorist acts and war that may result in heightened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0" w:right="160"/>
        <w:spacing w:after="0" w:line="256" w:lineRule="auto"/>
        <w:rPr>
          <w:sz w:val="20"/>
          <w:szCs w:val="20"/>
          <w:color w:val="auto"/>
        </w:rPr>
      </w:pPr>
      <w:r>
        <w:rPr>
          <w:rFonts w:ascii="Arial" w:cs="Arial" w:eastAsia="Arial" w:hAnsi="Arial"/>
          <w:sz w:val="18"/>
          <w:szCs w:val="18"/>
          <w:color w:val="auto"/>
        </w:rPr>
        <w:t>security and higher costs for import and export shipments of components or finished goods, reduced leisure travel, and contraction of the U.S. and world economies.</w:t>
      </w:r>
    </w:p>
    <w:p>
      <w:pPr>
        <w:spacing w:after="0" w:line="18" w:lineRule="exact"/>
        <w:rPr>
          <w:sz w:val="20"/>
          <w:szCs w:val="20"/>
          <w:color w:val="auto"/>
        </w:rPr>
      </w:pPr>
    </w:p>
    <w:p>
      <w:pPr>
        <w:ind w:left="260" w:right="540" w:hanging="252"/>
        <w:spacing w:after="0" w:line="232" w:lineRule="auto"/>
        <w:tabs>
          <w:tab w:leader="none" w:pos="254" w:val="left"/>
        </w:tabs>
        <w:numPr>
          <w:ilvl w:val="0"/>
          <w:numId w:val="2"/>
        </w:numPr>
        <w:rPr>
          <w:rFonts w:ascii="Arial" w:cs="Arial" w:eastAsia="Arial" w:hAnsi="Arial"/>
          <w:sz w:val="22"/>
          <w:szCs w:val="22"/>
          <w:color w:val="auto"/>
        </w:rPr>
      </w:pPr>
      <w:r>
        <w:rPr>
          <w:rFonts w:ascii="Arial" w:cs="Arial" w:eastAsia="Arial" w:hAnsi="Arial"/>
          <w:sz w:val="18"/>
          <w:szCs w:val="18"/>
          <w:color w:val="auto"/>
        </w:rPr>
        <w:t>If we are unable to continue to enhance existing products and develop and market new products that respond to customer needs and achieve market acceptance, we may experience a decrease in demand for our products, and our business could suffer.</w:t>
      </w:r>
    </w:p>
    <w:p>
      <w:pPr>
        <w:spacing w:after="0" w:line="14" w:lineRule="exact"/>
        <w:rPr>
          <w:rFonts w:ascii="Arial" w:cs="Arial" w:eastAsia="Arial" w:hAnsi="Arial"/>
          <w:sz w:val="22"/>
          <w:szCs w:val="22"/>
          <w:color w:val="auto"/>
        </w:rPr>
      </w:pPr>
    </w:p>
    <w:p>
      <w:pPr>
        <w:ind w:left="260" w:right="280" w:hanging="252"/>
        <w:spacing w:after="0" w:line="232" w:lineRule="auto"/>
        <w:tabs>
          <w:tab w:leader="none" w:pos="254" w:val="left"/>
        </w:tabs>
        <w:numPr>
          <w:ilvl w:val="0"/>
          <w:numId w:val="2"/>
        </w:numPr>
        <w:rPr>
          <w:rFonts w:ascii="Arial" w:cs="Arial" w:eastAsia="Arial" w:hAnsi="Arial"/>
          <w:sz w:val="22"/>
          <w:szCs w:val="22"/>
          <w:color w:val="auto"/>
        </w:rPr>
      </w:pPr>
      <w:r>
        <w:rPr>
          <w:rFonts w:ascii="Arial" w:cs="Arial" w:eastAsia="Arial" w:hAnsi="Arial"/>
          <w:sz w:val="18"/>
          <w:szCs w:val="18"/>
          <w:color w:val="auto"/>
        </w:rPr>
        <w:t>We face intense competition in all of our product lines, including some competitors that have greater resources than us. We may not be able to compete effectively against competitors’ actions, which could harm our business and operating results.</w:t>
      </w:r>
    </w:p>
    <w:p>
      <w:pPr>
        <w:spacing w:after="0" w:line="14" w:lineRule="exact"/>
        <w:rPr>
          <w:rFonts w:ascii="Arial" w:cs="Arial" w:eastAsia="Arial" w:hAnsi="Arial"/>
          <w:sz w:val="22"/>
          <w:szCs w:val="22"/>
          <w:color w:val="auto"/>
        </w:rPr>
      </w:pPr>
    </w:p>
    <w:p>
      <w:pPr>
        <w:ind w:left="260" w:hanging="252"/>
        <w:spacing w:after="0" w:line="238" w:lineRule="auto"/>
        <w:tabs>
          <w:tab w:leader="none" w:pos="254"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business, properties, and products are subject to governmental regulation with which compliance may require us to incur expenses or modify our products or operations and may expose us to penalties for non-compliance. Governmental regulation may also adversely affect the demand for some of our products and our operating results.</w:t>
      </w:r>
    </w:p>
    <w:p>
      <w:pPr>
        <w:spacing w:after="0" w:line="13" w:lineRule="exact"/>
        <w:rPr>
          <w:rFonts w:ascii="Arial" w:cs="Arial" w:eastAsia="Arial" w:hAnsi="Arial"/>
          <w:sz w:val="22"/>
          <w:szCs w:val="22"/>
          <w:color w:val="auto"/>
        </w:rPr>
      </w:pPr>
    </w:p>
    <w:p>
      <w:pPr>
        <w:ind w:left="260" w:right="100" w:hanging="252"/>
        <w:spacing w:after="0" w:line="232" w:lineRule="auto"/>
        <w:tabs>
          <w:tab w:leader="none" w:pos="254" w:val="left"/>
        </w:tabs>
        <w:numPr>
          <w:ilvl w:val="0"/>
          <w:numId w:val="2"/>
        </w:numPr>
        <w:rPr>
          <w:rFonts w:ascii="Arial" w:cs="Arial" w:eastAsia="Arial" w:hAnsi="Arial"/>
          <w:sz w:val="22"/>
          <w:szCs w:val="22"/>
          <w:color w:val="auto"/>
        </w:rPr>
      </w:pPr>
      <w:r>
        <w:rPr>
          <w:rFonts w:ascii="Arial" w:cs="Arial" w:eastAsia="Arial" w:hAnsi="Arial"/>
          <w:sz w:val="18"/>
          <w:szCs w:val="18"/>
          <w:color w:val="auto"/>
        </w:rPr>
        <w:t>We are subject to product liability claims, product quality issues, and other litigation from time to time that could adversely affect our operating results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these risks, see our most recent filed Annual Report on Form 10-K.</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we file with or furnish to the Securities and Exchange Commission.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QUALITIATIVE DISCLOSURES ABOUT MARKET RISK</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w:t>
      </w:r>
    </w:p>
    <w:p>
      <w:pPr>
        <w:sectPr>
          <w:pgSz w:w="11900" w:h="16838" w:orient="portrait"/>
          <w:cols w:equalWidth="0" w:num="1">
            <w:col w:w="11400"/>
          </w:cols>
          <w:pgMar w:left="240" w:top="125" w:right="259" w:bottom="0" w:gutter="0" w:footer="0" w:header="0"/>
        </w:sectPr>
      </w:pPr>
    </w:p>
    <w:bookmarkStart w:id="12" w:name="page13"/>
    <w:bookmarkEnd w:id="12"/>
    <w:p>
      <w:pPr>
        <w:spacing w:after="0" w:line="3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u w:val="single" w:color="auto"/>
          <w:color w:val="auto"/>
        </w:rPr>
        <w:t>Foreign Currency Exchange Rate Risk</w:t>
      </w:r>
      <w:r>
        <w:rPr>
          <w:rFonts w:ascii="Arial" w:cs="Arial" w:eastAsia="Arial" w:hAnsi="Arial"/>
          <w:sz w:val="16"/>
          <w:szCs w:val="16"/>
          <w:color w:val="auto"/>
        </w:rPr>
        <w:t>. In the normal course of business, we actively manage the exposure to foreign currency market risk by entering into</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hedging instruments, authorized under company policies that place controls on these activities, with counterparties that are highly rated financial institutions. Our hedging activities involve the use of a variety of derivative financial instruments. We use derivative instruments only in an attempt to limit underlying exposure from currency fluctuations and to minimize earnings and cash flow volatility associated with foreign exchange rate changes, and not for trading purposes.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exposures are with the Euro, the Australian dollar, the Canadian dollar, the British pound, and the Mexican peso against the U.S. dollar.</w:t>
      </w:r>
    </w:p>
    <w:p>
      <w:pPr>
        <w:spacing w:after="0" w:line="16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three months ended February 3, 2006, the amount of gains reclassified to earnings for such cash flow hedges was $0.5 million. For the three months ended February 3, 2006, the gains treated as an addition to net sales for contracts to hedge trade sales were $0.4 million and the gains treated as a reduction of cost of sales for contracts to hedge inventory purchases were $0.1 million.</w:t>
      </w:r>
    </w:p>
    <w:p>
      <w:pPr>
        <w:spacing w:after="0" w:line="16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foreign currency exchange contracts held by us have maturity dates in fiscal 2006. All items are non-trading and stated in U.S. dollars. Some derivative instruments we enter into do not meet the hedging criteria of SFAS No. 133, “Accounting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Derivative Instruments and Hedging Activities;” therefore, changes in their fair value are recorded in other income, net. The average contracted rate, notional amount, pre-tax value of derivative instruments in accumulated other comprehensive loss (AOCL), and fair value impact of derivative instruments in other income, net for the three months ended February 3, 2006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4"/>
                <w:szCs w:val="14"/>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18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Value in</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Contracted</w:t>
            </w: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AOCL</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(except average contracted rate)</w:t>
            </w:r>
          </w:p>
        </w:tc>
        <w:tc>
          <w:tcPr>
            <w:tcW w:w="24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Income (Loss)</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3"/>
              </w:rPr>
              <w:t>Gain (Loss)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0.7446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0.8430</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5,724.2</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(241.7)</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93,448.3</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1.7783</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21,873.1</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Australian dollar/Sell US dollar</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0.7539</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527.7</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Buy Euro/Sell U.S. dollar</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1.2088</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483.5</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British pound/Sell U.S. dollar</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1.7741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1,774.1</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10.8523</w:t>
            </w: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11,334.0</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278.9</w:t>
            </w:r>
          </w:p>
        </w:tc>
        <w:tc>
          <w:tcPr>
            <w:tcW w:w="2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u w:val="single" w:color="auto"/>
          <w:color w:val="auto"/>
        </w:rPr>
        <w:t>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We are exposed to interest rate risk arising from transactions that are entered into during the normal course of business. Our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rates are dependent upon a LIBOR or commercial paper rate plus a basis point spread defined in our credit agreements. See our most recently filed Annual Report on Form 10-K (Item 7A). There has been no material change in this information.</w:t>
      </w:r>
    </w:p>
    <w:p>
      <w:pPr>
        <w:spacing w:after="0" w:line="18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We manage some of this risk by using a</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of short- and long-term agreements with some vendors. The primary commodity price exposures are with steel, aluminum, plastic resin, and linerboard. Further information regarding rising prices for commodities is presented in Item 2, section entitled “Inflation.”</w:t>
      </w:r>
    </w:p>
    <w:p>
      <w:pPr>
        <w:spacing w:after="0" w:line="16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utilize well-defined financial contracts in the normal course of operations as a means to manage certain commodity price risks. The majority of these contracts are fixed-price contracts for future purchases of natural gas, which meet the definition of “normal purchases and normal sales” and therefore, are not considered derivative instruments for accounting purposes.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reasonably ensure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our company and our consolidated subsidiaries is made known to management, including our Chief Executive Officer and Chief Financial Officer, particularly during the period when our periodic reports are being prepared. There was no change in our internal control over financial reporting that occurred during our fiscal first quarter ended February 3, 2006 that has materially affected, or is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70"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ectPr>
          <w:pgSz w:w="11900" w:h="16870" w:orient="portrait"/>
          <w:cols w:equalWidth="0" w:num="1">
            <w:col w:w="11420"/>
          </w:cols>
          <w:pgMar w:left="240" w:top="125" w:right="239" w:bottom="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June 3, 2004, eight individuals who claim to have purchased lawnmowers in Illinois and Minnesota filed a lawsuit (Ronnie Phillips et al. v. Sears Roebuck Corporation et. al., No.04-L-334 (20th Judicial Circuit, St. Clair County, IL)) against the company and eight other defendants alleging that the horsepower labels on the products the plaintiffs purchased were inaccurate. The plaintiffs seek certification of a class of all persons in the United States who, beginning January 1, 1995 through the present, purchased a lawnmower containing a two stroke or four stroke gas combustible engine up to 20 horsepower that was manufactured or sold by the defendants. The complaint seeks an injunction, unspecified compensatory and punitive damages, and attorneys’ fees. No answers have been entered in the case, and there has been no formal discovery. A number of procedural motions have been filed by the defendants, but have not yet been decided. On April 20, 2005, the court issued a stay of discovery and procedural matters to permit the parties to engage in settlement discussions. An attempt at mediation in October 2005 was unsuccessful, and the company expects the stay of procedural matters to be lifted so that various procedural motions may be determined. Management continues to evaluate this lawsuit and is unable to reasonably estimate the likelihood of loss or the amount or range of potential loss that could result from this litigation. Therefore, an accrual has not been established for any potential loss in connection with this lawsuit. The company is also unable to assess at this time whether the lawsuit will have a material adverse effect on its annual consolidated operating results or financial condition, although an unfavorable resolution could be material to the company’s operating results for a particular period.</w:t>
      </w:r>
    </w:p>
    <w:p>
      <w:pPr>
        <w:spacing w:after="0" w:line="16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are a party to litigation in the ordinary course of business. Litigation occasionally involves claims for punitive as well as compensatory damages arising out of use of our products.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both as a plaintiff and as a defendant. While the ultimate results of the current cases are unknown at this time, management believes that, except for the lawsuit discussed above, the outcomes of these cases are unlikely to have a material adverse effect on our consolidated operating results or financial position. Further, we maintain insurance against some product liability losses.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are affected by risks specific to us as well as factors that affect all businesses operating in a global market. The significant factors known to us that could materially adversely affect our business, financial condition, or operating results are described in our most recently filed Annual Report on Form 10-K (Item 1A). There has been no material change in those risk factors.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Item 2. CHANGES IN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first quarter of fiscal 2006 stock repurchase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2"/>
                <w:szCs w:val="12"/>
                <w:color w:val="auto"/>
              </w:rPr>
            </w:pPr>
          </w:p>
        </w:tc>
        <w:tc>
          <w:tcPr>
            <w:tcW w:w="15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Average Price</w:t>
            </w: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2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2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 Purchased (1)</w:t>
            </w:r>
          </w:p>
        </w:tc>
        <w:tc>
          <w:tcPr>
            <w:tcW w:w="220" w:type="dxa"/>
            <w:vAlign w:val="bottom"/>
          </w:tcPr>
          <w:p>
            <w:pPr>
              <w:spacing w:after="0"/>
              <w:rPr>
                <w:sz w:val="14"/>
                <w:szCs w:val="14"/>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Paid per Share</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or Programs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2005 through December 2, 2005</w:t>
            </w:r>
          </w:p>
        </w:tc>
        <w:tc>
          <w:tcPr>
            <w:tcW w:w="2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238,200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238,200</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 2005 through December 30, 2005</w:t>
            </w:r>
          </w:p>
        </w:tc>
        <w:tc>
          <w:tcPr>
            <w:tcW w:w="2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44,349</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41.45</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44,349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1,563,640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2005 through February 3, 2006</w:t>
            </w:r>
          </w:p>
        </w:tc>
        <w:tc>
          <w:tcPr>
            <w:tcW w:w="2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384,137(2)</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380,755</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1,182,885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666,686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41.62</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663,304</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00" w:hanging="328"/>
        <w:spacing w:after="0" w:line="279" w:lineRule="auto"/>
        <w:tabs>
          <w:tab w:leader="none" w:pos="681"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July 19, 2005, the company’s Board of Directors authorized the repurchase of 2,000,000 shares of the company’s common stock in open-market or in privately negotiated transactions. This program has no expiration date but may be terminated by the company’s Board of Directors at any time. The company purchased 663,304 shares during the periods indicated above under this program, including 398,697 shares repurchased by the company from current or former employees in connection with the payment of withholding taxes.</w:t>
      </w:r>
    </w:p>
    <w:p>
      <w:pPr>
        <w:spacing w:after="0" w:line="171" w:lineRule="exact"/>
        <w:rPr>
          <w:rFonts w:ascii="Arial" w:cs="Arial" w:eastAsia="Arial" w:hAnsi="Arial"/>
          <w:sz w:val="17"/>
          <w:szCs w:val="17"/>
          <w:color w:val="auto"/>
        </w:rPr>
      </w:pPr>
    </w:p>
    <w:p>
      <w:pPr>
        <w:ind w:left="660" w:right="100" w:hanging="328"/>
        <w:spacing w:after="0" w:line="264" w:lineRule="auto"/>
        <w:tabs>
          <w:tab w:leader="none" w:pos="681"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3,382 units (shares) of the company’s common stock purchased in open-market transactions at an average price of $46.20 per share on behalf of a rabbi trust formed to pay benefit obligations of the company to participants in deferred compensation plans. These 3,382 shares were not repurchased under the company’s repurchase program described in footnote (1)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00" w:hanging="380"/>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840" w:right="120" w:hanging="1445"/>
        <w:spacing w:after="0" w:line="277" w:lineRule="auto"/>
        <w:rPr>
          <w:rFonts w:ascii="Arial" w:cs="Arial" w:eastAsia="Arial" w:hAnsi="Arial"/>
          <w:sz w:val="18"/>
          <w:szCs w:val="18"/>
          <w:color w:val="auto"/>
        </w:rPr>
      </w:pPr>
      <w:r>
        <w:rPr>
          <w:rFonts w:ascii="Arial" w:cs="Arial" w:eastAsia="Arial" w:hAnsi="Arial"/>
          <w:sz w:val="18"/>
          <w:szCs w:val="18"/>
          <w:color w:val="auto"/>
        </w:rPr>
        <w:t>3(i) and 4(a)The Toro Company Amended and Restated Certificate of Incorporation of Registrant (incorporated by reference to Exhibit 3(i) and 4(a) to Registrant’s Current Report on Form 8-K dated March 15, 2005, Commission File No. 1-8649).</w:t>
      </w:r>
    </w:p>
    <w:p>
      <w:pPr>
        <w:spacing w:after="0" w:line="170" w:lineRule="exact"/>
        <w:rPr>
          <w:sz w:val="20"/>
          <w:szCs w:val="20"/>
          <w:color w:val="auto"/>
        </w:rPr>
      </w:pPr>
    </w:p>
    <w:p>
      <w:pPr>
        <w:ind w:left="1840" w:right="40" w:hanging="1444"/>
        <w:spacing w:after="0" w:line="277" w:lineRule="auto"/>
        <w:tabs>
          <w:tab w:leader="none" w:pos="1820" w:val="left"/>
        </w:tabs>
        <w:rPr>
          <w:sz w:val="20"/>
          <w:szCs w:val="20"/>
          <w:color w:val="auto"/>
        </w:rPr>
      </w:pPr>
      <w:r>
        <w:rPr>
          <w:rFonts w:ascii="Arial" w:cs="Arial" w:eastAsia="Arial" w:hAnsi="Arial"/>
          <w:sz w:val="18"/>
          <w:szCs w:val="18"/>
          <w:color w:val="auto"/>
        </w:rPr>
        <w:t>3(ii) and 4(b)</w:t>
      </w:r>
      <w:r>
        <w:rPr>
          <w:sz w:val="20"/>
          <w:szCs w:val="20"/>
          <w:color w:val="auto"/>
        </w:rPr>
        <w:tab/>
      </w:r>
      <w:r>
        <w:rPr>
          <w:rFonts w:ascii="Arial" w:cs="Arial" w:eastAsia="Arial" w:hAnsi="Arial"/>
          <w:sz w:val="18"/>
          <w:szCs w:val="18"/>
          <w:color w:val="auto"/>
        </w:rPr>
        <w:t>Bylaws of Registrant (incorporated by reference to Exhibit 3 to Registrant’s Current Report on Form 8-K dated November 30, 2005, Commission File No. 1-8649).</w:t>
      </w:r>
    </w:p>
    <w:p>
      <w:pPr>
        <w:spacing w:after="0" w:line="170" w:lineRule="exact"/>
        <w:rPr>
          <w:sz w:val="20"/>
          <w:szCs w:val="20"/>
          <w:color w:val="auto"/>
        </w:rPr>
      </w:pPr>
    </w:p>
    <w:p>
      <w:pPr>
        <w:ind w:left="400"/>
        <w:spacing w:after="0"/>
        <w:tabs>
          <w:tab w:leader="none" w:pos="1820" w:val="left"/>
        </w:tabs>
        <w:rPr>
          <w:sz w:val="20"/>
          <w:szCs w:val="20"/>
          <w:color w:val="auto"/>
        </w:rPr>
      </w:pPr>
      <w:r>
        <w:rPr>
          <w:rFonts w:ascii="Arial" w:cs="Arial" w:eastAsia="Arial" w:hAnsi="Arial"/>
          <w:sz w:val="16"/>
          <w:szCs w:val="16"/>
          <w:color w:val="auto"/>
        </w:rPr>
        <w:t>4(c)</w:t>
      </w:r>
      <w:r>
        <w:rPr>
          <w:sz w:val="20"/>
          <w:szCs w:val="20"/>
          <w:color w:val="auto"/>
        </w:rPr>
        <w:tab/>
      </w:r>
      <w:r>
        <w:rPr>
          <w:rFonts w:ascii="Arial" w:cs="Arial" w:eastAsia="Arial" w:hAnsi="Arial"/>
          <w:sz w:val="16"/>
          <w:szCs w:val="16"/>
          <w:color w:val="auto"/>
        </w:rPr>
        <w:t>Specimen Form of Common Stock Certificate (incorporated by reference to Exhibit 4(c) to Registrant’s Annual Report on Form 10-</w:t>
      </w:r>
    </w:p>
    <w:p>
      <w:pPr>
        <w:sectPr>
          <w:pgSz w:w="11900" w:h="16838" w:orient="portrait"/>
          <w:cols w:equalWidth="0" w:num="1">
            <w:col w:w="11420"/>
          </w:cols>
          <w:pgMar w:left="240" w:top="337" w:right="239" w:bottom="0" w:gutter="0" w:footer="0" w:header="0"/>
        </w:sectPr>
      </w:pPr>
    </w:p>
    <w:bookmarkStart w:id="14" w:name="page15"/>
    <w:bookmarkEnd w:id="14"/>
    <w:tbl>
      <w:tblPr>
        <w:tblLayout w:type="fixed"/>
        <w:tblInd w:w="4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rPr>
              <w:t>K dated October 31, 2004).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4(d)</w:t>
            </w:r>
          </w:p>
        </w:tc>
        <w:tc>
          <w:tcPr>
            <w:tcW w:w="10060" w:type="dxa"/>
            <w:vAlign w:val="bottom"/>
          </w:tcPr>
          <w:p>
            <w:pPr>
              <w:ind w:left="520"/>
              <w:spacing w:after="0"/>
              <w:rPr>
                <w:sz w:val="20"/>
                <w:szCs w:val="20"/>
                <w:color w:val="auto"/>
              </w:rPr>
            </w:pPr>
            <w:r>
              <w:rPr>
                <w:rFonts w:ascii="Arial" w:cs="Arial" w:eastAsia="Arial" w:hAnsi="Arial"/>
                <w:sz w:val="18"/>
                <w:szCs w:val="18"/>
                <w:color w:val="auto"/>
                <w:w w:val="91"/>
              </w:rPr>
              <w:t>Rights Agreement dated as of May 20, 1998, between Registrant and Wells Fargo Bank Minnesota, National Association relating to</w:t>
            </w:r>
          </w:p>
        </w:tc>
      </w:tr>
      <w:tr>
        <w:trPr>
          <w:trHeight w:val="216"/>
        </w:trPr>
        <w:tc>
          <w:tcPr>
            <w:tcW w:w="920" w:type="dxa"/>
            <w:vAlign w:val="bottom"/>
          </w:tcPr>
          <w:p>
            <w:pPr>
              <w:spacing w:after="0"/>
              <w:rPr>
                <w:sz w:val="18"/>
                <w:szCs w:val="18"/>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w w:val="94"/>
              </w:rPr>
              <w:t>rights to purchase Series B Junior Participating Voting Preferred Stock, as amended (incorporated by reference to Registrant’s</w:t>
            </w:r>
          </w:p>
        </w:tc>
      </w:tr>
      <w:tr>
        <w:trPr>
          <w:trHeight w:val="230"/>
        </w:trPr>
        <w:tc>
          <w:tcPr>
            <w:tcW w:w="920" w:type="dxa"/>
            <w:vAlign w:val="bottom"/>
          </w:tcPr>
          <w:p>
            <w:pPr>
              <w:spacing w:after="0"/>
              <w:rPr>
                <w:sz w:val="20"/>
                <w:szCs w:val="20"/>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rPr>
              <w:t>Current Report on Form 8-K dated May 27, 1998, Commission File No. 1-8649).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4(e)</w:t>
            </w:r>
          </w:p>
        </w:tc>
        <w:tc>
          <w:tcPr>
            <w:tcW w:w="10060" w:type="dxa"/>
            <w:vAlign w:val="bottom"/>
          </w:tcPr>
          <w:p>
            <w:pPr>
              <w:ind w:left="520"/>
              <w:spacing w:after="0"/>
              <w:rPr>
                <w:sz w:val="20"/>
                <w:szCs w:val="20"/>
                <w:color w:val="auto"/>
              </w:rPr>
            </w:pPr>
            <w:r>
              <w:rPr>
                <w:rFonts w:ascii="Arial" w:cs="Arial" w:eastAsia="Arial" w:hAnsi="Arial"/>
                <w:sz w:val="18"/>
                <w:szCs w:val="18"/>
                <w:color w:val="auto"/>
                <w:w w:val="97"/>
              </w:rPr>
              <w:t>Certificate of Adjusted Purchase Price or Number of Shares dated April 14, 2003 filed by Registrant with Wells Fargo Bank</w:t>
            </w:r>
          </w:p>
        </w:tc>
      </w:tr>
      <w:tr>
        <w:trPr>
          <w:trHeight w:val="216"/>
        </w:trPr>
        <w:tc>
          <w:tcPr>
            <w:tcW w:w="920" w:type="dxa"/>
            <w:vAlign w:val="bottom"/>
          </w:tcPr>
          <w:p>
            <w:pPr>
              <w:spacing w:after="0"/>
              <w:rPr>
                <w:sz w:val="18"/>
                <w:szCs w:val="18"/>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w w:val="94"/>
              </w:rPr>
              <w:t>Minnesota, N.A., as Rights Agent, in connection with Rights Agreement dated as of May 20, 1998 (incorporated by reference to</w:t>
            </w:r>
          </w:p>
        </w:tc>
      </w:tr>
      <w:tr>
        <w:trPr>
          <w:trHeight w:val="216"/>
        </w:trPr>
        <w:tc>
          <w:tcPr>
            <w:tcW w:w="920" w:type="dxa"/>
            <w:vAlign w:val="bottom"/>
          </w:tcPr>
          <w:p>
            <w:pPr>
              <w:spacing w:after="0"/>
              <w:rPr>
                <w:sz w:val="18"/>
                <w:szCs w:val="18"/>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w w:val="92"/>
              </w:rPr>
              <w:t>Exhibit 2 to Registrant’s Amendment No. 1 to Registration Statement on Form 8-A/A dated April 14, 2003, Commission File No. 1-</w:t>
            </w:r>
          </w:p>
        </w:tc>
      </w:tr>
      <w:tr>
        <w:trPr>
          <w:trHeight w:val="230"/>
        </w:trPr>
        <w:tc>
          <w:tcPr>
            <w:tcW w:w="920" w:type="dxa"/>
            <w:vAlign w:val="bottom"/>
          </w:tcPr>
          <w:p>
            <w:pPr>
              <w:spacing w:after="0"/>
              <w:rPr>
                <w:sz w:val="20"/>
                <w:szCs w:val="20"/>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rPr>
              <w:t>8649).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4(f)</w:t>
            </w:r>
          </w:p>
        </w:tc>
        <w:tc>
          <w:tcPr>
            <w:tcW w:w="10060" w:type="dxa"/>
            <w:vAlign w:val="bottom"/>
          </w:tcPr>
          <w:p>
            <w:pPr>
              <w:ind w:left="520"/>
              <w:spacing w:after="0"/>
              <w:rPr>
                <w:sz w:val="20"/>
                <w:szCs w:val="20"/>
                <w:color w:val="auto"/>
              </w:rPr>
            </w:pPr>
            <w:r>
              <w:rPr>
                <w:rFonts w:ascii="Arial" w:cs="Arial" w:eastAsia="Arial" w:hAnsi="Arial"/>
                <w:sz w:val="18"/>
                <w:szCs w:val="18"/>
                <w:color w:val="auto"/>
                <w:w w:val="97"/>
              </w:rPr>
              <w:t>Certificate of Adjusted Purchase Price or Number of Shares dated April 12, 2005 filed by Registrant with Wells Fargo Bank</w:t>
            </w:r>
          </w:p>
        </w:tc>
      </w:tr>
      <w:tr>
        <w:trPr>
          <w:trHeight w:val="216"/>
        </w:trPr>
        <w:tc>
          <w:tcPr>
            <w:tcW w:w="920" w:type="dxa"/>
            <w:vAlign w:val="bottom"/>
          </w:tcPr>
          <w:p>
            <w:pPr>
              <w:spacing w:after="0"/>
              <w:rPr>
                <w:sz w:val="18"/>
                <w:szCs w:val="18"/>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w w:val="94"/>
              </w:rPr>
              <w:t>Minnesota, N.A., as Rights Agent, in connection with Rights Agreement dated as of May 20, 1998 (incorporated by reference to</w:t>
            </w:r>
          </w:p>
        </w:tc>
      </w:tr>
      <w:tr>
        <w:trPr>
          <w:trHeight w:val="216"/>
        </w:trPr>
        <w:tc>
          <w:tcPr>
            <w:tcW w:w="920" w:type="dxa"/>
            <w:vAlign w:val="bottom"/>
          </w:tcPr>
          <w:p>
            <w:pPr>
              <w:spacing w:after="0"/>
              <w:rPr>
                <w:sz w:val="18"/>
                <w:szCs w:val="18"/>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w w:val="92"/>
              </w:rPr>
              <w:t>Exhibit 2 to Registrant’s Amendment No. 2 to Registration Statement on Form 8-A/A dated March 21, 2005, Commission File No.</w:t>
            </w:r>
          </w:p>
        </w:tc>
      </w:tr>
      <w:tr>
        <w:trPr>
          <w:trHeight w:val="230"/>
        </w:trPr>
        <w:tc>
          <w:tcPr>
            <w:tcW w:w="920" w:type="dxa"/>
            <w:vAlign w:val="bottom"/>
          </w:tcPr>
          <w:p>
            <w:pPr>
              <w:spacing w:after="0"/>
              <w:rPr>
                <w:sz w:val="20"/>
                <w:szCs w:val="20"/>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rPr>
              <w:t>1-8649).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4(g)</w:t>
            </w:r>
          </w:p>
        </w:tc>
        <w:tc>
          <w:tcPr>
            <w:tcW w:w="10060" w:type="dxa"/>
            <w:vAlign w:val="bottom"/>
          </w:tcPr>
          <w:p>
            <w:pPr>
              <w:ind w:left="520"/>
              <w:spacing w:after="0"/>
              <w:rPr>
                <w:sz w:val="20"/>
                <w:szCs w:val="20"/>
                <w:color w:val="auto"/>
              </w:rPr>
            </w:pPr>
            <w:r>
              <w:rPr>
                <w:rFonts w:ascii="Arial" w:cs="Arial" w:eastAsia="Arial" w:hAnsi="Arial"/>
                <w:sz w:val="18"/>
                <w:szCs w:val="18"/>
                <w:color w:val="auto"/>
                <w:w w:val="96"/>
              </w:rPr>
              <w:t>Indenture dated as of January 31, 1997, between Registrant and First National Trust Association, as Trustee, relating to the</w:t>
            </w:r>
          </w:p>
        </w:tc>
      </w:tr>
      <w:tr>
        <w:trPr>
          <w:trHeight w:val="216"/>
        </w:trPr>
        <w:tc>
          <w:tcPr>
            <w:tcW w:w="920" w:type="dxa"/>
            <w:vAlign w:val="bottom"/>
          </w:tcPr>
          <w:p>
            <w:pPr>
              <w:spacing w:after="0"/>
              <w:rPr>
                <w:sz w:val="18"/>
                <w:szCs w:val="18"/>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w w:val="92"/>
              </w:rPr>
              <w:t>Registrant’s 7.125% Notes due June 15, 2007 and its 7.80% Debentures due June 15, 2027 (incorporated by reference to Exhibit</w:t>
            </w:r>
          </w:p>
        </w:tc>
      </w:tr>
      <w:tr>
        <w:trPr>
          <w:trHeight w:val="230"/>
        </w:trPr>
        <w:tc>
          <w:tcPr>
            <w:tcW w:w="920" w:type="dxa"/>
            <w:vAlign w:val="bottom"/>
          </w:tcPr>
          <w:p>
            <w:pPr>
              <w:spacing w:after="0"/>
              <w:rPr>
                <w:sz w:val="20"/>
                <w:szCs w:val="20"/>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rPr>
              <w:t>4(a) to Registrant’s Current Report on Form 8-K for June 24, 1997, Commission File No. 1-8649).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10(a)</w:t>
            </w:r>
          </w:p>
        </w:tc>
        <w:tc>
          <w:tcPr>
            <w:tcW w:w="10060" w:type="dxa"/>
            <w:vAlign w:val="bottom"/>
          </w:tcPr>
          <w:p>
            <w:pPr>
              <w:ind w:left="520"/>
              <w:spacing w:after="0"/>
              <w:rPr>
                <w:sz w:val="20"/>
                <w:szCs w:val="20"/>
                <w:color w:val="auto"/>
              </w:rPr>
            </w:pPr>
            <w:r>
              <w:rPr>
                <w:rFonts w:ascii="Arial" w:cs="Arial" w:eastAsia="Arial" w:hAnsi="Arial"/>
                <w:sz w:val="18"/>
                <w:szCs w:val="18"/>
                <w:color w:val="auto"/>
                <w:w w:val="94"/>
              </w:rPr>
              <w:t>Post-Retirement Consulting and Noncompetition Agreement dated as of December 31, 2005 between The Toro Company and</w:t>
            </w:r>
          </w:p>
        </w:tc>
      </w:tr>
      <w:tr>
        <w:trPr>
          <w:trHeight w:val="216"/>
        </w:trPr>
        <w:tc>
          <w:tcPr>
            <w:tcW w:w="920" w:type="dxa"/>
            <w:vAlign w:val="bottom"/>
          </w:tcPr>
          <w:p>
            <w:pPr>
              <w:spacing w:after="0"/>
              <w:rPr>
                <w:sz w:val="18"/>
                <w:szCs w:val="18"/>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w w:val="91"/>
              </w:rPr>
              <w:t>Kendrick B. Melrose (incorporated by reference to Exhibit 1 to Registrant’s Current Report on Form 8-K dated December 31, 2005,</w:t>
            </w:r>
          </w:p>
        </w:tc>
      </w:tr>
      <w:tr>
        <w:trPr>
          <w:trHeight w:val="230"/>
        </w:trPr>
        <w:tc>
          <w:tcPr>
            <w:tcW w:w="920" w:type="dxa"/>
            <w:vAlign w:val="bottom"/>
          </w:tcPr>
          <w:p>
            <w:pPr>
              <w:spacing w:after="0"/>
              <w:rPr>
                <w:sz w:val="20"/>
                <w:szCs w:val="20"/>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rPr>
              <w:t>Commission File No. 1-8649).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10(b)</w:t>
            </w:r>
          </w:p>
        </w:tc>
        <w:tc>
          <w:tcPr>
            <w:tcW w:w="10060" w:type="dxa"/>
            <w:vAlign w:val="bottom"/>
          </w:tcPr>
          <w:p>
            <w:pPr>
              <w:ind w:left="520"/>
              <w:spacing w:after="0"/>
              <w:rPr>
                <w:sz w:val="20"/>
                <w:szCs w:val="20"/>
                <w:color w:val="auto"/>
              </w:rPr>
            </w:pPr>
            <w:r>
              <w:rPr>
                <w:rFonts w:ascii="Arial" w:cs="Arial" w:eastAsia="Arial" w:hAnsi="Arial"/>
                <w:sz w:val="18"/>
                <w:szCs w:val="18"/>
                <w:color w:val="auto"/>
                <w:w w:val="93"/>
              </w:rPr>
              <w:t>The Toro Company Performance Share Plan (incorporated by reference to Exhibit 1 to Registrant’s Current Report on Form 8-K</w:t>
            </w:r>
          </w:p>
        </w:tc>
      </w:tr>
      <w:tr>
        <w:trPr>
          <w:trHeight w:val="230"/>
        </w:trPr>
        <w:tc>
          <w:tcPr>
            <w:tcW w:w="920" w:type="dxa"/>
            <w:vAlign w:val="bottom"/>
          </w:tcPr>
          <w:p>
            <w:pPr>
              <w:spacing w:after="0"/>
              <w:rPr>
                <w:sz w:val="20"/>
                <w:szCs w:val="20"/>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rPr>
              <w:t>dated February 16, 2006, Commission File No. 1-8649).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10(c)</w:t>
            </w:r>
          </w:p>
        </w:tc>
        <w:tc>
          <w:tcPr>
            <w:tcW w:w="10060" w:type="dxa"/>
            <w:vAlign w:val="bottom"/>
          </w:tcPr>
          <w:p>
            <w:pPr>
              <w:ind w:left="520"/>
              <w:spacing w:after="0"/>
              <w:rPr>
                <w:sz w:val="20"/>
                <w:szCs w:val="20"/>
                <w:color w:val="auto"/>
              </w:rPr>
            </w:pPr>
            <w:r>
              <w:rPr>
                <w:rFonts w:ascii="Arial" w:cs="Arial" w:eastAsia="Arial" w:hAnsi="Arial"/>
                <w:sz w:val="18"/>
                <w:szCs w:val="18"/>
                <w:color w:val="auto"/>
                <w:w w:val="92"/>
              </w:rPr>
              <w:t>Form of Nonqualified Stock Option Agreement (incorporated by reference to Exhibit 1 to Registrant’s Current Report on Form 8-K</w:t>
            </w:r>
          </w:p>
        </w:tc>
      </w:tr>
      <w:tr>
        <w:trPr>
          <w:trHeight w:val="230"/>
        </w:trPr>
        <w:tc>
          <w:tcPr>
            <w:tcW w:w="920" w:type="dxa"/>
            <w:vAlign w:val="bottom"/>
          </w:tcPr>
          <w:p>
            <w:pPr>
              <w:spacing w:after="0"/>
              <w:rPr>
                <w:sz w:val="20"/>
                <w:szCs w:val="20"/>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rPr>
              <w:t>dated November 30, 2005, Commission File No. 1-8649).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10(d)</w:t>
            </w:r>
          </w:p>
        </w:tc>
        <w:tc>
          <w:tcPr>
            <w:tcW w:w="10060" w:type="dxa"/>
            <w:vAlign w:val="bottom"/>
          </w:tcPr>
          <w:p>
            <w:pPr>
              <w:ind w:left="520"/>
              <w:spacing w:after="0"/>
              <w:rPr>
                <w:sz w:val="20"/>
                <w:szCs w:val="20"/>
                <w:color w:val="auto"/>
              </w:rPr>
            </w:pPr>
            <w:r>
              <w:rPr>
                <w:rFonts w:ascii="Arial" w:cs="Arial" w:eastAsia="Arial" w:hAnsi="Arial"/>
                <w:sz w:val="18"/>
                <w:szCs w:val="18"/>
                <w:color w:val="auto"/>
                <w:w w:val="92"/>
              </w:rPr>
              <w:t>Form of Performance Share Award Agreement (incorporated by reference to Exhibit 2 to Registrant’s Current Report on Form 8-K</w:t>
            </w:r>
          </w:p>
        </w:tc>
      </w:tr>
      <w:tr>
        <w:trPr>
          <w:trHeight w:val="230"/>
        </w:trPr>
        <w:tc>
          <w:tcPr>
            <w:tcW w:w="920" w:type="dxa"/>
            <w:vAlign w:val="bottom"/>
          </w:tcPr>
          <w:p>
            <w:pPr>
              <w:spacing w:after="0"/>
              <w:rPr>
                <w:sz w:val="20"/>
                <w:szCs w:val="20"/>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rPr>
              <w:t>dated November 30, 2005, Commission File No. 1-8649).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31(a)</w:t>
            </w:r>
          </w:p>
        </w:tc>
        <w:tc>
          <w:tcPr>
            <w:tcW w:w="10060" w:type="dxa"/>
            <w:vAlign w:val="bottom"/>
          </w:tcPr>
          <w:p>
            <w:pPr>
              <w:ind w:left="520"/>
              <w:spacing w:after="0"/>
              <w:rPr>
                <w:sz w:val="20"/>
                <w:szCs w:val="20"/>
                <w:color w:val="auto"/>
              </w:rPr>
            </w:pPr>
            <w:r>
              <w:rPr>
                <w:rFonts w:ascii="Arial" w:cs="Arial" w:eastAsia="Arial" w:hAnsi="Arial"/>
                <w:sz w:val="18"/>
                <w:szCs w:val="18"/>
                <w:color w:val="auto"/>
                <w:w w:val="99"/>
              </w:rPr>
              <w:t>Certification of Chief Executive Officer Pursuant to Rule 13a-14(a) (Section 302 of the Sarbanes-Oxley Act of 2002) (filed</w:t>
            </w:r>
          </w:p>
        </w:tc>
      </w:tr>
      <w:tr>
        <w:trPr>
          <w:trHeight w:val="230"/>
        </w:trPr>
        <w:tc>
          <w:tcPr>
            <w:tcW w:w="920" w:type="dxa"/>
            <w:vAlign w:val="bottom"/>
          </w:tcPr>
          <w:p>
            <w:pPr>
              <w:spacing w:after="0"/>
              <w:rPr>
                <w:sz w:val="20"/>
                <w:szCs w:val="20"/>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rPr>
              <w:t>herewith).</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31(b)</w:t>
            </w:r>
          </w:p>
        </w:tc>
        <w:tc>
          <w:tcPr>
            <w:tcW w:w="10060" w:type="dxa"/>
            <w:vAlign w:val="bottom"/>
          </w:tcPr>
          <w:p>
            <w:pPr>
              <w:ind w:left="520"/>
              <w:spacing w:after="0"/>
              <w:rPr>
                <w:sz w:val="20"/>
                <w:szCs w:val="20"/>
                <w:color w:val="auto"/>
              </w:rPr>
            </w:pPr>
            <w:r>
              <w:rPr>
                <w:rFonts w:ascii="Arial" w:cs="Arial" w:eastAsia="Arial" w:hAnsi="Arial"/>
                <w:sz w:val="18"/>
                <w:szCs w:val="18"/>
                <w:color w:val="auto"/>
                <w:w w:val="99"/>
              </w:rPr>
              <w:t>Certification of Chief Financial Officer Pursuant to Rule 13a-14(a) (Section 302 of the Sarbanes-Oxley Act of 2002) (filed</w:t>
            </w:r>
          </w:p>
        </w:tc>
      </w:tr>
      <w:tr>
        <w:trPr>
          <w:trHeight w:val="230"/>
        </w:trPr>
        <w:tc>
          <w:tcPr>
            <w:tcW w:w="920" w:type="dxa"/>
            <w:vAlign w:val="bottom"/>
          </w:tcPr>
          <w:p>
            <w:pPr>
              <w:spacing w:after="0"/>
              <w:rPr>
                <w:sz w:val="20"/>
                <w:szCs w:val="20"/>
                <w:color w:val="auto"/>
              </w:rPr>
            </w:pPr>
          </w:p>
        </w:tc>
        <w:tc>
          <w:tcPr>
            <w:tcW w:w="10060" w:type="dxa"/>
            <w:vAlign w:val="bottom"/>
          </w:tcPr>
          <w:p>
            <w:pPr>
              <w:ind w:left="520"/>
              <w:spacing w:after="0"/>
              <w:rPr>
                <w:sz w:val="20"/>
                <w:szCs w:val="20"/>
                <w:color w:val="auto"/>
              </w:rPr>
            </w:pPr>
            <w:r>
              <w:rPr>
                <w:rFonts w:ascii="Arial" w:cs="Arial" w:eastAsia="Arial" w:hAnsi="Arial"/>
                <w:sz w:val="18"/>
                <w:szCs w:val="18"/>
                <w:color w:val="auto"/>
              </w:rPr>
              <w:t>herewith).</w:t>
            </w:r>
          </w:p>
        </w:tc>
      </w:tr>
    </w:tbl>
    <w:p>
      <w:pPr>
        <w:spacing w:after="0" w:line="202" w:lineRule="exact"/>
        <w:rPr>
          <w:sz w:val="20"/>
          <w:szCs w:val="20"/>
          <w:color w:val="auto"/>
        </w:rPr>
      </w:pPr>
    </w:p>
    <w:p>
      <w:pPr>
        <w:ind w:left="1840" w:right="320" w:hanging="1441"/>
        <w:spacing w:after="0" w:line="277" w:lineRule="auto"/>
        <w:tabs>
          <w:tab w:leader="none" w:pos="1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gridSpan w:val="2"/>
          </w:tcPr>
          <w:p>
            <w:pPr>
              <w:jc w:val="center"/>
              <w:ind w:right="4540"/>
              <w:spacing w:after="0"/>
              <w:rPr>
                <w:sz w:val="20"/>
                <w:szCs w:val="20"/>
                <w:color w:val="auto"/>
              </w:rPr>
            </w:pPr>
            <w:r>
              <w:rPr>
                <w:rFonts w:ascii="Arial" w:cs="Arial" w:eastAsia="Arial" w:hAnsi="Arial"/>
                <w:sz w:val="18"/>
                <w:szCs w:val="18"/>
                <w:color w:val="auto"/>
                <w:w w:val="96"/>
              </w:rPr>
              <w:t>THE TORO COMPANY</w:t>
            </w:r>
          </w:p>
        </w:tc>
      </w:tr>
      <w:tr>
        <w:trPr>
          <w:trHeight w:val="230"/>
        </w:trPr>
        <w:tc>
          <w:tcPr>
            <w:tcW w:w="2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920" w:type="dxa"/>
            <w:vAlign w:val="bottom"/>
            <w:gridSpan w:val="2"/>
          </w:tcPr>
          <w:p>
            <w:pPr>
              <w:jc w:val="center"/>
              <w:ind w:right="4540"/>
              <w:spacing w:after="0"/>
              <w:rPr>
                <w:sz w:val="20"/>
                <w:szCs w:val="20"/>
                <w:color w:val="auto"/>
              </w:rPr>
            </w:pPr>
            <w:r>
              <w:rPr>
                <w:rFonts w:ascii="Arial" w:cs="Arial" w:eastAsia="Arial" w:hAnsi="Arial"/>
                <w:sz w:val="18"/>
                <w:szCs w:val="18"/>
                <w:color w:val="auto"/>
                <w:w w:val="91"/>
              </w:rPr>
              <w:t>(Registrant)</w:t>
            </w:r>
          </w:p>
        </w:tc>
      </w:tr>
      <w:tr>
        <w:trPr>
          <w:trHeight w:val="432"/>
        </w:trPr>
        <w:tc>
          <w:tcPr>
            <w:tcW w:w="2840" w:type="dxa"/>
            <w:vAlign w:val="bottom"/>
          </w:tcPr>
          <w:p>
            <w:pPr>
              <w:ind w:left="20"/>
              <w:spacing w:after="0"/>
              <w:rPr>
                <w:sz w:val="20"/>
                <w:szCs w:val="20"/>
                <w:color w:val="auto"/>
              </w:rPr>
            </w:pPr>
            <w:r>
              <w:rPr>
                <w:rFonts w:ascii="Arial" w:cs="Arial" w:eastAsia="Arial" w:hAnsi="Arial"/>
                <w:sz w:val="18"/>
                <w:szCs w:val="18"/>
                <w:color w:val="auto"/>
              </w:rPr>
              <w:t>Date: March 13, 2006</w:t>
            </w:r>
          </w:p>
        </w:tc>
        <w:tc>
          <w:tcPr>
            <w:tcW w:w="8600" w:type="dxa"/>
            <w:vAlign w:val="bottom"/>
            <w:gridSpan w:val="3"/>
          </w:tcPr>
          <w:p>
            <w:pPr>
              <w:ind w:left="1260"/>
              <w:spacing w:after="0"/>
              <w:rPr>
                <w:sz w:val="20"/>
                <w:szCs w:val="20"/>
                <w:color w:val="auto"/>
              </w:rPr>
            </w:pPr>
            <w:r>
              <w:rPr>
                <w:rFonts w:ascii="Arial" w:cs="Arial" w:eastAsia="Arial" w:hAnsi="Arial"/>
                <w:sz w:val="18"/>
                <w:szCs w:val="18"/>
                <w:color w:val="auto"/>
              </w:rPr>
              <w:t>By   /s/ Stephen P. Wolfe</w:t>
            </w:r>
          </w:p>
        </w:tc>
      </w:tr>
      <w:tr>
        <w:trPr>
          <w:trHeight w:val="20"/>
        </w:trPr>
        <w:tc>
          <w:tcPr>
            <w:tcW w:w="2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82"/>
        </w:trPr>
        <w:tc>
          <w:tcPr>
            <w:tcW w:w="2840" w:type="dxa"/>
            <w:vAlign w:val="bottom"/>
          </w:tcPr>
          <w:p>
            <w:pPr>
              <w:spacing w:after="0"/>
              <w:rPr>
                <w:sz w:val="15"/>
                <w:szCs w:val="15"/>
                <w:color w:val="auto"/>
              </w:rPr>
            </w:pPr>
          </w:p>
        </w:tc>
        <w:tc>
          <w:tcPr>
            <w:tcW w:w="3560" w:type="dxa"/>
            <w:vAlign w:val="bottom"/>
            <w:gridSpan w:val="2"/>
          </w:tcPr>
          <w:p>
            <w:pPr>
              <w:ind w:left="1300"/>
              <w:spacing w:after="0" w:line="182" w:lineRule="exact"/>
              <w:rPr>
                <w:sz w:val="20"/>
                <w:szCs w:val="20"/>
                <w:color w:val="auto"/>
              </w:rPr>
            </w:pPr>
            <w:r>
              <w:rPr>
                <w:rFonts w:ascii="Arial" w:cs="Arial" w:eastAsia="Arial" w:hAnsi="Arial"/>
                <w:sz w:val="18"/>
                <w:szCs w:val="18"/>
                <w:color w:val="auto"/>
              </w:rPr>
              <w:t>Stephen P. Wolfe</w:t>
            </w:r>
          </w:p>
        </w:tc>
        <w:tc>
          <w:tcPr>
            <w:tcW w:w="5040" w:type="dxa"/>
            <w:vAlign w:val="bottom"/>
          </w:tcPr>
          <w:p>
            <w:pPr>
              <w:spacing w:after="0"/>
              <w:rPr>
                <w:sz w:val="15"/>
                <w:szCs w:val="15"/>
                <w:color w:val="auto"/>
              </w:rPr>
            </w:pPr>
          </w:p>
        </w:tc>
      </w:tr>
      <w:tr>
        <w:trPr>
          <w:trHeight w:val="216"/>
        </w:trPr>
        <w:tc>
          <w:tcPr>
            <w:tcW w:w="2840" w:type="dxa"/>
            <w:vAlign w:val="bottom"/>
          </w:tcPr>
          <w:p>
            <w:pPr>
              <w:spacing w:after="0"/>
              <w:rPr>
                <w:sz w:val="18"/>
                <w:szCs w:val="18"/>
                <w:color w:val="auto"/>
              </w:rPr>
            </w:pPr>
          </w:p>
        </w:tc>
        <w:tc>
          <w:tcPr>
            <w:tcW w:w="8600" w:type="dxa"/>
            <w:vAlign w:val="bottom"/>
            <w:gridSpan w:val="3"/>
          </w:tcPr>
          <w:p>
            <w:pPr>
              <w:ind w:left="1300"/>
              <w:spacing w:after="0"/>
              <w:rPr>
                <w:sz w:val="20"/>
                <w:szCs w:val="20"/>
                <w:color w:val="auto"/>
              </w:rPr>
            </w:pPr>
            <w:r>
              <w:rPr>
                <w:rFonts w:ascii="Arial" w:cs="Arial" w:eastAsia="Arial" w:hAnsi="Arial"/>
                <w:sz w:val="18"/>
                <w:szCs w:val="18"/>
                <w:color w:val="auto"/>
              </w:rPr>
              <w:t>Vice President Finance</w:t>
            </w:r>
          </w:p>
        </w:tc>
      </w:tr>
      <w:tr>
        <w:trPr>
          <w:trHeight w:val="216"/>
        </w:trPr>
        <w:tc>
          <w:tcPr>
            <w:tcW w:w="2840" w:type="dxa"/>
            <w:vAlign w:val="bottom"/>
          </w:tcPr>
          <w:p>
            <w:pPr>
              <w:spacing w:after="0"/>
              <w:rPr>
                <w:sz w:val="18"/>
                <w:szCs w:val="18"/>
                <w:color w:val="auto"/>
              </w:rPr>
            </w:pPr>
          </w:p>
        </w:tc>
        <w:tc>
          <w:tcPr>
            <w:tcW w:w="8600" w:type="dxa"/>
            <w:vAlign w:val="bottom"/>
            <w:gridSpan w:val="3"/>
          </w:tcPr>
          <w:p>
            <w:pPr>
              <w:ind w:left="130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2840" w:type="dxa"/>
            <w:vAlign w:val="bottom"/>
          </w:tcPr>
          <w:p>
            <w:pPr>
              <w:spacing w:after="0"/>
              <w:rPr>
                <w:sz w:val="20"/>
                <w:szCs w:val="20"/>
                <w:color w:val="auto"/>
              </w:rPr>
            </w:pPr>
          </w:p>
        </w:tc>
        <w:tc>
          <w:tcPr>
            <w:tcW w:w="8600" w:type="dxa"/>
            <w:vAlign w:val="bottom"/>
            <w:gridSpan w:val="3"/>
          </w:tcPr>
          <w:p>
            <w:pPr>
              <w:ind w:left="1300"/>
              <w:spacing w:after="0"/>
              <w:rPr>
                <w:sz w:val="20"/>
                <w:szCs w:val="20"/>
                <w:color w:val="auto"/>
              </w:rPr>
            </w:pPr>
            <w:r>
              <w:rPr>
                <w:rFonts w:ascii="Arial" w:cs="Arial" w:eastAsia="Arial" w:hAnsi="Arial"/>
                <w:sz w:val="18"/>
                <w:szCs w:val="18"/>
                <w:color w:val="auto"/>
              </w:rPr>
              <w:t>(duly authorized officer and principal financial officer)</w:t>
            </w:r>
          </w:p>
        </w:tc>
      </w:tr>
      <w:tr>
        <w:trPr>
          <w:trHeight w:val="432"/>
        </w:trPr>
        <w:tc>
          <w:tcPr>
            <w:tcW w:w="2840" w:type="dxa"/>
            <w:vAlign w:val="bottom"/>
          </w:tcPr>
          <w:p>
            <w:pPr>
              <w:spacing w:after="0"/>
              <w:rPr>
                <w:sz w:val="24"/>
                <w:szCs w:val="24"/>
                <w:color w:val="auto"/>
              </w:rPr>
            </w:pPr>
          </w:p>
        </w:tc>
        <w:tc>
          <w:tcPr>
            <w:tcW w:w="3560" w:type="dxa"/>
            <w:vAlign w:val="bottom"/>
            <w:gridSpan w:val="2"/>
          </w:tcPr>
          <w:p>
            <w:pPr>
              <w:jc w:val="center"/>
              <w:ind w:left="2090"/>
              <w:spacing w:after="0"/>
              <w:rPr>
                <w:sz w:val="20"/>
                <w:szCs w:val="20"/>
                <w:color w:val="auto"/>
              </w:rPr>
            </w:pPr>
            <w:r>
              <w:rPr>
                <w:rFonts w:ascii="Arial" w:cs="Arial" w:eastAsia="Arial" w:hAnsi="Arial"/>
                <w:sz w:val="18"/>
                <w:szCs w:val="18"/>
                <w:color w:val="auto"/>
                <w:w w:val="89"/>
              </w:rPr>
              <w:t>23</w:t>
            </w:r>
          </w:p>
        </w:tc>
        <w:tc>
          <w:tcPr>
            <w:tcW w:w="5040" w:type="dxa"/>
            <w:vAlign w:val="bottom"/>
          </w:tcPr>
          <w:p>
            <w:pPr>
              <w:spacing w:after="0"/>
              <w:rPr>
                <w:sz w:val="24"/>
                <w:szCs w:val="24"/>
                <w:color w:val="auto"/>
              </w:rPr>
            </w:pPr>
          </w:p>
        </w:tc>
      </w:tr>
      <w:tr>
        <w:trPr>
          <w:trHeight w:val="118"/>
        </w:trPr>
        <w:tc>
          <w:tcPr>
            <w:tcW w:w="28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342" w:lineRule="auto"/>
        <w:tabs>
          <w:tab w:leader="none" w:pos="661"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2006</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609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the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342" w:lineRule="auto"/>
        <w:tabs>
          <w:tab w:leader="none" w:pos="661"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February 3, 2006 as filed with the Securities and Exchange Commission on the date hereof (the “Report”), we, Michael J. Hoffman,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1000" w:hanging="344"/>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100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13, 2006</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Finance and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13, 2006</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32"/>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2019-12-11T20:23:35Z</dcterms:created>
  <dcterms:modified xsi:type="dcterms:W3CDTF">2019-12-11T20:23:35Z</dcterms:modified>
</cp:coreProperties>
</file>