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160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160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7740"/>
        <w:spacing w:after="0"/>
        <w:rPr>
          <w:sz w:val="20"/>
          <w:szCs w:val="20"/>
          <w:color w:val="auto"/>
        </w:rPr>
      </w:pPr>
      <w:r>
        <w:rPr>
          <w:rFonts w:ascii="Arial" w:cs="Arial" w:eastAsia="Arial" w:hAnsi="Arial"/>
          <w:sz w:val="68"/>
          <w:szCs w:val="68"/>
          <w:b w:val="1"/>
          <w:bCs w:val="1"/>
          <w:color w:val="auto"/>
        </w:rPr>
        <w:t>2025</w:t>
      </w:r>
    </w:p>
    <w:p>
      <w:pPr>
        <w:sectPr>
          <w:pgSz w:w="11880" w:h="15480" w:orient="portrait"/>
          <w:cols w:equalWidth="0" w:num="1">
            <w:col w:w="9520"/>
          </w:cols>
          <w:pgMar w:left="1440" w:top="1440" w:right="920" w:bottom="504" w:gutter="0" w:footer="0" w:header="0"/>
        </w:sectPr>
      </w:pPr>
    </w:p>
    <w:p>
      <w:pPr>
        <w:ind w:left="7760"/>
        <w:spacing w:after="0"/>
        <w:rPr>
          <w:sz w:val="20"/>
          <w:szCs w:val="20"/>
          <w:color w:val="auto"/>
        </w:rPr>
      </w:pPr>
      <w:r>
        <w:rPr>
          <w:rFonts w:ascii="Arial" w:cs="Arial" w:eastAsia="Arial" w:hAnsi="Arial"/>
          <w:sz w:val="19"/>
          <w:szCs w:val="19"/>
          <w:b w:val="1"/>
          <w:bCs w:val="1"/>
          <w:color w:val="auto"/>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670560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670560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9520"/>
          </w:cols>
          <w:pgMar w:left="1440" w:top="1440" w:right="920" w:bottom="504"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760730</wp:posOffset>
            </wp:positionV>
            <wp:extent cx="7086600" cy="3509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350901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900"/>
        <w:spacing w:after="0" w:line="308" w:lineRule="auto"/>
        <w:rPr>
          <w:sz w:val="20"/>
          <w:szCs w:val="20"/>
          <w:color w:val="auto"/>
        </w:rPr>
      </w:pPr>
      <w:r>
        <w:rPr>
          <w:rFonts w:ascii="Arial" w:cs="Arial" w:eastAsia="Arial" w:hAnsi="Arial"/>
          <w:sz w:val="23"/>
          <w:szCs w:val="23"/>
          <w:b w:val="1"/>
          <w:bCs w:val="1"/>
          <w:color w:val="auto"/>
        </w:rPr>
        <w:t>EXPANDING LEADERSHIP IN UNDERGROUND</w:t>
      </w:r>
    </w:p>
    <w:p>
      <w:pPr>
        <w:ind w:right="4260"/>
        <w:spacing w:after="0" w:line="288" w:lineRule="auto"/>
        <w:rPr>
          <w:sz w:val="20"/>
          <w:szCs w:val="20"/>
          <w:color w:val="auto"/>
        </w:rPr>
      </w:pPr>
      <w:r>
        <w:rPr>
          <w:rFonts w:ascii="Arial" w:cs="Arial" w:eastAsia="Arial" w:hAnsi="Arial"/>
          <w:sz w:val="16"/>
          <w:szCs w:val="16"/>
          <w:color w:val="auto"/>
        </w:rPr>
        <w:t>Supported by demand in the pipeline, water infrastructure and energy transmission sectors, The Toro Company took several intentional actions in fiscal 2025 to strengthen its position in underground construction. Following divestitures of the Trencor</w:t>
      </w:r>
      <w:r>
        <w:rPr>
          <w:rFonts w:ascii="Arial" w:cs="Arial" w:eastAsia="Arial" w:hAnsi="Arial"/>
          <w:sz w:val="9"/>
          <w:szCs w:val="9"/>
          <w:color w:val="auto"/>
        </w:rPr>
        <w:t>®</w:t>
      </w:r>
      <w:r>
        <w:rPr>
          <w:rFonts w:ascii="Arial" w:cs="Arial" w:eastAsia="Arial" w:hAnsi="Arial"/>
          <w:sz w:val="16"/>
          <w:szCs w:val="16"/>
          <w:color w:val="auto"/>
        </w:rPr>
        <w:t xml:space="preserve"> equipment brand and the auger boring product category of the American Augers</w:t>
      </w:r>
      <w:r>
        <w:rPr>
          <w:rFonts w:ascii="Arial" w:cs="Arial" w:eastAsia="Arial" w:hAnsi="Arial"/>
          <w:sz w:val="9"/>
          <w:szCs w:val="9"/>
          <w:color w:val="auto"/>
        </w:rPr>
        <w:t>®</w:t>
      </w:r>
      <w:r>
        <w:rPr>
          <w:rFonts w:ascii="Arial" w:cs="Arial" w:eastAsia="Arial" w:hAnsi="Arial"/>
          <w:sz w:val="16"/>
          <w:szCs w:val="16"/>
          <w:color w:val="auto"/>
        </w:rPr>
        <w:t xml:space="preserve"> brand, we decided to acquire Tornado Infrastructure Equipment Ltd., a leading manufacturer in hydrovac excavation solutions. Designed to safely excavate in urban areas and around critical infrastructure, the addition of Tornado along with our extensive portfolio of leading construction brands significantly strengthens our leadership in the industry. We believe this will enable The Toro Company to capture a greater share of the rapidly growing infrastructure space, build on the momentum of our professional segment, and deliver sustained value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1035685</wp:posOffset>
            </wp:positionV>
            <wp:extent cx="7086600" cy="2942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294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20"/>
        <w:spacing w:after="0"/>
        <w:rPr>
          <w:sz w:val="20"/>
          <w:szCs w:val="20"/>
          <w:color w:val="auto"/>
        </w:rPr>
      </w:pPr>
      <w:r>
        <w:rPr>
          <w:rFonts w:ascii="Arial" w:cs="Arial" w:eastAsia="Arial" w:hAnsi="Arial"/>
          <w:sz w:val="30"/>
          <w:szCs w:val="30"/>
          <w:b w:val="1"/>
          <w:bCs w:val="1"/>
          <w:color w:val="auto"/>
        </w:rPr>
        <w:t>KEY PRODUCT HIGHLIGHTS</w:t>
      </w:r>
    </w:p>
    <w:p>
      <w:pPr>
        <w:spacing w:after="0" w:line="13" w:lineRule="exact"/>
        <w:rPr>
          <w:sz w:val="20"/>
          <w:szCs w:val="20"/>
          <w:color w:val="auto"/>
        </w:rPr>
      </w:pPr>
    </w:p>
    <w:p>
      <w:pPr>
        <w:ind w:left="5220"/>
        <w:spacing w:after="0" w:line="287"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b w:val="1"/>
          <w:bCs w:val="1"/>
          <w:color w:val="auto"/>
        </w:rPr>
        <w:t>Toro’s Spatial Adjust</w:t>
      </w:r>
      <w:r>
        <w:rPr>
          <w:rFonts w:ascii="Arial" w:cs="Arial" w:eastAsia="Arial" w:hAnsi="Arial"/>
          <w:sz w:val="9"/>
          <w:szCs w:val="9"/>
          <w:b w:val="1"/>
          <w:bCs w:val="1"/>
          <w:color w:val="auto"/>
        </w:rPr>
        <w:t>™</w:t>
      </w:r>
      <w:r>
        <w:rPr>
          <w:rFonts w:ascii="Arial" w:cs="Arial" w:eastAsia="Arial" w:hAnsi="Arial"/>
          <w:sz w:val="16"/>
          <w:szCs w:val="16"/>
          <w:color w:val="auto"/>
        </w:rPr>
        <w:t xml:space="preserve"> uses TurfRad sensors on fairway mowers or vehicles to transform thousands of soil moisture readings into actionable irrigation insights, giving customers a competitive edge in turf health and resource savings. (2) With its vertical-lift design and easy-to-use controls, the powerful </w:t>
      </w:r>
      <w:r>
        <w:rPr>
          <w:rFonts w:ascii="Arial" w:cs="Arial" w:eastAsia="Arial" w:hAnsi="Arial"/>
          <w:sz w:val="16"/>
          <w:szCs w:val="16"/>
          <w:b w:val="1"/>
          <w:bCs w:val="1"/>
          <w:color w:val="auto"/>
        </w:rPr>
        <w:t>Toro</w:t>
      </w:r>
      <w:r>
        <w:rPr>
          <w:rFonts w:ascii="Arial" w:cs="Arial" w:eastAsia="Arial" w:hAnsi="Arial"/>
          <w:sz w:val="9"/>
          <w:szCs w:val="9"/>
          <w:b w:val="1"/>
          <w:bCs w:val="1"/>
          <w:color w:val="auto"/>
        </w:rPr>
        <w:t>®</w:t>
      </w:r>
      <w:r>
        <w:rPr>
          <w:rFonts w:ascii="Arial" w:cs="Arial" w:eastAsia="Arial" w:hAnsi="Arial"/>
          <w:sz w:val="16"/>
          <w:szCs w:val="16"/>
          <w:b w:val="1"/>
          <w:bCs w:val="1"/>
          <w:color w:val="auto"/>
        </w:rPr>
        <w:t xml:space="preserve"> Dingo</w:t>
      </w:r>
      <w:r>
        <w:rPr>
          <w:rFonts w:ascii="Arial" w:cs="Arial" w:eastAsia="Arial" w:hAnsi="Arial"/>
          <w:sz w:val="9"/>
          <w:szCs w:val="9"/>
          <w:b w:val="1"/>
          <w:bCs w:val="1"/>
          <w:color w:val="auto"/>
        </w:rPr>
        <w:t>®</w:t>
      </w:r>
      <w:r>
        <w:rPr>
          <w:rFonts w:ascii="Arial" w:cs="Arial" w:eastAsia="Arial" w:hAnsi="Arial"/>
          <w:sz w:val="16"/>
          <w:szCs w:val="16"/>
          <w:b w:val="1"/>
          <w:bCs w:val="1"/>
          <w:color w:val="auto"/>
        </w:rPr>
        <w:t xml:space="preserve"> TX 1000 TURBO </w:t>
      </w:r>
      <w:r>
        <w:rPr>
          <w:rFonts w:ascii="Arial" w:cs="Arial" w:eastAsia="Arial" w:hAnsi="Arial"/>
          <w:sz w:val="16"/>
          <w:szCs w:val="16"/>
          <w:color w:val="auto"/>
        </w:rPr>
        <w:t>enables crews to dig, grade,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move material and do more without slowing down. (3) Designed for demanding utility work, the </w:t>
      </w:r>
      <w:r>
        <w:rPr>
          <w:rFonts w:ascii="Arial" w:cs="Arial" w:eastAsia="Arial" w:hAnsi="Arial"/>
          <w:sz w:val="16"/>
          <w:szCs w:val="16"/>
          <w:b w:val="1"/>
          <w:bCs w:val="1"/>
          <w:color w:val="auto"/>
        </w:rPr>
        <w:t>Ditch Witch</w:t>
      </w:r>
      <w:r>
        <w:rPr>
          <w:rFonts w:ascii="Arial" w:cs="Arial" w:eastAsia="Arial" w:hAnsi="Arial"/>
          <w:sz w:val="9"/>
          <w:szCs w:val="9"/>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AT32</w:t>
      </w:r>
      <w:r>
        <w:rPr>
          <w:rFonts w:ascii="Arial" w:cs="Arial" w:eastAsia="Arial" w:hAnsi="Arial"/>
          <w:sz w:val="16"/>
          <w:szCs w:val="16"/>
          <w:color w:val="auto"/>
        </w:rPr>
        <w:t xml:space="preserve"> is the</w:t>
      </w:r>
    </w:p>
    <w:p>
      <w:pPr>
        <w:spacing w:after="0" w:line="1" w:lineRule="exact"/>
        <w:rPr>
          <w:sz w:val="20"/>
          <w:szCs w:val="20"/>
          <w:color w:val="auto"/>
        </w:rPr>
      </w:pPr>
    </w:p>
    <w:p>
      <w:pPr>
        <w:jc w:val="both"/>
        <w:ind w:left="5220" w:right="300"/>
        <w:spacing w:after="0" w:line="291" w:lineRule="auto"/>
        <w:rPr>
          <w:sz w:val="20"/>
          <w:szCs w:val="20"/>
          <w:color w:val="auto"/>
        </w:rPr>
      </w:pPr>
      <w:r>
        <w:rPr>
          <w:rFonts w:ascii="Arial" w:cs="Arial" w:eastAsia="Arial" w:hAnsi="Arial"/>
          <w:sz w:val="16"/>
          <w:szCs w:val="16"/>
          <w:color w:val="auto"/>
        </w:rPr>
        <w:t>next generation of all-terrain drilling, packing performance and strength into a sleek package. (4) With the Sidewinder</w:t>
      </w:r>
      <w:r>
        <w:rPr>
          <w:rFonts w:ascii="Arial" w:cs="Arial" w:eastAsia="Arial" w:hAnsi="Arial"/>
          <w:sz w:val="9"/>
          <w:szCs w:val="9"/>
          <w:color w:val="auto"/>
        </w:rPr>
        <w:t>®</w:t>
      </w:r>
      <w:r>
        <w:rPr>
          <w:rFonts w:ascii="Arial" w:cs="Arial" w:eastAsia="Arial" w:hAnsi="Arial"/>
          <w:sz w:val="16"/>
          <w:szCs w:val="16"/>
          <w:color w:val="auto"/>
        </w:rPr>
        <w:t xml:space="preserve"> cutting system and floating Contour</w:t>
      </w:r>
      <w:r>
        <w:rPr>
          <w:rFonts w:ascii="Arial" w:cs="Arial" w:eastAsia="Arial" w:hAnsi="Arial"/>
          <w:sz w:val="9"/>
          <w:szCs w:val="9"/>
          <w:color w:val="auto"/>
        </w:rPr>
        <w:t>™</w:t>
      </w:r>
      <w:r>
        <w:rPr>
          <w:rFonts w:ascii="Arial" w:cs="Arial" w:eastAsia="Arial" w:hAnsi="Arial"/>
          <w:sz w:val="16"/>
          <w:szCs w:val="16"/>
          <w:color w:val="auto"/>
        </w:rPr>
        <w:t xml:space="preserve"> Plus decks, the </w:t>
      </w:r>
      <w:r>
        <w:rPr>
          <w:rFonts w:ascii="Arial" w:cs="Arial" w:eastAsia="Arial" w:hAnsi="Arial"/>
          <w:sz w:val="16"/>
          <w:szCs w:val="16"/>
          <w:b w:val="1"/>
          <w:bCs w:val="1"/>
          <w:color w:val="auto"/>
        </w:rPr>
        <w:t>Toro</w:t>
      </w:r>
      <w:r>
        <w:rPr>
          <w:rFonts w:ascii="Arial" w:cs="Arial" w:eastAsia="Arial" w:hAnsi="Arial"/>
          <w:sz w:val="9"/>
          <w:szCs w:val="9"/>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Groundsmaster</w:t>
      </w:r>
      <w:r>
        <w:rPr>
          <w:rFonts w:ascii="Arial" w:cs="Arial" w:eastAsia="Arial" w:hAnsi="Arial"/>
          <w:sz w:val="9"/>
          <w:szCs w:val="9"/>
          <w:b w:val="1"/>
          <w:bCs w:val="1"/>
          <w:color w:val="auto"/>
        </w:rPr>
        <w:t>®</w:t>
      </w:r>
      <w:r>
        <w:rPr>
          <w:rFonts w:ascii="Arial" w:cs="Arial" w:eastAsia="Arial" w:hAnsi="Arial"/>
          <w:sz w:val="16"/>
          <w:szCs w:val="16"/>
          <w:b w:val="1"/>
          <w:bCs w:val="1"/>
          <w:color w:val="auto"/>
        </w:rPr>
        <w:t xml:space="preserve"> 3500 </w:t>
      </w:r>
      <w:r>
        <w:rPr>
          <w:rFonts w:ascii="Arial" w:cs="Arial" w:eastAsia="Arial" w:hAnsi="Arial"/>
          <w:sz w:val="16"/>
          <w:szCs w:val="16"/>
          <w:color w:val="auto"/>
        </w:rPr>
        <w:t>is designed to provide unmatched</w:t>
      </w:r>
      <w:r>
        <w:rPr>
          <w:rFonts w:ascii="Arial" w:cs="Arial" w:eastAsia="Arial" w:hAnsi="Arial"/>
          <w:sz w:val="16"/>
          <w:szCs w:val="16"/>
          <w:b w:val="1"/>
          <w:bCs w:val="1"/>
          <w:color w:val="auto"/>
        </w:rPr>
        <w:t xml:space="preserve"> </w:t>
      </w:r>
      <w:r>
        <w:rPr>
          <w:rFonts w:ascii="Arial" w:cs="Arial" w:eastAsia="Arial" w:hAnsi="Arial"/>
          <w:sz w:val="16"/>
          <w:szCs w:val="16"/>
          <w:color w:val="auto"/>
        </w:rPr>
        <w:t>trimming without scalping on undulating terrain.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1061085</wp:posOffset>
            </wp:positionV>
            <wp:extent cx="6393180" cy="787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3180" cy="787400"/>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2437130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2437130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9860"/>
          </w:cols>
          <w:pgMar w:left="720" w:top="1440" w:right="130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752215" cy="255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52215" cy="255206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Richard M. Olson</w:t>
      </w:r>
    </w:p>
    <w:p>
      <w:pPr>
        <w:spacing w:after="0" w:line="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Chairman and</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Executive Officer</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Our Valued Shareholders,</w:t>
      </w:r>
    </w:p>
    <w:p>
      <w:pPr>
        <w:sectPr>
          <w:pgSz w:w="11880" w:h="15480" w:orient="portrait"/>
          <w:cols w:equalWidth="0" w:num="1">
            <w:col w:w="10220"/>
          </w:cols>
          <w:pgMar w:left="900" w:top="1440" w:right="760" w:bottom="21" w:gutter="0" w:footer="0" w:header="0"/>
        </w:sectPr>
      </w:pPr>
    </w:p>
    <w:p>
      <w:pPr>
        <w:spacing w:after="0" w:line="251" w:lineRule="exact"/>
        <w:rPr>
          <w:sz w:val="20"/>
          <w:szCs w:val="20"/>
          <w:color w:val="auto"/>
        </w:rPr>
      </w:pPr>
    </w:p>
    <w:p>
      <w:pPr>
        <w:spacing w:after="0" w:line="326" w:lineRule="auto"/>
        <w:rPr>
          <w:sz w:val="20"/>
          <w:szCs w:val="20"/>
          <w:color w:val="auto"/>
        </w:rPr>
      </w:pPr>
      <w:r>
        <w:rPr>
          <w:rFonts w:ascii="Arial" w:cs="Arial" w:eastAsia="Arial" w:hAnsi="Arial"/>
          <w:sz w:val="18"/>
          <w:szCs w:val="18"/>
          <w:color w:val="auto"/>
        </w:rPr>
        <w:t>Fiscal 2025 was a year of strategic focus and resilience for The Toro Company. By concentrating on expanding our position in key growth markets and executing deliberate actions to enhance productivity, we delivered fourth quarter and full-year performance that exceeded our expectations. These results underscore the strength of our diversified portfolio and our commitment to market-leading innovation.</w:t>
      </w:r>
    </w:p>
    <w:p>
      <w:pPr>
        <w:spacing w:after="0" w:line="181" w:lineRule="exact"/>
        <w:rPr>
          <w:sz w:val="20"/>
          <w:szCs w:val="20"/>
          <w:color w:val="auto"/>
        </w:rPr>
      </w:pPr>
    </w:p>
    <w:p>
      <w:pPr>
        <w:ind w:right="20"/>
        <w:spacing w:after="0" w:line="326" w:lineRule="auto"/>
        <w:rPr>
          <w:sz w:val="20"/>
          <w:szCs w:val="20"/>
          <w:color w:val="auto"/>
        </w:rPr>
      </w:pPr>
      <w:r>
        <w:rPr>
          <w:rFonts w:ascii="Arial" w:cs="Arial" w:eastAsia="Arial" w:hAnsi="Arial"/>
          <w:sz w:val="18"/>
          <w:szCs w:val="18"/>
          <w:color w:val="auto"/>
        </w:rPr>
        <w:t>Full-year net sales exceeded our guidance at $4.51 billion. While this reflects a 1.6% decline from fiscal 2024, the decrease was driven in part by the strategic divestitures of company-owned dealers and the Pope</w:t>
      </w:r>
      <w:r>
        <w:rPr>
          <w:rFonts w:ascii="Arial" w:cs="Arial" w:eastAsia="Arial" w:hAnsi="Arial"/>
          <w:sz w:val="10"/>
          <w:szCs w:val="10"/>
          <w:color w:val="auto"/>
        </w:rPr>
        <w:t>®</w:t>
      </w:r>
      <w:r>
        <w:rPr>
          <w:rFonts w:ascii="Arial" w:cs="Arial" w:eastAsia="Arial" w:hAnsi="Arial"/>
          <w:sz w:val="18"/>
          <w:szCs w:val="18"/>
          <w:color w:val="auto"/>
        </w:rPr>
        <w:t xml:space="preserve"> product line. Our professional segment delivered net sales growth for the year, highlighting the strength of the core businesses that make up roughly 80% of our portfolio. We’re continuing to invest in the golf and grounds and underground and specialty construction markets, where we see long-term, secular growth and exciting opportunities ahead.</w:t>
      </w:r>
    </w:p>
    <w:p>
      <w:pPr>
        <w:spacing w:after="0" w:line="178"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Our residential segment delivered stronger-than-anticipated sales to close out the fiscal year, fueled by solid price realization, increased snow product shipments, and continued strength in the mass retail channel.</w:t>
      </w:r>
    </w:p>
    <w:p>
      <w:pPr>
        <w:spacing w:after="0" w:line="2" w:lineRule="exact"/>
        <w:rPr>
          <w:sz w:val="20"/>
          <w:szCs w:val="20"/>
          <w:color w:val="auto"/>
        </w:rPr>
      </w:pPr>
    </w:p>
    <w:p>
      <w:pPr>
        <w:ind w:right="160"/>
        <w:spacing w:after="0" w:line="379" w:lineRule="auto"/>
        <w:rPr>
          <w:sz w:val="20"/>
          <w:szCs w:val="20"/>
          <w:color w:val="auto"/>
        </w:rPr>
      </w:pPr>
      <w:r>
        <w:rPr>
          <w:rFonts w:ascii="Arial" w:cs="Arial" w:eastAsia="Arial" w:hAnsi="Arial"/>
          <w:sz w:val="16"/>
          <w:szCs w:val="16"/>
          <w:color w:val="auto"/>
        </w:rPr>
        <w:t>While we remain mindful of macroeconomic pressures, such as inflation and interest rates, that could weigh on consumer confidence, we believe the actions we’ve taken position us to capture growth as conditions improve.</w:t>
      </w:r>
    </w:p>
    <w:p>
      <w:pPr>
        <w:spacing w:after="0" w:line="127" w:lineRule="exact"/>
        <w:rPr>
          <w:sz w:val="20"/>
          <w:szCs w:val="20"/>
          <w:color w:val="auto"/>
        </w:rPr>
      </w:pPr>
    </w:p>
    <w:p>
      <w:pPr>
        <w:ind w:right="140"/>
        <w:spacing w:after="0" w:line="326" w:lineRule="auto"/>
        <w:rPr>
          <w:sz w:val="20"/>
          <w:szCs w:val="20"/>
          <w:color w:val="auto"/>
        </w:rPr>
      </w:pPr>
      <w:r>
        <w:rPr>
          <w:rFonts w:ascii="Arial" w:cs="Arial" w:eastAsia="Arial" w:hAnsi="Arial"/>
          <w:sz w:val="18"/>
          <w:szCs w:val="18"/>
          <w:color w:val="auto"/>
        </w:rPr>
        <w:t>Turning to profitability, we delivered adjusted diluted earnings per share of $4.20, surpassing our expectations and reinforcing the strength of our business model. These results were incredibly strong, given the challenging environment of the past two years. Strategic pricing actions, rigorous cost management, and operational efficiencies enabled us to protect margins while continuing to invest in innovation and growth. This outcome reflects the power of our diversified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372110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40"/>
        <w:spacing w:after="0" w:line="336" w:lineRule="auto"/>
        <w:rPr>
          <w:sz w:val="20"/>
          <w:szCs w:val="20"/>
          <w:color w:val="auto"/>
        </w:rPr>
      </w:pPr>
      <w:r>
        <w:rPr>
          <w:rFonts w:ascii="Arial" w:cs="Arial" w:eastAsia="Arial" w:hAnsi="Arial"/>
          <w:sz w:val="18"/>
          <w:szCs w:val="18"/>
          <w:color w:val="auto"/>
        </w:rPr>
        <w:t>and the effectiveness of our long-term strategy to drive sustainable, profitable growth for our valued shareholders.</w:t>
      </w:r>
    </w:p>
    <w:p>
      <w:pPr>
        <w:spacing w:after="0" w:line="110" w:lineRule="exact"/>
        <w:rPr>
          <w:sz w:val="20"/>
          <w:szCs w:val="20"/>
          <w:color w:val="auto"/>
        </w:rPr>
      </w:pPr>
    </w:p>
    <w:p>
      <w:pPr>
        <w:ind w:right="40"/>
        <w:spacing w:after="0" w:line="372" w:lineRule="auto"/>
        <w:rPr>
          <w:sz w:val="20"/>
          <w:szCs w:val="20"/>
          <w:color w:val="auto"/>
        </w:rPr>
      </w:pPr>
      <w:r>
        <w:rPr>
          <w:rFonts w:ascii="Arial" w:cs="Arial" w:eastAsia="Arial" w:hAnsi="Arial"/>
          <w:sz w:val="16"/>
          <w:szCs w:val="16"/>
          <w:color w:val="auto"/>
        </w:rPr>
        <w:t>As a testament to our disciplined execution and strategic focus, we generated a record free cash flow of $578 million for the year. This significant year-over-year increase, driven largely by favorable working capital improvements, enabled us to return $441 million to shareholders through dividends and share repurchases. It also positions us to continue driving growth and value creation in the years ahead.</w:t>
      </w:r>
    </w:p>
    <w:p>
      <w:pPr>
        <w:spacing w:after="0" w:line="93" w:lineRule="exact"/>
        <w:rPr>
          <w:sz w:val="20"/>
          <w:szCs w:val="20"/>
          <w:color w:val="auto"/>
        </w:rPr>
      </w:pPr>
    </w:p>
    <w:p>
      <w:pPr>
        <w:ind w:right="140"/>
        <w:spacing w:after="0" w:line="324" w:lineRule="auto"/>
        <w:rPr>
          <w:sz w:val="20"/>
          <w:szCs w:val="20"/>
          <w:color w:val="auto"/>
        </w:rPr>
      </w:pPr>
      <w:r>
        <w:rPr>
          <w:rFonts w:ascii="Arial" w:cs="Arial" w:eastAsia="Arial" w:hAnsi="Arial"/>
          <w:sz w:val="18"/>
          <w:szCs w:val="18"/>
          <w:color w:val="auto"/>
        </w:rPr>
        <w:t>Building upon a rich history of delivering positive financial outcomes and enduring value for stakeholders, we continue to advance our strategic priorities of accelerating profitable growth, driving productivity and operational excellence, and empowering our people. Through our focus on key growth markets and deliberate actions to improve productivity, we strengthened our competitive position and accelerated performance this year. This progress is fueled by the passion and perseverance</w:t>
      </w:r>
    </w:p>
    <w:p>
      <w:pPr>
        <w:spacing w:after="0" w:line="5" w:lineRule="exact"/>
        <w:rPr>
          <w:sz w:val="20"/>
          <w:szCs w:val="20"/>
          <w:color w:val="auto"/>
        </w:rPr>
      </w:pPr>
    </w:p>
    <w:p>
      <w:pPr>
        <w:ind w:right="480"/>
        <w:spacing w:after="0" w:line="408" w:lineRule="auto"/>
        <w:rPr>
          <w:sz w:val="20"/>
          <w:szCs w:val="20"/>
          <w:color w:val="auto"/>
        </w:rPr>
      </w:pPr>
      <w:r>
        <w:rPr>
          <w:rFonts w:ascii="Arial" w:cs="Arial" w:eastAsia="Arial" w:hAnsi="Arial"/>
          <w:sz w:val="16"/>
          <w:szCs w:val="16"/>
          <w:color w:val="auto"/>
        </w:rPr>
        <w:t>of our dedicated team, whose commitment drives innovation and sets the foundation for lasting success.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Excellence &amp; Strategic Transformation</w:t>
      </w:r>
    </w:p>
    <w:p>
      <w:pPr>
        <w:spacing w:after="0" w:line="206"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Operational excellence remains a cornerstone of our strategy with our multi-year Amplifying Maximum Productivity (AMP) program continuing to deliver meaningful results. To date, we have achieved annualized run-rate cost savings of $86 million driven largely by strategic moves to optimize our footprint and divestitures of non-core businesses and product lines. Combined with disciplined supply chain strategies and selective pricing, these actions helped offset tariff impacts and sustain strong margins throughout fiscal 2025. Looking ahead,</w:t>
      </w:r>
    </w:p>
    <w:p>
      <w:pPr>
        <w:spacing w:after="0" w:line="6" w:lineRule="exact"/>
        <w:rPr>
          <w:sz w:val="20"/>
          <w:szCs w:val="20"/>
          <w:color w:val="auto"/>
        </w:rPr>
      </w:pPr>
    </w:p>
    <w:p>
      <w:pPr>
        <w:ind w:right="120"/>
        <w:spacing w:after="0" w:line="330" w:lineRule="auto"/>
        <w:rPr>
          <w:sz w:val="20"/>
          <w:szCs w:val="20"/>
          <w:color w:val="auto"/>
        </w:rPr>
      </w:pPr>
      <w:r>
        <w:rPr>
          <w:rFonts w:ascii="Arial" w:cs="Arial" w:eastAsia="Arial" w:hAnsi="Arial"/>
          <w:sz w:val="18"/>
          <w:szCs w:val="18"/>
          <w:color w:val="auto"/>
        </w:rPr>
        <w:t>we are raising our AMP savings target to $125 million by fiscal 2027, underscoring our confidence in driving deeper efficiencies and accelerating growth across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363855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2">
            <w:col w:w="4720" w:space="720"/>
            <w:col w:w="4780"/>
          </w:cols>
          <w:pgMar w:left="900" w:top="1440" w:right="760" w:bottom="21" w:gutter="0" w:footer="0" w:header="0"/>
          <w:type w:val="continuous"/>
        </w:sectPr>
      </w:pPr>
    </w:p>
    <w:bookmarkStart w:id="3" w:name="page4"/>
    <w:bookmarkEnd w:id="3"/>
    <w:p>
      <w:pPr>
        <w:spacing w:after="0" w:line="370" w:lineRule="auto"/>
        <w:rPr>
          <w:sz w:val="20"/>
          <w:szCs w:val="20"/>
          <w:color w:val="auto"/>
        </w:rPr>
      </w:pPr>
      <w:r>
        <w:rPr>
          <w:rFonts w:ascii="Arial" w:cs="Arial" w:eastAsia="Arial" w:hAnsi="Arial"/>
          <w:sz w:val="16"/>
          <w:szCs w:val="16"/>
          <w:color w:val="auto"/>
        </w:rPr>
        <w:t>We also made strategic acquisitions across our brand portfolio this year to position the company for sustained, profitable growth. In February, HammerHead Trenchless expanded its capabilities with the acquisition of ProKASRO Services USA—a leader in advanced robotics, UV pipe-lining solutions, and lateral rehabilitation technologies. ProKASRO’s innovative trenchless solutions enable utility contractors to rehabilitate underground wastewater and water pipelines without digging or disrupting outdoor environments, perfectly complementing our market-leading Bluelight</w:t>
      </w:r>
      <w:r>
        <w:rPr>
          <w:rFonts w:ascii="Arial" w:cs="Arial" w:eastAsia="Arial" w:hAnsi="Arial"/>
          <w:sz w:val="9"/>
          <w:szCs w:val="9"/>
          <w:color w:val="auto"/>
        </w:rPr>
        <w:t>®</w:t>
      </w:r>
      <w:r>
        <w:rPr>
          <w:rFonts w:ascii="Arial" w:cs="Arial" w:eastAsia="Arial" w:hAnsi="Arial"/>
          <w:sz w:val="16"/>
          <w:szCs w:val="16"/>
          <w:color w:val="auto"/>
        </w:rPr>
        <w:t xml:space="preserve"> LED system for the lateral light-curing market and reinforcing our commitment to efficiency and environmental stewardship.</w:t>
      </w:r>
    </w:p>
    <w:p>
      <w:pPr>
        <w:spacing w:after="0" w:line="370" w:lineRule="exact"/>
        <w:rPr>
          <w:sz w:val="20"/>
          <w:szCs w:val="20"/>
          <w:color w:val="auto"/>
        </w:rPr>
      </w:pPr>
    </w:p>
    <w:p>
      <w:pPr>
        <w:ind w:right="20"/>
        <w:spacing w:after="0" w:line="365" w:lineRule="auto"/>
        <w:rPr>
          <w:sz w:val="20"/>
          <w:szCs w:val="20"/>
          <w:color w:val="auto"/>
        </w:rPr>
      </w:pPr>
      <w:r>
        <w:rPr>
          <w:rFonts w:ascii="Arial" w:cs="Arial" w:eastAsia="Arial" w:hAnsi="Arial"/>
          <w:sz w:val="16"/>
          <w:szCs w:val="16"/>
          <w:color w:val="auto"/>
        </w:rPr>
        <w:t>We also strengthened our leadership in the rapidly growing infrastructure space with the acquisition of Tornado Infrastructure Equipment, a leading manufacturer in hydrovac excavation solutions for the underground construction, power transmission and energy markets. This strategic addition complements our Ditch Witch</w:t>
      </w:r>
      <w:r>
        <w:rPr>
          <w:rFonts w:ascii="Arial" w:cs="Arial" w:eastAsia="Arial" w:hAnsi="Arial"/>
          <w:sz w:val="9"/>
          <w:szCs w:val="9"/>
          <w:color w:val="auto"/>
        </w:rPr>
        <w:t>®</w:t>
      </w:r>
      <w:r>
        <w:rPr>
          <w:rFonts w:ascii="Arial" w:cs="Arial" w:eastAsia="Arial" w:hAnsi="Arial"/>
          <w:sz w:val="16"/>
          <w:szCs w:val="16"/>
          <w:color w:val="auto"/>
        </w:rPr>
        <w:t xml:space="preserve"> brand and other market-leading underground construction solutions, expanding</w:t>
      </w:r>
    </w:p>
    <w:p>
      <w:pPr>
        <w:spacing w:after="0" w:line="1" w:lineRule="exact"/>
        <w:rPr>
          <w:sz w:val="20"/>
          <w:szCs w:val="20"/>
          <w:color w:val="auto"/>
        </w:rPr>
      </w:pPr>
    </w:p>
    <w:p>
      <w:pPr>
        <w:ind w:right="240"/>
        <w:spacing w:after="0" w:line="408" w:lineRule="auto"/>
        <w:rPr>
          <w:sz w:val="20"/>
          <w:szCs w:val="20"/>
          <w:color w:val="auto"/>
        </w:rPr>
      </w:pPr>
      <w:r>
        <w:rPr>
          <w:rFonts w:ascii="Arial" w:cs="Arial" w:eastAsia="Arial" w:hAnsi="Arial"/>
          <w:sz w:val="16"/>
          <w:szCs w:val="16"/>
          <w:color w:val="auto"/>
        </w:rPr>
        <w:t>our innovation pipeline and positioning us to meet rising global demand with technologies that deliver lasting value.</w:t>
      </w:r>
    </w:p>
    <w:p>
      <w:pPr>
        <w:spacing w:after="0" w:line="64" w:lineRule="exact"/>
        <w:rPr>
          <w:sz w:val="20"/>
          <w:szCs w:val="20"/>
          <w:color w:val="auto"/>
        </w:rPr>
      </w:pPr>
    </w:p>
    <w:p>
      <w:pPr>
        <w:ind w:right="100"/>
        <w:spacing w:after="0" w:line="325" w:lineRule="auto"/>
        <w:rPr>
          <w:sz w:val="20"/>
          <w:szCs w:val="20"/>
          <w:color w:val="auto"/>
        </w:rPr>
      </w:pPr>
      <w:r>
        <w:rPr>
          <w:rFonts w:ascii="Arial" w:cs="Arial" w:eastAsia="Arial" w:hAnsi="Arial"/>
          <w:sz w:val="18"/>
          <w:szCs w:val="18"/>
          <w:color w:val="auto"/>
        </w:rPr>
        <w:t>In fiscal 2025, we also announced the sale of our Trencor equipment brand and the auger boring product category, a subset of the American Augers brand. This transaction allows additional focus on the core underground categories that we believe will provide the greatest growth opportunity and best position our business for future success. Reflecting our commitment to optimize our portfolio, these strategic moves are designed to sharpen our focus on core underground construction markets and unlock efficiencies that strengthen our competitive edge. With robust demand in the pipeline, water and energy sectors, we’re energized to deliver innovative solutions that drive sustainable growth.</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Leadership Appointments</w:t>
      </w:r>
    </w:p>
    <w:p>
      <w:pPr>
        <w:spacing w:after="0" w:line="206" w:lineRule="exact"/>
        <w:rPr>
          <w:sz w:val="20"/>
          <w:szCs w:val="20"/>
          <w:color w:val="auto"/>
        </w:rPr>
      </w:pPr>
    </w:p>
    <w:p>
      <w:pPr>
        <w:ind w:right="100"/>
        <w:spacing w:after="0" w:line="365" w:lineRule="auto"/>
        <w:rPr>
          <w:sz w:val="20"/>
          <w:szCs w:val="20"/>
          <w:color w:val="auto"/>
        </w:rPr>
      </w:pPr>
      <w:r>
        <w:rPr>
          <w:rFonts w:ascii="Arial" w:cs="Arial" w:eastAsia="Arial" w:hAnsi="Arial"/>
          <w:sz w:val="16"/>
          <w:szCs w:val="16"/>
          <w:color w:val="auto"/>
        </w:rPr>
        <w:t>As we continue to advance our strategic business priorities, we were very excited to announce two significant leadership appointments in fiscal 2025. Edric Funk, a 29-year veteran of The Toro Company, was appointed president and chief operating officer. Previously serving as group vice president of golf, grounds and irrigation, Edric’s track record of driving business performance and fostering innovation equips him well to take on this expanded responsibility.</w:t>
      </w:r>
    </w:p>
    <w:p>
      <w:pPr>
        <w:spacing w:after="0" w:line="2" w:lineRule="exact"/>
        <w:rPr>
          <w:sz w:val="20"/>
          <w:szCs w:val="20"/>
          <w:color w:val="auto"/>
        </w:rPr>
      </w:pPr>
    </w:p>
    <w:p>
      <w:pPr>
        <w:ind w:right="280"/>
        <w:spacing w:after="0" w:line="408" w:lineRule="auto"/>
        <w:rPr>
          <w:sz w:val="20"/>
          <w:szCs w:val="20"/>
          <w:color w:val="auto"/>
        </w:rPr>
      </w:pPr>
      <w:r>
        <w:rPr>
          <w:rFonts w:ascii="Arial" w:cs="Arial" w:eastAsia="Arial" w:hAnsi="Arial"/>
          <w:sz w:val="16"/>
          <w:szCs w:val="16"/>
          <w:color w:val="auto"/>
        </w:rPr>
        <w:t>We also welcomed Lori Riley, who joined us from Northern Tool + Equipment, as vice president of human resources.</w:t>
      </w:r>
    </w:p>
    <w:p>
      <w:pPr>
        <w:spacing w:after="0" w:line="64" w:lineRule="exact"/>
        <w:rPr>
          <w:sz w:val="20"/>
          <w:szCs w:val="20"/>
          <w:color w:val="auto"/>
        </w:rPr>
      </w:pPr>
    </w:p>
    <w:p>
      <w:pPr>
        <w:ind w:right="400"/>
        <w:spacing w:after="0" w:line="379" w:lineRule="auto"/>
        <w:rPr>
          <w:sz w:val="20"/>
          <w:szCs w:val="20"/>
          <w:color w:val="auto"/>
        </w:rPr>
      </w:pPr>
      <w:r>
        <w:rPr>
          <w:rFonts w:ascii="Arial" w:cs="Arial" w:eastAsia="Arial" w:hAnsi="Arial"/>
          <w:sz w:val="16"/>
          <w:szCs w:val="16"/>
          <w:color w:val="auto"/>
        </w:rPr>
        <w:t>Both Edric and Lori will play instrumental roles in helping navigate the complexities of our evolving markets and driving operational transformation across the enterprise. Lori’s focus on strengthening talent and organizational</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ind w:right="520"/>
        <w:spacing w:after="0" w:line="328" w:lineRule="auto"/>
        <w:rPr>
          <w:sz w:val="20"/>
          <w:szCs w:val="20"/>
          <w:color w:val="auto"/>
        </w:rPr>
      </w:pPr>
      <w:r>
        <w:rPr>
          <w:rFonts w:ascii="Arial" w:cs="Arial" w:eastAsia="Arial" w:hAnsi="Arial"/>
          <w:sz w:val="18"/>
          <w:szCs w:val="18"/>
          <w:color w:val="auto"/>
        </w:rPr>
        <w:t>capability, coupled with Edric’s proven ability to deliver operational excellence and innovation, positions us well to execute our strategic priorities with discipline and to create long-term value for our shareholders.</w:t>
      </w:r>
    </w:p>
    <w:p>
      <w:pPr>
        <w:spacing w:after="0" w:line="20" w:lineRule="exact"/>
        <w:rPr>
          <w:sz w:val="20"/>
          <w:szCs w:val="20"/>
          <w:color w:val="auto"/>
        </w:rPr>
      </w:pP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Strengthening Innovation Leadership</w:t>
      </w:r>
    </w:p>
    <w:p>
      <w:pPr>
        <w:spacing w:after="0" w:line="206" w:lineRule="exact"/>
        <w:rPr>
          <w:sz w:val="20"/>
          <w:szCs w:val="20"/>
          <w:color w:val="auto"/>
        </w:rPr>
      </w:pPr>
    </w:p>
    <w:p>
      <w:pPr>
        <w:ind w:right="140"/>
        <w:spacing w:after="0" w:line="325" w:lineRule="auto"/>
        <w:rPr>
          <w:sz w:val="20"/>
          <w:szCs w:val="20"/>
          <w:color w:val="auto"/>
        </w:rPr>
      </w:pPr>
      <w:r>
        <w:rPr>
          <w:rFonts w:ascii="Arial" w:cs="Arial" w:eastAsia="Arial" w:hAnsi="Arial"/>
          <w:sz w:val="18"/>
          <w:szCs w:val="18"/>
          <w:color w:val="auto"/>
        </w:rPr>
        <w:t>Across our global brands and businesses, we continue to accelerate breakthroughs in the key technology areas of alternative power, smart-connected and autonomous solutions. In fiscal 2025, we advanced our innovation leadership with strategic investments that expand our portfolio and sharpen our competitive edge, all aimed at driving greater productivity for our customers. This includes the new BOSS</w:t>
      </w:r>
      <w:r>
        <w:rPr>
          <w:rFonts w:ascii="Arial" w:cs="Arial" w:eastAsia="Arial" w:hAnsi="Arial"/>
          <w:sz w:val="10"/>
          <w:szCs w:val="10"/>
          <w:color w:val="auto"/>
        </w:rPr>
        <w:t>®</w:t>
      </w:r>
      <w:r>
        <w:rPr>
          <w:rFonts w:ascii="Arial" w:cs="Arial" w:eastAsia="Arial" w:hAnsi="Arial"/>
          <w:sz w:val="18"/>
          <w:szCs w:val="18"/>
          <w:color w:val="auto"/>
        </w:rPr>
        <w:t xml:space="preserve"> Cold Front Technology electrical system for effortless connections and maximum efficiency, the next-generation Toro</w:t>
      </w:r>
      <w:r>
        <w:rPr>
          <w:rFonts w:ascii="Arial" w:cs="Arial" w:eastAsia="Arial" w:hAnsi="Arial"/>
          <w:sz w:val="10"/>
          <w:szCs w:val="10"/>
          <w:color w:val="auto"/>
        </w:rPr>
        <w:t>®</w:t>
      </w:r>
      <w:r>
        <w:rPr>
          <w:rFonts w:ascii="Arial" w:cs="Arial" w:eastAsia="Arial" w:hAnsi="Arial"/>
          <w:sz w:val="18"/>
          <w:szCs w:val="18"/>
          <w:color w:val="auto"/>
        </w:rPr>
        <w:t xml:space="preserve"> e2500 Ultra Buggy</w:t>
      </w:r>
      <w:r>
        <w:rPr>
          <w:rFonts w:ascii="Arial" w:cs="Arial" w:eastAsia="Arial" w:hAnsi="Arial"/>
          <w:sz w:val="10"/>
          <w:szCs w:val="10"/>
          <w:color w:val="auto"/>
        </w:rPr>
        <w:t>®</w:t>
      </w:r>
      <w:r>
        <w:rPr>
          <w:rFonts w:ascii="Arial" w:cs="Arial" w:eastAsia="Arial" w:hAnsi="Arial"/>
          <w:sz w:val="18"/>
          <w:szCs w:val="18"/>
          <w:color w:val="auto"/>
        </w:rPr>
        <w:t xml:space="preserve"> and eDingo</w:t>
      </w:r>
      <w:r>
        <w:rPr>
          <w:rFonts w:ascii="Arial" w:cs="Arial" w:eastAsia="Arial" w:hAnsi="Arial"/>
          <w:sz w:val="10"/>
          <w:szCs w:val="10"/>
          <w:color w:val="auto"/>
        </w:rPr>
        <w:t>®</w:t>
      </w:r>
      <w:r>
        <w:rPr>
          <w:rFonts w:ascii="Arial" w:cs="Arial" w:eastAsia="Arial" w:hAnsi="Arial"/>
          <w:sz w:val="18"/>
          <w:szCs w:val="18"/>
          <w:color w:val="auto"/>
        </w:rPr>
        <w:t xml:space="preserve"> TX 750 powered by our HyperCell</w:t>
      </w:r>
      <w:r>
        <w:rPr>
          <w:rFonts w:ascii="Arial" w:cs="Arial" w:eastAsia="Arial" w:hAnsi="Arial"/>
          <w:sz w:val="10"/>
          <w:szCs w:val="10"/>
          <w:color w:val="auto"/>
        </w:rPr>
        <w:t>™</w:t>
      </w:r>
      <w:r>
        <w:rPr>
          <w:rFonts w:ascii="Arial" w:cs="Arial" w:eastAsia="Arial" w:hAnsi="Arial"/>
          <w:sz w:val="18"/>
          <w:szCs w:val="18"/>
          <w:color w:val="auto"/>
        </w:rPr>
        <w:t xml:space="preserve"> power system for extended runtime, and the all-new Ventrac</w:t>
      </w:r>
      <w:r>
        <w:rPr>
          <w:rFonts w:ascii="Arial" w:cs="Arial" w:eastAsia="Arial" w:hAnsi="Arial"/>
          <w:sz w:val="10"/>
          <w:szCs w:val="10"/>
          <w:color w:val="auto"/>
        </w:rPr>
        <w:t>®</w:t>
      </w:r>
      <w:r>
        <w:rPr>
          <w:rFonts w:ascii="Arial" w:cs="Arial" w:eastAsia="Arial" w:hAnsi="Arial"/>
          <w:sz w:val="18"/>
          <w:szCs w:val="18"/>
          <w:color w:val="auto"/>
        </w:rPr>
        <w:t xml:space="preserve"> 45RC tractor, setting a new standard for slope mowing performance.</w:t>
      </w:r>
    </w:p>
    <w:p>
      <w:pPr>
        <w:spacing w:after="0" w:line="126"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We continue to invest in technology solutions and markets with strong growth potential. For golf course superintendents, Toro’s Lynx</w:t>
      </w:r>
      <w:r>
        <w:rPr>
          <w:rFonts w:ascii="Arial" w:cs="Arial" w:eastAsia="Arial" w:hAnsi="Arial"/>
          <w:sz w:val="9"/>
          <w:szCs w:val="9"/>
          <w:color w:val="auto"/>
        </w:rPr>
        <w:t>®</w:t>
      </w:r>
      <w:r>
        <w:rPr>
          <w:rFonts w:ascii="Arial" w:cs="Arial" w:eastAsia="Arial" w:hAnsi="Arial"/>
          <w:sz w:val="16"/>
          <w:szCs w:val="16"/>
          <w:color w:val="auto"/>
        </w:rPr>
        <w:t xml:space="preserve"> Drive mobile control system brings flexibility and real-time responsiveness to irrigation management, while our new Spatial Adjust</w:t>
      </w:r>
      <w:r>
        <w:rPr>
          <w:rFonts w:ascii="Arial" w:cs="Arial" w:eastAsia="Arial" w:hAnsi="Arial"/>
          <w:sz w:val="9"/>
          <w:szCs w:val="9"/>
          <w:color w:val="auto"/>
        </w:rPr>
        <w:t>™</w:t>
      </w:r>
      <w:r>
        <w:rPr>
          <w:rFonts w:ascii="Arial" w:cs="Arial" w:eastAsia="Arial" w:hAnsi="Arial"/>
          <w:sz w:val="16"/>
          <w:szCs w:val="16"/>
          <w:color w:val="auto"/>
        </w:rPr>
        <w:t xml:space="preserve"> software optimizes water use for healthier turf and improved playing conditions. These advancements reinforce our leadership in smart irrigation and set a new standard for efficiency and sustainability in golf course management. In underground construction, targeted investments and strategic acquisitions are driving performance, supported by innovative solutions like the Ditch Witch</w:t>
      </w:r>
      <w:r>
        <w:rPr>
          <w:rFonts w:ascii="Arial" w:cs="Arial" w:eastAsia="Arial" w:hAnsi="Arial"/>
          <w:sz w:val="9"/>
          <w:szCs w:val="9"/>
          <w:color w:val="auto"/>
        </w:rPr>
        <w:t>®</w:t>
      </w:r>
      <w:r>
        <w:rPr>
          <w:rFonts w:ascii="Arial" w:cs="Arial" w:eastAsia="Arial" w:hAnsi="Arial"/>
          <w:sz w:val="16"/>
          <w:szCs w:val="16"/>
          <w:color w:val="auto"/>
        </w:rPr>
        <w:t xml:space="preserve"> JT21 Drill and W8 hydro vacuum excavator.</w:t>
      </w:r>
    </w:p>
    <w:p>
      <w:pPr>
        <w:spacing w:after="0" w:line="370" w:lineRule="exact"/>
        <w:rPr>
          <w:sz w:val="20"/>
          <w:szCs w:val="20"/>
          <w:color w:val="auto"/>
        </w:rPr>
      </w:pPr>
    </w:p>
    <w:p>
      <w:pPr>
        <w:ind w:right="140"/>
        <w:spacing w:after="0" w:line="365" w:lineRule="auto"/>
        <w:rPr>
          <w:sz w:val="20"/>
          <w:szCs w:val="20"/>
          <w:color w:val="auto"/>
        </w:rPr>
      </w:pPr>
      <w:r>
        <w:rPr>
          <w:rFonts w:ascii="Arial" w:cs="Arial" w:eastAsia="Arial" w:hAnsi="Arial"/>
          <w:sz w:val="16"/>
          <w:szCs w:val="16"/>
          <w:color w:val="auto"/>
        </w:rPr>
        <w:t>Autonomous represents a significant technology breakthrough and remains a major focus for our businesses and teams as we work to deliver market-leading solutions that help our customers increase productivity and reduce operational costs. Toro introduced Turf Pro</w:t>
      </w:r>
      <w:r>
        <w:rPr>
          <w:rFonts w:ascii="Arial" w:cs="Arial" w:eastAsia="Arial" w:hAnsi="Arial"/>
          <w:sz w:val="9"/>
          <w:szCs w:val="9"/>
          <w:color w:val="auto"/>
        </w:rPr>
        <w:t>™</w:t>
      </w:r>
      <w:r>
        <w:rPr>
          <w:rFonts w:ascii="Arial" w:cs="Arial" w:eastAsia="Arial" w:hAnsi="Arial"/>
          <w:sz w:val="16"/>
          <w:szCs w:val="16"/>
          <w:color w:val="auto"/>
        </w:rPr>
        <w:t>, a robotic mowing platform for large turf areas, and Range Pro</w:t>
      </w:r>
      <w:r>
        <w:rPr>
          <w:rFonts w:ascii="Arial" w:cs="Arial" w:eastAsia="Arial" w:hAnsi="Arial"/>
          <w:sz w:val="9"/>
          <w:szCs w:val="9"/>
          <w:color w:val="auto"/>
        </w:rPr>
        <w:t>™</w:t>
      </w:r>
      <w:r>
        <w:rPr>
          <w:rFonts w:ascii="Arial" w:cs="Arial" w:eastAsia="Arial" w:hAnsi="Arial"/>
          <w:sz w:val="16"/>
          <w:szCs w:val="16"/>
          <w:color w:val="auto"/>
        </w:rPr>
        <w:t>, an autonomous golf ball collection system, both designed</w:t>
      </w:r>
    </w:p>
    <w:p>
      <w:pPr>
        <w:spacing w:after="0" w:line="1" w:lineRule="exact"/>
        <w:rPr>
          <w:sz w:val="20"/>
          <w:szCs w:val="20"/>
          <w:color w:val="auto"/>
        </w:rPr>
      </w:pPr>
    </w:p>
    <w:p>
      <w:pPr>
        <w:ind w:right="520"/>
        <w:spacing w:after="0" w:line="365" w:lineRule="auto"/>
        <w:rPr>
          <w:sz w:val="20"/>
          <w:szCs w:val="20"/>
          <w:color w:val="auto"/>
        </w:rPr>
      </w:pPr>
      <w:r>
        <w:rPr>
          <w:rFonts w:ascii="Arial" w:cs="Arial" w:eastAsia="Arial" w:hAnsi="Arial"/>
          <w:sz w:val="16"/>
          <w:szCs w:val="16"/>
          <w:color w:val="auto"/>
        </w:rPr>
        <w:t>to deliver significant productivity gains for commercial customers. The fully autonomous Exmark</w:t>
      </w:r>
      <w:r>
        <w:rPr>
          <w:rFonts w:ascii="Arial" w:cs="Arial" w:eastAsia="Arial" w:hAnsi="Arial"/>
          <w:sz w:val="9"/>
          <w:szCs w:val="9"/>
          <w:color w:val="auto"/>
        </w:rPr>
        <w:t>®</w:t>
      </w:r>
      <w:r>
        <w:rPr>
          <w:rFonts w:ascii="Arial" w:cs="Arial" w:eastAsia="Arial" w:hAnsi="Arial"/>
          <w:sz w:val="16"/>
          <w:szCs w:val="16"/>
          <w:color w:val="auto"/>
        </w:rPr>
        <w:t xml:space="preserve"> Turf Tracer</w:t>
      </w:r>
      <w:r>
        <w:rPr>
          <w:rFonts w:ascii="Arial" w:cs="Arial" w:eastAsia="Arial" w:hAnsi="Arial"/>
          <w:sz w:val="9"/>
          <w:szCs w:val="9"/>
          <w:color w:val="auto"/>
        </w:rPr>
        <w:t>®</w:t>
      </w:r>
      <w:r>
        <w:rPr>
          <w:rFonts w:ascii="Arial" w:cs="Arial" w:eastAsia="Arial" w:hAnsi="Arial"/>
          <w:sz w:val="16"/>
          <w:szCs w:val="16"/>
          <w:color w:val="auto"/>
        </w:rPr>
        <w:t xml:space="preserve"> with XiQ Technology, a contractor-grade walk-behind mower with smart robotic controls, added another advanced option for efficiency, while Toro’s GeoLink</w:t>
      </w:r>
      <w:r>
        <w:rPr>
          <w:rFonts w:ascii="Arial" w:cs="Arial" w:eastAsia="Arial" w:hAnsi="Arial"/>
          <w:sz w:val="9"/>
          <w:szCs w:val="9"/>
          <w:color w:val="auto"/>
        </w:rPr>
        <w:t>®</w:t>
      </w:r>
      <w:r>
        <w:rPr>
          <w:rFonts w:ascii="Arial" w:cs="Arial" w:eastAsia="Arial" w:hAnsi="Arial"/>
          <w:sz w:val="16"/>
          <w:szCs w:val="16"/>
          <w:color w:val="auto"/>
        </w:rPr>
        <w:t xml:space="preserve"> Solutions</w:t>
      </w:r>
      <w:r>
        <w:rPr>
          <w:rFonts w:ascii="Arial" w:cs="Arial" w:eastAsia="Arial" w:hAnsi="Arial"/>
          <w:sz w:val="9"/>
          <w:szCs w:val="9"/>
          <w:color w:val="auto"/>
        </w:rPr>
        <w:t>™</w:t>
      </w:r>
      <w:r>
        <w:rPr>
          <w:rFonts w:ascii="Arial" w:cs="Arial" w:eastAsia="Arial" w:hAnsi="Arial"/>
          <w:sz w:val="16"/>
          <w:szCs w:val="16"/>
          <w:color w:val="auto"/>
        </w:rPr>
        <w:t xml:space="preserve"> Autonomous Fairway Mower continues</w:t>
      </w:r>
    </w:p>
    <w:p>
      <w:pPr>
        <w:spacing w:after="0" w:line="1" w:lineRule="exact"/>
        <w:rPr>
          <w:sz w:val="20"/>
          <w:szCs w:val="20"/>
          <w:color w:val="auto"/>
        </w:rPr>
      </w:pPr>
    </w:p>
    <w:p>
      <w:pPr>
        <w:ind w:right="960"/>
        <w:spacing w:after="0" w:line="408" w:lineRule="auto"/>
        <w:rPr>
          <w:sz w:val="20"/>
          <w:szCs w:val="20"/>
          <w:color w:val="auto"/>
        </w:rPr>
      </w:pPr>
      <w:r>
        <w:rPr>
          <w:rFonts w:ascii="Arial" w:cs="Arial" w:eastAsia="Arial" w:hAnsi="Arial"/>
          <w:sz w:val="16"/>
          <w:szCs w:val="16"/>
          <w:color w:val="auto"/>
        </w:rPr>
        <w:t>to revolutionize the golf industry for its innovation, precision, flexibility and game-changing impact.</w:t>
      </w:r>
    </w:p>
    <w:p>
      <w:pPr>
        <w:spacing w:after="0" w:line="64" w:lineRule="exact"/>
        <w:rPr>
          <w:sz w:val="20"/>
          <w:szCs w:val="20"/>
          <w:color w:val="auto"/>
        </w:rPr>
      </w:pPr>
    </w:p>
    <w:p>
      <w:pPr>
        <w:jc w:val="both"/>
        <w:ind w:right="280"/>
        <w:spacing w:after="0" w:line="387" w:lineRule="auto"/>
        <w:rPr>
          <w:sz w:val="20"/>
          <w:szCs w:val="20"/>
          <w:color w:val="auto"/>
        </w:rPr>
      </w:pPr>
      <w:r>
        <w:rPr>
          <w:rFonts w:ascii="Arial" w:cs="Arial" w:eastAsia="Arial" w:hAnsi="Arial"/>
          <w:sz w:val="16"/>
          <w:szCs w:val="16"/>
          <w:color w:val="auto"/>
        </w:rPr>
        <w:t>By investing in these technologies, we are well-positioned to capture emerging opportunities and deliver innovative solutions that enhance productivity, strengthen our</w:t>
      </w:r>
    </w:p>
    <w:p>
      <w:pPr>
        <w:spacing w:after="0" w:line="20" w:lineRule="exact"/>
        <w:rPr>
          <w:sz w:val="20"/>
          <w:szCs w:val="20"/>
          <w:color w:val="auto"/>
        </w:rPr>
      </w:pPr>
    </w:p>
    <w:p>
      <w:pPr>
        <w:sectPr>
          <w:pgSz w:w="11880" w:h="15480" w:orient="portrait"/>
          <w:cols w:equalWidth="0" w:num="2">
            <w:col w:w="4880" w:space="480"/>
            <w:col w:w="4860"/>
          </w:cols>
          <w:pgMar w:left="720" w:top="690" w:right="940" w:bottom="47" w:gutter="0" w:footer="0" w:header="0"/>
        </w:sectPr>
      </w:pPr>
    </w:p>
    <w:bookmarkStart w:id="4" w:name="page5"/>
    <w:bookmarkEnd w:id="4"/>
    <w:p>
      <w:pPr>
        <w:ind w:right="800"/>
        <w:spacing w:after="0" w:line="40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t>leadership, and drive sustainable growth in markets where efficiency and precision are paramount.</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Trusted Partnerships, Shared Success</w:t>
      </w:r>
    </w:p>
    <w:p>
      <w:pPr>
        <w:spacing w:after="0" w:line="206" w:lineRule="exact"/>
        <w:rPr>
          <w:sz w:val="20"/>
          <w:szCs w:val="20"/>
          <w:color w:val="auto"/>
        </w:rPr>
      </w:pPr>
    </w:p>
    <w:p>
      <w:pPr>
        <w:ind w:right="400"/>
        <w:spacing w:after="0" w:line="370" w:lineRule="auto"/>
        <w:rPr>
          <w:sz w:val="20"/>
          <w:szCs w:val="20"/>
          <w:color w:val="auto"/>
        </w:rPr>
      </w:pPr>
      <w:r>
        <w:rPr>
          <w:rFonts w:ascii="Arial" w:cs="Arial" w:eastAsia="Arial" w:hAnsi="Arial"/>
          <w:sz w:val="16"/>
          <w:szCs w:val="16"/>
          <w:color w:val="auto"/>
        </w:rPr>
        <w:t>In fiscal 2025, we were honored to serve as the official golf course maintenance equipment and irrigation provider for the Ryder Cup at Bethpage Black in Farmingdale, New York. We also proudly supported the Open Championship at Royal Portrush with an innovative fleet of electric turf management solutions, ensuring the highest standards of play. In addition, our presence at the PGA Championship at Quail Hollow in North Carolina and the U.S. Women’s Open at Erin Hills reinforced our commitment to excellence on golf’s biggest stages.</w:t>
      </w:r>
    </w:p>
    <w:p>
      <w:pPr>
        <w:spacing w:after="0" w:line="93"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These partnerships demonstrate the trust placed in our teams and products to deliver precision, reliability, and innovation when it matters most. Working hand-in-hand with customers and our dedicated distributor network, we continue to set the benchmark for performance in the golf industry. From advancing sustainable technologies to delivering solutions that enhance course playability and operational efficiency, our leadership in golf is built on a legacy of innovation and a relentless focus on helping our customers succeed.</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Leading With Purpose</w:t>
      </w:r>
    </w:p>
    <w:p>
      <w:pPr>
        <w:spacing w:after="0" w:line="206" w:lineRule="exact"/>
        <w:rPr>
          <w:sz w:val="20"/>
          <w:szCs w:val="20"/>
          <w:color w:val="auto"/>
        </w:rPr>
      </w:pPr>
    </w:p>
    <w:p>
      <w:pPr>
        <w:ind w:right="320"/>
        <w:spacing w:after="0" w:line="372" w:lineRule="auto"/>
        <w:rPr>
          <w:sz w:val="20"/>
          <w:szCs w:val="20"/>
          <w:color w:val="auto"/>
        </w:rPr>
      </w:pPr>
      <w:r>
        <w:rPr>
          <w:rFonts w:ascii="Arial" w:cs="Arial" w:eastAsia="Arial" w:hAnsi="Arial"/>
          <w:sz w:val="16"/>
          <w:szCs w:val="16"/>
          <w:color w:val="auto"/>
        </w:rPr>
        <w:t>Looking forward, we remain focused on executing our strategic priorities with discipline and agility. With strong demand in key sectors and a resilient business model, we are confident in our ability to deliver exceptional financial performance, create enduring shareholder value, and advance our purpose of helping customers enrich the beauty, productivity, and sustainability of the land.</w:t>
      </w:r>
    </w:p>
    <w:p>
      <w:pPr>
        <w:spacing w:after="0" w:line="93" w:lineRule="exact"/>
        <w:rPr>
          <w:sz w:val="20"/>
          <w:szCs w:val="20"/>
          <w:color w:val="auto"/>
        </w:rPr>
      </w:pPr>
    </w:p>
    <w:p>
      <w:pPr>
        <w:ind w:right="100"/>
        <w:spacing w:after="0" w:line="370" w:lineRule="auto"/>
        <w:rPr>
          <w:sz w:val="20"/>
          <w:szCs w:val="20"/>
          <w:color w:val="auto"/>
        </w:rPr>
      </w:pPr>
      <w:r>
        <w:rPr>
          <w:rFonts w:ascii="Arial" w:cs="Arial" w:eastAsia="Arial" w:hAnsi="Arial"/>
          <w:sz w:val="16"/>
          <w:szCs w:val="16"/>
          <w:color w:val="auto"/>
        </w:rPr>
        <w:t>First, we are incredibly excited about our underground construction business. Aging infrastructure, combined with surging demand for transportation, broadband, electric grid, water quality, and data centers, is creating multi-year growth opportunities. Following the recent additions of ProKASRO and Tornado to our portfolio of leading construction brands, we’ve expanded our capabilities in trenchless rehabilitation and vacuum excavation, strengthening our competitive position to capture a greater share of this rapidly growing market. With the most comprehensive lineup of underground and specialty construction equipment</w:t>
      </w:r>
    </w:p>
    <w:p>
      <w:pPr>
        <w:spacing w:after="0" w:line="244" w:lineRule="exact"/>
        <w:rPr>
          <w:sz w:val="20"/>
          <w:szCs w:val="20"/>
          <w:color w:val="auto"/>
        </w:rPr>
      </w:pPr>
    </w:p>
    <w:p>
      <w:pPr>
        <w:ind w:right="700"/>
        <w:spacing w:after="0" w:line="336" w:lineRule="auto"/>
        <w:rPr>
          <w:sz w:val="20"/>
          <w:szCs w:val="20"/>
          <w:color w:val="auto"/>
        </w:rPr>
      </w:pPr>
      <w:r>
        <w:rPr>
          <w:rFonts w:ascii="Arial" w:cs="Arial" w:eastAsia="Arial" w:hAnsi="Arial"/>
          <w:sz w:val="18"/>
          <w:szCs w:val="18"/>
          <w:color w:val="auto"/>
        </w:rPr>
        <w:t>and brands in the industry, we’re uniquely positioned to lead the transformation of global infrastructure.</w:t>
      </w:r>
    </w:p>
    <w:p>
      <w:pPr>
        <w:spacing w:after="0" w:line="110" w:lineRule="exact"/>
        <w:rPr>
          <w:sz w:val="20"/>
          <w:szCs w:val="20"/>
          <w:color w:val="auto"/>
        </w:rPr>
      </w:pPr>
    </w:p>
    <w:p>
      <w:pPr>
        <w:ind w:right="80"/>
        <w:spacing w:after="0" w:line="328" w:lineRule="auto"/>
        <w:rPr>
          <w:sz w:val="20"/>
          <w:szCs w:val="20"/>
          <w:color w:val="auto"/>
        </w:rPr>
      </w:pPr>
      <w:r>
        <w:rPr>
          <w:rFonts w:ascii="Arial" w:cs="Arial" w:eastAsia="Arial" w:hAnsi="Arial"/>
          <w:sz w:val="18"/>
          <w:szCs w:val="18"/>
          <w:color w:val="auto"/>
        </w:rPr>
        <w:t>Fueled by three consecutive years of record U.S. golf rounds played, we also see exceptional growth opportunities in the golf business. This momentum is driving innovation that empowers superintendents to manage smarter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394335</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324" w:lineRule="auto"/>
        <w:rPr>
          <w:sz w:val="20"/>
          <w:szCs w:val="20"/>
          <w:color w:val="auto"/>
        </w:rPr>
      </w:pPr>
      <w:r>
        <w:rPr>
          <w:rFonts w:ascii="Arial" w:cs="Arial" w:eastAsia="Arial" w:hAnsi="Arial"/>
          <w:sz w:val="18"/>
          <w:szCs w:val="18"/>
          <w:color w:val="auto"/>
        </w:rPr>
        <w:t>more efficiently. As the only company delivering both equipment and irrigation solutions, and the worldwide leader in each, we offer an integrated approach unmatched in the industry. Looking ahead, we see enduring strength in the golf market and a clear opportunity to help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-1323340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right="460"/>
        <w:spacing w:after="0" w:line="387" w:lineRule="auto"/>
        <w:rPr>
          <w:sz w:val="20"/>
          <w:szCs w:val="20"/>
          <w:color w:val="auto"/>
        </w:rPr>
      </w:pPr>
      <w:r>
        <w:rPr>
          <w:rFonts w:ascii="Arial" w:cs="Arial" w:eastAsia="Arial" w:hAnsi="Arial"/>
          <w:sz w:val="16"/>
          <w:szCs w:val="16"/>
          <w:color w:val="auto"/>
        </w:rPr>
        <w:t>its evolution—drawing on our innovative portfolio, strong customer relationships, and best-in-class distribution network to capture growth for years to come.</w:t>
      </w:r>
    </w:p>
    <w:p>
      <w:pPr>
        <w:spacing w:after="0" w:line="80" w:lineRule="exact"/>
        <w:rPr>
          <w:sz w:val="20"/>
          <w:szCs w:val="20"/>
          <w:color w:val="auto"/>
        </w:rPr>
      </w:pPr>
    </w:p>
    <w:p>
      <w:pPr>
        <w:ind w:right="560"/>
        <w:spacing w:after="0" w:line="326" w:lineRule="auto"/>
        <w:rPr>
          <w:sz w:val="20"/>
          <w:szCs w:val="20"/>
          <w:color w:val="auto"/>
        </w:rPr>
      </w:pPr>
      <w:r>
        <w:rPr>
          <w:rFonts w:ascii="Arial" w:cs="Arial" w:eastAsia="Arial" w:hAnsi="Arial"/>
          <w:sz w:val="18"/>
          <w:szCs w:val="18"/>
          <w:color w:val="auto"/>
        </w:rPr>
        <w:t>Innovation remains at the core of our strategy and the foundation of our leadership. We continue to make disciplined investments in technology and our markets focusing on alternative power, smart connectivity, and autonomous solutions that will shape the future of our industries. With a proven track record of turning breakthrough ideas into advanced solutions, we enter fiscal 2026 with a robust pipeline of new products designed to deliver meaningful value for our customers and accelerate growth across our portfolio.</w:t>
      </w:r>
    </w:p>
    <w:p>
      <w:pPr>
        <w:spacing w:after="0" w:line="118" w:lineRule="exact"/>
        <w:rPr>
          <w:sz w:val="20"/>
          <w:szCs w:val="20"/>
          <w:color w:val="auto"/>
        </w:rPr>
      </w:pPr>
    </w:p>
    <w:p>
      <w:pPr>
        <w:ind w:right="180"/>
        <w:spacing w:after="0" w:line="370" w:lineRule="auto"/>
        <w:rPr>
          <w:sz w:val="20"/>
          <w:szCs w:val="20"/>
          <w:color w:val="auto"/>
        </w:rPr>
      </w:pPr>
      <w:r>
        <w:rPr>
          <w:rFonts w:ascii="Arial" w:cs="Arial" w:eastAsia="Arial" w:hAnsi="Arial"/>
          <w:sz w:val="16"/>
          <w:szCs w:val="16"/>
          <w:color w:val="auto"/>
        </w:rPr>
        <w:t>At the same time, we are committed to technologies that enhance productivity and sustainability while driving efficiencies through our AMP program and targeted initiatives. Operational excellence remains a critical pillar of our success. Through disciplined execution and continuous improvement, we are streamlining processes, strengthening our supply chain, and aligning resources to meet evolving customer needs to ensure we remain agile, resilient and ready to deliver superior performance in any environment.</w:t>
      </w:r>
    </w:p>
    <w:p>
      <w:pPr>
        <w:spacing w:after="0" w:line="97" w:lineRule="exact"/>
        <w:rPr>
          <w:sz w:val="20"/>
          <w:szCs w:val="20"/>
          <w:color w:val="auto"/>
        </w:rPr>
      </w:pPr>
    </w:p>
    <w:p>
      <w:pPr>
        <w:ind w:right="20"/>
        <w:spacing w:after="0" w:line="325" w:lineRule="auto"/>
        <w:rPr>
          <w:sz w:val="20"/>
          <w:szCs w:val="20"/>
          <w:color w:val="auto"/>
        </w:rPr>
      </w:pPr>
      <w:r>
        <w:rPr>
          <w:rFonts w:ascii="Arial" w:cs="Arial" w:eastAsia="Arial" w:hAnsi="Arial"/>
          <w:sz w:val="18"/>
          <w:szCs w:val="18"/>
          <w:color w:val="auto"/>
        </w:rPr>
        <w:t>As we move into fiscal 2026 and beyond, we are doubling down on what has always set The Toro Company apart— our people, our partners, and our global network. These relationships have been the cornerstone of our success for more than a century and will remain critical to delivering the innovation and customer care that define our brands. Guided by the principles that have fueled our growth for 111 years and supported by our talented team and loyal partners, we are confident in our ability to seize opportunities, navigate change, and deliver strong performance year after year. The Toro Company is built for the long term and together, we will continue to lead, innovate, and create lasting value for our customers, partners,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16510</wp:posOffset>
            </wp:positionV>
            <wp:extent cx="2096135" cy="898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6135" cy="89852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Richard M. Olson</w:t>
      </w: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71" w:lineRule="exact"/>
        <w:rPr>
          <w:sz w:val="20"/>
          <w:szCs w:val="20"/>
          <w:color w:val="auto"/>
        </w:rPr>
      </w:pPr>
    </w:p>
    <w:p>
      <w:pPr>
        <w:ind w:left="60" w:hanging="59"/>
        <w:spacing w:after="0" w:line="446" w:lineRule="auto"/>
        <w:rPr>
          <w:sz w:val="20"/>
          <w:szCs w:val="20"/>
          <w:color w:val="auto"/>
        </w:rPr>
      </w:pPr>
      <w:r>
        <w:rPr>
          <w:rFonts w:ascii="Arial" w:cs="Arial" w:eastAsia="Arial" w:hAnsi="Arial"/>
          <w:sz w:val="11"/>
          <w:szCs w:val="11"/>
          <w:color w:val="auto"/>
        </w:rPr>
        <w:t>* This Annual Report includes certain non-GAAP financial measures. Please refer to the disclosure, entitled “Non-GAAP Financial Measures,” which begins on page 45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374650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2">
            <w:col w:w="4900" w:space="460"/>
            <w:col w:w="4920"/>
          </w:cols>
          <w:pgMar w:left="900" w:top="687" w:right="700" w:bottom="38" w:gutter="0" w:footer="0" w:header="0"/>
        </w:sectPr>
      </w:pPr>
    </w:p>
    <w:bookmarkStart w:id="5" w:name="page6"/>
    <w:bookmarkEnd w:id="5"/>
    <w:p>
      <w:pPr>
        <w:ind w:left="102"/>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0</wp:posOffset>
            </wp:positionH>
            <wp:positionV relativeFrom="page">
              <wp:posOffset>457200</wp:posOffset>
            </wp:positionV>
            <wp:extent cx="2571750"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5143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t>FINANCIAL HIGHLIGHTS</w:t>
      </w:r>
    </w:p>
    <w:p>
      <w:pPr>
        <w:sectPr>
          <w:pgSz w:w="11880" w:h="15480" w:orient="portrait"/>
          <w:cols w:equalWidth="0" w:num="1">
            <w:col w:w="10242"/>
          </w:cols>
          <w:pgMar w:left="898" w:top="993" w:right="740" w:bottom="132" w:gutter="0" w:footer="0" w:header="0"/>
        </w:sectPr>
      </w:pPr>
    </w:p>
    <w:p>
      <w:pPr>
        <w:spacing w:after="0" w:line="200" w:lineRule="exact"/>
        <w:rPr>
          <w:sz w:val="20"/>
          <w:szCs w:val="20"/>
          <w:color w:val="auto"/>
        </w:rPr>
      </w:pPr>
    </w:p>
    <w:p>
      <w:pPr>
        <w:spacing w:after="0" w:line="292" w:lineRule="exact"/>
        <w:rPr>
          <w:sz w:val="20"/>
          <w:szCs w:val="20"/>
          <w:color w:val="auto"/>
        </w:rPr>
      </w:pPr>
    </w:p>
    <w:p>
      <w:pPr>
        <w:ind w:left="102"/>
        <w:spacing w:after="0"/>
        <w:rPr>
          <w:sz w:val="20"/>
          <w:szCs w:val="20"/>
          <w:color w:val="auto"/>
        </w:rPr>
      </w:pPr>
      <w:r>
        <w:rPr>
          <w:rFonts w:ascii="Arial" w:cs="Arial" w:eastAsia="Arial" w:hAnsi="Arial"/>
          <w:sz w:val="16"/>
          <w:szCs w:val="16"/>
          <w:color w:val="auto"/>
        </w:rPr>
        <w:t>Fiscal years ended October 31</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6"/>
        </w:trPr>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666666"/>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666666"/>
            </w:tcBorders>
            <w:shd w:val="clear" w:color="auto" w:fill="666666"/>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vMerge w:val="restart"/>
            <w:textDirection w:val="btLr"/>
            <w:shd w:val="clear" w:color="auto" w:fill="000000"/>
          </w:tcPr>
          <w:p>
            <w:pPr>
              <w:ind w:left="179"/>
              <w:spacing w:after="0"/>
              <w:rPr>
                <w:sz w:val="20"/>
                <w:szCs w:val="20"/>
                <w:color w:val="auto"/>
              </w:rPr>
            </w:pPr>
            <w:r>
              <w:rPr>
                <w:rFonts w:ascii="Arial" w:cs="Arial" w:eastAsia="Arial" w:hAnsi="Arial"/>
                <w:sz w:val="19"/>
                <w:szCs w:val="19"/>
                <w:b w:val="1"/>
                <w:bCs w:val="1"/>
                <w:color w:val="FFFFFF"/>
                <w:w w:val="98"/>
              </w:rPr>
              <w:t>2025 NET SALES</w:t>
            </w:r>
          </w:p>
        </w:tc>
        <w:tc>
          <w:tcPr>
            <w:tcW w:w="0" w:type="dxa"/>
            <w:vAlign w:val="bottom"/>
          </w:tcPr>
          <w:p>
            <w:pPr>
              <w:spacing w:after="0"/>
              <w:rPr>
                <w:sz w:val="1"/>
                <w:szCs w:val="1"/>
                <w:color w:val="auto"/>
              </w:rPr>
            </w:pPr>
          </w:p>
        </w:tc>
      </w:tr>
      <w:tr>
        <w:trPr>
          <w:trHeight w:val="2393"/>
        </w:trPr>
        <w:tc>
          <w:tcPr>
            <w:tcW w:w="540" w:type="dxa"/>
            <w:vAlign w:val="bottom"/>
            <w:textDirection w:val="btLr"/>
            <w:shd w:val="clear" w:color="auto" w:fill="666666"/>
          </w:tcPr>
          <w:p>
            <w:pPr>
              <w:ind w:right="39"/>
              <w:spacing w:after="0"/>
              <w:rPr>
                <w:sz w:val="20"/>
                <w:szCs w:val="20"/>
                <w:color w:val="auto"/>
              </w:rPr>
            </w:pPr>
            <w:r>
              <w:rPr>
                <w:rFonts w:ascii="Arial" w:cs="Arial" w:eastAsia="Arial" w:hAnsi="Arial"/>
                <w:sz w:val="19"/>
                <w:szCs w:val="19"/>
                <w:b w:val="1"/>
                <w:bCs w:val="1"/>
                <w:color w:val="B2B2B2"/>
                <w:w w:val="94"/>
              </w:rPr>
              <w:t>2021</w:t>
            </w:r>
          </w:p>
        </w:tc>
        <w:tc>
          <w:tcPr>
            <w:tcW w:w="140" w:type="dxa"/>
            <w:vAlign w:val="bottom"/>
          </w:tcPr>
          <w:p>
            <w:pPr>
              <w:spacing w:after="0"/>
              <w:rPr>
                <w:sz w:val="24"/>
                <w:szCs w:val="24"/>
                <w:color w:val="auto"/>
              </w:rPr>
            </w:pPr>
          </w:p>
        </w:tc>
        <w:tc>
          <w:tcPr>
            <w:tcW w:w="540" w:type="dxa"/>
            <w:vAlign w:val="bottom"/>
            <w:textDirection w:val="btLr"/>
            <w:shd w:val="clear" w:color="auto" w:fill="666666"/>
          </w:tcPr>
          <w:p>
            <w:pPr>
              <w:ind w:right="38"/>
              <w:spacing w:after="0"/>
              <w:rPr>
                <w:sz w:val="20"/>
                <w:szCs w:val="20"/>
                <w:color w:val="auto"/>
              </w:rPr>
            </w:pPr>
            <w:r>
              <w:rPr>
                <w:rFonts w:ascii="Arial" w:cs="Arial" w:eastAsia="Arial" w:hAnsi="Arial"/>
                <w:sz w:val="19"/>
                <w:szCs w:val="19"/>
                <w:b w:val="1"/>
                <w:bCs w:val="1"/>
                <w:color w:val="B2B2B2"/>
                <w:w w:val="94"/>
              </w:rPr>
              <w:t>2022</w:t>
            </w:r>
          </w:p>
        </w:tc>
        <w:tc>
          <w:tcPr>
            <w:tcW w:w="120" w:type="dxa"/>
            <w:vAlign w:val="bottom"/>
          </w:tcPr>
          <w:p>
            <w:pPr>
              <w:spacing w:after="0"/>
              <w:rPr>
                <w:sz w:val="24"/>
                <w:szCs w:val="24"/>
                <w:color w:val="auto"/>
              </w:rPr>
            </w:pPr>
          </w:p>
        </w:tc>
        <w:tc>
          <w:tcPr>
            <w:tcW w:w="540" w:type="dxa"/>
            <w:vAlign w:val="bottom"/>
            <w:textDirection w:val="btLr"/>
            <w:shd w:val="clear" w:color="auto" w:fill="666666"/>
          </w:tcPr>
          <w:p>
            <w:pPr>
              <w:ind w:right="35"/>
              <w:spacing w:after="0"/>
              <w:rPr>
                <w:sz w:val="20"/>
                <w:szCs w:val="20"/>
                <w:color w:val="auto"/>
              </w:rPr>
            </w:pPr>
            <w:r>
              <w:rPr>
                <w:rFonts w:ascii="Arial" w:cs="Arial" w:eastAsia="Arial" w:hAnsi="Arial"/>
                <w:sz w:val="19"/>
                <w:szCs w:val="19"/>
                <w:b w:val="1"/>
                <w:bCs w:val="1"/>
                <w:color w:val="B2B2B2"/>
                <w:w w:val="94"/>
              </w:rPr>
              <w:t>2023</w:t>
            </w:r>
          </w:p>
        </w:tc>
        <w:tc>
          <w:tcPr>
            <w:tcW w:w="140" w:type="dxa"/>
            <w:vAlign w:val="bottom"/>
          </w:tcPr>
          <w:p>
            <w:pPr>
              <w:spacing w:after="0"/>
              <w:rPr>
                <w:sz w:val="24"/>
                <w:szCs w:val="24"/>
                <w:color w:val="auto"/>
              </w:rPr>
            </w:pPr>
          </w:p>
        </w:tc>
        <w:tc>
          <w:tcPr>
            <w:tcW w:w="540" w:type="dxa"/>
            <w:vAlign w:val="bottom"/>
            <w:textDirection w:val="btLr"/>
            <w:shd w:val="clear" w:color="auto" w:fill="666666"/>
          </w:tcPr>
          <w:p>
            <w:pPr>
              <w:ind w:right="37"/>
              <w:spacing w:after="0"/>
              <w:rPr>
                <w:sz w:val="20"/>
                <w:szCs w:val="20"/>
                <w:color w:val="auto"/>
              </w:rPr>
            </w:pPr>
            <w:r>
              <w:rPr>
                <w:rFonts w:ascii="Arial" w:cs="Arial" w:eastAsia="Arial" w:hAnsi="Arial"/>
                <w:sz w:val="19"/>
                <w:szCs w:val="19"/>
                <w:b w:val="1"/>
                <w:bCs w:val="1"/>
                <w:color w:val="B2B2B2"/>
                <w:w w:val="94"/>
              </w:rPr>
              <w:t>2024</w:t>
            </w:r>
          </w:p>
        </w:tc>
        <w:tc>
          <w:tcPr>
            <w:tcW w:w="120" w:type="dxa"/>
            <w:vAlign w:val="bottom"/>
          </w:tcPr>
          <w:p>
            <w:pPr>
              <w:spacing w:after="0"/>
              <w:rPr>
                <w:sz w:val="24"/>
                <w:szCs w:val="24"/>
                <w:color w:val="auto"/>
              </w:rPr>
            </w:pPr>
          </w:p>
        </w:tc>
        <w:tc>
          <w:tcPr>
            <w:tcW w:w="54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left="-59"/>
        <w:spacing w:after="0" w:line="235" w:lineRule="auto"/>
        <w:rPr>
          <w:sz w:val="20"/>
          <w:szCs w:val="20"/>
          <w:color w:val="auto"/>
        </w:rPr>
      </w:pPr>
      <w:r>
        <w:rPr>
          <w:rFonts w:ascii="Arial Black" w:cs="Arial Black" w:eastAsia="Arial Black" w:hAnsi="Arial Black"/>
          <w:sz w:val="90"/>
          <w:szCs w:val="90"/>
          <w:b w:val="1"/>
          <w:bCs w:val="1"/>
          <w:color w:val="auto"/>
        </w:rPr>
        <w:t>$</w:t>
      </w:r>
      <w:r>
        <w:rPr>
          <w:rFonts w:ascii="Arial Black" w:cs="Arial Black" w:eastAsia="Arial Black" w:hAnsi="Arial Black"/>
          <w:sz w:val="190"/>
          <w:szCs w:val="190"/>
          <w:b w:val="1"/>
          <w:bCs w:val="1"/>
          <w:color w:val="auto"/>
        </w:rPr>
        <w:t>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-730885</wp:posOffset>
            </wp:positionV>
            <wp:extent cx="4763" cy="1485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3" cy="1485900"/>
                    </a:xfrm>
                    <a:prstGeom prst="rect">
                      <a:avLst/>
                    </a:prstGeom>
                    <a:noFill/>
                  </pic:spPr>
                </pic:pic>
              </a:graphicData>
            </a:graphic>
          </wp:anchor>
        </w:drawing>
      </w:r>
    </w:p>
    <w:p>
      <w:pPr>
        <w:spacing w:after="0" w:line="236" w:lineRule="auto"/>
        <w:rPr>
          <w:sz w:val="20"/>
          <w:szCs w:val="20"/>
          <w:color w:val="auto"/>
        </w:rPr>
      </w:pPr>
      <w:r>
        <w:rPr>
          <w:rFonts w:ascii="Arial Black" w:cs="Arial Black" w:eastAsia="Arial Black" w:hAnsi="Arial Black"/>
          <w:sz w:val="107"/>
          <w:szCs w:val="107"/>
          <w:b w:val="1"/>
          <w:bCs w:val="1"/>
          <w:color w:val="auto"/>
        </w:rPr>
        <w:t>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Black" w:cs="Arial Black" w:eastAsia="Arial Black" w:hAnsi="Arial Black"/>
          <w:sz w:val="48"/>
          <w:szCs w:val="4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-59690</wp:posOffset>
            </wp:positionV>
            <wp:extent cx="1050925" cy="952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0925" cy="95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Black" w:cs="Arial Black" w:eastAsia="Arial Black" w:hAnsi="Arial Black"/>
          <w:sz w:val="29"/>
          <w:szCs w:val="29"/>
          <w:b w:val="1"/>
          <w:bCs w:val="1"/>
          <w:color w:val="666666"/>
        </w:rPr>
        <w:t>vs. 2024</w:t>
      </w:r>
    </w:p>
    <w:p>
      <w:pPr>
        <w:spacing w:after="0" w:line="248" w:lineRule="exact"/>
        <w:rPr>
          <w:sz w:val="20"/>
          <w:szCs w:val="20"/>
          <w:color w:val="auto"/>
        </w:rPr>
      </w:pPr>
    </w:p>
    <w:p>
      <w:pPr>
        <w:sectPr>
          <w:pgSz w:w="11880" w:h="15480" w:orient="portrait"/>
          <w:cols w:equalWidth="0" w:num="3">
            <w:col w:w="3222" w:space="240"/>
            <w:col w:w="5120" w:space="280"/>
            <w:col w:w="1380"/>
          </w:cols>
          <w:pgMar w:left="898" w:top="993" w:right="740" w:bottom="132" w:gutter="0" w:footer="0" w:header="0"/>
          <w:type w:val="continuous"/>
        </w:sectPr>
      </w:pPr>
    </w:p>
    <w:tbl>
      <w:tblPr>
        <w:tblLayout w:type="fixed"/>
        <w:tblInd w:w="2" w:type="dxa"/>
        <w:tblCellMar>
          <w:top w:w="0" w:type="dxa"/>
          <w:left w:w="0" w:type="dxa"/>
          <w:bottom w:w="0" w:type="dxa"/>
          <w:right w:w="0" w:type="dxa"/>
        </w:tblCellMar>
      </w:tblPr>
      <w:tr>
        <w:trPr>
          <w:trHeight w:val="503"/>
        </w:trPr>
        <w:tc>
          <w:tcPr>
            <w:tcW w:w="3600" w:type="dxa"/>
            <w:vAlign w:val="bottom"/>
            <w:vMerge w:val="restart"/>
          </w:tcPr>
          <w:p>
            <w:pPr>
              <w:jc w:val="center"/>
              <w:ind w:left="210"/>
              <w:spacing w:after="0"/>
              <w:rPr>
                <w:sz w:val="20"/>
                <w:szCs w:val="20"/>
                <w:color w:val="auto"/>
              </w:rPr>
            </w:pPr>
            <w:r>
              <w:rPr>
                <w:rFonts w:ascii="Arial Black" w:cs="Arial Black" w:eastAsia="Arial Black" w:hAnsi="Arial Black"/>
                <w:sz w:val="20"/>
                <w:szCs w:val="20"/>
                <w:b w:val="1"/>
                <w:bCs w:val="1"/>
                <w:color w:val="auto"/>
                <w:w w:val="99"/>
              </w:rPr>
              <w:t>ADJUSTED OPERATING</w:t>
            </w:r>
          </w:p>
        </w:tc>
        <w:tc>
          <w:tcPr>
            <w:tcW w:w="2020" w:type="dxa"/>
            <w:vAlign w:val="bottom"/>
            <w:tcBorders>
              <w:right w:val="single" w:sz="8" w:color="auto"/>
            </w:tcBorders>
          </w:tcPr>
          <w:p>
            <w:pPr>
              <w:jc w:val="right"/>
              <w:ind w:right="865"/>
              <w:spacing w:after="0"/>
              <w:rPr>
                <w:sz w:val="20"/>
                <w:szCs w:val="20"/>
                <w:color w:val="auto"/>
              </w:rPr>
            </w:pPr>
            <w:r>
              <w:rPr>
                <w:rFonts w:ascii="Arial Black" w:cs="Arial Black" w:eastAsia="Arial Black" w:hAnsi="Arial Black"/>
                <w:sz w:val="27"/>
                <w:szCs w:val="27"/>
                <w:b w:val="1"/>
                <w:bCs w:val="1"/>
                <w:color w:val="auto"/>
              </w:rPr>
              <w:t>3.8%</w:t>
            </w:r>
          </w:p>
        </w:tc>
        <w:tc>
          <w:tcPr>
            <w:tcW w:w="4620" w:type="dxa"/>
            <w:vAlign w:val="bottom"/>
            <w:gridSpan w:val="2"/>
            <w:vMerge w:val="restart"/>
          </w:tcPr>
          <w:p>
            <w:pPr>
              <w:jc w:val="center"/>
              <w:spacing w:after="0"/>
              <w:rPr>
                <w:sz w:val="20"/>
                <w:szCs w:val="20"/>
                <w:color w:val="auto"/>
              </w:rPr>
            </w:pPr>
            <w:r>
              <w:rPr>
                <w:rFonts w:ascii="Arial Black" w:cs="Arial Black" w:eastAsia="Arial Black" w:hAnsi="Arial Black"/>
                <w:sz w:val="20"/>
                <w:szCs w:val="20"/>
                <w:b w:val="1"/>
                <w:bCs w:val="1"/>
                <w:color w:val="auto"/>
                <w:w w:val="99"/>
              </w:rPr>
              <w:t>ADJUSTED OPERATING</w:t>
            </w:r>
          </w:p>
        </w:tc>
        <w:tc>
          <w:tcPr>
            <w:tcW w:w="0" w:type="dxa"/>
            <w:vAlign w:val="bottom"/>
          </w:tcPr>
          <w:p>
            <w:pPr>
              <w:spacing w:after="0"/>
              <w:rPr>
                <w:sz w:val="1"/>
                <w:szCs w:val="1"/>
                <w:color w:val="auto"/>
              </w:rPr>
            </w:pPr>
          </w:p>
        </w:tc>
      </w:tr>
      <w:tr>
        <w:trPr>
          <w:trHeight w:val="199"/>
        </w:trPr>
        <w:tc>
          <w:tcPr>
            <w:tcW w:w="3600" w:type="dxa"/>
            <w:vAlign w:val="bottom"/>
            <w:vMerge w:val="continue"/>
          </w:tcPr>
          <w:p>
            <w:pPr>
              <w:spacing w:after="0"/>
              <w:rPr>
                <w:sz w:val="17"/>
                <w:szCs w:val="17"/>
                <w:color w:val="auto"/>
              </w:rPr>
            </w:pPr>
          </w:p>
        </w:tc>
        <w:tc>
          <w:tcPr>
            <w:tcW w:w="2020" w:type="dxa"/>
            <w:vAlign w:val="bottom"/>
            <w:tcBorders>
              <w:right w:val="single" w:sz="8" w:color="auto"/>
            </w:tcBorders>
          </w:tcPr>
          <w:p>
            <w:pPr>
              <w:ind w:left="600"/>
              <w:spacing w:after="0" w:line="200" w:lineRule="exact"/>
              <w:rPr>
                <w:sz w:val="20"/>
                <w:szCs w:val="20"/>
                <w:color w:val="auto"/>
              </w:rPr>
            </w:pPr>
            <w:r>
              <w:rPr>
                <w:rFonts w:ascii="Arial Black" w:cs="Arial Black" w:eastAsia="Arial Black" w:hAnsi="Arial Black"/>
                <w:sz w:val="15"/>
                <w:szCs w:val="15"/>
                <w:b w:val="1"/>
                <w:bCs w:val="1"/>
                <w:color w:val="B2B2B2"/>
              </w:rPr>
              <w:t>vs.</w:t>
            </w:r>
          </w:p>
        </w:tc>
        <w:tc>
          <w:tcPr>
            <w:tcW w:w="4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3600" w:type="dxa"/>
            <w:vAlign w:val="bottom"/>
          </w:tcPr>
          <w:p>
            <w:pPr>
              <w:jc w:val="center"/>
              <w:ind w:left="230"/>
              <w:spacing w:after="0" w:line="107" w:lineRule="exact"/>
              <w:rPr>
                <w:sz w:val="20"/>
                <w:szCs w:val="20"/>
                <w:color w:val="auto"/>
              </w:rPr>
            </w:pPr>
            <w:r>
              <w:rPr>
                <w:rFonts w:ascii="Arial Black" w:cs="Arial Black" w:eastAsia="Arial Black" w:hAnsi="Arial Black"/>
                <w:sz w:val="10"/>
                <w:szCs w:val="10"/>
                <w:b w:val="1"/>
                <w:bCs w:val="1"/>
                <w:color w:val="auto"/>
              </w:rPr>
              <w:t>EARNINGS</w:t>
            </w:r>
            <w:r>
              <w:rPr>
                <w:rFonts w:ascii="Arial" w:cs="Arial" w:eastAsia="Arial" w:hAnsi="Arial"/>
                <w:sz w:val="7"/>
                <w:szCs w:val="7"/>
                <w:color w:val="auto"/>
              </w:rPr>
              <w:t>1</w:t>
            </w:r>
          </w:p>
        </w:tc>
        <w:tc>
          <w:tcPr>
            <w:tcW w:w="2020" w:type="dxa"/>
            <w:vAlign w:val="bottom"/>
            <w:tcBorders>
              <w:right w:val="single" w:sz="8" w:color="auto"/>
            </w:tcBorders>
            <w:vMerge w:val="restart"/>
          </w:tcPr>
          <w:p>
            <w:pPr>
              <w:jc w:val="right"/>
              <w:ind w:right="1025"/>
              <w:spacing w:after="0" w:line="208" w:lineRule="exact"/>
              <w:rPr>
                <w:sz w:val="20"/>
                <w:szCs w:val="20"/>
                <w:color w:val="auto"/>
              </w:rPr>
            </w:pPr>
            <w:r>
              <w:rPr>
                <w:rFonts w:ascii="Arial Black" w:cs="Arial Black" w:eastAsia="Arial Black" w:hAnsi="Arial Black"/>
                <w:sz w:val="15"/>
                <w:szCs w:val="15"/>
                <w:b w:val="1"/>
                <w:bCs w:val="1"/>
                <w:color w:val="B2B2B2"/>
              </w:rPr>
              <w:t>2024</w:t>
            </w:r>
          </w:p>
        </w:tc>
        <w:tc>
          <w:tcPr>
            <w:tcW w:w="3360" w:type="dxa"/>
            <w:vAlign w:val="bottom"/>
          </w:tcPr>
          <w:p>
            <w:pPr>
              <w:jc w:val="center"/>
              <w:ind w:left="1080"/>
              <w:spacing w:after="0" w:line="107" w:lineRule="exact"/>
              <w:rPr>
                <w:sz w:val="20"/>
                <w:szCs w:val="20"/>
                <w:color w:val="auto"/>
              </w:rPr>
            </w:pPr>
            <w:r>
              <w:rPr>
                <w:rFonts w:ascii="Arial Black" w:cs="Arial Black" w:eastAsia="Arial Black" w:hAnsi="Arial Black"/>
                <w:sz w:val="10"/>
                <w:szCs w:val="10"/>
                <w:b w:val="1"/>
                <w:bCs w:val="1"/>
                <w:color w:val="auto"/>
              </w:rPr>
              <w:t>EARNINGS MARGIN</w:t>
            </w:r>
          </w:p>
        </w:tc>
        <w:tc>
          <w:tcPr>
            <w:tcW w:w="1260" w:type="dxa"/>
            <w:vAlign w:val="bottom"/>
            <w:vMerge w:val="restart"/>
          </w:tcPr>
          <w:p>
            <w:pPr>
              <w:jc w:val="right"/>
              <w:ind w:right="1148"/>
              <w:spacing w:after="0"/>
              <w:rPr>
                <w:sz w:val="20"/>
                <w:szCs w:val="20"/>
                <w:color w:val="auto"/>
              </w:rPr>
            </w:pPr>
            <w:r>
              <w:rPr>
                <w:rFonts w:ascii="Arial" w:cs="Arial" w:eastAsia="Arial" w:hAnsi="Arial"/>
                <w:sz w:val="10"/>
                <w:szCs w:val="10"/>
                <w:color w:val="auto"/>
                <w:w w:val="71"/>
              </w:rPr>
              <w:t>1</w:t>
            </w:r>
          </w:p>
        </w:tc>
        <w:tc>
          <w:tcPr>
            <w:tcW w:w="0" w:type="dxa"/>
            <w:vAlign w:val="bottom"/>
          </w:tcPr>
          <w:p>
            <w:pPr>
              <w:spacing w:after="0"/>
              <w:rPr>
                <w:sz w:val="1"/>
                <w:szCs w:val="1"/>
                <w:color w:val="auto"/>
              </w:rPr>
            </w:pPr>
          </w:p>
        </w:tc>
      </w:tr>
      <w:tr>
        <w:trPr>
          <w:trHeight w:val="101"/>
        </w:trPr>
        <w:tc>
          <w:tcPr>
            <w:tcW w:w="3600" w:type="dxa"/>
            <w:vAlign w:val="bottom"/>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3360" w:type="dxa"/>
            <w:vAlign w:val="bottom"/>
            <w:vMerge w:val="restart"/>
          </w:tcPr>
          <w:p>
            <w:pPr>
              <w:jc w:val="center"/>
              <w:ind w:left="1140"/>
              <w:spacing w:after="0" w:line="583" w:lineRule="exact"/>
              <w:rPr>
                <w:sz w:val="20"/>
                <w:szCs w:val="20"/>
                <w:color w:val="auto"/>
              </w:rPr>
            </w:pPr>
            <w:r>
              <w:rPr>
                <w:rFonts w:ascii="Arial Black" w:cs="Arial Black" w:eastAsia="Arial Black" w:hAnsi="Arial Black"/>
                <w:sz w:val="42"/>
                <w:szCs w:val="42"/>
                <w:b w:val="1"/>
                <w:bCs w:val="1"/>
                <w:color w:val="auto"/>
                <w:w w:val="98"/>
              </w:rPr>
              <w:t>12.0%</w:t>
            </w: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0" w:type="dxa"/>
            <w:vAlign w:val="bottom"/>
          </w:tcPr>
          <w:p>
            <w:pPr>
              <w:jc w:val="center"/>
              <w:ind w:left="210"/>
              <w:spacing w:after="0"/>
              <w:rPr>
                <w:sz w:val="20"/>
                <w:szCs w:val="20"/>
                <w:color w:val="auto"/>
              </w:rPr>
            </w:pPr>
            <w:r>
              <w:rPr>
                <w:rFonts w:ascii="Arial" w:cs="Arial" w:eastAsia="Arial" w:hAnsi="Arial"/>
                <w:sz w:val="24"/>
                <w:szCs w:val="24"/>
                <w:color w:val="auto"/>
                <w:w w:val="96"/>
              </w:rPr>
              <w:t>$539.1M</w:t>
            </w:r>
          </w:p>
        </w:tc>
        <w:tc>
          <w:tcPr>
            <w:tcW w:w="2020" w:type="dxa"/>
            <w:vAlign w:val="bottom"/>
            <w:tcBorders>
              <w:right w:val="single" w:sz="8" w:color="auto"/>
            </w:tcBorders>
          </w:tcPr>
          <w:p>
            <w:pPr>
              <w:spacing w:after="0"/>
              <w:rPr>
                <w:sz w:val="24"/>
                <w:szCs w:val="24"/>
                <w:color w:val="auto"/>
              </w:rPr>
            </w:pPr>
          </w:p>
        </w:tc>
        <w:tc>
          <w:tcPr>
            <w:tcW w:w="33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6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-1165225</wp:posOffset>
            </wp:positionV>
            <wp:extent cx="1050925" cy="952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0925" cy="952500"/>
                    </a:xfrm>
                    <a:prstGeom prst="rect">
                      <a:avLst/>
                    </a:prstGeom>
                    <a:noFill/>
                  </pic:spPr>
                </pic:pic>
              </a:graphicData>
            </a:graphic>
          </wp:anchor>
        </w:drawing>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618"/>
        </w:trPr>
        <w:tc>
          <w:tcPr>
            <w:tcW w:w="2940" w:type="dxa"/>
            <w:vAlign w:val="bottom"/>
            <w:vMerge w:val="restart"/>
          </w:tcPr>
          <w:p>
            <w:pPr>
              <w:jc w:val="center"/>
              <w:spacing w:after="0"/>
              <w:rPr>
                <w:sz w:val="20"/>
                <w:szCs w:val="20"/>
                <w:color w:val="auto"/>
              </w:rPr>
            </w:pPr>
            <w:r>
              <w:rPr>
                <w:rFonts w:ascii="Arial Black" w:cs="Arial Black" w:eastAsia="Arial Black" w:hAnsi="Arial Black"/>
                <w:sz w:val="20"/>
                <w:szCs w:val="20"/>
                <w:b w:val="1"/>
                <w:bCs w:val="1"/>
                <w:color w:val="auto"/>
                <w:w w:val="99"/>
              </w:rPr>
              <w:t>ADJUSTED DILUTED</w:t>
            </w:r>
          </w:p>
        </w:tc>
        <w:tc>
          <w:tcPr>
            <w:tcW w:w="1820" w:type="dxa"/>
            <w:vAlign w:val="bottom"/>
            <w:tcBorders>
              <w:right w:val="single" w:sz="8" w:color="auto"/>
            </w:tcBorders>
            <w:vMerge w:val="restart"/>
          </w:tcPr>
          <w:p>
            <w:pPr>
              <w:jc w:val="right"/>
              <w:ind w:right="625"/>
              <w:spacing w:after="0"/>
              <w:rPr>
                <w:sz w:val="20"/>
                <w:szCs w:val="20"/>
                <w:color w:val="auto"/>
              </w:rPr>
            </w:pPr>
            <w:r>
              <w:rPr>
                <w:rFonts w:ascii="Arial Black" w:cs="Arial Black" w:eastAsia="Arial Black" w:hAnsi="Arial Black"/>
                <w:sz w:val="27"/>
                <w:szCs w:val="27"/>
                <w:b w:val="1"/>
                <w:bCs w:val="1"/>
                <w:color w:val="auto"/>
              </w:rPr>
              <w:t>0.7%</w:t>
            </w:r>
          </w:p>
        </w:tc>
        <w:tc>
          <w:tcPr>
            <w:tcW w:w="3140" w:type="dxa"/>
            <w:vAlign w:val="bottom"/>
            <w:tcBorders>
              <w:right w:val="single" w:sz="8" w:color="auto"/>
            </w:tcBorders>
          </w:tcPr>
          <w:p>
            <w:pPr>
              <w:jc w:val="center"/>
              <w:spacing w:after="0"/>
              <w:rPr>
                <w:sz w:val="20"/>
                <w:szCs w:val="20"/>
                <w:color w:val="auto"/>
              </w:rPr>
            </w:pPr>
            <w:r>
              <w:rPr>
                <w:rFonts w:ascii="Arial Black" w:cs="Arial Black" w:eastAsia="Arial Black" w:hAnsi="Arial Black"/>
                <w:sz w:val="20"/>
                <w:szCs w:val="20"/>
                <w:b w:val="1"/>
                <w:bCs w:val="1"/>
                <w:color w:val="auto"/>
                <w:w w:val="99"/>
              </w:rPr>
              <w:t>CASH DIVIDENDS PAID</w:t>
            </w:r>
          </w:p>
        </w:tc>
        <w:tc>
          <w:tcPr>
            <w:tcW w:w="2340" w:type="dxa"/>
            <w:vAlign w:val="bottom"/>
            <w:vMerge w:val="restart"/>
          </w:tcPr>
          <w:p>
            <w:pPr>
              <w:jc w:val="center"/>
              <w:spacing w:after="0"/>
              <w:rPr>
                <w:sz w:val="20"/>
                <w:szCs w:val="20"/>
                <w:color w:val="auto"/>
              </w:rPr>
            </w:pPr>
            <w:r>
              <w:rPr>
                <w:rFonts w:ascii="Arial Black" w:cs="Arial Black" w:eastAsia="Arial Black" w:hAnsi="Arial Black"/>
                <w:sz w:val="20"/>
                <w:szCs w:val="20"/>
                <w:b w:val="1"/>
                <w:bCs w:val="1"/>
                <w:color w:val="auto"/>
              </w:rPr>
              <w:t>SHARE</w:t>
            </w:r>
          </w:p>
        </w:tc>
        <w:tc>
          <w:tcPr>
            <w:tcW w:w="0" w:type="dxa"/>
            <w:vAlign w:val="bottom"/>
          </w:tcPr>
          <w:p>
            <w:pPr>
              <w:spacing w:after="0"/>
              <w:rPr>
                <w:sz w:val="1"/>
                <w:szCs w:val="1"/>
                <w:color w:val="auto"/>
              </w:rPr>
            </w:pPr>
          </w:p>
        </w:tc>
      </w:tr>
      <w:tr>
        <w:trPr>
          <w:trHeight w:val="105"/>
        </w:trPr>
        <w:tc>
          <w:tcPr>
            <w:tcW w:w="2940" w:type="dxa"/>
            <w:vAlign w:val="bottom"/>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3140" w:type="dxa"/>
            <w:vAlign w:val="bottom"/>
            <w:tcBorders>
              <w:right w:val="single" w:sz="8" w:color="auto"/>
            </w:tcBorders>
            <w:vMerge w:val="restart"/>
          </w:tcPr>
          <w:p>
            <w:pPr>
              <w:jc w:val="center"/>
              <w:spacing w:after="0" w:line="277" w:lineRule="exact"/>
              <w:rPr>
                <w:sz w:val="20"/>
                <w:szCs w:val="20"/>
                <w:color w:val="auto"/>
              </w:rPr>
            </w:pPr>
            <w:r>
              <w:rPr>
                <w:rFonts w:ascii="Arial Black" w:cs="Arial Black" w:eastAsia="Arial Black" w:hAnsi="Arial Black"/>
                <w:sz w:val="20"/>
                <w:szCs w:val="20"/>
                <w:b w:val="1"/>
                <w:bCs w:val="1"/>
                <w:color w:val="auto"/>
              </w:rPr>
              <w:t>ON COMMON STOCK</w:t>
            </w: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940" w:type="dxa"/>
            <w:vAlign w:val="bottom"/>
          </w:tcPr>
          <w:p>
            <w:pPr>
              <w:jc w:val="center"/>
              <w:spacing w:after="0" w:line="210" w:lineRule="exact"/>
              <w:rPr>
                <w:sz w:val="20"/>
                <w:szCs w:val="20"/>
                <w:color w:val="auto"/>
              </w:rPr>
            </w:pPr>
            <w:r>
              <w:rPr>
                <w:rFonts w:ascii="Arial Black" w:cs="Arial Black" w:eastAsia="Arial Black" w:hAnsi="Arial Black"/>
                <w:sz w:val="19"/>
                <w:szCs w:val="19"/>
                <w:b w:val="1"/>
                <w:bCs w:val="1"/>
                <w:color w:val="auto"/>
              </w:rPr>
              <w:t>EPS</w:t>
            </w:r>
            <w:r>
              <w:rPr>
                <w:rFonts w:ascii="Arial" w:cs="Arial" w:eastAsia="Arial" w:hAnsi="Arial"/>
                <w:sz w:val="11"/>
                <w:szCs w:val="11"/>
                <w:color w:val="auto"/>
              </w:rPr>
              <w:t>1</w:t>
            </w:r>
          </w:p>
        </w:tc>
        <w:tc>
          <w:tcPr>
            <w:tcW w:w="1820" w:type="dxa"/>
            <w:vAlign w:val="bottom"/>
            <w:tcBorders>
              <w:right w:val="single" w:sz="8" w:color="auto"/>
            </w:tcBorders>
          </w:tcPr>
          <w:p>
            <w:pPr>
              <w:ind w:left="620"/>
              <w:spacing w:after="0" w:line="210" w:lineRule="exact"/>
              <w:rPr>
                <w:sz w:val="20"/>
                <w:szCs w:val="20"/>
                <w:color w:val="auto"/>
              </w:rPr>
            </w:pPr>
            <w:r>
              <w:rPr>
                <w:rFonts w:ascii="Arial Black" w:cs="Arial Black" w:eastAsia="Arial Black" w:hAnsi="Arial Black"/>
                <w:sz w:val="15"/>
                <w:szCs w:val="15"/>
                <w:b w:val="1"/>
                <w:bCs w:val="1"/>
                <w:color w:val="B2B2B2"/>
              </w:rPr>
              <w:t>vs.</w:t>
            </w:r>
          </w:p>
        </w:tc>
        <w:tc>
          <w:tcPr>
            <w:tcW w:w="3140" w:type="dxa"/>
            <w:vAlign w:val="bottom"/>
            <w:tcBorders>
              <w:right w:val="single" w:sz="8" w:color="auto"/>
            </w:tcBorders>
            <w:vMerge w:val="continue"/>
          </w:tcPr>
          <w:p>
            <w:pPr>
              <w:spacing w:after="0"/>
              <w:rPr>
                <w:sz w:val="18"/>
                <w:szCs w:val="18"/>
                <w:color w:val="auto"/>
              </w:rPr>
            </w:pPr>
          </w:p>
        </w:tc>
        <w:tc>
          <w:tcPr>
            <w:tcW w:w="2340" w:type="dxa"/>
            <w:vAlign w:val="bottom"/>
          </w:tcPr>
          <w:p>
            <w:pPr>
              <w:jc w:val="center"/>
              <w:spacing w:after="0" w:line="210" w:lineRule="exact"/>
              <w:rPr>
                <w:sz w:val="20"/>
                <w:szCs w:val="20"/>
                <w:color w:val="auto"/>
              </w:rPr>
            </w:pPr>
            <w:r>
              <w:rPr>
                <w:rFonts w:ascii="Arial Black" w:cs="Arial Black" w:eastAsia="Arial Black" w:hAnsi="Arial Black"/>
                <w:sz w:val="19"/>
                <w:szCs w:val="19"/>
                <w:b w:val="1"/>
                <w:bCs w:val="1"/>
                <w:color w:val="auto"/>
              </w:rPr>
              <w:t>REPURCHASES</w:t>
            </w:r>
          </w:p>
        </w:tc>
        <w:tc>
          <w:tcPr>
            <w:tcW w:w="0" w:type="dxa"/>
            <w:vAlign w:val="bottom"/>
          </w:tcPr>
          <w:p>
            <w:pPr>
              <w:spacing w:after="0"/>
              <w:rPr>
                <w:sz w:val="1"/>
                <w:szCs w:val="1"/>
                <w:color w:val="auto"/>
              </w:rPr>
            </w:pPr>
          </w:p>
        </w:tc>
      </w:tr>
      <w:tr>
        <w:trPr>
          <w:trHeight w:val="169"/>
        </w:trPr>
        <w:tc>
          <w:tcPr>
            <w:tcW w:w="2940" w:type="dxa"/>
            <w:vAlign w:val="bottom"/>
            <w:vMerge w:val="restart"/>
          </w:tcPr>
          <w:p>
            <w:pPr>
              <w:jc w:val="center"/>
              <w:spacing w:after="0"/>
              <w:rPr>
                <w:sz w:val="20"/>
                <w:szCs w:val="20"/>
                <w:color w:val="auto"/>
              </w:rPr>
            </w:pPr>
            <w:r>
              <w:rPr>
                <w:rFonts w:ascii="Arial" w:cs="Arial" w:eastAsia="Arial" w:hAnsi="Arial"/>
                <w:sz w:val="24"/>
                <w:szCs w:val="24"/>
                <w:color w:val="auto"/>
                <w:w w:val="99"/>
              </w:rPr>
              <w:t>$4.20</w:t>
            </w:r>
          </w:p>
        </w:tc>
        <w:tc>
          <w:tcPr>
            <w:tcW w:w="1820" w:type="dxa"/>
            <w:vAlign w:val="bottom"/>
            <w:tcBorders>
              <w:right w:val="single" w:sz="8" w:color="auto"/>
            </w:tcBorders>
          </w:tcPr>
          <w:p>
            <w:pPr>
              <w:jc w:val="right"/>
              <w:ind w:right="785"/>
              <w:spacing w:after="0" w:line="169" w:lineRule="exact"/>
              <w:rPr>
                <w:sz w:val="20"/>
                <w:szCs w:val="20"/>
                <w:color w:val="auto"/>
              </w:rPr>
            </w:pPr>
            <w:r>
              <w:rPr>
                <w:rFonts w:ascii="Arial Black" w:cs="Arial Black" w:eastAsia="Arial Black" w:hAnsi="Arial Black"/>
                <w:sz w:val="15"/>
                <w:szCs w:val="15"/>
                <w:b w:val="1"/>
                <w:bCs w:val="1"/>
                <w:color w:val="B2B2B2"/>
              </w:rPr>
              <w:t>2024</w:t>
            </w:r>
          </w:p>
        </w:tc>
        <w:tc>
          <w:tcPr>
            <w:tcW w:w="3140" w:type="dxa"/>
            <w:vAlign w:val="bottom"/>
            <w:tcBorders>
              <w:right w:val="single" w:sz="8" w:color="auto"/>
            </w:tcBorders>
          </w:tcPr>
          <w:p>
            <w:pPr>
              <w:jc w:val="center"/>
              <w:spacing w:after="0" w:line="169" w:lineRule="exact"/>
              <w:rPr>
                <w:sz w:val="20"/>
                <w:szCs w:val="20"/>
                <w:color w:val="auto"/>
              </w:rPr>
            </w:pPr>
            <w:r>
              <w:rPr>
                <w:rFonts w:ascii="Arial Black" w:cs="Arial Black" w:eastAsia="Arial Black" w:hAnsi="Arial Black"/>
                <w:sz w:val="15"/>
                <w:szCs w:val="15"/>
                <w:b w:val="1"/>
                <w:bCs w:val="1"/>
                <w:color w:val="auto"/>
              </w:rPr>
              <w:t>OUTSTANDING</w:t>
            </w:r>
          </w:p>
        </w:tc>
        <w:tc>
          <w:tcPr>
            <w:tcW w:w="2340" w:type="dxa"/>
            <w:vAlign w:val="bottom"/>
            <w:vMerge w:val="restart"/>
          </w:tcPr>
          <w:p>
            <w:pPr>
              <w:jc w:val="center"/>
              <w:spacing w:after="0"/>
              <w:rPr>
                <w:sz w:val="20"/>
                <w:szCs w:val="20"/>
                <w:color w:val="auto"/>
              </w:rPr>
            </w:pPr>
            <w:r>
              <w:rPr>
                <w:rFonts w:ascii="Arial" w:cs="Arial" w:eastAsia="Arial" w:hAnsi="Arial"/>
                <w:sz w:val="24"/>
                <w:szCs w:val="24"/>
                <w:color w:val="auto"/>
              </w:rPr>
              <w:t>$290.0M</w:t>
            </w:r>
          </w:p>
        </w:tc>
        <w:tc>
          <w:tcPr>
            <w:tcW w:w="0" w:type="dxa"/>
            <w:vAlign w:val="bottom"/>
          </w:tcPr>
          <w:p>
            <w:pPr>
              <w:spacing w:after="0"/>
              <w:rPr>
                <w:sz w:val="1"/>
                <w:szCs w:val="1"/>
                <w:color w:val="auto"/>
              </w:rPr>
            </w:pPr>
          </w:p>
        </w:tc>
      </w:tr>
      <w:tr>
        <w:trPr>
          <w:trHeight w:val="193"/>
        </w:trPr>
        <w:tc>
          <w:tcPr>
            <w:tcW w:w="2940" w:type="dxa"/>
            <w:vAlign w:val="bottom"/>
            <w:vMerge w:val="continue"/>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4"/>
                <w:szCs w:val="24"/>
                <w:color w:val="auto"/>
                <w:w w:val="89"/>
              </w:rPr>
              <w:t>$151.1M</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940" w:type="dxa"/>
            <w:vAlign w:val="bottom"/>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294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9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-1217295</wp:posOffset>
            </wp:positionV>
            <wp:extent cx="1050925" cy="952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0925" cy="952500"/>
                    </a:xfrm>
                    <a:prstGeom prst="rect">
                      <a:avLst/>
                    </a:prstGeom>
                    <a:noFill/>
                  </pic:spPr>
                </pic:pic>
              </a:graphicData>
            </a:graphic>
          </wp:anchor>
        </w:drawing>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513"/>
        </w:trPr>
        <w:tc>
          <w:tcPr>
            <w:tcW w:w="2880" w:type="dxa"/>
            <w:vAlign w:val="bottom"/>
            <w:tcBorders>
              <w:right w:val="single" w:sz="8" w:color="auto"/>
            </w:tcBorders>
            <w:vMerge w:val="restart"/>
          </w:tcPr>
          <w:p>
            <w:pPr>
              <w:jc w:val="center"/>
              <w:spacing w:after="0"/>
              <w:rPr>
                <w:sz w:val="20"/>
                <w:szCs w:val="20"/>
                <w:color w:val="auto"/>
              </w:rPr>
            </w:pPr>
            <w:r>
              <w:rPr>
                <w:rFonts w:ascii="Arial Black" w:cs="Arial Black" w:eastAsia="Arial Black" w:hAnsi="Arial Black"/>
                <w:sz w:val="19"/>
                <w:szCs w:val="19"/>
                <w:b w:val="1"/>
                <w:bCs w:val="1"/>
                <w:color w:val="auto"/>
                <w:w w:val="99"/>
              </w:rPr>
              <w:t>RETURN ON AVERAGE</w:t>
            </w:r>
          </w:p>
        </w:tc>
        <w:tc>
          <w:tcPr>
            <w:tcW w:w="3560" w:type="dxa"/>
            <w:vAlign w:val="bottom"/>
            <w:tcBorders>
              <w:right w:val="single" w:sz="8" w:color="auto"/>
            </w:tcBorders>
          </w:tcPr>
          <w:p>
            <w:pPr>
              <w:jc w:val="center"/>
              <w:spacing w:after="0"/>
              <w:rPr>
                <w:sz w:val="20"/>
                <w:szCs w:val="20"/>
                <w:color w:val="auto"/>
              </w:rPr>
            </w:pPr>
            <w:r>
              <w:rPr>
                <w:rFonts w:ascii="Arial Black" w:cs="Arial Black" w:eastAsia="Arial Black" w:hAnsi="Arial Black"/>
                <w:sz w:val="20"/>
                <w:szCs w:val="20"/>
                <w:b w:val="1"/>
                <w:bCs w:val="1"/>
                <w:color w:val="auto"/>
                <w:w w:val="99"/>
              </w:rPr>
              <w:t>AVERAGE NET</w:t>
            </w:r>
          </w:p>
        </w:tc>
        <w:tc>
          <w:tcPr>
            <w:tcW w:w="2380" w:type="dxa"/>
            <w:vAlign w:val="bottom"/>
            <w:vMerge w:val="restart"/>
          </w:tcPr>
          <w:p>
            <w:pPr>
              <w:jc w:val="center"/>
              <w:ind w:right="173"/>
              <w:spacing w:after="0"/>
              <w:rPr>
                <w:sz w:val="20"/>
                <w:szCs w:val="20"/>
                <w:color w:val="auto"/>
              </w:rPr>
            </w:pPr>
            <w:r>
              <w:rPr>
                <w:rFonts w:ascii="Arial Black" w:cs="Arial Black" w:eastAsia="Arial Black" w:hAnsi="Arial Black"/>
                <w:sz w:val="20"/>
                <w:szCs w:val="20"/>
                <w:b w:val="1"/>
                <w:bCs w:val="1"/>
                <w:color w:val="auto"/>
              </w:rPr>
              <w:t>R &amp; D</w:t>
            </w:r>
          </w:p>
        </w:tc>
        <w:tc>
          <w:tcPr>
            <w:tcW w:w="1420" w:type="dxa"/>
            <w:vAlign w:val="bottom"/>
          </w:tcPr>
          <w:p>
            <w:pPr>
              <w:jc w:val="center"/>
              <w:ind w:right="236"/>
              <w:spacing w:after="0"/>
              <w:rPr>
                <w:sz w:val="20"/>
                <w:szCs w:val="20"/>
                <w:color w:val="auto"/>
              </w:rPr>
            </w:pPr>
            <w:r>
              <w:rPr>
                <w:rFonts w:ascii="Arial Black" w:cs="Arial Black" w:eastAsia="Arial Black" w:hAnsi="Arial Black"/>
                <w:sz w:val="27"/>
                <w:szCs w:val="27"/>
                <w:b w:val="1"/>
                <w:bCs w:val="1"/>
                <w:color w:val="auto"/>
                <w:w w:val="97"/>
              </w:rPr>
              <w:t>6.2%</w:t>
            </w:r>
          </w:p>
        </w:tc>
        <w:tc>
          <w:tcPr>
            <w:tcW w:w="0" w:type="dxa"/>
            <w:vAlign w:val="bottom"/>
          </w:tcPr>
          <w:p>
            <w:pPr>
              <w:spacing w:after="0"/>
              <w:rPr>
                <w:sz w:val="1"/>
                <w:szCs w:val="1"/>
                <w:color w:val="auto"/>
              </w:rPr>
            </w:pPr>
          </w:p>
        </w:tc>
      </w:tr>
      <w:tr>
        <w:trPr>
          <w:trHeight w:val="210"/>
        </w:trPr>
        <w:tc>
          <w:tcPr>
            <w:tcW w:w="2880" w:type="dxa"/>
            <w:vAlign w:val="bottom"/>
            <w:tcBorders>
              <w:right w:val="single" w:sz="8" w:color="auto"/>
            </w:tcBorders>
            <w:vMerge w:val="continue"/>
          </w:tcPr>
          <w:p>
            <w:pPr>
              <w:spacing w:after="0"/>
              <w:rPr>
                <w:sz w:val="18"/>
                <w:szCs w:val="18"/>
                <w:color w:val="auto"/>
              </w:rPr>
            </w:pPr>
          </w:p>
        </w:tc>
        <w:tc>
          <w:tcPr>
            <w:tcW w:w="3560" w:type="dxa"/>
            <w:vAlign w:val="bottom"/>
            <w:tcBorders>
              <w:right w:val="single" w:sz="8" w:color="auto"/>
            </w:tcBorders>
          </w:tcPr>
          <w:p>
            <w:pPr>
              <w:jc w:val="center"/>
              <w:spacing w:after="0" w:line="210" w:lineRule="exact"/>
              <w:rPr>
                <w:sz w:val="20"/>
                <w:szCs w:val="20"/>
                <w:color w:val="auto"/>
              </w:rPr>
            </w:pPr>
            <w:r>
              <w:rPr>
                <w:rFonts w:ascii="Arial Black" w:cs="Arial Black" w:eastAsia="Arial Black" w:hAnsi="Arial Black"/>
                <w:sz w:val="19"/>
                <w:szCs w:val="19"/>
                <w:b w:val="1"/>
                <w:bCs w:val="1"/>
                <w:color w:val="auto"/>
              </w:rPr>
              <w:t>WORKING CAPITAL AS</w:t>
            </w:r>
          </w:p>
        </w:tc>
        <w:tc>
          <w:tcPr>
            <w:tcW w:w="2380" w:type="dxa"/>
            <w:vAlign w:val="bottom"/>
            <w:vMerge w:val="continue"/>
          </w:tcPr>
          <w:p>
            <w:pPr>
              <w:spacing w:after="0"/>
              <w:rPr>
                <w:sz w:val="18"/>
                <w:szCs w:val="18"/>
                <w:color w:val="auto"/>
              </w:rPr>
            </w:pPr>
          </w:p>
        </w:tc>
        <w:tc>
          <w:tcPr>
            <w:tcW w:w="1420" w:type="dxa"/>
            <w:vAlign w:val="bottom"/>
          </w:tcPr>
          <w:p>
            <w:pPr>
              <w:jc w:val="center"/>
              <w:ind w:right="256"/>
              <w:spacing w:after="0" w:line="208" w:lineRule="exact"/>
              <w:rPr>
                <w:sz w:val="20"/>
                <w:szCs w:val="20"/>
                <w:color w:val="auto"/>
              </w:rPr>
            </w:pPr>
            <w:r>
              <w:rPr>
                <w:rFonts w:ascii="Arial Black" w:cs="Arial Black" w:eastAsia="Arial Black" w:hAnsi="Arial Black"/>
                <w:sz w:val="15"/>
                <w:szCs w:val="15"/>
                <w:b w:val="1"/>
                <w:bCs w:val="1"/>
                <w:color w:val="B2B2B2"/>
              </w:rPr>
              <w:t>vs.</w:t>
            </w:r>
          </w:p>
        </w:tc>
        <w:tc>
          <w:tcPr>
            <w:tcW w:w="0" w:type="dxa"/>
            <w:vAlign w:val="bottom"/>
          </w:tcPr>
          <w:p>
            <w:pPr>
              <w:spacing w:after="0"/>
              <w:rPr>
                <w:sz w:val="1"/>
                <w:szCs w:val="1"/>
                <w:color w:val="auto"/>
              </w:rPr>
            </w:pPr>
          </w:p>
        </w:tc>
      </w:tr>
      <w:tr>
        <w:trPr>
          <w:trHeight w:val="49"/>
        </w:trPr>
        <w:tc>
          <w:tcPr>
            <w:tcW w:w="2880" w:type="dxa"/>
            <w:vAlign w:val="bottom"/>
            <w:tcBorders>
              <w:right w:val="single" w:sz="8" w:color="auto"/>
            </w:tcBorders>
          </w:tcPr>
          <w:p>
            <w:pPr>
              <w:jc w:val="center"/>
              <w:spacing w:after="0" w:line="49" w:lineRule="exact"/>
              <w:rPr>
                <w:sz w:val="20"/>
                <w:szCs w:val="20"/>
                <w:color w:val="auto"/>
              </w:rPr>
            </w:pPr>
            <w:r>
              <w:rPr>
                <w:rFonts w:ascii="Arial Black" w:cs="Arial Black" w:eastAsia="Arial Black" w:hAnsi="Arial Black"/>
                <w:sz w:val="4"/>
                <w:szCs w:val="4"/>
                <w:b w:val="1"/>
                <w:bCs w:val="1"/>
                <w:color w:val="auto"/>
              </w:rPr>
              <w:t>INVESTED CAPITAL</w:t>
            </w:r>
          </w:p>
        </w:tc>
        <w:tc>
          <w:tcPr>
            <w:tcW w:w="3560" w:type="dxa"/>
            <w:vAlign w:val="bottom"/>
            <w:tcBorders>
              <w:right w:val="single" w:sz="8" w:color="auto"/>
            </w:tcBorders>
          </w:tcPr>
          <w:p>
            <w:pPr>
              <w:jc w:val="center"/>
              <w:spacing w:after="0" w:line="49" w:lineRule="exact"/>
              <w:rPr>
                <w:sz w:val="20"/>
                <w:szCs w:val="20"/>
                <w:color w:val="auto"/>
              </w:rPr>
            </w:pPr>
            <w:r>
              <w:rPr>
                <w:rFonts w:ascii="Arial Black" w:cs="Arial Black" w:eastAsia="Arial Black" w:hAnsi="Arial Black"/>
                <w:sz w:val="4"/>
                <w:szCs w:val="4"/>
                <w:b w:val="1"/>
                <w:bCs w:val="1"/>
                <w:color w:val="auto"/>
              </w:rPr>
              <w:t>A PERCENTAGE OF NET</w:t>
            </w:r>
          </w:p>
        </w:tc>
        <w:tc>
          <w:tcPr>
            <w:tcW w:w="2380" w:type="dxa"/>
            <w:vAlign w:val="bottom"/>
          </w:tcPr>
          <w:p>
            <w:pPr>
              <w:jc w:val="center"/>
              <w:ind w:right="173"/>
              <w:spacing w:after="0" w:line="49" w:lineRule="exact"/>
              <w:rPr>
                <w:sz w:val="20"/>
                <w:szCs w:val="20"/>
                <w:color w:val="auto"/>
              </w:rPr>
            </w:pPr>
            <w:r>
              <w:rPr>
                <w:rFonts w:ascii="Arial Black" w:cs="Arial Black" w:eastAsia="Arial Black" w:hAnsi="Arial Black"/>
                <w:sz w:val="4"/>
                <w:szCs w:val="4"/>
                <w:b w:val="1"/>
                <w:bCs w:val="1"/>
                <w:color w:val="auto"/>
              </w:rPr>
              <w:t>INVESTMENT</w:t>
            </w:r>
          </w:p>
        </w:tc>
        <w:tc>
          <w:tcPr>
            <w:tcW w:w="1420" w:type="dxa"/>
            <w:vAlign w:val="bottom"/>
            <w:vMerge w:val="restart"/>
          </w:tcPr>
          <w:p>
            <w:pPr>
              <w:jc w:val="center"/>
              <w:ind w:right="256"/>
              <w:spacing w:after="0" w:line="106" w:lineRule="exact"/>
              <w:rPr>
                <w:sz w:val="20"/>
                <w:szCs w:val="20"/>
                <w:color w:val="auto"/>
              </w:rPr>
            </w:pPr>
            <w:r>
              <w:rPr>
                <w:rFonts w:ascii="Arial Black" w:cs="Arial Black" w:eastAsia="Arial Black" w:hAnsi="Arial Black"/>
                <w:sz w:val="9"/>
                <w:szCs w:val="9"/>
                <w:b w:val="1"/>
                <w:bCs w:val="1"/>
                <w:color w:val="B2B2B2"/>
              </w:rPr>
              <w:t>2024</w:t>
            </w:r>
          </w:p>
        </w:tc>
        <w:tc>
          <w:tcPr>
            <w:tcW w:w="0" w:type="dxa"/>
            <w:vAlign w:val="bottom"/>
          </w:tcPr>
          <w:p>
            <w:pPr>
              <w:spacing w:after="0"/>
              <w:rPr>
                <w:sz w:val="1"/>
                <w:szCs w:val="1"/>
                <w:color w:val="auto"/>
              </w:rPr>
            </w:pPr>
          </w:p>
        </w:tc>
      </w:tr>
      <w:tr>
        <w:trPr>
          <w:trHeight w:val="57"/>
        </w:trPr>
        <w:tc>
          <w:tcPr>
            <w:tcW w:w="2880" w:type="dxa"/>
            <w:vAlign w:val="bottom"/>
            <w:tcBorders>
              <w:right w:val="single" w:sz="8" w:color="auto"/>
            </w:tcBorders>
          </w:tcPr>
          <w:p>
            <w:pPr>
              <w:ind w:left="2420"/>
              <w:spacing w:after="0" w:line="57" w:lineRule="exact"/>
              <w:rPr>
                <w:sz w:val="20"/>
                <w:szCs w:val="20"/>
                <w:color w:val="auto"/>
              </w:rPr>
            </w:pPr>
            <w:r>
              <w:rPr>
                <w:rFonts w:ascii="Arial" w:cs="Arial" w:eastAsia="Arial" w:hAnsi="Arial"/>
                <w:sz w:val="6"/>
                <w:szCs w:val="6"/>
                <w:color w:val="auto"/>
              </w:rPr>
              <w:t>2</w:t>
            </w:r>
          </w:p>
        </w:tc>
        <w:tc>
          <w:tcPr>
            <w:tcW w:w="3560" w:type="dxa"/>
            <w:vAlign w:val="bottom"/>
            <w:tcBorders>
              <w:right w:val="single" w:sz="8" w:color="auto"/>
            </w:tcBorders>
          </w:tcPr>
          <w:p>
            <w:pPr>
              <w:spacing w:after="0"/>
              <w:rPr>
                <w:sz w:val="4"/>
                <w:szCs w:val="4"/>
                <w:color w:val="auto"/>
              </w:rPr>
            </w:pPr>
          </w:p>
        </w:tc>
        <w:tc>
          <w:tcPr>
            <w:tcW w:w="2380" w:type="dxa"/>
            <w:vAlign w:val="bottom"/>
            <w:vMerge w:val="restart"/>
          </w:tcPr>
          <w:p>
            <w:pPr>
              <w:jc w:val="center"/>
              <w:ind w:right="173"/>
              <w:spacing w:after="0"/>
              <w:rPr>
                <w:sz w:val="20"/>
                <w:szCs w:val="20"/>
                <w:color w:val="auto"/>
              </w:rPr>
            </w:pPr>
            <w:r>
              <w:rPr>
                <w:rFonts w:ascii="Arial" w:cs="Arial" w:eastAsia="Arial" w:hAnsi="Arial"/>
                <w:sz w:val="24"/>
                <w:szCs w:val="24"/>
                <w:color w:val="auto"/>
                <w:w w:val="98"/>
              </w:rPr>
              <w:t>$162.3M</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880" w:type="dxa"/>
            <w:vAlign w:val="bottom"/>
            <w:tcBorders>
              <w:right w:val="single" w:sz="8" w:color="auto"/>
            </w:tcBorders>
          </w:tcPr>
          <w:p>
            <w:pPr>
              <w:jc w:val="center"/>
              <w:spacing w:after="0" w:line="314" w:lineRule="exact"/>
              <w:rPr>
                <w:sz w:val="20"/>
                <w:szCs w:val="20"/>
                <w:color w:val="auto"/>
              </w:rPr>
            </w:pPr>
            <w:r>
              <w:rPr>
                <w:rFonts w:ascii="Arial Black" w:cs="Arial Black" w:eastAsia="Arial Black" w:hAnsi="Arial Black"/>
                <w:sz w:val="29"/>
                <w:szCs w:val="29"/>
                <w:b w:val="1"/>
                <w:bCs w:val="1"/>
                <w:color w:val="auto"/>
              </w:rPr>
              <w:t>17.0%</w:t>
            </w:r>
          </w:p>
        </w:tc>
        <w:tc>
          <w:tcPr>
            <w:tcW w:w="3560" w:type="dxa"/>
            <w:vAlign w:val="bottom"/>
            <w:tcBorders>
              <w:right w:val="single" w:sz="8" w:color="auto"/>
            </w:tcBorders>
            <w:vMerge w:val="restart"/>
          </w:tcPr>
          <w:p>
            <w:pPr>
              <w:jc w:val="center"/>
              <w:spacing w:after="0"/>
              <w:rPr>
                <w:sz w:val="20"/>
                <w:szCs w:val="20"/>
                <w:color w:val="auto"/>
              </w:rPr>
            </w:pPr>
            <w:r>
              <w:rPr>
                <w:rFonts w:ascii="Arial Black" w:cs="Arial Black" w:eastAsia="Arial Black" w:hAnsi="Arial Black"/>
                <w:sz w:val="20"/>
                <w:szCs w:val="20"/>
                <w:b w:val="1"/>
                <w:bCs w:val="1"/>
                <w:color w:val="auto"/>
              </w:rPr>
              <w:t>SALES</w:t>
            </w:r>
            <w:r>
              <w:rPr>
                <w:rFonts w:ascii="Arial" w:cs="Arial" w:eastAsia="Arial" w:hAnsi="Arial"/>
                <w:sz w:val="11"/>
                <w:szCs w:val="11"/>
                <w:color w:val="auto"/>
              </w:rPr>
              <w:t>3</w:t>
            </w:r>
          </w:p>
        </w:tc>
        <w:tc>
          <w:tcPr>
            <w:tcW w:w="2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880" w:type="dxa"/>
            <w:vAlign w:val="bottom"/>
            <w:tcBorders>
              <w:right w:val="single" w:sz="8" w:color="auto"/>
            </w:tcBorders>
          </w:tcPr>
          <w:p>
            <w:pPr>
              <w:spacing w:after="0"/>
              <w:rPr>
                <w:sz w:val="5"/>
                <w:szCs w:val="5"/>
                <w:color w:val="auto"/>
              </w:rPr>
            </w:pPr>
          </w:p>
        </w:tc>
        <w:tc>
          <w:tcPr>
            <w:tcW w:w="3560" w:type="dxa"/>
            <w:vAlign w:val="bottom"/>
            <w:tcBorders>
              <w:right w:val="single" w:sz="8" w:color="auto"/>
            </w:tcBorders>
            <w:vMerge w:val="continue"/>
          </w:tcPr>
          <w:p>
            <w:pPr>
              <w:spacing w:after="0"/>
              <w:rPr>
                <w:sz w:val="5"/>
                <w:szCs w:val="5"/>
                <w:color w:val="auto"/>
              </w:rPr>
            </w:pPr>
          </w:p>
        </w:tc>
        <w:tc>
          <w:tcPr>
            <w:tcW w:w="23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288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24"/>
                <w:szCs w:val="24"/>
                <w:color w:val="auto"/>
                <w:w w:val="99"/>
              </w:rPr>
              <w:t>25.3%</w:t>
            </w: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88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2880" w:type="dxa"/>
            <w:vAlign w:val="bottom"/>
          </w:tcPr>
          <w:p>
            <w:pPr>
              <w:spacing w:after="0"/>
              <w:rPr>
                <w:sz w:val="20"/>
                <w:szCs w:val="20"/>
                <w:color w:val="auto"/>
              </w:rPr>
            </w:pPr>
            <w:r>
              <w:rPr>
                <w:rFonts w:ascii="Arial Black" w:cs="Arial Black" w:eastAsia="Arial Black" w:hAnsi="Arial Black"/>
                <w:sz w:val="20"/>
                <w:szCs w:val="20"/>
                <w:b w:val="1"/>
                <w:bCs w:val="1"/>
                <w:color w:val="auto"/>
              </w:rPr>
              <w:t>NET SALES BY</w:t>
            </w:r>
          </w:p>
        </w:tc>
        <w:tc>
          <w:tcPr>
            <w:tcW w:w="3560" w:type="dxa"/>
            <w:vAlign w:val="bottom"/>
          </w:tcPr>
          <w:p>
            <w:pPr>
              <w:ind w:left="660"/>
              <w:spacing w:after="0"/>
              <w:rPr>
                <w:sz w:val="20"/>
                <w:szCs w:val="20"/>
                <w:color w:val="auto"/>
              </w:rPr>
            </w:pPr>
            <w:r>
              <w:rPr>
                <w:rFonts w:ascii="Arial Black" w:cs="Arial Black" w:eastAsia="Arial Black" w:hAnsi="Arial Black"/>
                <w:sz w:val="20"/>
                <w:szCs w:val="20"/>
                <w:b w:val="1"/>
                <w:bCs w:val="1"/>
                <w:color w:val="auto"/>
              </w:rPr>
              <w:t>NET SALES</w:t>
            </w:r>
          </w:p>
        </w:tc>
        <w:tc>
          <w:tcPr>
            <w:tcW w:w="2380" w:type="dxa"/>
            <w:vAlign w:val="bottom"/>
          </w:tcPr>
          <w:p>
            <w:pPr>
              <w:ind w:left="540"/>
              <w:spacing w:after="0"/>
              <w:rPr>
                <w:sz w:val="20"/>
                <w:szCs w:val="20"/>
                <w:color w:val="auto"/>
              </w:rPr>
            </w:pPr>
            <w:r>
              <w:rPr>
                <w:rFonts w:ascii="Arial Black" w:cs="Arial Black" w:eastAsia="Arial Black" w:hAnsi="Arial Black"/>
                <w:sz w:val="20"/>
                <w:szCs w:val="20"/>
                <w:b w:val="1"/>
                <w:bCs w:val="1"/>
                <w:color w:val="auto"/>
              </w:rPr>
              <w:t>NET SALES BY</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line="210" w:lineRule="exact"/>
              <w:rPr>
                <w:sz w:val="20"/>
                <w:szCs w:val="20"/>
                <w:color w:val="auto"/>
              </w:rPr>
            </w:pPr>
            <w:r>
              <w:rPr>
                <w:rFonts w:ascii="Arial Black" w:cs="Arial Black" w:eastAsia="Arial Black" w:hAnsi="Arial Black"/>
                <w:sz w:val="19"/>
                <w:szCs w:val="19"/>
                <w:b w:val="1"/>
                <w:bCs w:val="1"/>
                <w:color w:val="auto"/>
              </w:rPr>
              <w:t>SEGMENT</w:t>
            </w:r>
          </w:p>
        </w:tc>
        <w:tc>
          <w:tcPr>
            <w:tcW w:w="3560" w:type="dxa"/>
            <w:vAlign w:val="bottom"/>
          </w:tcPr>
          <w:p>
            <w:pPr>
              <w:ind w:left="660"/>
              <w:spacing w:after="0" w:line="210" w:lineRule="exact"/>
              <w:rPr>
                <w:sz w:val="20"/>
                <w:szCs w:val="20"/>
                <w:color w:val="auto"/>
              </w:rPr>
            </w:pPr>
            <w:r>
              <w:rPr>
                <w:rFonts w:ascii="Arial Black" w:cs="Arial Black" w:eastAsia="Arial Black" w:hAnsi="Arial Black"/>
                <w:sz w:val="19"/>
                <w:szCs w:val="19"/>
                <w:b w:val="1"/>
                <w:bCs w:val="1"/>
                <w:color w:val="auto"/>
              </w:rPr>
              <w:t>BY PRODUCT</w:t>
            </w:r>
          </w:p>
        </w:tc>
        <w:tc>
          <w:tcPr>
            <w:tcW w:w="2380" w:type="dxa"/>
            <w:vAlign w:val="bottom"/>
          </w:tcPr>
          <w:p>
            <w:pPr>
              <w:ind w:left="540"/>
              <w:spacing w:after="0" w:line="210" w:lineRule="exact"/>
              <w:rPr>
                <w:sz w:val="20"/>
                <w:szCs w:val="20"/>
                <w:color w:val="auto"/>
              </w:rPr>
            </w:pPr>
            <w:r>
              <w:rPr>
                <w:rFonts w:ascii="Arial Black" w:cs="Arial Black" w:eastAsia="Arial Black" w:hAnsi="Arial Black"/>
                <w:sz w:val="19"/>
                <w:szCs w:val="19"/>
                <w:b w:val="1"/>
                <w:bCs w:val="1"/>
                <w:color w:val="auto"/>
              </w:rPr>
              <w:t>GEOGRAPHIC</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Wingdings 2" w:cs="Wingdings 2" w:eastAsia="Wingdings 2" w:hAnsi="Wingdings 2"/>
                <w:sz w:val="16"/>
                <w:szCs w:val="16"/>
                <w:color w:val="auto"/>
              </w:rPr>
              <w:t xml:space="preserve">¢ </w:t>
            </w:r>
            <w:r>
              <w:rPr>
                <w:rFonts w:ascii="Arial" w:cs="Arial" w:eastAsia="Arial" w:hAnsi="Arial"/>
                <w:sz w:val="15"/>
                <w:szCs w:val="15"/>
                <w:color w:val="auto"/>
              </w:rPr>
              <w:t>Professional 81%</w:t>
            </w:r>
          </w:p>
        </w:tc>
        <w:tc>
          <w:tcPr>
            <w:tcW w:w="3560" w:type="dxa"/>
            <w:vAlign w:val="bottom"/>
          </w:tcPr>
          <w:p>
            <w:pPr>
              <w:ind w:left="660"/>
              <w:spacing w:after="0" w:line="277" w:lineRule="exact"/>
              <w:rPr>
                <w:sz w:val="20"/>
                <w:szCs w:val="20"/>
                <w:color w:val="auto"/>
              </w:rPr>
            </w:pPr>
            <w:r>
              <w:rPr>
                <w:rFonts w:ascii="Arial Black" w:cs="Arial Black" w:eastAsia="Arial Black" w:hAnsi="Arial Black"/>
                <w:sz w:val="20"/>
                <w:szCs w:val="20"/>
                <w:b w:val="1"/>
                <w:bCs w:val="1"/>
                <w:color w:val="auto"/>
              </w:rPr>
              <w:t>TYPE</w:t>
            </w:r>
          </w:p>
        </w:tc>
        <w:tc>
          <w:tcPr>
            <w:tcW w:w="2380" w:type="dxa"/>
            <w:vAlign w:val="bottom"/>
          </w:tcPr>
          <w:p>
            <w:pPr>
              <w:ind w:left="540"/>
              <w:spacing w:after="0" w:line="277" w:lineRule="exact"/>
              <w:rPr>
                <w:sz w:val="20"/>
                <w:szCs w:val="20"/>
                <w:color w:val="auto"/>
              </w:rPr>
            </w:pPr>
            <w:r>
              <w:rPr>
                <w:rFonts w:ascii="Arial Black" w:cs="Arial Black" w:eastAsia="Arial Black" w:hAnsi="Arial Black"/>
                <w:sz w:val="20"/>
                <w:szCs w:val="20"/>
                <w:b w:val="1"/>
                <w:bCs w:val="1"/>
                <w:color w:val="auto"/>
              </w:rPr>
              <w:t>LOCATION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20"/>
                <w:szCs w:val="20"/>
                <w:color w:val="auto"/>
              </w:rPr>
            </w:pPr>
            <w:r>
              <w:rPr>
                <w:rFonts w:ascii="Wingdings 2" w:cs="Wingdings 2" w:eastAsia="Wingdings 2" w:hAnsi="Wingdings 2"/>
                <w:sz w:val="16"/>
                <w:szCs w:val="16"/>
                <w:color w:val="666666"/>
              </w:rPr>
              <w:t xml:space="preserve">¢ </w:t>
            </w:r>
            <w:r>
              <w:rPr>
                <w:rFonts w:ascii="Arial" w:cs="Arial" w:eastAsia="Arial" w:hAnsi="Arial"/>
                <w:sz w:val="15"/>
                <w:szCs w:val="15"/>
                <w:color w:val="000000"/>
              </w:rPr>
              <w:t>Residential 19%</w:t>
            </w:r>
          </w:p>
        </w:tc>
        <w:tc>
          <w:tcPr>
            <w:tcW w:w="3560" w:type="dxa"/>
            <w:vAlign w:val="bottom"/>
            <w:vMerge w:val="restart"/>
          </w:tcPr>
          <w:p>
            <w:pPr>
              <w:ind w:left="660"/>
              <w:spacing w:after="0"/>
              <w:rPr>
                <w:sz w:val="20"/>
                <w:szCs w:val="20"/>
                <w:color w:val="auto"/>
              </w:rPr>
            </w:pPr>
            <w:r>
              <w:rPr>
                <w:rFonts w:ascii="Wingdings 2" w:cs="Wingdings 2" w:eastAsia="Wingdings 2" w:hAnsi="Wingdings 2"/>
                <w:sz w:val="16"/>
                <w:szCs w:val="16"/>
                <w:color w:val="auto"/>
              </w:rPr>
              <w:t xml:space="preserve">¢ </w:t>
            </w:r>
            <w:r>
              <w:rPr>
                <w:rFonts w:ascii="Arial" w:cs="Arial" w:eastAsia="Arial" w:hAnsi="Arial"/>
                <w:sz w:val="15"/>
                <w:szCs w:val="15"/>
                <w:color w:val="auto"/>
              </w:rPr>
              <w:t>Equipment 90%</w:t>
            </w:r>
          </w:p>
        </w:tc>
        <w:tc>
          <w:tcPr>
            <w:tcW w:w="2380" w:type="dxa"/>
            <w:vAlign w:val="bottom"/>
            <w:vMerge w:val="restart"/>
          </w:tcPr>
          <w:p>
            <w:pPr>
              <w:ind w:left="540"/>
              <w:spacing w:after="0"/>
              <w:rPr>
                <w:sz w:val="20"/>
                <w:szCs w:val="20"/>
                <w:color w:val="auto"/>
              </w:rPr>
            </w:pPr>
            <w:r>
              <w:rPr>
                <w:rFonts w:ascii="Wingdings 2" w:cs="Wingdings 2" w:eastAsia="Wingdings 2" w:hAnsi="Wingdings 2"/>
                <w:sz w:val="16"/>
                <w:szCs w:val="16"/>
                <w:color w:val="auto"/>
              </w:rPr>
              <w:t xml:space="preserve">¢ </w:t>
            </w:r>
            <w:r>
              <w:rPr>
                <w:rFonts w:ascii="Arial" w:cs="Arial" w:eastAsia="Arial" w:hAnsi="Arial"/>
                <w:sz w:val="15"/>
                <w:szCs w:val="15"/>
                <w:color w:val="auto"/>
              </w:rPr>
              <w:t>United States 81%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88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560" w:type="dxa"/>
            <w:vAlign w:val="bottom"/>
          </w:tcPr>
          <w:p>
            <w:pPr>
              <w:ind w:left="660"/>
              <w:spacing w:after="0"/>
              <w:rPr>
                <w:sz w:val="20"/>
                <w:szCs w:val="20"/>
                <w:color w:val="auto"/>
              </w:rPr>
            </w:pPr>
            <w:r>
              <w:rPr>
                <w:rFonts w:ascii="Wingdings 2" w:cs="Wingdings 2" w:eastAsia="Wingdings 2" w:hAnsi="Wingdings 2"/>
                <w:sz w:val="16"/>
                <w:szCs w:val="16"/>
                <w:color w:val="666666"/>
              </w:rPr>
              <w:t xml:space="preserve">¢ </w:t>
            </w:r>
            <w:r>
              <w:rPr>
                <w:rFonts w:ascii="Arial" w:cs="Arial" w:eastAsia="Arial" w:hAnsi="Arial"/>
                <w:sz w:val="15"/>
                <w:szCs w:val="15"/>
                <w:color w:val="000000"/>
              </w:rPr>
              <w:t>Irrigation 10%</w:t>
            </w:r>
          </w:p>
        </w:tc>
        <w:tc>
          <w:tcPr>
            <w:tcW w:w="2380" w:type="dxa"/>
            <w:vAlign w:val="bottom"/>
          </w:tcPr>
          <w:p>
            <w:pPr>
              <w:ind w:left="540"/>
              <w:spacing w:after="0"/>
              <w:rPr>
                <w:sz w:val="20"/>
                <w:szCs w:val="20"/>
                <w:color w:val="auto"/>
              </w:rPr>
            </w:pPr>
            <w:r>
              <w:rPr>
                <w:rFonts w:ascii="Wingdings 2" w:cs="Wingdings 2" w:eastAsia="Wingdings 2" w:hAnsi="Wingdings 2"/>
                <w:sz w:val="16"/>
                <w:szCs w:val="16"/>
                <w:color w:val="666666"/>
              </w:rPr>
              <w:t xml:space="preserve">¢ </w:t>
            </w:r>
            <w:r>
              <w:rPr>
                <w:rFonts w:ascii="Arial" w:cs="Arial" w:eastAsia="Arial" w:hAnsi="Arial"/>
                <w:sz w:val="15"/>
                <w:szCs w:val="15"/>
                <w:color w:val="000000"/>
              </w:rPr>
              <w:t>International 19%</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-2080895</wp:posOffset>
            </wp:positionV>
            <wp:extent cx="1050925" cy="952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0925" cy="95250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-634365</wp:posOffset>
            </wp:positionV>
            <wp:extent cx="1022350" cy="1022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2350" cy="102235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-634365</wp:posOffset>
            </wp:positionV>
            <wp:extent cx="1022350" cy="1022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2350" cy="1022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-634365</wp:posOffset>
            </wp:positionV>
            <wp:extent cx="1022350" cy="1022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2350" cy="102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 w:hanging="62"/>
        <w:spacing w:after="0"/>
        <w:tabs>
          <w:tab w:leader="none" w:pos="62" w:val="left"/>
        </w:tabs>
        <w:numPr>
          <w:ilvl w:val="0"/>
          <w:numId w:val="1"/>
        </w:numPr>
        <w:rPr>
          <w:rFonts w:ascii="Arial" w:cs="Arial" w:eastAsia="Arial" w:hAnsi="Arial"/>
          <w:sz w:val="7"/>
          <w:szCs w:val="7"/>
          <w:color w:val="auto"/>
        </w:rPr>
      </w:pPr>
      <w:r>
        <w:rPr>
          <w:rFonts w:ascii="Arial" w:cs="Arial" w:eastAsia="Arial" w:hAnsi="Arial"/>
          <w:sz w:val="12"/>
          <w:szCs w:val="12"/>
          <w:color w:val="auto"/>
        </w:rPr>
        <w:t>This Annual Report includes certain non-GAAP financial measures. Please refer to the disclosure, entitled “Non-GAAP Financial Measures,” which begins on page 45 of the Form 10-K.</w:t>
      </w:r>
    </w:p>
    <w:p>
      <w:pPr>
        <w:spacing w:after="0" w:line="42" w:lineRule="exact"/>
        <w:rPr>
          <w:rFonts w:ascii="Arial" w:cs="Arial" w:eastAsia="Arial" w:hAnsi="Arial"/>
          <w:sz w:val="7"/>
          <w:szCs w:val="7"/>
          <w:color w:val="auto"/>
        </w:rPr>
      </w:pPr>
    </w:p>
    <w:p>
      <w:pPr>
        <w:ind w:left="62" w:right="400" w:hanging="62"/>
        <w:spacing w:after="0" w:line="250" w:lineRule="auto"/>
        <w:tabs>
          <w:tab w:leader="none" w:pos="62" w:val="left"/>
        </w:tabs>
        <w:numPr>
          <w:ilvl w:val="0"/>
          <w:numId w:val="1"/>
        </w:numPr>
        <w:rPr>
          <w:rFonts w:ascii="Arial" w:cs="Arial" w:eastAsia="Arial" w:hAnsi="Arial"/>
          <w:sz w:val="9"/>
          <w:szCs w:val="9"/>
          <w:color w:val="auto"/>
        </w:rPr>
      </w:pPr>
      <w:r>
        <w:rPr>
          <w:rFonts w:ascii="Arial" w:cs="Arial" w:eastAsia="Arial" w:hAnsi="Arial"/>
          <w:sz w:val="15"/>
          <w:szCs w:val="15"/>
          <w:color w:val="auto"/>
        </w:rPr>
        <w:t>This metric represents a non-GAAP financial metric and a reconciliation of this non-GAAP financial metric can be found in our Investor Presentation, which is available in the Investor section at www.thetorocompany.com.</w:t>
      </w:r>
    </w:p>
    <w:p>
      <w:pPr>
        <w:ind w:left="62" w:hanging="62"/>
        <w:spacing w:after="0"/>
        <w:tabs>
          <w:tab w:leader="none" w:pos="62" w:val="left"/>
        </w:tabs>
        <w:numPr>
          <w:ilvl w:val="0"/>
          <w:numId w:val="1"/>
        </w:numPr>
        <w:rPr>
          <w:rFonts w:ascii="Arial" w:cs="Arial" w:eastAsia="Arial" w:hAnsi="Arial"/>
          <w:sz w:val="8"/>
          <w:szCs w:val="8"/>
          <w:color w:val="auto"/>
        </w:rPr>
      </w:pPr>
      <w:r>
        <w:rPr>
          <w:rFonts w:ascii="Arial" w:cs="Arial" w:eastAsia="Arial" w:hAnsi="Arial"/>
          <w:sz w:val="14"/>
          <w:szCs w:val="14"/>
          <w:color w:val="auto"/>
        </w:rPr>
        <w:t>Defined as average net accounts receivable plus average net inventory, less average accounts payable as a percentage of net sales for a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434340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434340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242"/>
          </w:cols>
          <w:pgMar w:left="898" w:top="993" w:right="740" w:bottom="132"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279400</wp:posOffset>
            </wp:positionH>
            <wp:positionV relativeFrom="page">
              <wp:posOffset>114300</wp:posOffset>
            </wp:positionV>
            <wp:extent cx="700087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0875" cy="25400"/>
                    </a:xfrm>
                    <a:prstGeom prst="rect">
                      <a:avLst/>
                    </a:prstGeom>
                    <a:noFill/>
                  </pic:spPr>
                </pic:pic>
              </a:graphicData>
            </a:graphic>
          </wp:anchor>
        </w:drawing>
        <w:drawing>
          <wp:anchor simplePos="0" relativeHeight="251657728" behindDoc="1" locked="0" layoutInCell="0" allowOverlap="1">
            <wp:simplePos x="0" y="0"/>
            <wp:positionH relativeFrom="page">
              <wp:posOffset>279400</wp:posOffset>
            </wp:positionH>
            <wp:positionV relativeFrom="page">
              <wp:posOffset>168275</wp:posOffset>
            </wp:positionV>
            <wp:extent cx="700087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0875" cy="12700"/>
                    </a:xfrm>
                    <a:prstGeom prst="rect">
                      <a:avLst/>
                    </a:prstGeom>
                    <a:noFill/>
                  </pic:spPr>
                </pic:pic>
              </a:graphicData>
            </a:graphic>
          </wp:anchor>
        </w:drawing>
        <w:t>UNITED STATES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7" w:lineRule="exact"/>
        <w:rPr>
          <w:sz w:val="20"/>
          <w:szCs w:val="20"/>
          <w:color w:val="auto"/>
        </w:rPr>
      </w:pPr>
    </w:p>
    <w:p>
      <w:pPr>
        <w:ind w:left="3800" w:right="2060" w:hanging="1758"/>
        <w:spacing w:after="0" w:line="260" w:lineRule="auto"/>
        <w:tabs>
          <w:tab w:leader="none" w:pos="2365" w:val="left"/>
        </w:tabs>
        <w:numPr>
          <w:ilvl w:val="0"/>
          <w:numId w:val="2"/>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October 31, 2025</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 w:lineRule="exact"/>
        <w:rPr>
          <w:sz w:val="20"/>
          <w:szCs w:val="20"/>
          <w:color w:val="auto"/>
        </w:rPr>
      </w:pPr>
    </w:p>
    <w:p>
      <w:pPr>
        <w:ind w:left="2240" w:hanging="318"/>
        <w:spacing w:after="0"/>
        <w:tabs>
          <w:tab w:leader="none" w:pos="2240" w:val="left"/>
        </w:tabs>
        <w:numPr>
          <w:ilvl w:val="0"/>
          <w:numId w:val="3"/>
        </w:numPr>
        <w:rPr>
          <w:rFonts w:ascii="Arial" w:cs="Arial" w:eastAsia="Arial" w:hAnsi="Arial"/>
          <w:sz w:val="2"/>
          <w:szCs w:val="2"/>
          <w:b w:val="1"/>
          <w:bCs w:val="1"/>
          <w:color w:val="auto"/>
        </w:rPr>
      </w:pPr>
      <w:r>
        <w:rPr>
          <w:rFonts w:ascii="Times New Roman" w:cs="Times New Roman" w:eastAsia="Times New Roman" w:hAnsi="Times New Roman"/>
          <w:sz w:val="2"/>
          <w:szCs w:val="2"/>
          <w:b w:val="1"/>
          <w:bCs w:val="1"/>
          <w:color w:val="auto"/>
        </w:rPr>
        <w:t>Transition Report Pursuant to Section 13 or 15(d) of the Securities Exchange Act of 1934</w:t>
      </w:r>
    </w:p>
    <w:p>
      <w:pPr>
        <w:spacing w:after="0" w:line="239" w:lineRule="exact"/>
        <w:rPr>
          <w:sz w:val="20"/>
          <w:szCs w:val="20"/>
          <w:color w:val="auto"/>
        </w:rPr>
      </w:pPr>
    </w:p>
    <w:p>
      <w:pPr>
        <w:jc w:val="center"/>
        <w:ind w:right="2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1-8649</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THE TORO COMPANY</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highlight w:val="black"/>
        </w:rPr>
        <w:t>(Exact nam</w:t>
      </w:r>
      <w:r>
        <w:rPr>
          <w:rFonts w:ascii="Times New Roman" w:cs="Times New Roman" w:eastAsia="Times New Roman" w:hAnsi="Times New Roman"/>
          <w:sz w:val="16"/>
          <w:szCs w:val="16"/>
          <w:color w:val="auto"/>
        </w:rPr>
        <w:t>e o</w:t>
      </w:r>
      <w:r>
        <w:rPr>
          <w:rFonts w:ascii="Times New Roman" w:cs="Times New Roman" w:eastAsia="Times New Roman" w:hAnsi="Times New Roman"/>
          <w:sz w:val="16"/>
          <w:szCs w:val="16"/>
          <w:color w:val="auto"/>
          <w:highlight w:val="black"/>
        </w:rPr>
        <w:t>f registran</w:t>
      </w:r>
      <w:r>
        <w:rPr>
          <w:rFonts w:ascii="Times New Roman" w:cs="Times New Roman" w:eastAsia="Times New Roman" w:hAnsi="Times New Roman"/>
          <w:sz w:val="16"/>
          <w:szCs w:val="16"/>
          <w:color w:val="auto"/>
        </w:rPr>
        <w:t>t</w:t>
      </w:r>
      <w:r>
        <w:rPr>
          <w:rFonts w:ascii="Times New Roman" w:cs="Times New Roman" w:eastAsia="Times New Roman" w:hAnsi="Times New Roman"/>
          <w:sz w:val="16"/>
          <w:szCs w:val="16"/>
          <w:color w:val="auto"/>
          <w:highlight w:val="black"/>
        </w:rPr>
        <w:t xml:space="preserve"> as specified in its charte</w:t>
      </w:r>
      <w:r>
        <w:rPr>
          <w:rFonts w:ascii="Times New Roman" w:cs="Times New Roman" w:eastAsia="Times New Roman" w:hAnsi="Times New Roman"/>
          <w:sz w:val="16"/>
          <w:szCs w:val="16"/>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-73660</wp:posOffset>
            </wp:positionV>
            <wp:extent cx="6917055" cy="2197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17055" cy="219710"/>
                    </a:xfrm>
                    <a:prstGeom prst="rect">
                      <a:avLst/>
                    </a:prstGeom>
                    <a:noFill/>
                  </pic:spPr>
                </pic:pic>
              </a:graphicData>
            </a:graphic>
          </wp:anchor>
        </w:drawing>
      </w:r>
    </w:p>
    <w:p>
      <w:pPr>
        <w:sectPr>
          <w:pgSz w:w="11880" w:h="15480" w:orient="portrait"/>
          <w:cols w:equalWidth="0" w:num="1">
            <w:col w:w="11000"/>
          </w:cols>
          <w:pgMar w:left="460" w:top="279" w:right="420" w:bottom="0" w:gutter="0" w:footer="0" w:header="0"/>
        </w:sectPr>
      </w:pP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highlight w:val="black"/>
        </w:rPr>
        <w:t>(State or Other Jurisdict</w:t>
      </w:r>
      <w:r>
        <w:rPr>
          <w:rFonts w:ascii="Times New Roman" w:cs="Times New Roman" w:eastAsia="Times New Roman" w:hAnsi="Times New Roman"/>
          <w:sz w:val="16"/>
          <w:szCs w:val="16"/>
          <w:color w:val="auto"/>
        </w:rPr>
        <w:t>ion of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auto"/>
          <w:highlight w:val="black"/>
        </w:rPr>
        <w:t>I.R.S. Emp</w:t>
      </w:r>
      <w:r>
        <w:rPr>
          <w:rFonts w:ascii="Times New Roman" w:cs="Times New Roman" w:eastAsia="Times New Roman" w:hAnsi="Times New Roman"/>
          <w:sz w:val="16"/>
          <w:szCs w:val="16"/>
          <w:color w:val="auto"/>
        </w:rPr>
        <w:t>loyer Identification No.)</w:t>
      </w:r>
    </w:p>
    <w:p>
      <w:pPr>
        <w:spacing w:after="0" w:line="1" w:lineRule="exact"/>
        <w:rPr>
          <w:sz w:val="20"/>
          <w:szCs w:val="20"/>
          <w:color w:val="auto"/>
        </w:rPr>
      </w:pPr>
    </w:p>
    <w:p>
      <w:pPr>
        <w:sectPr>
          <w:pgSz w:w="11880" w:h="15480" w:orient="portrait"/>
          <w:cols w:equalWidth="0" w:num="2">
            <w:col w:w="7660" w:space="720"/>
            <w:col w:w="2620"/>
          </w:cols>
          <w:pgMar w:left="460" w:top="279" w:right="420" w:bottom="0" w:gutter="0" w:footer="0" w:header="0"/>
          <w:type w:val="continuous"/>
        </w:sectPr>
      </w:pPr>
    </w:p>
    <w:tbl>
      <w:tblPr>
        <w:tblLayout w:type="fixed"/>
        <w:tblInd w:w="440" w:type="dxa"/>
        <w:tblCellMar>
          <w:top w:w="0" w:type="dxa"/>
          <w:left w:w="0" w:type="dxa"/>
          <w:bottom w:w="0" w:type="dxa"/>
          <w:right w:w="0" w:type="dxa"/>
        </w:tblCellMar>
      </w:tblP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40" w:type="dxa"/>
            <w:vAlign w:val="bottom"/>
            <w:vMerge w:val="restart"/>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3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Bloomington, Minnesota 55420-1196</w:t>
            </w: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364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Telephone Number: (952) 888-8801</w:t>
            </w:r>
          </w:p>
        </w:tc>
        <w:tc>
          <w:tcPr>
            <w:tcW w:w="0" w:type="dxa"/>
            <w:vAlign w:val="bottom"/>
          </w:tcPr>
          <w:p>
            <w:pPr>
              <w:spacing w:after="0"/>
              <w:rPr>
                <w:sz w:val="1"/>
                <w:szCs w:val="1"/>
                <w:color w:val="auto"/>
              </w:rPr>
            </w:pPr>
          </w:p>
        </w:tc>
      </w:tr>
    </w:tbl>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0"/>
          <w:szCs w:val="20"/>
          <w:color w:val="auto"/>
        </w:rPr>
      </w:pP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6" w:lineRule="exact"/>
        <w:rPr>
          <w:sz w:val="20"/>
          <w:szCs w:val="20"/>
          <w:color w:val="auto"/>
        </w:rPr>
      </w:pPr>
    </w:p>
    <w:p>
      <w:pPr>
        <w:ind w:right="1420"/>
        <w:spacing w:after="0" w:line="319"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9"/>
          <w:szCs w:val="19"/>
          <w:b w:val="1"/>
          <w:bCs w:val="1"/>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9"/>
          <w:szCs w:val="19"/>
          <w:b w:val="1"/>
          <w:bCs w:val="1"/>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9"/>
          <w:szCs w:val="19"/>
          <w:b w:val="1"/>
          <w:bCs w:val="1"/>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9"/>
          <w:szCs w:val="19"/>
          <w:b w:val="1"/>
          <w:bCs w:val="1"/>
          <w:color w:val="auto"/>
        </w:rPr>
        <w:t>☒</w:t>
      </w:r>
    </w:p>
    <w:p>
      <w:pPr>
        <w:spacing w:after="0" w:line="96" w:lineRule="exact"/>
        <w:rPr>
          <w:sz w:val="20"/>
          <w:szCs w:val="20"/>
          <w:color w:val="auto"/>
        </w:rPr>
      </w:pPr>
    </w:p>
    <w:p>
      <w:pPr>
        <w:jc w:val="both"/>
        <w:ind w:right="20"/>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20"/>
          <w:szCs w:val="20"/>
          <w:b w:val="1"/>
          <w:bCs w:val="1"/>
          <w:color w:val="auto"/>
        </w:rPr>
        <w:t>☐</w:t>
      </w:r>
    </w:p>
    <w:p>
      <w:pPr>
        <w:spacing w:after="0" w:line="96" w:lineRule="exact"/>
        <w:rPr>
          <w:sz w:val="20"/>
          <w:szCs w:val="20"/>
          <w:color w:val="auto"/>
        </w:rPr>
      </w:pPr>
    </w:p>
    <w:p>
      <w:pPr>
        <w:jc w:val="both"/>
        <w:ind w:right="20"/>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20"/>
          <w:szCs w:val="20"/>
          <w:b w:val="1"/>
          <w:bCs w:val="1"/>
          <w:color w:val="auto"/>
        </w:rPr>
        <w:t>☐</w:t>
      </w:r>
    </w:p>
    <w:p>
      <w:pPr>
        <w:spacing w:after="0" w:line="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0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2200" w:type="dxa"/>
            <w:vAlign w:val="bottom"/>
            <w:vMerge w:val="restart"/>
          </w:tcPr>
          <w:p>
            <w:pPr>
              <w:ind w:left="280"/>
              <w:spacing w:after="0" w:line="26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20"/>
                <w:szCs w:val="20"/>
                <w:b w:val="1"/>
                <w:bCs w:val="1"/>
                <w:color w:val="auto"/>
              </w:rPr>
              <w:t>☐</w:t>
            </w:r>
          </w:p>
        </w:tc>
        <w:tc>
          <w:tcPr>
            <w:tcW w:w="16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Non-</w:t>
            </w:r>
          </w:p>
        </w:tc>
        <w:tc>
          <w:tcPr>
            <w:tcW w:w="540" w:type="dxa"/>
            <w:vAlign w:val="bottom"/>
            <w:vMerge w:val="restart"/>
          </w:tcPr>
          <w:p>
            <w:pPr>
              <w:ind w:left="12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1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40" w:type="dxa"/>
            <w:vAlign w:val="bottom"/>
            <w:vMerge w:val="restart"/>
          </w:tcPr>
          <w:p>
            <w:pPr>
              <w:ind w:left="8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Emerging growth</w:t>
            </w:r>
          </w:p>
        </w:tc>
        <w:tc>
          <w:tcPr>
            <w:tcW w:w="220" w:type="dxa"/>
            <w:vAlign w:val="bottom"/>
            <w:vMerge w:val="restart"/>
          </w:tcPr>
          <w:p>
            <w:pPr>
              <w:ind w:left="8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c>
          <w:tcPr>
            <w:tcW w:w="0" w:type="dxa"/>
            <w:vAlign w:val="bottom"/>
          </w:tcPr>
          <w:p>
            <w:pPr>
              <w:spacing w:after="0"/>
              <w:rPr>
                <w:sz w:val="1"/>
                <w:szCs w:val="1"/>
                <w:color w:val="auto"/>
              </w:rPr>
            </w:pPr>
          </w:p>
        </w:tc>
      </w:tr>
      <w:tr>
        <w:trPr>
          <w:trHeight w:val="241"/>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0"/>
                <w:szCs w:val="20"/>
                <w:color w:val="auto"/>
              </w:rPr>
            </w:pPr>
          </w:p>
        </w:tc>
        <w:tc>
          <w:tcPr>
            <w:tcW w:w="2200" w:type="dxa"/>
            <w:vAlign w:val="bottom"/>
            <w:vMerge w:val="continue"/>
          </w:tcPr>
          <w:p>
            <w:pPr>
              <w:spacing w:after="0"/>
              <w:rPr>
                <w:sz w:val="20"/>
                <w:szCs w:val="20"/>
                <w:color w:val="auto"/>
              </w:rPr>
            </w:pPr>
          </w:p>
        </w:tc>
        <w:tc>
          <w:tcPr>
            <w:tcW w:w="16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continue"/>
          </w:tcPr>
          <w:p>
            <w:pPr>
              <w:spacing w:after="0"/>
              <w:rPr>
                <w:sz w:val="20"/>
                <w:szCs w:val="20"/>
                <w:color w:val="auto"/>
              </w:rPr>
            </w:pP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0"/>
                <w:szCs w:val="20"/>
                <w:color w:val="auto"/>
              </w:rPr>
            </w:pP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company</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right="20"/>
        <w:spacing w:after="0" w:line="24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20"/>
          <w:szCs w:val="20"/>
          <w:b w:val="1"/>
          <w:bCs w:val="1"/>
          <w:color w:val="auto"/>
        </w:rPr>
        <w:t>☐</w:t>
      </w:r>
    </w:p>
    <w:p>
      <w:pPr>
        <w:spacing w:after="0" w:line="95" w:lineRule="exact"/>
        <w:rPr>
          <w:sz w:val="20"/>
          <w:szCs w:val="20"/>
          <w:color w:val="auto"/>
        </w:rPr>
      </w:pPr>
    </w:p>
    <w:p>
      <w:pPr>
        <w:jc w:val="both"/>
        <w:ind w:right="20"/>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20"/>
          <w:szCs w:val="20"/>
          <w:b w:val="1"/>
          <w:bCs w:val="1"/>
          <w:color w:val="auto"/>
        </w:rPr>
        <w:t>☒</w:t>
      </w:r>
    </w:p>
    <w:p>
      <w:pPr>
        <w:spacing w:after="0" w:line="96" w:lineRule="exact"/>
        <w:rPr>
          <w:sz w:val="20"/>
          <w:szCs w:val="20"/>
          <w:color w:val="auto"/>
        </w:rPr>
      </w:pPr>
    </w:p>
    <w:p>
      <w:pPr>
        <w:jc w:val="both"/>
        <w:ind w:right="20"/>
        <w:spacing w:after="0" w:line="241"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95" w:lineRule="exact"/>
        <w:rPr>
          <w:sz w:val="20"/>
          <w:szCs w:val="20"/>
          <w:color w:val="auto"/>
        </w:rPr>
      </w:pPr>
    </w:p>
    <w:p>
      <w:pPr>
        <w:jc w:val="both"/>
        <w:ind w:right="20"/>
        <w:spacing w:after="0" w:line="241"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82"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20"/>
          <w:szCs w:val="20"/>
          <w:b w:val="1"/>
          <w:bCs w:val="1"/>
          <w:color w:val="auto"/>
        </w:rPr>
        <w:t>☒</w:t>
      </w:r>
    </w:p>
    <w:p>
      <w:pPr>
        <w:spacing w:after="0" w:line="1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based on the closing price of the common stock on May 2, 2025, the last business day of the registrant's most recently completed second fiscal quarter, as reported by the New York Stock Exchange, was approximately $7.0 billion.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registrant's common stock outstanding as of December 10, 2025 was 97,904,689.</w:t>
      </w:r>
    </w:p>
    <w:p>
      <w:pPr>
        <w:spacing w:after="0" w:line="127"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Documents Incorporated by Reference: </w:t>
      </w:r>
      <w:r>
        <w:rPr>
          <w:rFonts w:ascii="Times New Roman" w:cs="Times New Roman" w:eastAsia="Times New Roman" w:hAnsi="Times New Roman"/>
          <w:sz w:val="17"/>
          <w:szCs w:val="17"/>
          <w:color w:val="auto"/>
        </w:rPr>
        <w:t>Portions of the registrant's definitive Proxy Statement for the 2026 Annual Meeting of Shareholders expected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be held March 17, 2026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6761480"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61480" cy="120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676148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1480" cy="24765"/>
                    </a:xfrm>
                    <a:prstGeom prst="rect">
                      <a:avLst/>
                    </a:prstGeom>
                    <a:noFill/>
                  </pic:spPr>
                </pic:pic>
              </a:graphicData>
            </a:graphic>
          </wp:anchor>
        </w:drawing>
      </w:r>
    </w:p>
    <w:p>
      <w:pPr>
        <w:sectPr>
          <w:pgSz w:w="11880" w:h="15480" w:orient="portrait"/>
          <w:cols w:equalWidth="0" w:num="1">
            <w:col w:w="11000"/>
          </w:cols>
          <w:pgMar w:left="460" w:top="279" w:right="420" w:bottom="0" w:gutter="0" w:footer="0" w:header="0"/>
          <w:type w:val="continuous"/>
        </w:sectPr>
      </w:pPr>
    </w:p>
    <w:bookmarkStart w:id="7" w:name="page8"/>
    <w:bookmarkEnd w:id="7"/>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THE TORO COMPANY</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TABLE OF CONTENTS</w:t>
      </w:r>
    </w:p>
    <w:p>
      <w:pPr>
        <w:spacing w:after="0" w:line="56"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30480</wp:posOffset>
            </wp:positionV>
            <wp:extent cx="6515100"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ectPr>
          <w:pgSz w:w="11880" w:h="15530" w:orient="portrait"/>
          <w:cols w:equalWidth="0" w:num="1">
            <w:col w:w="10160"/>
          </w:cols>
          <w:pgMar w:left="860" w:top="636" w:right="860" w:bottom="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PART I</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1.</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Business</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8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ITEM 1A.</w:t>
            </w:r>
          </w:p>
        </w:tc>
        <w:tc>
          <w:tcPr>
            <w:tcW w:w="260" w:type="dxa"/>
            <w:vAlign w:val="bottom"/>
          </w:tcPr>
          <w:p>
            <w:pPr>
              <w:spacing w:after="0"/>
              <w:rPr>
                <w:sz w:val="20"/>
                <w:szCs w:val="20"/>
                <w:color w:val="auto"/>
              </w:rPr>
            </w:pPr>
          </w:p>
        </w:tc>
        <w:tc>
          <w:tcPr>
            <w:tcW w:w="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Risk Factors</w:t>
            </w:r>
          </w:p>
        </w:tc>
        <w:tc>
          <w:tcPr>
            <w:tcW w:w="6480" w:type="dxa"/>
            <w:vAlign w:val="bottom"/>
            <w:gridSpan w:val="31"/>
          </w:tcPr>
          <w:p>
            <w:pPr>
              <w:spacing w:after="0"/>
              <w:rPr>
                <w:sz w:val="20"/>
                <w:szCs w:val="20"/>
                <w:color w:val="auto"/>
              </w:rPr>
            </w:pPr>
          </w:p>
        </w:tc>
      </w:tr>
      <w:tr>
        <w:trPr>
          <w:trHeight w:val="235"/>
        </w:trPr>
        <w:tc>
          <w:tcPr>
            <w:tcW w:w="7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ITEM 1B.</w:t>
            </w:r>
          </w:p>
        </w:tc>
        <w:tc>
          <w:tcPr>
            <w:tcW w:w="280" w:type="dxa"/>
            <w:vAlign w:val="bottom"/>
            <w:gridSpan w:val="2"/>
          </w:tcPr>
          <w:p>
            <w:pPr>
              <w:spacing w:after="0"/>
              <w:rPr>
                <w:sz w:val="20"/>
                <w:szCs w:val="20"/>
                <w:color w:val="auto"/>
              </w:rPr>
            </w:pPr>
          </w:p>
        </w:tc>
        <w:tc>
          <w:tcPr>
            <w:tcW w:w="20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Unresolved Staff Comments</w:t>
            </w:r>
          </w:p>
        </w:tc>
        <w:tc>
          <w:tcPr>
            <w:tcW w:w="5340" w:type="dxa"/>
            <w:vAlign w:val="bottom"/>
            <w:gridSpan w:val="22"/>
          </w:tcPr>
          <w:p>
            <w:pPr>
              <w:spacing w:after="0"/>
              <w:rPr>
                <w:sz w:val="20"/>
                <w:szCs w:val="20"/>
                <w:color w:val="auto"/>
              </w:rPr>
            </w:pPr>
          </w:p>
        </w:tc>
      </w:tr>
      <w:tr>
        <w:trPr>
          <w:trHeight w:val="235"/>
        </w:trPr>
        <w:tc>
          <w:tcPr>
            <w:tcW w:w="7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ITEM 1C.</w:t>
            </w:r>
          </w:p>
        </w:tc>
        <w:tc>
          <w:tcPr>
            <w:tcW w:w="300" w:type="dxa"/>
            <w:vAlign w:val="bottom"/>
            <w:gridSpan w:val="3"/>
          </w:tcPr>
          <w:p>
            <w:pPr>
              <w:spacing w:after="0"/>
              <w:rPr>
                <w:sz w:val="20"/>
                <w:szCs w:val="20"/>
                <w:color w:val="auto"/>
              </w:rPr>
            </w:pPr>
          </w:p>
        </w:tc>
        <w:tc>
          <w:tcPr>
            <w:tcW w:w="1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Cybersecurity</w:t>
            </w:r>
          </w:p>
        </w:tc>
        <w:tc>
          <w:tcPr>
            <w:tcW w:w="6380" w:type="dxa"/>
            <w:vAlign w:val="bottom"/>
            <w:gridSpan w:val="30"/>
          </w:tcPr>
          <w:p>
            <w:pPr>
              <w:spacing w:after="0"/>
              <w:rPr>
                <w:sz w:val="20"/>
                <w:szCs w:val="20"/>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2.</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Properties</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3.</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4.</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Mine Safety Disclosures</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Information About Our Executive Officers</w:t>
            </w:r>
          </w:p>
        </w:tc>
      </w:tr>
      <w:tr>
        <w:trPr>
          <w:trHeight w:val="295"/>
        </w:trPr>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PART II</w:t>
            </w:r>
          </w:p>
        </w:tc>
        <w:tc>
          <w:tcPr>
            <w:tcW w:w="420" w:type="dxa"/>
            <w:vAlign w:val="bottom"/>
            <w:gridSpan w:val="8"/>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5.</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w:t>
            </w:r>
          </w:p>
        </w:tc>
      </w:tr>
      <w:tr>
        <w:trPr>
          <w:trHeight w:val="160"/>
        </w:trPr>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bottom w:val="single" w:sz="8" w:color="auto"/>
            </w:tcBorders>
            <w:gridSpan w:val="3"/>
          </w:tcPr>
          <w:p>
            <w:pPr>
              <w:spacing w:after="0" w:line="160" w:lineRule="exact"/>
              <w:rPr>
                <w:sz w:val="20"/>
                <w:szCs w:val="20"/>
                <w:color w:val="auto"/>
              </w:rPr>
            </w:pPr>
            <w:r>
              <w:rPr>
                <w:rFonts w:ascii="Times New Roman" w:cs="Times New Roman" w:eastAsia="Times New Roman" w:hAnsi="Times New Roman"/>
                <w:sz w:val="18"/>
                <w:szCs w:val="18"/>
                <w:color w:val="auto"/>
                <w:w w:val="98"/>
              </w:rPr>
              <w:t>Securities</w:t>
            </w:r>
          </w:p>
        </w:tc>
        <w:tc>
          <w:tcPr>
            <w:tcW w:w="6660" w:type="dxa"/>
            <w:vAlign w:val="bottom"/>
            <w:tcBorders>
              <w:top w:val="single" w:sz="8" w:color="auto"/>
            </w:tcBorders>
            <w:gridSpan w:val="33"/>
          </w:tcPr>
          <w:p>
            <w:pPr>
              <w:spacing w:after="0"/>
              <w:rPr>
                <w:sz w:val="13"/>
                <w:szCs w:val="13"/>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The Toro Company Common Stock Comparative Performance Graph</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6.</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7.</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35"/>
        </w:trPr>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300" w:type="dxa"/>
            <w:vAlign w:val="bottom"/>
            <w:tcBorders>
              <w:top w:val="single" w:sz="8" w:color="auto"/>
            </w:tcBorders>
            <w:gridSpan w:val="32"/>
          </w:tcPr>
          <w:p>
            <w:pPr>
              <w:spacing w:after="0"/>
              <w:rPr>
                <w:sz w:val="20"/>
                <w:szCs w:val="20"/>
                <w:color w:val="auto"/>
              </w:rPr>
            </w:pPr>
            <w:r>
              <w:rPr>
                <w:rFonts w:ascii="Times New Roman" w:cs="Times New Roman" w:eastAsia="Times New Roman" w:hAnsi="Times New Roman"/>
                <w:sz w:val="18"/>
                <w:szCs w:val="18"/>
                <w:color w:val="auto"/>
              </w:rPr>
              <w:t>Company Overview</w:t>
            </w:r>
          </w:p>
        </w:tc>
        <w:tc>
          <w:tcPr>
            <w:tcW w:w="960" w:type="dxa"/>
            <w:vAlign w:val="bottom"/>
            <w:gridSpan w:val="3"/>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Results of Operations</w:t>
            </w: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Business Segments</w:t>
            </w:r>
          </w:p>
        </w:tc>
        <w:tc>
          <w:tcPr>
            <w:tcW w:w="160" w:type="dxa"/>
            <w:vAlign w:val="bottom"/>
            <w:tcBorders>
              <w:top w:val="single" w:sz="8" w:color="auto"/>
            </w:tcBorders>
            <w:gridSpan w:val="2"/>
          </w:tcPr>
          <w:p>
            <w:pPr>
              <w:spacing w:after="0"/>
              <w:rPr>
                <w:sz w:val="20"/>
                <w:szCs w:val="20"/>
                <w:color w:val="auto"/>
              </w:rPr>
            </w:pPr>
          </w:p>
        </w:tc>
        <w:tc>
          <w:tcPr>
            <w:tcW w:w="5720" w:type="dxa"/>
            <w:vAlign w:val="bottom"/>
            <w:gridSpan w:val="25"/>
          </w:tcPr>
          <w:p>
            <w:pPr>
              <w:spacing w:after="0"/>
              <w:rPr>
                <w:sz w:val="20"/>
                <w:szCs w:val="20"/>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Financial Position</w:t>
            </w:r>
          </w:p>
        </w:tc>
        <w:tc>
          <w:tcPr>
            <w:tcW w:w="5960" w:type="dxa"/>
            <w:vAlign w:val="bottom"/>
            <w:gridSpan w:val="28"/>
          </w:tcPr>
          <w:p>
            <w:pPr>
              <w:spacing w:after="0"/>
              <w:rPr>
                <w:sz w:val="20"/>
                <w:szCs w:val="20"/>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8"/>
              </w:rPr>
              <w:t>Non-GAAP Financial Measures</w:t>
            </w:r>
          </w:p>
        </w:tc>
        <w:tc>
          <w:tcPr>
            <w:tcW w:w="4960" w:type="dxa"/>
            <w:vAlign w:val="bottom"/>
            <w:gridSpan w:val="20"/>
          </w:tcPr>
          <w:p>
            <w:pPr>
              <w:spacing w:after="0"/>
              <w:rPr>
                <w:sz w:val="20"/>
                <w:szCs w:val="20"/>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9"/>
              </w:rPr>
              <w:t>Critical Accounting Policies and Estimates</w:t>
            </w:r>
          </w:p>
        </w:tc>
        <w:tc>
          <w:tcPr>
            <w:tcW w:w="4180" w:type="dxa"/>
            <w:vAlign w:val="bottom"/>
            <w:gridSpan w:val="14"/>
          </w:tcPr>
          <w:p>
            <w:pPr>
              <w:spacing w:after="0"/>
              <w:rPr>
                <w:sz w:val="20"/>
                <w:szCs w:val="20"/>
                <w:color w:val="auto"/>
              </w:rPr>
            </w:pPr>
          </w:p>
        </w:tc>
      </w:tr>
      <w:tr>
        <w:trPr>
          <w:trHeight w:val="235"/>
        </w:trPr>
        <w:tc>
          <w:tcPr>
            <w:tcW w:w="8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ITEM 7A.</w:t>
            </w:r>
          </w:p>
        </w:tc>
        <w:tc>
          <w:tcPr>
            <w:tcW w:w="260" w:type="dxa"/>
            <w:vAlign w:val="bottom"/>
          </w:tcPr>
          <w:p>
            <w:pPr>
              <w:spacing w:after="0"/>
              <w:rPr>
                <w:sz w:val="20"/>
                <w:szCs w:val="20"/>
                <w:color w:val="auto"/>
              </w:rPr>
            </w:pPr>
          </w:p>
        </w:tc>
        <w:tc>
          <w:tcPr>
            <w:tcW w:w="438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3020" w:type="dxa"/>
            <w:vAlign w:val="bottom"/>
            <w:gridSpan w:val="8"/>
          </w:tcPr>
          <w:p>
            <w:pPr>
              <w:spacing w:after="0"/>
              <w:rPr>
                <w:sz w:val="20"/>
                <w:szCs w:val="20"/>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8.</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40" w:type="dxa"/>
            <w:vAlign w:val="bottom"/>
            <w:tcBorders>
              <w:top w:val="single" w:sz="8" w:color="auto"/>
            </w:tcBorders>
            <w:gridSpan w:val="29"/>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420" w:type="dxa"/>
            <w:vAlign w:val="bottom"/>
            <w:gridSpan w:val="6"/>
          </w:tcPr>
          <w:p>
            <w:pPr>
              <w:spacing w:after="0"/>
              <w:rPr>
                <w:sz w:val="20"/>
                <w:szCs w:val="20"/>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20" w:type="dxa"/>
            <w:vAlign w:val="bottom"/>
            <w:tcBorders>
              <w:top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3040" w:type="dxa"/>
            <w:vAlign w:val="bottom"/>
            <w:gridSpan w:val="9"/>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1640" w:type="dxa"/>
            <w:vAlign w:val="bottom"/>
            <w:tcBorders>
              <w:top w:val="single" w:sz="8" w:color="auto"/>
            </w:tcBorders>
            <w:gridSpan w:val="10"/>
          </w:tcPr>
          <w:p>
            <w:pPr>
              <w:spacing w:after="0"/>
              <w:rPr>
                <w:sz w:val="20"/>
                <w:szCs w:val="20"/>
                <w:color w:val="auto"/>
              </w:rPr>
            </w:pPr>
          </w:p>
        </w:tc>
        <w:tc>
          <w:tcPr>
            <w:tcW w:w="3520" w:type="dxa"/>
            <w:vAlign w:val="bottom"/>
            <w:gridSpan w:val="11"/>
          </w:tcPr>
          <w:p>
            <w:pPr>
              <w:spacing w:after="0"/>
              <w:rPr>
                <w:sz w:val="20"/>
                <w:szCs w:val="20"/>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4380" w:type="dxa"/>
            <w:vAlign w:val="bottom"/>
            <w:gridSpan w:val="17"/>
          </w:tcPr>
          <w:p>
            <w:pPr>
              <w:spacing w:after="0"/>
              <w:rPr>
                <w:sz w:val="20"/>
                <w:szCs w:val="20"/>
                <w:color w:val="auto"/>
              </w:rPr>
            </w:pP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r>
      <w:tr>
        <w:trPr>
          <w:trHeight w:val="235"/>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tcBorders>
              <w:top w:val="single" w:sz="8" w:color="auto"/>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20" w:type="dxa"/>
            <w:vAlign w:val="bottom"/>
            <w:tcBorders>
              <w:top w:val="single" w:sz="8" w:color="auto"/>
            </w:tcBorders>
          </w:tcPr>
          <w:p>
            <w:pPr>
              <w:spacing w:after="0"/>
              <w:rPr>
                <w:sz w:val="20"/>
                <w:szCs w:val="20"/>
                <w:color w:val="auto"/>
              </w:rPr>
            </w:pPr>
          </w:p>
        </w:tc>
        <w:tc>
          <w:tcPr>
            <w:tcW w:w="3740" w:type="dxa"/>
            <w:vAlign w:val="bottom"/>
            <w:gridSpan w:val="12"/>
          </w:tcPr>
          <w:p>
            <w:pPr>
              <w:spacing w:after="0"/>
              <w:rPr>
                <w:sz w:val="20"/>
                <w:szCs w:val="20"/>
                <w:color w:val="auto"/>
              </w:rPr>
            </w:pPr>
          </w:p>
        </w:tc>
      </w:tr>
      <w:tr>
        <w:trPr>
          <w:trHeight w:val="235"/>
        </w:trPr>
        <w:tc>
          <w:tcPr>
            <w:tcW w:w="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ITEM 9.</w:t>
            </w: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8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ITEM 9A.</w:t>
            </w:r>
          </w:p>
        </w:tc>
        <w:tc>
          <w:tcPr>
            <w:tcW w:w="260" w:type="dxa"/>
            <w:vAlign w:val="bottom"/>
          </w:tcPr>
          <w:p>
            <w:pPr>
              <w:spacing w:after="0"/>
              <w:rPr>
                <w:sz w:val="20"/>
                <w:szCs w:val="20"/>
                <w:color w:val="auto"/>
              </w:rPr>
            </w:pPr>
          </w:p>
        </w:tc>
        <w:tc>
          <w:tcPr>
            <w:tcW w:w="17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5620" w:type="dxa"/>
            <w:vAlign w:val="bottom"/>
            <w:gridSpan w:val="24"/>
          </w:tcPr>
          <w:p>
            <w:pPr>
              <w:spacing w:after="0"/>
              <w:rPr>
                <w:sz w:val="20"/>
                <w:szCs w:val="20"/>
                <w:color w:val="auto"/>
              </w:rPr>
            </w:pPr>
          </w:p>
        </w:tc>
      </w:tr>
      <w:tr>
        <w:trPr>
          <w:trHeight w:val="235"/>
        </w:trPr>
        <w:tc>
          <w:tcPr>
            <w:tcW w:w="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ITEM 9B.</w:t>
            </w:r>
          </w:p>
        </w:tc>
        <w:tc>
          <w:tcPr>
            <w:tcW w:w="280" w:type="dxa"/>
            <w:vAlign w:val="bottom"/>
            <w:gridSpan w:val="2"/>
          </w:tcPr>
          <w:p>
            <w:pPr>
              <w:spacing w:after="0"/>
              <w:rPr>
                <w:sz w:val="20"/>
                <w:szCs w:val="20"/>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7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ITEM 9C.</w:t>
            </w:r>
          </w:p>
        </w:tc>
        <w:tc>
          <w:tcPr>
            <w:tcW w:w="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r>
      <w:tr>
        <w:trPr>
          <w:trHeight w:val="295"/>
        </w:trPr>
        <w:tc>
          <w:tcPr>
            <w:tcW w:w="7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PART III</w:t>
            </w:r>
          </w:p>
        </w:tc>
        <w:tc>
          <w:tcPr>
            <w:tcW w:w="300" w:type="dxa"/>
            <w:vAlign w:val="bottom"/>
            <w:gridSpan w:val="3"/>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320" w:type="dxa"/>
            <w:vAlign w:val="bottom"/>
            <w:gridSpan w:val="4"/>
          </w:tcPr>
          <w:p>
            <w:pPr>
              <w:spacing w:after="0"/>
              <w:rPr>
                <w:sz w:val="20"/>
                <w:szCs w:val="20"/>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r>
      <w:tr>
        <w:trPr>
          <w:trHeight w:val="235"/>
        </w:trPr>
        <w:tc>
          <w:tcPr>
            <w:tcW w:w="74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320" w:type="dxa"/>
            <w:vAlign w:val="bottom"/>
            <w:gridSpan w:val="4"/>
          </w:tcPr>
          <w:p>
            <w:pPr>
              <w:spacing w:after="0"/>
              <w:rPr>
                <w:sz w:val="20"/>
                <w:szCs w:val="20"/>
                <w:color w:val="auto"/>
              </w:rPr>
            </w:pPr>
          </w:p>
        </w:tc>
        <w:tc>
          <w:tcPr>
            <w:tcW w:w="1820" w:type="dxa"/>
            <w:vAlign w:val="bottom"/>
            <w:tcBorders>
              <w:top w:val="single" w:sz="8" w:color="auto"/>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Executive Compensation</w:t>
            </w:r>
          </w:p>
        </w:tc>
        <w:tc>
          <w:tcPr>
            <w:tcW w:w="2280" w:type="dxa"/>
            <w:vAlign w:val="bottom"/>
            <w:tcBorders>
              <w:top w:val="single" w:sz="8" w:color="auto"/>
            </w:tcBorders>
            <w:gridSpan w:val="13"/>
          </w:tcPr>
          <w:p>
            <w:pPr>
              <w:spacing w:after="0"/>
              <w:rPr>
                <w:sz w:val="20"/>
                <w:szCs w:val="20"/>
                <w:color w:val="auto"/>
              </w:rPr>
            </w:pPr>
          </w:p>
        </w:tc>
        <w:tc>
          <w:tcPr>
            <w:tcW w:w="3300" w:type="dxa"/>
            <w:vAlign w:val="bottom"/>
            <w:gridSpan w:val="10"/>
          </w:tcPr>
          <w:p>
            <w:pPr>
              <w:spacing w:after="0"/>
              <w:rPr>
                <w:sz w:val="20"/>
                <w:szCs w:val="20"/>
                <w:color w:val="auto"/>
              </w:rPr>
            </w:pPr>
          </w:p>
        </w:tc>
      </w:tr>
      <w:tr>
        <w:trPr>
          <w:trHeight w:val="235"/>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320" w:type="dxa"/>
            <w:vAlign w:val="bottom"/>
            <w:gridSpan w:val="4"/>
          </w:tcPr>
          <w:p>
            <w:pPr>
              <w:spacing w:after="0"/>
              <w:rPr>
                <w:sz w:val="20"/>
                <w:szCs w:val="20"/>
                <w:color w:val="auto"/>
              </w:rPr>
            </w:pPr>
          </w:p>
        </w:tc>
        <w:tc>
          <w:tcPr>
            <w:tcW w:w="74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r>
      <w:tr>
        <w:trPr>
          <w:trHeight w:val="235"/>
        </w:trPr>
        <w:tc>
          <w:tcPr>
            <w:tcW w:w="7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320" w:type="dxa"/>
            <w:vAlign w:val="bottom"/>
            <w:gridSpan w:val="4"/>
          </w:tcPr>
          <w:p>
            <w:pPr>
              <w:spacing w:after="0"/>
              <w:rPr>
                <w:sz w:val="20"/>
                <w:szCs w:val="20"/>
                <w:color w:val="auto"/>
              </w:rPr>
            </w:pPr>
          </w:p>
        </w:tc>
        <w:tc>
          <w:tcPr>
            <w:tcW w:w="7300" w:type="dxa"/>
            <w:vAlign w:val="bottom"/>
            <w:tcBorders>
              <w:top w:val="single" w:sz="8" w:color="auto"/>
            </w:tcBorders>
            <w:gridSpan w:val="35"/>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0" w:type="dxa"/>
            <w:vAlign w:val="bottom"/>
          </w:tcPr>
          <w:p>
            <w:pPr>
              <w:spacing w:after="0"/>
              <w:rPr>
                <w:sz w:val="20"/>
                <w:szCs w:val="20"/>
                <w:color w:val="auto"/>
              </w:rPr>
            </w:pPr>
          </w:p>
        </w:tc>
      </w:tr>
      <w:tr>
        <w:trPr>
          <w:trHeight w:val="235"/>
        </w:trPr>
        <w:tc>
          <w:tcPr>
            <w:tcW w:w="7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ITEM 14.</w:t>
            </w:r>
          </w:p>
        </w:tc>
        <w:tc>
          <w:tcPr>
            <w:tcW w:w="20" w:type="dxa"/>
            <w:vAlign w:val="bottom"/>
            <w:tcBorders>
              <w:top w:val="single" w:sz="8" w:color="auto"/>
            </w:tcBorders>
          </w:tcPr>
          <w:p>
            <w:pPr>
              <w:spacing w:after="0"/>
              <w:rPr>
                <w:sz w:val="20"/>
                <w:szCs w:val="20"/>
                <w:color w:val="auto"/>
              </w:rPr>
            </w:pPr>
          </w:p>
        </w:tc>
        <w:tc>
          <w:tcPr>
            <w:tcW w:w="320" w:type="dxa"/>
            <w:vAlign w:val="bottom"/>
            <w:gridSpan w:val="4"/>
          </w:tcPr>
          <w:p>
            <w:pPr>
              <w:spacing w:after="0"/>
              <w:rPr>
                <w:sz w:val="20"/>
                <w:szCs w:val="20"/>
                <w:color w:val="auto"/>
              </w:rPr>
            </w:pPr>
          </w:p>
        </w:tc>
        <w:tc>
          <w:tcPr>
            <w:tcW w:w="5460" w:type="dxa"/>
            <w:vAlign w:val="bottom"/>
            <w:tcBorders>
              <w:top w:val="single" w:sz="8" w:color="auto"/>
            </w:tcBorders>
            <w:gridSpan w:val="32"/>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940" w:type="dxa"/>
            <w:vAlign w:val="bottom"/>
            <w:gridSpan w:val="4"/>
          </w:tcPr>
          <w:p>
            <w:pPr>
              <w:spacing w:after="0"/>
              <w:rPr>
                <w:sz w:val="20"/>
                <w:szCs w:val="20"/>
                <w:color w:val="auto"/>
              </w:rPr>
            </w:pPr>
          </w:p>
        </w:tc>
      </w:tr>
      <w:tr>
        <w:trPr>
          <w:trHeight w:val="295"/>
        </w:trPr>
        <w:tc>
          <w:tcPr>
            <w:tcW w:w="7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PART IV</w:t>
            </w:r>
          </w:p>
        </w:tc>
        <w:tc>
          <w:tcPr>
            <w:tcW w:w="20" w:type="dxa"/>
            <w:vAlign w:val="bottom"/>
            <w:tcBorders>
              <w:top w:val="single" w:sz="8" w:color="auto"/>
            </w:tcBorders>
          </w:tcPr>
          <w:p>
            <w:pPr>
              <w:spacing w:after="0"/>
              <w:rPr>
                <w:sz w:val="24"/>
                <w:szCs w:val="24"/>
                <w:color w:val="auto"/>
              </w:rPr>
            </w:pPr>
          </w:p>
        </w:tc>
        <w:tc>
          <w:tcPr>
            <w:tcW w:w="340" w:type="dxa"/>
            <w:vAlign w:val="bottom"/>
            <w:gridSpan w:val="5"/>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320" w:type="dxa"/>
            <w:vAlign w:val="bottom"/>
            <w:gridSpan w:val="4"/>
          </w:tcPr>
          <w:p>
            <w:pPr>
              <w:spacing w:after="0"/>
              <w:rPr>
                <w:sz w:val="20"/>
                <w:szCs w:val="20"/>
                <w:color w:val="auto"/>
              </w:rPr>
            </w:pPr>
          </w:p>
        </w:tc>
        <w:tc>
          <w:tcPr>
            <w:tcW w:w="310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9"/>
              </w:rPr>
              <w:t>Exhibit and Financial Statement Schedules</w:t>
            </w:r>
          </w:p>
        </w:tc>
        <w:tc>
          <w:tcPr>
            <w:tcW w:w="4300" w:type="dxa"/>
            <w:vAlign w:val="bottom"/>
            <w:gridSpan w:val="15"/>
          </w:tcPr>
          <w:p>
            <w:pPr>
              <w:spacing w:after="0"/>
              <w:rPr>
                <w:sz w:val="20"/>
                <w:szCs w:val="20"/>
                <w:color w:val="auto"/>
              </w:rPr>
            </w:pPr>
          </w:p>
        </w:tc>
      </w:tr>
      <w:tr>
        <w:trPr>
          <w:trHeight w:val="235"/>
        </w:trPr>
        <w:tc>
          <w:tcPr>
            <w:tcW w:w="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320" w:type="dxa"/>
            <w:vAlign w:val="bottom"/>
            <w:gridSpan w:val="4"/>
          </w:tcPr>
          <w:p>
            <w:pPr>
              <w:spacing w:after="0"/>
              <w:rPr>
                <w:sz w:val="20"/>
                <w:szCs w:val="20"/>
                <w:color w:val="auto"/>
              </w:rPr>
            </w:pPr>
          </w:p>
        </w:tc>
        <w:tc>
          <w:tcPr>
            <w:tcW w:w="15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Form 10-K Summary</w:t>
            </w:r>
          </w:p>
        </w:tc>
        <w:tc>
          <w:tcPr>
            <w:tcW w:w="5820" w:type="dxa"/>
            <w:vAlign w:val="bottom"/>
            <w:gridSpan w:val="26"/>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4</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15</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33</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33</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33</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34</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35</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36</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36</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38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40</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41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45</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47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52</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55</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55</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56</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58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58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59</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60</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61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62</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97</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98</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99</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102</w:t>
      </w:r>
    </w:p>
    <w:p>
      <w:pPr>
        <w:spacing w:after="0" w:line="200" w:lineRule="exact"/>
        <w:rPr>
          <w:sz w:val="20"/>
          <w:szCs w:val="20"/>
          <w:color w:val="auto"/>
        </w:rPr>
      </w:pPr>
    </w:p>
    <w:p>
      <w:pPr>
        <w:sectPr>
          <w:pgSz w:w="11880" w:h="15530" w:orient="portrait"/>
          <w:cols w:equalWidth="0" w:num="2">
            <w:col w:w="9160" w:space="720"/>
            <w:col w:w="280"/>
          </w:cols>
          <w:pgMar w:left="860" w:top="636" w:right="860" w:bottom="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SIGNATURES</w:t>
            </w:r>
          </w:p>
        </w:tc>
        <w:tc>
          <w:tcPr>
            <w:tcW w:w="87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r>
    </w:tbl>
    <w:p>
      <w:pPr>
        <w:spacing w:after="0" w:line="200" w:lineRule="exact"/>
        <w:rPr>
          <w:sz w:val="20"/>
          <w:szCs w:val="20"/>
          <w:color w:val="auto"/>
        </w:rPr>
      </w:pPr>
    </w:p>
    <w:p>
      <w:pPr>
        <w:sectPr>
          <w:pgSz w:w="11880" w:h="15530" w:orient="portrait"/>
          <w:cols w:equalWidth="0" w:num="1">
            <w:col w:w="10160"/>
          </w:cols>
          <w:pgMar w:left="860" w:top="636"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530" w:orient="portrait"/>
          <w:cols w:equalWidth="0" w:num="1">
            <w:col w:w="10160"/>
          </w:cols>
          <w:pgMar w:left="860" w:top="636" w:right="860" w:bottom="0" w:gutter="0" w:footer="0" w:header="0"/>
          <w:type w:val="continuous"/>
        </w:sectPr>
      </w:pPr>
    </w:p>
    <w:bookmarkStart w:id="8" w:name="page9"/>
    <w:bookmarkEnd w:id="8"/>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GENERAL</w:t>
      </w:r>
    </w:p>
    <w:p>
      <w:pPr>
        <w:spacing w:after="0" w:line="1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Unless the context requires otherwise, references to “TTC,” the “company,” “we,” “us,” and “our,” refer to The Toro Company and its consolidated subsidiaries. References to fiscal years, such as "fiscal 2025," are to the fiscal year ending on October 31 of the specified year.</w:t>
      </w:r>
    </w:p>
    <w:p>
      <w:pPr>
        <w:spacing w:after="0" w:line="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We use “Toro” and many other marks as trademarks in the United States and/or in other countries. This Annual Report on Form 10-K contains references to our registered or common law trade names, trademarks or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unless otherwise stated.</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CAUTIONARY NOTE REGARDING FORWARD-LOOKING STATEMENTS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Annual Report on Form 10-K contains, or incorporates by reference, not only historical information, but also forward-looking statements regarding future events and our future results within the meaning of Section 27A of the Securities Act of 1933, as amended ("Securities Act"), Section 21E of the Securities Exchange Act of 1934, as amended ("Exchange Act"), and the Private Securities Litigation Reform Act of 1995,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"encourage," "anticipate," "continue," "plan," "objective," "estimate," "project," "target," "improve," "believe," "become," "should," "could," "will," "would," "possible," "may," "likely," "intend," "can," "seek," "pursue," "potential," variations of such words or the negative thereof, and similar expressions or future dates. Our forward-looking statements generally relate to our future performance and may include, among others, statements relating to:</w:t>
      </w:r>
    </w:p>
    <w:p>
      <w:pPr>
        <w:spacing w:after="0" w:line="88"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anticipated operating results, liquidity requirements, and financial condition and current trends and uncertainties;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4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anticipated impacts of elevated field inventory levels and backlog, global supply chain disruptions, the inflationary environment, the imposition, or changes to tariffs, including the tariffs announced by the United States in our fiscal 2025, and any retaliatory tariffs, including countermeasures by China, governmental budget cuts, the war between Ukraine and Russia, Middle East conflicts and wars, and related sanctions and geopolitical tensions (including China and Taiwan), tight labor markets, and other macroeconomic factors;</w:t>
      </w:r>
    </w:p>
    <w:p>
      <w:pPr>
        <w:spacing w:after="0" w:line="8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strategies, priorities, goals, and commitments;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and any impairment, restructuring, or other charges in connection therewith or resulting therefrom;</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and productivity initiatives and anticipated sales growth, profitability, cost savings, and other benefits associated therewith; and</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laws, rules, policies, regulations, tax reform, new accounting pronouncements, and outstanding litigation on our business and future performance.</w:t>
      </w:r>
    </w:p>
    <w:p>
      <w:pPr>
        <w:spacing w:after="0" w:line="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Forward-looking statements are only predictions and involve risks and uncertainties that could cause actual results to differ materially from those projected or implied in the forward-looking statements. The factors known to us that could materially adversely affect our business, reputation, operations, industry, financial position or future financial performance are described in Part I, Item 1A, "Risk Factors," of this Annual Report on Form 10-K.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Annual Report on Form 10-K, including in Part I, Item 1A, "Risk Factors," as well as others that we may consider immaterial or do not anticipate at this time. The risks and uncertainties described in this Annual Report on Form 10-K, including in Part I, Item 1A, "Risk Factors,"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we file with, or furnish to, the United States Securities and Exchange Commission (the "SEC").</w:t>
      </w:r>
    </w:p>
    <w:p>
      <w:pPr>
        <w:sectPr>
          <w:pgSz w:w="11880" w:h="15528" w:orient="portrait"/>
          <w:cols w:equalWidth="0" w:num="1">
            <w:col w:w="10260"/>
          </w:cols>
          <w:pgMar w:left="820" w:top="636" w:right="800" w:bottom="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880" w:h="15528" w:orient="portrait"/>
          <w:cols w:equalWidth="0" w:num="1">
            <w:col w:w="10260"/>
          </w:cols>
          <w:pgMar w:left="820" w:top="636" w:right="800" w:bottom="0" w:gutter="0" w:footer="0" w:header="0"/>
          <w:type w:val="continuous"/>
        </w:sectPr>
      </w:pPr>
    </w:p>
    <w:bookmarkStart w:id="9" w:name="page10"/>
    <w:bookmarkEnd w:id="9"/>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PART 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design, manufacture, market and sell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Our purpose is to help our customers enrich the beauty, productivity, and sustainability of the land. Our products are marketed and sold worldwide through a network of distributors, dealers, mass retailers, hardware retailers, equipment rental centers, and home centers, as well as online and direct to end-users under the primary trademarks of Toro®, Ditch Witch®, eXmark®, Spartan®, BOSS®, Ventrac®, American Augers®, Subsite®, HammerHead®, Radius®, Perrot®, Hayter®, Unique Lighting Systems®, Irritrol®, and Lawn-Boy®, most of which are registered in the United States ("U.S.") and/or in the primary countries outside the U.S. where we market our products branded under such trademarks.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focus on innovation and quality in our products, customer service, manufacturing, and marketing. We strive to provide innovative, well-built, and dependable products supported by an extensive service network. We commit to funding research, development, and engineering activities in order to improve and enhance existing products and develop new products. Through these efforts, we seek to be 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w:t>
      </w:r>
    </w:p>
    <w:p>
      <w:pPr>
        <w:spacing w:after="0" w:line="8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continued to complement our brands, enhance our product portfolios, and improve our technologies through innovation and strategic acquisitions over the more than 100 years we have been in business, including most recently our acquisition of Tornado Infrastructure Equipment Ltd. (“Tornado Infrastructure Equipment”), as discussed below. We plan to continue to leverage a strategic and disciplined approach to pursue targeted acquisitions that add value to TTC by complementing our existing brands, enhancing our product portfolio, and/or improving our technologies. We also plan to continue our commitment to disciplined portfolio management and prudent capital allocation strategies, resulting in our disposition from time to time of non-core product lines.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classify our operations into two reportable business segments: Professional and Residential. Our remaining activities are presented as "Other" due to their insignificance. These Other activities consist of earnings (loss) from a wholly-owned domestic distribution company, certain corporate activities, and the elimination of intersegment revenues and expenses. Net sales of our reportable segments and Other activities accounted for the following percentages of our consolidated net sales for fiscal 2025: Professional, 80.3 percent; Residential, 19.0 percent; and Other, 0.7 percent.</w:t>
      </w:r>
    </w:p>
    <w:p>
      <w:pPr>
        <w:spacing w:after="0" w:line="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environmental, social, and governance priorities, are embedded as part of our commitment to advancing our sustainability goals.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On December 8, 2025, we acquired Tornado Infrastructure Equipment Ltd., a Calgary, Alberta, Canada-based manufacturer in the hydrovac excavation solutions industry for a purchase price of $279.3 million Canadian dollars. Tornado Infrastructure Equipment manufactures hydrovac excavation solutions and industrial equipment solutions for the underground construction, power transmission, and energy markets and provides innovative product offerings that broaden and strengthen the company's Professional segment and expands its dealer network. The company funded the acquisition with borrowings under its existing revolving credit facility and additional financial arrangements. For additional information regarding the acquisition and the financing agreements utilized to fund the aggregate merger consideration, refer to Note 16,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in the Notes to Consolidated Financial Statements included in Part II, Item 8, "Financial Statements and Supplementary Data" of this Annual Report on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by Market</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strive to be a leader in adapting advanced technologies to products and services that provide innovative solutions for turf maintenance; landscape and lighting; rental, specialty, and underground construction; snow and ice management; agricultural; and residential demands. The following is a summary of our products, by market, for our Professional segment and our products for our Residential segment.</w:t>
      </w:r>
    </w:p>
    <w:p>
      <w:pPr>
        <w:sectPr>
          <w:pgSz w:w="11880" w:h="15530" w:orient="portrait"/>
          <w:cols w:equalWidth="0" w:num="1">
            <w:col w:w="10260"/>
          </w:cols>
          <w:pgMar w:left="820" w:top="6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530" w:orient="portrait"/>
          <w:cols w:equalWidth="0" w:num="1">
            <w:col w:w="10260"/>
          </w:cols>
          <w:pgMar w:left="820" w:top="636" w:right="800" w:bottom="0" w:gutter="0" w:footer="0" w:header="0"/>
          <w:type w:val="continuous"/>
        </w:sectPr>
      </w:pPr>
    </w:p>
    <w:bookmarkStart w:id="10" w:name="page11"/>
    <w:bookmarkEnd w:id="10"/>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Professional Segment</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design professional turf maintenance; landscape and lighting; rental, specialty, and underground construction; snow and ice management; and agricultural products. We market and sell Professional segment products worldwide through a network of distributors and dealers, as well as directly to government customers, rental companies, and large retailers. These channel partners then sell or rent our products to professional and other users, including homeowners, engaged in maintaining turf, such as golf courses, sports fields, municipal properties, as well as residential and commercial landscapes; installing, repairing, and replacing underground pipe and utilities; managing snow and ice demands; irrigating turf and agricultural fields; and creating, renovating, and illuminating landscapes. The following sections describe our Professional segment products by market.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Golf Market</w:t>
      </w:r>
    </w:p>
    <w:p>
      <w:pPr>
        <w:spacing w:after="0" w:line="1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the only company to offer both equipment and irrigation products for the golf market and are a market leader in both. We design, manufacture, market, and sell equipment products under the Toro and Ventrac brands that are intended to provide innovative solutions for golf course turf maintenance. Equipment products for the golf market include large reel and rotary riding mowers for fairway, rough, and trim cutting, including autonomous solutions; riding and walking mowers for greens and specialty areas; greens rollers; all-wheel drive articulating tractors; turf sprayer equipment; utility vehicles; aeration equipment; bunker maintenance equipment; other specialty turf equipment; and Intelli360 for telematics and fleet management. We also market and sell irrigation products for the golf market under the Toro brand that are designed to provide innovative water application solutions for golf course turf maintenance. These irrigation products predominantly consist of sprinkler heads, controllers, turf sensors, valves and operating software. These equipment and irrigation products are primarily sold to distributors and dealers, who then sell to owners, managers and/or superintendents of golf courses.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Sports Fields and Grounds Market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design, manufacture, market, and sell Toro and Ventrac-branded equipment products that are intended to provide innovative turf maintenance solutions to sports fields and grounds customers. Equipment products for the sports fields and grounds market primarily include riding rotary and reel mowers and attachments, aerators, infield grooming equipment, all-wheel drive articulating tractors, multipurpose vehicles, and versatile debris blowers. In addition to equipment products, we also market and sell irrigation products under the Toro and Perrot brands that are designed to provide innovative water application solutions for sports fields and grounds turf maintenance. These irrigation products primarily include sprinkler heads, controllers, turf sensors, valves and operating software. These products are primarily sold to distributors and dealers, who then sell to owners and/or managers of sports fields, governmental properties, and residential and commercial landscapes, as well as directly to government customers.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Landscape Contractor Market</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design, manufacture, market, and sell equipment products under the Toro, eXmark, Spartan and Ventrac brands that are intended to provide innovative turf management solutions to landscape contractors. Equipment products for the landscape contractor market include gas and battery powered zero-turn radius riding mowers, heavy-duty and mid-size walk behind mowers including autonomous versions, gas and battery powered stand-on mowers, and manual and remote controlled all-wheel drive articulating tractors, as well as turf application, turf renovation, and tree care equipment. These equipment products are primarily sold to distributors and dealers, who then sell to landscape contractors engaged in turf maintenance activities. These equipment products are primarily sold to distributors and dealers, who then sell to landscape contractors engaged in turf maintenance activities.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Underground Construction Market</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design, manufacture, market, and sell a range of professional grade products to serve the underground construction market under the Ditch Witch, American Augers, HammerHead, Subsite, and Radius brands, including horizontal directional drills, walk and ride trenchers, vacuum excavators, horizontal directional drilling guidance and support equipment, utility locators, utility inspection systems, pipe rehabilitation and replacement solutions, as well as after-market tools, including drive chucks and sub savers, drill pipe, starter rods and quick connects, bits and blades, rock tools, reamers, and swivels. Such products are utilized by specialty contractors worldwide to install water, gas, electric, telecommunication, fiber optic, broadband, and other utility distribution systems.</w:t>
      </w:r>
    </w:p>
    <w:p>
      <w:pPr>
        <w:sectPr>
          <w:pgSz w:w="11880" w:h="15528" w:orient="portrait"/>
          <w:cols w:equalWidth="0" w:num="1">
            <w:col w:w="10260"/>
          </w:cols>
          <w:pgMar w:left="820" w:top="64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528" w:orient="portrait"/>
          <w:cols w:equalWidth="0" w:num="1">
            <w:col w:w="10260"/>
          </w:cols>
          <w:pgMar w:left="820" w:top="649" w:right="800" w:bottom="0" w:gutter="0" w:footer="0" w:header="0"/>
          <w:type w:val="continuous"/>
        </w:sectPr>
      </w:pPr>
    </w:p>
    <w:bookmarkStart w:id="11" w:name="page12"/>
    <w:bookmarkEnd w:id="11"/>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Rental and Specialty Construction Market</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design, manufacture, market, and sell Toro and Ditch Witch-branded equipment products that are intended to provide innovative solutions to serve the rental and specialty construction market. These products primarily consist of stand-on skid steers, walk-behind trenchers, stump grinders, and turf renovation products. We also have a line of Toro-branded rental products that feature material handlers and other concrete construction equipment. Our rental and specialty construction equipment products are mainly sold to rental companies and large retailers who subsequently rent the products to end-users, as well as to dealers who market and sell to end-customers primarily consisting of landscape contractors, municipalities, and other government entities.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Snow and Ice Management Market</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design, manufacture, market, and sell equipment products under the BOSS, Ventrac, and Toro brands that are intended to provide innovative snow removal and ice management solutions for the snow and ice management market. These equipment products primarily consist of snowplows; salt and brine ice control products; accessories for light and medium duty trucks, all-terrain vehicles, utility task vehicles, stand-on skid steers, and front-end loaders; and all-wheel drive articulating tractors, sidewalk snow and ice solution vehicles, and related attachments and accessories. These products are mainly sold through distributors and dealers who market and sell to end-customers primarily consisting of landscape contractors, municipalities, and other government entities.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Irrigation and Lighting Market</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Irrigation products are designed, manufactured, marketed, and sold under the Toro and Irritrol brands and primarily include rotors; sprinkler bodies and nozzles; plastic, brass, and hydraulic valves; drip tubing and subsurface irrigation; electric control devices; and wired and wireless rain, freeze, climate, and soil sensors. These irrigation products are supported by software, artificial intelligence, and apps to provide innovative water application solutions for both commercial and residential landscapes. Both the Toro and Irritrol brands have received several U.S. Environmental Protection Agency ("EPA") WaterSense awards, as well as the EPA WaterSense certification for numerous irrigation controller families and models. In addition to our irrigation products, we market and sell Unique Lighting Systems-branded products primarily consisting of a line of lighting fixtures and transformers designed for commercial and residential landscapes. Our commercial irrigation and lighting products are predominantly sold to distributors and dealers who market and sell to end-customers primarily consisting of landscape contractors that professionally install these products as new systems or use these products to replace or retrofit existing systems.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Ag-Irrigation Market</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Irrigation products for the ag-irrigation market are designed, manufactured, marketed, and sold under the Toro brand and are intended to provide an efficient means of water application and usage in agricultural and greenhouse applications. These irrigation products primarily consist of drip tape, polyethylene tubing, drip line, emitters, filters, and fitting solutions. In addition to these core products, we offer a complement of design software and connection options to complete the ag-irrigation system. Our ag-irrigation products are sold through dealers and distributors who then sell to end-users for use primarily in vegetable fields, fruit and nut orchards, and vineyard applications.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Residential Segment</w:t>
      </w:r>
    </w:p>
    <w:p>
      <w:pPr>
        <w:spacing w:after="0" w:line="13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market and sell our Residential segment products to homeowners through a variety of distribution channels, including outdoor power equipment distributors and dealers, mass retailers, hardware retailers, and home centers, as well as online and direct to end-users. We also license our trademark on certain yard tools and garden equipment products as a means of expanding our brand presence. The following sections describe our Residential segment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Walk Power Mower Products</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design, manufacture, market, and sell walk power mower equipment products under our Toro and Lawn-Boy brand names, as well as the Hayter brand in the United Kingdom. Our walk power mower equipment products are designed to provide innovative turf cutting solutions primarily to homeowners. Models differ as to cutting width, type of starter mechanism, method of grass clipping discharge, deck type, operational controls, and power sources, and are either self-propelled or operator-propelled push mowers.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Zero-Turn Riding Mower Products</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residential zero-turn riding mower equipment products are designed, manufactured, marketed, and sold under the Toro brand name and are intended to provide innovative and time saving turf cutting solutions by using superior maneuverability to navigate around obstacles more efficiently and effectively than tractor technology. Many models of our residential zero-turn riding mowers are available with a variety of engines, decks, transmissions, and accessories.</w:t>
      </w:r>
    </w:p>
    <w:p>
      <w:pPr>
        <w:sectPr>
          <w:pgSz w:w="11880" w:h="15528" w:orient="portrait"/>
          <w:cols w:equalWidth="0" w:num="1">
            <w:col w:w="10260"/>
          </w:cols>
          <w:pgMar w:left="820" w:top="65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880" w:h="15528" w:orient="portrait"/>
          <w:cols w:equalWidth="0" w:num="1">
            <w:col w:w="10260"/>
          </w:cols>
          <w:pgMar w:left="820" w:top="654" w:right="800" w:bottom="0" w:gutter="0" w:footer="0" w:header="0"/>
          <w:type w:val="continuous"/>
        </w:sectPr>
      </w:pPr>
    </w:p>
    <w:bookmarkStart w:id="12" w:name="page13"/>
    <w:bookmarkEnd w:id="12"/>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Snow Thrower Products</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design, manufacture, market, and sell a range of Toro-branded battery, electric, and gas-powered single-stage and two-stage snow thrower equipment products, as well as battery and electric-powered power shovel equipment products. Single-stage snow throwers are walk behind units that are generally designed for small areas of light snow and our two-stage snow throwers are generally designed for relatively large areas of deep and heavy snow. Our battery and electric-powered power shovels are designed to be lightweight and ideal for clearing light snow from decks, steps, sidewalks, and small driveways.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Yard Tools and Garden Equipment Products</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yard tools and garden equipment products are designed, manufactured, marketed, and sold under the Toro brand name. Our Toro-branded yard tools and garden equipment products consist of a variety of battery, electric, and/or gas-powered options and primarily consist of grass trimmers, hedge trimmers, blower-vacuums, chainsaws, edgers, cultivators, string mowers, and related parts and accessories that are designed to provide innovative yard maintenance solutions to homeowners.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Operations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We currently manufacture our products in the U.S., Mexico, the United Kingdom, Italy, Romania, Germany, Poland, and China for sale throughout the world. We maintain sales offices in the U.S., the United Kingdom, Australia, Japan, China, Italy, Poland, Germany, Spain, and Belgium. New product development is pursued primarily in the U.S. with the intention of global distribution. Our net sales outside the U.S. were 19.5 percent, 20.1 percent, and 20.8 percent of total consolidated net sales for fiscal 2025, 2024, and 2023, respectively. For additional financial information regarding our international operations and geographical areas, refer to Note 3, </w:t>
      </w:r>
      <w:r>
        <w:rPr>
          <w:rFonts w:ascii="Times New Roman" w:cs="Times New Roman" w:eastAsia="Times New Roman" w:hAnsi="Times New Roman"/>
          <w:sz w:val="20"/>
          <w:szCs w:val="20"/>
          <w:b w:val="1"/>
          <w:bCs w:val="1"/>
          <w:i w:val="1"/>
          <w:iCs w:val="1"/>
          <w:color w:val="auto"/>
        </w:rPr>
        <w:t>Segment Data</w:t>
      </w:r>
      <w:r>
        <w:rPr>
          <w:rFonts w:ascii="Times New Roman" w:cs="Times New Roman" w:eastAsia="Times New Roman" w:hAnsi="Times New Roman"/>
          <w:sz w:val="20"/>
          <w:szCs w:val="20"/>
          <w:color w:val="auto"/>
        </w:rPr>
        <w:t>, in the Notes to Consolidated Financial Statements included in Part II, Item 8, "Financial Statements and Supplementary Data," of this Annual Report on Form 10-K.</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Engineering, Research and Innovation</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believe that our longstanding commitment to innovation and quality in our products has been a key driver of our market success. We are committed to the development of innovative new products and improvements in the quality and performance of existing products. When applicable, we also may pursue targeted and strategic acquisitions to acquire innovative technologies that we believe bolster our longstanding commitment to innovation in our products and complement and support the development of alternative power, smart-connected, and autonomous products within our Professional and Residential segments.</w:t>
      </w:r>
    </w:p>
    <w:p>
      <w:pPr>
        <w:spacing w:after="0" w:line="8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Engineering and research activities are performed at our global test sites and facilities and our products are tested in conditions and locations similar to those in which they are intended to be used.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Production</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manufacturing facilities are designed to provide efficient and flexible assembly-line manufacturing of our products. 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 We design component parts through collaboration with our vendors, contract with them for the development of tooling, and subsequently enter into agreements with such vendors to purchase component parts manufactured using the tooling. We also have agreements with third-party manufacturers to produce certain standalone end-products on our behalf. In addition, our vendors regularly test new technologies to be applied in the design and production of component parts. Our manufacturing operations include robotic and computer-automated equipment intended to speed production, reduce costs, and improve resource use and the quality, fit, and finish of our products. Our operations are also designed to be flexible enough to accommodate product design changes that are necessary to respond to market conditions and changing customer requirements.</w:t>
      </w:r>
    </w:p>
    <w:p>
      <w:pPr>
        <w:spacing w:after="0" w:line="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order to utilize our manufacturing facilities and technology more efficiently and effectively, we pursue continuous improvements in our manufacturing processes with the use of Lean methods that are intended to streamline work and eliminate waste. Additionally, we use computer-aided design and manufacturing systems to shorten the time between initial concept and</w:t>
      </w:r>
    </w:p>
    <w:p>
      <w:pPr>
        <w:sectPr>
          <w:pgSz w:w="11880" w:h="15527" w:orient="portrait"/>
          <w:cols w:equalWidth="0" w:num="1">
            <w:col w:w="10260"/>
          </w:cols>
          <w:pgMar w:left="820" w:top="654" w:right="80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880" w:h="15527" w:orient="portrait"/>
          <w:cols w:equalWidth="0" w:num="1">
            <w:col w:w="10260"/>
          </w:cols>
          <w:pgMar w:left="820" w:top="654" w:right="800" w:bottom="0" w:gutter="0" w:footer="0" w:header="0"/>
          <w:type w:val="continuous"/>
        </w:sectPr>
      </w:pPr>
    </w:p>
    <w:bookmarkStart w:id="13" w:name="page14"/>
    <w:bookmarkEnd w:id="13"/>
    <w:p>
      <w:pPr>
        <w:spacing w:after="0" w:line="4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final production. DFM/A principles are used throughout the product development process to optimize product quality and reduce cost. We spend considerable effort to reduce manufacturing costs and enhance quality through Lean methods and process improvement, product and platform design, application of advanced technologies, enhanced environmental management systems, safety improvements, and improved supply-chain management.</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Professional segment products and Residential segment lawn and garden products are generally manufactured throughout the year with peak production generally occurring ahead of the key selling seasons for certain of our businesses and product lines that are more subject to seasonality. However, our Residential segment snow thrower products are generally manufactured in the summer and fall months but may be extended into the winter months, depending upon weather conditions in key regions, and the related demand for such products. Our production levels and inventory management goals are based on estimates of wholesale and retail demand for our products, taking into account production capacity; commodity, component parts, and labor availability; timing of shipments; and field inventory levels. Our production system generally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 We may also periodically idle production at our manufacturing facilities in order to allow for maintenance, rearrangement, capital equipment installation, seasonality, and as needed, to adjust for market demand, facility renovation projects, and other factors. Production pauses of this nature are generally not materially disruptive to our business and are considered to be normal.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Commodities, Components, Parts, and Accessories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purchase commodities, components, parts, and accessories for use in our manufacturing process and end-products to be sold as stand-alone end-products. Our primary cost exposures for such items used in our products are with steel, aluminum, petroleum and natural gas-based resins, linerboard, copper, lead, rubber, engines, transmissions, transaxles, hydraulics, electrification components, and others,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 However, most of the commodities, components, parts, and accessories used in our manufacturing process and end-products, or to be sold as stand-alone end-products, are exposed to commodity cost changes, including, for example, as a result of inflation, changing prices, foreign currency fluctuations, tariffs, duties, trade regulatory actions, industry actions, changes to international trade policies, agreements, and/or regulation and competitor activity, including antidumping and countervailing duties on certain products imported from foreign countries, including certain engines imported into the U.S. from China. For additional information regarding changing costs of commodities, refer to Part II, Item 7A, "Quantitative and Qualitative Disclosures about Market Risk," of this Annual Report on Form 10-K in the section entitled "Commodity Cost Risk."</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Most of the commodities, components, parts, and accessories utilized in our products are generally commercially available from a number of sources. Although we regularly monitor the adequacy of the supply of our commodities, components, parts, and accessories, and the financial health of the companies in our supply chain, and use alternative suppliers when necessary and available, financial hardship, insufficient demand planning, and/or the inability of companies throughout our supply chain to deliver on supply commitments, requirements, and/or demands may cause disruptions in our ability to procure the commodities, components, and parts required to manufacture our products.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and Warranty</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and labor, and other expenses for non-maintenance repairs. We also sell separately priced extended warranty coverage on select products for a prescribed period after the original warranty period expires. Warranty coverage generally does not cover operator abuse or improper use. An authorized distributor or dealer must perform warranty work. Distributors and dealers submit claims for warranty reimbursement and are credited for the cost of repairs, labor, and other expenses as long as the repairs meet our prescribed standards. Service support outside of the warranty period is provided by authorized distributors and dealers at the customer's expense.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Safety and Liability</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528" w:orient="portrait"/>
          <w:cols w:equalWidth="0" w:num="1">
            <w:col w:w="10260"/>
          </w:cols>
          <w:pgMar w:left="820" w:top="658" w:right="800" w:bottom="0" w:gutter="0" w:footer="0" w:header="0"/>
          <w:type w:val="continuous"/>
        </w:sectPr>
      </w:pPr>
    </w:p>
    <w:bookmarkStart w:id="14" w:name="page15"/>
    <w:bookmarkEnd w:id="1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and Trademarks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TTC trademarks that contribute to our identity and the recognition of our products and services, including but not limited to the Toro® name and logo, are an integral part of our business.</w:t>
      </w:r>
    </w:p>
    <w:p>
      <w:pPr>
        <w:spacing w:after="0" w:line="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review certain patents issued by the U.S. Patent and Trademark Office ("USPTO") and foreign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From time to time, we are involved in patent litigation cases, including cases by or against competitors, where we are asserting or defending against claims of patent infringement.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 For a description of our material intellectual property legal proceedings, refer to the heading titled "Litigation" within Note 11,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of the Notes to Consolidated Financial Statements included in Part II, Item 8, "Financial Statements and Supplementary Data," of this Annual Report on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As a result of our global presence in key markets that are subject to seasonal weather patterns, some of our businesses are seasonal. Overall, our seasonal shipment volumes are generally a function of the key selling seasons of our channel partners based on their industry, geographic location, and the nature and intended purpose of our products in relation to the correlating season. Seasonal weather patterns can impact the timing of the key selling seasons of our channel partners, which may cause our quarterly financial results to differ between fiscal years as demand for our products and related shipment volumes can shift between quarters. Such shifts in the demand for our products and related shipment volumes may result in a negative or positive impact on our net sales and other operating results for a particular period.</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shipment volumes generally precede and overlap the key selling seasons of our channel partners in order to better allow our channel partners to align field inventory levels with the anticipated retail demand from end-customers. As a result, our shipment volumes have historically been the highest in our fiscal second quarter, and retail demand for our products is generally highest in our fiscal third quarter. Typically, our accounts receivable balances increase in the first half of our fiscal year as a result of higher shipment volumes and extended payment terms made available to our customers. Accounts receivable balances typically decrease in the second half of our fiscal year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flows from operations, cash on hand, and borrowings under our revolving credit facility, as applicable.</w:t>
      </w:r>
    </w:p>
    <w:p>
      <w:pPr>
        <w:spacing w:after="0" w:line="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Shipments of our Residential segment products tend to be more seasonal than our Professional segment products, with shipments of lawn and garden products occurring primarily between February and June, depending upon seasonal weather conditions and product demand.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Seasonality of Professional segment product sales also exists but is slightly tempered because the selling season in the Southern U.S. and our markets in the Southern hemisphere generally continue for a longer portion of the year than in Northern regions of the world. Our BOSS and Ventrac brands offer a portfolio of counter-seasonal snow and ice management products in our Professional segment with our shipments of snow and ice management products occurring primarily between April and December, which can result in variability of shipment volumes depending upon pre-season demand, in-season snowfalls, and product availability. Additionally, our rental, specialty, and underground construction business is generally less seasonal than certain of our Professional segment businesses primarily due to the strong presence of certain of the underlying brands in the Southern U.S. markets and the inherent nature of the underground construction market being less impacted by seasonal factors.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Weather</w:t>
      </w:r>
    </w:p>
    <w:p>
      <w:pPr>
        <w:spacing w:after="0" w:line="137"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From time to time, seasonal weather conditions in particular geographic regions or markets, specifically severe wet or dry conditions, as well as significant weather events such as fires, hurricanes, tornados, drought, rainfall, unseasonably warm winter</w:t>
      </w:r>
    </w:p>
    <w:p>
      <w:pPr>
        <w:sectPr>
          <w:pgSz w:w="11880" w:h="15527"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880" w:h="15527" w:orient="portrait"/>
          <w:cols w:equalWidth="0" w:num="1">
            <w:col w:w="10260"/>
          </w:cols>
          <w:pgMar w:left="820" w:top="651" w:right="800" w:bottom="0" w:gutter="0" w:footer="0" w:header="0"/>
          <w:type w:val="continuous"/>
        </w:sectPr>
      </w:pPr>
    </w:p>
    <w:bookmarkStart w:id="15" w:name="page16"/>
    <w:bookmarkEnd w:id="15"/>
    <w:p>
      <w:pPr>
        <w:spacing w:after="0" w:line="4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months, or other weather events, including those exacerbated by global climate change, may adversely or positively affect sales, demand, and field inventory levels of some of our products. In addition, weather conditions in key regions can cause disruption in our seasonality trends and supply chain, which may impact our ability to procure the commodities, components, parts, and accessories needed to manufacture our products to meet the needs of our customers, and such disruptions may adversely or positively affect sales, demand, and field inventory levels of some of our products. For example, persistent hot and dry weather patterns or excessive snowfall across key regions may impact the rate at which inventory needs to be replenished either negatively or positively.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 Distribution, and Marketing</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market and sell the majority of our products through more than 150 distributors worldwide, as well as a large number of equipment dealers, irrigation dealers and distributors, mass retailers, hardware retailers, equipment rental centers, and home centers, as well as online and direct to end-users in more than 125 countries. Our distribution networks are intended to assure quality of sales and market presence, as well as to provide effective after-purchase service and support. Overall, we believe that in the long-term we are not dependent on any single customer. While the loss of any substantial customer could have a material adverse short-term impact on our business, we believe that our diverse distribution channels and customer base should reduce the long-term impact of any such loss.</w:t>
      </w:r>
    </w:p>
    <w:p>
      <w:pPr>
        <w:spacing w:after="0" w:line="9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Professional segment products are sold to distributors and dealers primarily for resale to golf courses, sports fields, contractors, government customers, and homeowners who prefer professional solutions, and in some markets for resale to dealers. We sell some Professional segment products directly to government customers and municipalities and rental companies, as well as to end-users in certain markets. Select irrigation and lighting products are sold to professional irrigation and lighting distributors and dealers, and certain professional-grade retail irrigation products are sold to home centers. Products for the rental, specialty, and underground construction markets are sold to dealers and rental companies, as well as direct to end-users in certain markets. Landscape contractor turf products are also sold to dealers. Snow and ice management products are primarily sold to distributors and dealers for resale to contractors.</w:t>
      </w:r>
    </w:p>
    <w:p>
      <w:pPr>
        <w:spacing w:after="0" w:line="9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Residential segment products, such as walk power mowers, zero-turn riding mowers, and snow throwers, are generally sold to home centers, mass retailers, dealers, and hardware retailers, as well as online and direct to end-users. In certain markets, these same products are sold to distributors for resale to hardware retailers and dealers. Yard tools and garden equipment products are primarily sold to home centers, mass retailers, and hardware retailers.</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operate a wholly-owned domestic distribution company. Our primary purpose in owning a domestic distributorship is to improve operations and test and deploy new strategies and business practices that could be replicated by our independent distributors, as well as facilitating ownership transfers.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current marketing strategy is to maintain distinct brands and brand identification for Toro, Ditch Witch, eXmark, Spartan, BOSS, Ventrac, American Augers, Subsite, HammerHead, Radius, Perrot, Hayter, Unique Lighting Systems, Irritrol, and Lawn-Boy products. Across our brands, we market our Professional and Residential segment products during the appropriate seasons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Financing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Financing Arrangements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We are party to a joint venture with Huntington Distribution Finance, Inc. ("HDF"), a subsidiary of The Huntington National Bank, established as Red Iron Acceptance, LLC ("Red Iron"), the primary purpose of which is to provide inventory financing to certain distributors and dealers of certain of our products in the U.S. For further information on this joint venture, refer to Note 7, </w:t>
      </w:r>
      <w:r>
        <w:rPr>
          <w:rFonts w:ascii="Times New Roman" w:cs="Times New Roman" w:eastAsia="Times New Roman" w:hAnsi="Times New Roman"/>
          <w:sz w:val="20"/>
          <w:szCs w:val="20"/>
          <w:b w:val="1"/>
          <w:bCs w:val="1"/>
          <w:i w:val="1"/>
          <w:iCs w:val="1"/>
          <w:color w:val="auto"/>
        </w:rPr>
        <w:t>Investment in Joint Venture</w:t>
      </w:r>
      <w:r>
        <w:rPr>
          <w:rFonts w:ascii="Times New Roman" w:cs="Times New Roman" w:eastAsia="Times New Roman" w:hAnsi="Times New Roman"/>
          <w:sz w:val="20"/>
          <w:szCs w:val="20"/>
          <w:color w:val="auto"/>
        </w:rPr>
        <w:t>, of the Notes to Consolidated Financial Statements included in Part II, Item 8, "Financial Statements and Supplementary Data," of this Annual Report on Form 10-K.</w:t>
      </w:r>
    </w:p>
    <w:p>
      <w:pPr>
        <w:spacing w:after="0" w:line="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are party to inventory financing arrangements with Red Iron, Huntington Commercial Finance Canada, Inc. ("HCFC"), and other third-party financial institutions (collectively, the "financial institutions") which provide inventory financing to certain dealers and distributors of certain of our products in the U.S. and internationally. For further information on these inventory financing arrangements, refer to Note 11,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of the Notes to Consolidated Financial Statements included in Part II, Item 8, "Financial Statements and Supplementary Data," of this Annual Report on Form 10-K.</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880" w:h="15528" w:orient="portrait"/>
          <w:cols w:equalWidth="0" w:num="1">
            <w:col w:w="10260"/>
          </w:cols>
          <w:pgMar w:left="820" w:top="658" w:right="800" w:bottom="0" w:gutter="0" w:footer="0" w:header="0"/>
          <w:type w:val="continuous"/>
        </w:sectPr>
      </w:pPr>
    </w:p>
    <w:bookmarkStart w:id="16" w:name="page17"/>
    <w:bookmarkEnd w:id="16"/>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End-User Financing</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agreements with third-party financing companies to provide financing options to end-customers throughout the world. The purpose of these agreements is to provide end-users of our products alternative financing options when purchasing our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Open Account Terms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Additionally, we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Order Backlog</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order backlog represents unfulfilled customer orders at a point in time. The dollar value of our order backlog is equal to the gross sales value that we expect to bill to the customer and is not reduced for expected variable consideration related to certain of our sales promotions and incentives programs. Order backlog is one of many indicators of business conditions within the markets and industries that we operate; however, our order backlog is considered more representative of business conditions than an indicator of our expectation of our future net sales because the dollar value of our order backlog is a gross amount that has not yet been reduced for the variable consideration associated with certain of our sales promotions and incentives programs and because backlog can fluctuate for a number of reasons, including the seasonality of our business, product mix, pricing actions, manufacturing and shipping schedules, cancellation and rescheduling of orders by our customers, and the timing of when orders are originally placed by customers and when we are able to fulfill such orders.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global business operations result in us competing with many U.S. and non-U.S. companies across our various markets, industries, and product offerings. These competitors and the degree of competition vary widely by industry, product line, end market, geographic scope and/or geographic location, including some competitors that have substantially larger operations and financial resources than we do and some that have smaller operations offering various capabilities to customers. We also experience a certain level of competition among our own brands within certain industries and end markets. Because of the diversity of our product portfolios and markets, our businesses typically have a different set of competitors in each geographic area and end market in which they participate. Accordingly, estimating the number of competitors or precise market share is challenging; however, we believe that we are a principal competitor in most of our industries and markets.</w:t>
      </w:r>
    </w:p>
    <w:p>
      <w:pPr>
        <w:spacing w:after="0" w:line="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principal competitive factors in our markets are product innovation; quality and reliability; pricing and sales programs; product support and customer service; warranty; brand and reputation; channel relationships; shelf space and product availability; and financing options. We believe we offer total solutions and full service packages with high quality products that have the latest technology and design innovations. In addition, by selling our products through a network of distributors, dealers, mass retailers, hardware retailers, and home centers, as well as online and direct to end-users, users of our products are offered comprehensive service support during and after the warranty period. We believe that we have a competitive advantage because we manufacture a broad range of product lines, we are committed to product innovation and customer service, we have a strong history in, and focus on, the markets in which our businesses operate, and our distribution channels position us well to compete in various markets.</w:t>
      </w:r>
    </w:p>
    <w:p>
      <w:pPr>
        <w:spacing w:after="0" w:line="8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Residential segment products generally face a higher volume of competition than our Professional segment products given the relatively low barriers to entry resulting in numerous other manufacturers selling products that compete directly with our products. Internationally, our Residential segment products face more competition than in the U.S. because many foreign competitors design, manufacture, market, and sell products in their respective countries. We experience this competition primarily in Europe. In addition, fluctuations in the value of the U.S. dollar affect the price of our products in foreign markets, thereby impacting their competitiveness. We provide pricing support to foreign customers, invoice in local currency, and execute foreign currency derivative hedging instruments, as appropriate, to remain competitive in international markets.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 and Management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Guiding Principles and our Purpose, Vision, and Mission</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part of our guiding principles, we believe our success is deeply rooted in caring relationships built on trust and integrity. We believe these relationships are the foundation of our market leadership in innovation and solutions that make outdoor environments beautiful, productive and sustainable. We are committed to fostering a meaningful and enriching culture and engaging employee experience. We believe our commitment to employee wellness and environmental stewardship create a sense of community, allowing employees to take pride in their jobs and live the TTC values.</w:t>
      </w:r>
    </w:p>
    <w:p>
      <w:pPr>
        <w:sectPr>
          <w:pgSz w:w="11880" w:h="15530" w:orient="portrait"/>
          <w:cols w:equalWidth="0" w:num="1">
            <w:col w:w="10260"/>
          </w:cols>
          <w:pgMar w:left="820" w:top="64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880" w:h="15530" w:orient="portrait"/>
          <w:cols w:equalWidth="0" w:num="1">
            <w:col w:w="10260"/>
          </w:cols>
          <w:pgMar w:left="820" w:top="649" w:right="800" w:bottom="0" w:gutter="0" w:footer="0" w:header="0"/>
          <w:type w:val="continuous"/>
        </w:sectPr>
      </w:pPr>
    </w:p>
    <w:bookmarkStart w:id="17" w:name="page18"/>
    <w:bookmarkEnd w:id="17"/>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our commitment to our human capital resources is key to:</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Our Purpose: To help our customers enrich the beauty, productivity and sustainability of the land.</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Our Vision: To be the most trusted leader in solutions for the outdoor environment. Every day. Everywhere.</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Our Mission: To deliver superior innovation and to deliver superior customer care.</w:t>
      </w:r>
    </w:p>
    <w:p>
      <w:pPr>
        <w:spacing w:after="0" w:line="13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employees are guided further by our global Code of Conduct, which provides a framework for our actions and is the foundation of our partnership with TTC stakeholders—customers, suppliers, shareholders, communities, employees and others. Our goal is to foster a culture of trust and respect for all stakeholders and create a productive, supportive and thriving work environment for all TTC employees.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Number of Employees</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fiscal 2025, we employed an average of 9,791 employees. The total number of employees as of October 31, 2025 was 9,227.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Unions and Collective Bargaining Agreements</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of October 31, 2025, approximately 9.4 percent of our employees were represented by a union under a collective bargaining agreement. Our collective bargaining agreements typically are for terms of three to five years, and from time to time, our collective bargaining agreements expire and come up for renegotiation. We have four collective bargaining agreements set to expire in March 2026, May 2026, October 2026, and October 2028, as well as one agreement with an indefinite term. We consider our employee relations to be good and currently do not expect any significant difficulties in renewing these agreements. We have not experienced any strikes or work stoppages in the past five years.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Safety</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safety of our employees is paramount to us. We provide mandatory safety trainings each month in our production facilities, which are designed to focus on empowering our employees with the knowledge and tools they need to make safe choices and to mitigate risks. Supervisors also complete safety management courses. In addition to traditional training, we use safety scorecards, standardized signage, and visual management throughout our facilities. Safety best practices are also regularly reviewed by management and TTC's Board of Directors, and featured in our employee newsletters and town halls.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Engagement</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provide all employees with the opportunity to share their opinions and feedback on our culture through an engagement survey. Results of the survey are measured and analyzed to enhance the employee experience, promote employee retention, drive change and leverage the overall success of our organization.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strive to prepare our teams and talent to deliver on the company's commitments to excellence by providing all employees a wide range of professional development opportunities, both formal and informal, at all stages in their careers. Our formal career development offerings include apprenticeships, job training, mentoring and coaching, leadership development, tuition reimbursement, a diverse curriculum of learning programs, leadership development experiences, vocational training and external partnerships across the globe. One of our unique leadership development programs is our Leadership in Motion program, a learning experience for nominated current and future TTC leaders to enhance leadership skills and collaborate with TTC colleagues in a cross-functional setting. The global program expands employee networks, provides visibility within the company, and builds capabilities needed for TTC’s future. In small groups, participants work on a challenge critical to the company, such as technological innovation, communications, diversifying the workforce and talent retention. Over three months, they learn as a team, use newly gained skills and ultimately present recommendations related to their challenge to our Enterprise Leadership Team. Insights, themes and recommendations from cohort teams have contributed to actions in many areas for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Wellness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health and wellness of our employees are critical to our success. We provide our employees with access to a variety of innovative, flexible and convenient health and wellness programs, which include but are not limited to, 24/7 call-in service access to a licensed physician, on-site nurses at some of our manufacturing sites to monitor employee health, safety, and wellness on a daily basis, various mobile apps that provide physical and mental well-being support. Such programs are designed to support employees’ physical and mental health by providing tools and resources to help them improve or maintain their health status and encourage engagement in healthy behaviors.</w:t>
      </w:r>
    </w:p>
    <w:p>
      <w:pPr>
        <w:sectPr>
          <w:pgSz w:w="11880" w:h="1553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880" w:h="15530" w:orient="portrait"/>
          <w:cols w:equalWidth="0" w:num="1">
            <w:col w:w="10260"/>
          </w:cols>
          <w:pgMar w:left="820" w:top="658" w:right="800" w:bottom="0" w:gutter="0" w:footer="0" w:header="0"/>
          <w:type w:val="continuous"/>
        </w:sectPr>
      </w:pPr>
    </w:p>
    <w:bookmarkStart w:id="18" w:name="page19"/>
    <w:bookmarkEnd w:id="1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Inclusion and Belonging</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culture, rooted in excellence, integrity, and belonging, promotes a safe and welcoming environment where all employees can be their authentic self, both at work and beyond. We strive to nurture an inclusive community where everyone thrives – our colleagues, customers, partners, and communities. Our team members are encouraged to leverage their unique strengths and experiences to address challenges and drive innovation. We celebrate the diverse cultures and backgrounds of those who enrich our world daily. Together, we strive to foster a company culture and industry reputation that embodies collaboration and a genuine sense of belonging for all.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conduct compensation market benchmarking on a regular basis to provide competitive pay to attract and retain superior talent. In addition to annual base salaries, our total rewards, which vary by country/region, can include annual incentive opportunities, stock-based compensation awards, a 401(k) plan with employee matching opportunities, discretionary profit-sharing contribution to employee retirement plan accounts, healthcare and insurance benefits, health savings and flexible spending accounts, paid time off, family leave, family care resources, flexible work schedules, adoption and surrogacy assistance, employee assistance programs, tuition assistance, and certain on-site services, such as health centers and fitness centers, among many others.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Giving and Community Involvement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At the heart of TTC is our commitment to people, and we believe that a satisfying life comes from contributing to, and engaging with, the communities where we live and work. Community support is core to our culture and our efforts reflect a dedication to action and engagement that enriches the lives, communities, industries and land that we serve. Our community efforts center on four areas: Employees, Community, Industry and "Land. Water. Thrive." Through employee volunteerism and donations, corporate giving, and in-kind product donations, we enhance and beautify outdoor spaces while also supporting the shared value of our partner communities and organization.</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employees around the world volunteer with local charitable and civic organizations to complete beautification, preservation, water conservation, community health, and housing and youth enrichment projects, including supporting the beautification and preservation of outdoor environments, water conservation, community health, housing and youth enrichment. To help our employees make a meaningful impact on organizations that are important to them and us, we provide eligible employees in the U.S. up to 20 hours paid time off to volunteer.</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part of our "Land. Water. Thrive." effort, we provide immersion experiences for our employees to work with smallholder farmers in developing countries to improve land productivity and agricultural water practices while also strengthening our employees’ empathy and customer-focused approach to problem solving.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Rights Policy</w:t>
      </w:r>
    </w:p>
    <w:p>
      <w:pPr>
        <w:spacing w:after="0" w:line="1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committed to upholding human rights in all respects of our global operations under The Toro Company Human Rights Policy. We believe that we have a responsibility to ensure that human rights are understood and observed in every location in which we operate. We strive to foster safe, inclusive and respectful workplaces wherever we do business, including prohibiting all forms of child labor and forced labor including indentured labor, bonded labor, military labor, slave labor and any form of human trafficking. We expect our business partners and suppliers to comply with local labor and employment laws wherever they operate. We encourage each other to seek guidance on our Code of Conduct or other issues without fear of retaliation of any kind. Employees may anonymously report concerns, misconduct or suspected violation of the Code through our confidential web-based reporting tool or over the telephone through our Ethics helpline.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Information</w:t>
      </w:r>
    </w:p>
    <w:p>
      <w:pPr>
        <w:spacing w:after="0" w:line="13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 xml:space="preserve">Additional information is included in our Fiscal 2024 Sustainability Report, which is available on our website under the "Sustainability" section of our website located at </w:t>
      </w:r>
      <w:r>
        <w:rPr>
          <w:rFonts w:ascii="Times New Roman" w:cs="Times New Roman" w:eastAsia="Times New Roman" w:hAnsi="Times New Roman"/>
          <w:sz w:val="20"/>
          <w:szCs w:val="20"/>
          <w:u w:val="single" w:color="auto"/>
          <w:color w:val="auto"/>
        </w:rPr>
        <w:t>www.thetorocompany.com</w:t>
      </w:r>
      <w:r>
        <w:rPr>
          <w:rFonts w:ascii="Times New Roman" w:cs="Times New Roman" w:eastAsia="Times New Roman" w:hAnsi="Times New Roman"/>
          <w:sz w:val="20"/>
          <w:szCs w:val="20"/>
          <w:color w:val="auto"/>
        </w:rPr>
        <w:t>. Information contained or referenced on our website, including in our Sustainability Report, is not incorporated by reference and does not form a part of this Annual Report on Form 10-K.</w:t>
      </w:r>
    </w:p>
    <w:p>
      <w:pPr>
        <w:sectPr>
          <w:pgSz w:w="11880" w:h="15528" w:orient="portrait"/>
          <w:cols w:equalWidth="0" w:num="1">
            <w:col w:w="10260"/>
          </w:cols>
          <w:pgMar w:left="820" w:top="64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1880" w:h="15528" w:orient="portrait"/>
          <w:cols w:equalWidth="0" w:num="1">
            <w:col w:w="10260"/>
          </w:cols>
          <w:pgMar w:left="820" w:top="649" w:right="800" w:bottom="0" w:gutter="0" w:footer="0" w:header="0"/>
          <w:type w:val="continuous"/>
        </w:sectPr>
      </w:pPr>
    </w:p>
    <w:bookmarkStart w:id="19" w:name="page20"/>
    <w:bookmarkEnd w:id="19"/>
    <w:p>
      <w:pPr>
        <w:spacing w:after="0" w:line="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Environmental Matters and Other Governmental Regulation</w:t>
      </w:r>
    </w:p>
    <w:p>
      <w:pPr>
        <w:spacing w:after="0" w:line="13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Our business, operations, facilities, and products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recycling and waste disposal; import and export compliance, including country of origin certification requirements; worker and product user health and safety; energy efficiency; extended producer responsibility; outdoor noise laws; and the generation, use, handling, labeling, collection, management, storage, transportation, treatment, and disposal of hazardous substances, wastes, and other regulated materials. For example:</w:t>
      </w:r>
    </w:p>
    <w:p>
      <w:pPr>
        <w:spacing w:after="0" w:line="93" w:lineRule="exact"/>
        <w:rPr>
          <w:sz w:val="20"/>
          <w:szCs w:val="20"/>
          <w:color w:val="auto"/>
        </w:rPr>
      </w:pPr>
    </w:p>
    <w:p>
      <w:pPr>
        <w:jc w:val="both"/>
        <w:ind w:left="370" w:right="20" w:hanging="370"/>
        <w:spacing w:after="0" w:line="253"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EPA, the California Air Resources Board ("CARB"), and similar regulators in other U.S. states and international jurisdictions in which we sell our products have phased in, or are phasing in, emission regulations setting maximum emission standards for certain equipment. Specifically, these agencies from time to time adopt increasingly stringent engine emission regulations. Following the U.S. EPA implementation of Tier 4 emission requirements applicable to diesel engines, China, the European Union ("EU") and its member states, and the United Kingdom have adopted similar regulations. CARB's two-phase implementation of net-zero emissions requirements for small off-road engines, like those contained in lawn and garden equipment, began for all products with model year 2024 and onward.</w:t>
      </w:r>
    </w:p>
    <w:p>
      <w:pPr>
        <w:spacing w:after="0" w:line="3"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2024, Australian regulators adopted the Treasury Laws Amendment (Financial Market Infrastructure and Other Measures) Bill 2024, which requires large and medium-sized companies to begin reporting on climate-related risks and opportunities, and greenhouse gas (GHG) emissions, in their annual reports for financial years commencing after January 1, 2025.</w:t>
      </w:r>
    </w:p>
    <w:p>
      <w:pPr>
        <w:spacing w:after="0" w:line="1"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2024, the SEC adopted rules under SEC Release No. 33-11275, The Enhancement and Standardization of Climate-Related Disclosures for Investors. Shortly after adoption, the SEC voluntarily stayed the rule, and the current administration has chosen not to defend the rule in court. As a result, the rule never took effect, and its future remains uncertain.</w:t>
      </w:r>
    </w:p>
    <w:p>
      <w:pPr>
        <w:spacing w:after="0" w:line="1"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state of California passed two bills that will require certain companies doing business in the state to disclose GHG emissions and climate-related financial risk information. Senate Bill 253 (SB 253) requires CARB to develop and adopt regulations mandating annual disclosure of Scope 1, 2, and 3 GHG emissions, with certain emissions data subject to third-party assurance. Disclosure of Scope 1 and 2 emissions begins in 2026 for the 2025 reporting year, and Scope 3 emissions disclosure begins in 2027 for the 2026 reporting year. SB 253 applies to public and private companies with total annual revenues exceeding $1 billion that do business in California.</w:t>
      </w:r>
    </w:p>
    <w:p>
      <w:pPr>
        <w:spacing w:after="0" w:line="2"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Senate Bill 261 (SB 261) requires biennial disclosures posted on a company’s website related to climate-related financial risks and measures adopted to reduce and adapt to such risks. SB 261 applies to companies with total annual revenues exceeding $500 million. The Ninth Circuit Court of Appeals has granted a stay of enforcement of the January 1, 2026 filing deadline for SB 261 pending the outcome of an appeal process.</w:t>
      </w:r>
    </w:p>
    <w:p>
      <w:pPr>
        <w:spacing w:after="0" w:line="1"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SB 253 and SB 261 have been challenged in the U.S. District Court for the Central District of California. On September 27, 2024, the California Governor signed Senate Bill 219 (SB 219), which extended CARB’s deadline to promulgate implementing regulations for SB 253 until July 1, 2025 but did not change the reporting deadlines. In October 2025, CARB staff indicated that adoption of final regulations under SB 253 and SB 261 will move to Q1 2026 rather than late 2025 as previously anticipated. CARB continues to evaluate stakeholder feedback on threshold definitions, reporting timelines, Scope 3 methodologies, and assurance requirements.</w:t>
      </w:r>
    </w:p>
    <w:p>
      <w:pPr>
        <w:spacing w:after="0" w:line="2"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European Union Corporate Sustainability Reporting Directive (CSRD) applies to both EU and non-EU in-scope entities and would require disclosure of various metrics relating to climate change, biodiversity, workforce, supply chain, and business ethics. In addition to CSRD, the EU has proposed other sustainability-related measures, including the Corporate Sustainability Due Diligence Directive (CSDDD) and the EU Taxonomy. In February 2025, an Omnibus simplification package related to CSRD, CSDDD and the EU Taxonomy was proposed. In December 2025, The EU Council and Parliament reached a provisional agreement on the Omnibus simplification package, significantly amending the CSRD, CSDDD and the EU Taxonomy to reduce the scope and reporting burdens for many companies. The agreement is expected to be formally approved and published in late 2025 or early 2026. Accordingly, if the agreement is formally approved, TTC would not be subject to the reporting requirements of CSRD, CSDDD and the EU Taxonomy. Lastly, the EU implemented the Carbon Border Adjustment Mechanism (CBAM), which is expected to impose additional compliance obligations in the future. TTC is a reporting entity under CBAM and management is monitoring the development of implementing regulations.</w:t>
      </w:r>
    </w:p>
    <w:p>
      <w:pPr>
        <w:spacing w:after="0" w:line="5" w:lineRule="exact"/>
        <w:rPr>
          <w:rFonts w:ascii="Times New Roman" w:cs="Times New Roman" w:eastAsia="Times New Roman" w:hAnsi="Times New Roman"/>
          <w:sz w:val="20"/>
          <w:szCs w:val="20"/>
          <w:color w:val="auto"/>
        </w:rPr>
      </w:pPr>
    </w:p>
    <w:p>
      <w:pPr>
        <w:jc w:val="both"/>
        <w:ind w:left="370" w:hanging="370"/>
        <w:spacing w:after="0" w:line="253"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federal government, several U.S. states, and certain international jurisdictions in which we sell our products, including the EU and each of its member states, have implemented one or more of the following: extended producer responsibility laws, rules, or regulations, which are intended to reduce waste and environmental and human health impact, and require manufacturers to label, collect, dispose, and recycle certain products, including some of our products, at the end of their useful life, including, but not limited to (i) the Waste Electrical and Electronic Equipment (WEEE) Directive,</w:t>
      </w:r>
    </w:p>
    <w:p>
      <w:pPr>
        <w:sectPr>
          <w:pgSz w:w="11880" w:h="15530" w:orient="portrait"/>
          <w:cols w:equalWidth="0" w:num="1">
            <w:col w:w="10270"/>
          </w:cols>
          <w:pgMar w:left="810" w:top="651" w:right="80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w:t>
      </w:r>
    </w:p>
    <w:p>
      <w:pPr>
        <w:sectPr>
          <w:pgSz w:w="11880" w:h="15530" w:orient="portrait"/>
          <w:cols w:equalWidth="0" w:num="1">
            <w:col w:w="10270"/>
          </w:cols>
          <w:pgMar w:left="810" w:top="651" w:right="800" w:bottom="0" w:gutter="0" w:footer="0" w:header="0"/>
          <w:type w:val="continuous"/>
        </w:sectPr>
      </w:pPr>
    </w:p>
    <w:bookmarkStart w:id="20" w:name="page21"/>
    <w:bookmarkEnd w:id="20"/>
    <w:p>
      <w:pPr>
        <w:spacing w:after="0" w:line="48" w:lineRule="exact"/>
        <w:rPr>
          <w:sz w:val="20"/>
          <w:szCs w:val="20"/>
          <w:color w:val="auto"/>
        </w:rPr>
      </w:pPr>
    </w:p>
    <w:p>
      <w:pPr>
        <w:jc w:val="both"/>
        <w:ind w:left="370"/>
        <w:spacing w:after="0" w:line="253" w:lineRule="auto"/>
        <w:rPr>
          <w:sz w:val="20"/>
          <w:szCs w:val="20"/>
          <w:color w:val="auto"/>
        </w:rPr>
      </w:pPr>
      <w:r>
        <w:rPr>
          <w:rFonts w:ascii="Times New Roman" w:cs="Times New Roman" w:eastAsia="Times New Roman" w:hAnsi="Times New Roman"/>
          <w:sz w:val="20"/>
          <w:szCs w:val="20"/>
          <w:color w:val="auto"/>
        </w:rPr>
        <w:t>which mandates the labeling, collection, and disposal of specified waste electrical and electronic equipment; (ii) the Restriction on the use of Hazardous Substances (RoHS)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(REACH) Regulation or similar substance level laws, rules, or regulations that require notification of use of certain chemicals, or ban or restrict the use of certain chemicals; (iv) the Battery Regulation, which regulates the manufacture and disposal of batteries;</w:t>
      </w:r>
    </w:p>
    <w:p>
      <w:pPr>
        <w:spacing w:after="0" w:line="6" w:lineRule="exact"/>
        <w:rPr>
          <w:sz w:val="20"/>
          <w:szCs w:val="20"/>
          <w:color w:val="auto"/>
        </w:rPr>
      </w:pPr>
    </w:p>
    <w:p>
      <w:pPr>
        <w:jc w:val="both"/>
        <w:ind w:left="370" w:right="20" w:hanging="10"/>
        <w:spacing w:after="0" w:line="250" w:lineRule="auto"/>
        <w:tabs>
          <w:tab w:leader="none" w:pos="66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of origin laws, rules, or regulations, which require certification of the geographic origin of our finished goods products and/or components used in our products through documentation and/or physical markings, as applicable;</w:t>
      </w:r>
    </w:p>
    <w:p>
      <w:pPr>
        <w:jc w:val="both"/>
        <w:ind w:left="370" w:right="20" w:hanging="10"/>
        <w:spacing w:after="0" w:line="250" w:lineRule="auto"/>
        <w:tabs>
          <w:tab w:leader="none" w:pos="72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energy efficiency laws, rules, or regulations, which are intended to reduce the use and inefficiencies associated with energy and natural resource consumption and require specified efficiency ratings and capabilities for certain products;</w:t>
      </w:r>
    </w:p>
    <w:p>
      <w:pPr>
        <w:ind w:left="790" w:hanging="430"/>
        <w:spacing w:after="0"/>
        <w:tabs>
          <w:tab w:leader="none" w:pos="79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outdoor noise laws, which are intended to reduce noise emissions in the environment from outdoor equipment;</w:t>
      </w:r>
    </w:p>
    <w:p>
      <w:pPr>
        <w:spacing w:after="0" w:line="10" w:lineRule="exact"/>
        <w:rPr>
          <w:rFonts w:ascii="Times New Roman" w:cs="Times New Roman" w:eastAsia="Times New Roman" w:hAnsi="Times New Roman"/>
          <w:sz w:val="20"/>
          <w:szCs w:val="20"/>
          <w:color w:val="auto"/>
        </w:rPr>
      </w:pPr>
    </w:p>
    <w:p>
      <w:pPr>
        <w:jc w:val="both"/>
        <w:ind w:left="370" w:right="20" w:hanging="10"/>
        <w:spacing w:after="0" w:line="263" w:lineRule="auto"/>
        <w:tabs>
          <w:tab w:leader="none" w:pos="853"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conflict minerals laws, such as the Dodd-Frank Wall Street Reform and Consumer Protection Act and the rules promulgated by the SEC, which require specific procedures for the determination and disclosure of the use of certain minerals, known as "conflict minerals," which are mined from the Democratic Republic of the Congo and adjoining countries; (ix) other product substance restriction laws, some of which require certain labeling of products, such as California Proposition 65; (x) electromagnetic compatibility laws and regulations, such as the EU Electromagnetic Compatibility (EMC) Directive, and similar laws and regulations in other markets; (xi) wireless product type approvals and licenses in global markets and the EU Radio Equipment Directive and similar laws and regulations related to wireless and radio usage; and (xii) supply chain transparency laws and regulations addressing modern slavery and human trafficking.</w:t>
      </w:r>
    </w:p>
    <w:p>
      <w:pPr>
        <w:spacing w:after="0" w:line="4" w:lineRule="exact"/>
        <w:rPr>
          <w:rFonts w:ascii="Times New Roman" w:cs="Times New Roman" w:eastAsia="Times New Roman" w:hAnsi="Times New Roman"/>
          <w:sz w:val="19"/>
          <w:szCs w:val="19"/>
          <w:color w:val="auto"/>
        </w:rPr>
      </w:pPr>
    </w:p>
    <w:p>
      <w:pPr>
        <w:ind w:left="370" w:right="20" w:hanging="370"/>
        <w:spacing w:after="0" w:line="250"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products may be subject to various federal, state, and international laws, rules, and regulations that are designed to protect users, including rules and regulations of the U.S. Consumer Product Safety Commission.</w:t>
      </w:r>
    </w:p>
    <w:p>
      <w:pPr>
        <w:jc w:val="both"/>
        <w:ind w:left="370" w:right="20" w:hanging="370"/>
        <w:spacing w:after="0" w:line="250"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vehicle and trailered products may be subject to various federal, state and international laws, rules and regulations related to vehicle safety and compliance with road regulations and safety, including the U.S. National Highway Transportation Safety Administration.</w:t>
      </w:r>
    </w:p>
    <w:p>
      <w:pPr>
        <w:spacing w:after="0" w:line="1" w:lineRule="exact"/>
        <w:rPr>
          <w:rFonts w:ascii="Times New Roman" w:cs="Times New Roman" w:eastAsia="Times New Roman" w:hAnsi="Times New Roman"/>
          <w:sz w:val="20"/>
          <w:szCs w:val="20"/>
          <w:color w:val="auto"/>
        </w:rPr>
      </w:pPr>
    </w:p>
    <w:p>
      <w:pPr>
        <w:ind w:left="370" w:hanging="370"/>
        <w:spacing w:after="0" w:line="260"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manufacture and assembly of products within our facilities must comply with environmental regulations addressing air emissions, wastewater discharge, storm water run-off, and hazardous waste disposal.</w:t>
      </w:r>
    </w:p>
    <w:p>
      <w:pPr>
        <w:spacing w:after="0" w:line="82"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Compliance with existing laws, rules, and regulations has not historically had a material impact on our capital expenditures, earnings or global competitive position. With respect to acquired properties and businesses, we conduct due diligence regarding potential exposure to environmental liabilities and overall regulatory compliance but cannot be certain that we have identified or will identify all adverse environmental conditions or non-compliance with applicable laws, rules and regulations. We are also involved in the evaluation and environmental clean-up of a limited number of properties currently and previously owned. We do not expect that these matters will have a material adverse effect on our consolidated financial position or results of operations.</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Corporate and Other Available Information</w:t>
      </w:r>
    </w:p>
    <w:p>
      <w:pPr>
        <w:spacing w:after="0" w:line="13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Toro Company was incorporated in Minnesota in 1935 as a successor to a business founded in 1914 and reincorporated in Delaware in 1983. Our executive offices are located at 8111 Lyndale Avenue South, Bloomington, Minnesota, 55420-1196, and our telephone number is (952) 888-8801.</w:t>
      </w:r>
    </w:p>
    <w:p>
      <w:pPr>
        <w:spacing w:after="0" w:line="7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 xml:space="preserve">We are a U.S. public reporting company under the Exchange Act, and file reports, proxy statements, and other information with the SEC. Copies of these reports, proxy statements, and other information can be accessed from the SEC's home page on the Internet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xml:space="preserve">. We make available, free of charge on our website </w:t>
      </w:r>
      <w:r>
        <w:rPr>
          <w:rFonts w:ascii="Times New Roman" w:cs="Times New Roman" w:eastAsia="Times New Roman" w:hAnsi="Times New Roman"/>
          <w:sz w:val="20"/>
          <w:szCs w:val="20"/>
          <w:u w:val="single" w:color="auto"/>
          <w:color w:val="auto"/>
        </w:rPr>
        <w:t>www.thetorocompany.com</w:t>
      </w:r>
      <w:r>
        <w:rPr>
          <w:rFonts w:ascii="Times New Roman" w:cs="Times New Roman" w:eastAsia="Times New Roman" w:hAnsi="Times New Roman"/>
          <w:sz w:val="20"/>
          <w:szCs w:val="20"/>
          <w:color w:val="auto"/>
        </w:rPr>
        <w:t xml:space="preserve"> (select the "Investors" link and then the "Financials &amp; Filings"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We also provide corporate governance and other information, including our sustainability report, on our website. The information contained on our website or connected to our website is not incorporated by reference into, and should not be considered part of, this Annual Report on Form 10-K.</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following are material risk factors known to us that could materially adversely affect our business, reputation, operating results, industry, financial position, or future financial or operational performance. The risks described below are not the only risks we face. Additional risks not presently known to us or that we currently deem immaterial may also impair our business, reputation, operating results, industry, financial position, or future financial or operational performance.</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This summary is not complete and should be read in conjunction with the more detailed risk factors set forth below.</w:t>
      </w:r>
    </w:p>
    <w:p>
      <w:pPr>
        <w:sectPr>
          <w:pgSz w:w="11880" w:h="15528"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w:t>
      </w:r>
    </w:p>
    <w:p>
      <w:pPr>
        <w:sectPr>
          <w:pgSz w:w="11880" w:h="15528" w:orient="portrait"/>
          <w:cols w:equalWidth="0" w:num="1">
            <w:col w:w="10270"/>
          </w:cols>
          <w:pgMar w:left="810" w:top="658" w:right="800" w:bottom="0" w:gutter="0" w:footer="0" w:header="0"/>
          <w:type w:val="continuous"/>
        </w:sectPr>
      </w:pPr>
    </w:p>
    <w:bookmarkStart w:id="21" w:name="page22"/>
    <w:bookmarkEnd w:id="21"/>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Economic and Operational Risks</w:t>
      </w:r>
    </w:p>
    <w:p>
      <w:pPr>
        <w:spacing w:after="0" w:line="139" w:lineRule="exact"/>
        <w:rPr>
          <w:sz w:val="20"/>
          <w:szCs w:val="20"/>
          <w:color w:val="auto"/>
        </w:rPr>
      </w:pPr>
    </w:p>
    <w:p>
      <w:pPr>
        <w:ind w:left="370" w:hanging="370"/>
        <w:spacing w:after="0" w:line="26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net sales and earnings have been and will likely continue to be adversely affected by economic conditions and outlook in the locations in which we conduct business.</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enhance existing products and develop and market new products, demand for our products may decrease adversely impacting our net sales and earnings.</w:t>
      </w:r>
    </w:p>
    <w:p>
      <w:pPr>
        <w:ind w:left="370" w:right="2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and/or shortages in commodities, components, parts, or accessories has adversely affected and could continue to adversely affect our business.</w:t>
      </w:r>
    </w:p>
    <w:p>
      <w:pPr>
        <w:jc w:val="both"/>
        <w:ind w:left="370" w:right="2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Professional segment net sales are dependent on several factors, including changes to the golf, grounds, irrigation, and construction markets.</w:t>
      </w:r>
    </w:p>
    <w:p>
      <w:pPr>
        <w:ind w:left="370" w:right="2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Residential segment net sales are dependent on several factors, including product placement, consumer confidence and spending levels and changing customer buying patterns.</w:t>
      </w: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product mix have adversely impacted and could continue to adversely impact our operating results.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intense competition, which could harm our business and operating results.</w:t>
      </w:r>
    </w:p>
    <w:p>
      <w:pPr>
        <w:spacing w:after="0" w:line="10" w:lineRule="exact"/>
        <w:rPr>
          <w:rFonts w:ascii="Times New Roman" w:cs="Times New Roman" w:eastAsia="Times New Roman" w:hAnsi="Times New Roman"/>
          <w:sz w:val="20"/>
          <w:szCs w:val="20"/>
          <w:color w:val="auto"/>
        </w:rPr>
      </w:pPr>
    </w:p>
    <w:p>
      <w:pPr>
        <w:ind w:left="37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commodities, components, parts, and accessories have adversely affected and could continue to adversely affect our profit margins.</w:t>
      </w: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upon our facilities and those of our suppliers and other third parties.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upon a strong, effective labor force.</w:t>
      </w:r>
    </w:p>
    <w:p>
      <w:pPr>
        <w:spacing w:after="0" w:line="10" w:lineRule="exact"/>
        <w:rPr>
          <w:rFonts w:ascii="Times New Roman" w:cs="Times New Roman" w:eastAsia="Times New Roman" w:hAnsi="Times New Roman"/>
          <w:sz w:val="20"/>
          <w:szCs w:val="20"/>
          <w:color w:val="auto"/>
        </w:rPr>
      </w:pPr>
    </w:p>
    <w:p>
      <w:pPr>
        <w:ind w:left="37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net sales and other operating results are dependent upon us and our channel customers maintaining appropriate inventory levels.</w:t>
      </w: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upon our channel customers, and changes in their purchasing patterns could negatively impact sales.</w:t>
      </w:r>
    </w:p>
    <w:p>
      <w:pPr>
        <w:spacing w:after="0" w:line="10"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upon the availability and terms of credit offered to our customers, which affect purchasing behavior and could adversely impact our net sales.</w:t>
      </w: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upon effective information systems and our domain names.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international operations expose us to currency, regulatory, and political risks that could impact our business.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experience disruptions to our operations from time to time as result of facility changes and renovations.</w:t>
      </w:r>
    </w:p>
    <w:p>
      <w:pPr>
        <w:spacing w:after="0" w:line="10" w:lineRule="exact"/>
        <w:rPr>
          <w:rFonts w:ascii="Times New Roman" w:cs="Times New Roman" w:eastAsia="Times New Roman" w:hAnsi="Times New Roman"/>
          <w:sz w:val="20"/>
          <w:szCs w:val="20"/>
          <w:color w:val="auto"/>
        </w:rPr>
      </w:pPr>
    </w:p>
    <w:p>
      <w:pPr>
        <w:jc w:val="both"/>
        <w:ind w:left="370" w:hanging="370"/>
        <w:spacing w:after="0" w:line="234"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risks associated with the imposition of, or changes to, tariffs, which have impacted and could further negatively impact trade between, or increase the cost of operating in, or increase the cost of or negatively impact the demand for, our products or our customers’ products in the countries in which we or our customers do business.</w:t>
      </w:r>
    </w:p>
    <w:p>
      <w:pPr>
        <w:spacing w:after="0" w:line="1" w:lineRule="exact"/>
        <w:rPr>
          <w:rFonts w:ascii="Times New Roman" w:cs="Times New Roman" w:eastAsia="Times New Roman" w:hAnsi="Times New Roman"/>
          <w:sz w:val="20"/>
          <w:szCs w:val="20"/>
          <w:color w:val="auto"/>
        </w:rPr>
      </w:pPr>
    </w:p>
    <w:p>
      <w:pPr>
        <w:ind w:left="370" w:right="20" w:hanging="370"/>
        <w:spacing w:after="0" w:line="242"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challenges in harmonizing information technology systems, compliance frameworks, and corporate governance practices related to Tornado Infrastructure Equipment.</w:t>
      </w:r>
    </w:p>
    <w:p>
      <w:pPr>
        <w:spacing w:after="0" w:line="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Strategic Risks</w:t>
      </w:r>
    </w:p>
    <w:p>
      <w:pPr>
        <w:spacing w:after="0" w:line="139" w:lineRule="exact"/>
        <w:rPr>
          <w:sz w:val="20"/>
          <w:szCs w:val="20"/>
          <w:color w:val="auto"/>
        </w:rPr>
      </w:pPr>
    </w:p>
    <w:p>
      <w:pPr>
        <w:jc w:val="both"/>
        <w:ind w:left="370" w:hanging="370"/>
        <w:spacing w:after="0" w:line="241" w:lineRule="auto"/>
        <w:tabs>
          <w:tab w:leader="none" w:pos="37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strategy to pursue acquisitions and alliances, strong customer relations, and new joint ventures, investments, and partnerships and our recent activities related to Tornado Infrastructure Equipment in this regard involve risk and may prove to be unsuccessful.</w:t>
      </w:r>
    </w:p>
    <w:p>
      <w:pPr>
        <w:spacing w:after="0" w:line="1" w:lineRule="exact"/>
        <w:rPr>
          <w:rFonts w:ascii="Times New Roman" w:cs="Times New Roman" w:eastAsia="Times New Roman" w:hAnsi="Times New Roman"/>
          <w:sz w:val="20"/>
          <w:szCs w:val="20"/>
          <w:color w:val="auto"/>
        </w:rPr>
      </w:pPr>
    </w:p>
    <w:p>
      <w:pPr>
        <w:jc w:val="both"/>
        <w:ind w:left="370" w:right="20" w:hanging="370"/>
        <w:spacing w:after="0" w:line="249" w:lineRule="auto"/>
        <w:tabs>
          <w:tab w:leader="none" w:pos="37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Climate, environmental, health and safety laws and regulations as well as the impact of increased scrutiny on our sustainability practices, our ability to meet our company sustainability goals, and public perceptions that our products are not environmentally friendly or that our practices are not sustainable could impact our reputation.</w:t>
      </w:r>
    </w:p>
    <w:p>
      <w:pPr>
        <w:spacing w:after="0" w:line="2"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w:t>
      </w:r>
    </w:p>
    <w:p>
      <w:pPr>
        <w:spacing w:after="0" w:line="1"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risks associated with our ability to achieve our financial projections or other business initiatives, including our Amplifying Maximum Productivity (“AMP”) initiative, in the time periods that we anticipate or at all.</w:t>
      </w:r>
    </w:p>
    <w:p>
      <w:pPr>
        <w:spacing w:after="0" w:line="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Financial Risks</w:t>
      </w:r>
    </w:p>
    <w:p>
      <w:pPr>
        <w:spacing w:after="0" w:line="139" w:lineRule="exact"/>
        <w:rPr>
          <w:sz w:val="20"/>
          <w:szCs w:val="20"/>
          <w:color w:val="auto"/>
        </w:rPr>
      </w:pPr>
    </w:p>
    <w:p>
      <w:pPr>
        <w:ind w:left="370" w:hanging="370"/>
        <w:spacing w:after="0"/>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incur impairment, restructuring, and other charges from time to time which harm our operating results.</w:t>
      </w:r>
    </w:p>
    <w:p>
      <w:pPr>
        <w:spacing w:after="0" w:line="3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 fluctuations may harm our operating results.</w:t>
      </w:r>
    </w:p>
    <w:p>
      <w:pPr>
        <w:spacing w:after="0" w:line="10"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upon the availability and cost of our credit arrangements and any downgrade in our credit ratings could adversely affect our access to and increase the cost of such arrangements.</w:t>
      </w:r>
    </w:p>
    <w:p>
      <w:pPr>
        <w:ind w:left="370" w:right="20" w:hanging="370"/>
        <w:spacing w:after="0" w:line="250" w:lineRule="auto"/>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or tax standards and policies and/or assumptions underlying estimates could harm our results of operations.</w:t>
      </w:r>
    </w:p>
    <w:p>
      <w:pPr>
        <w:ind w:left="370" w:hanging="370"/>
        <w:spacing w:after="0"/>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integration related to Tornado Infrastructure Equipment may erode expected synergies and shareholder value.</w:t>
      </w:r>
    </w:p>
    <w:p>
      <w:pPr>
        <w:sectPr>
          <w:pgSz w:w="11880" w:h="15528" w:orient="portrait"/>
          <w:cols w:equalWidth="0" w:num="1">
            <w:col w:w="10270"/>
          </w:cols>
          <w:pgMar w:left="810" w:top="64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16</w:t>
      </w:r>
    </w:p>
    <w:p>
      <w:pPr>
        <w:sectPr>
          <w:pgSz w:w="11880" w:h="15528" w:orient="portrait"/>
          <w:cols w:equalWidth="0" w:num="1">
            <w:col w:w="10270"/>
          </w:cols>
          <w:pgMar w:left="810" w:top="649" w:right="800" w:bottom="0" w:gutter="0" w:footer="0" w:header="0"/>
          <w:type w:val="continuous"/>
        </w:sectPr>
      </w:pPr>
    </w:p>
    <w:bookmarkStart w:id="22" w:name="page23"/>
    <w:bookmarkEnd w:id="22"/>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Legal, Regulatory, and Compliance Risks</w:t>
      </w:r>
    </w:p>
    <w:p>
      <w:pPr>
        <w:spacing w:after="0" w:line="139" w:lineRule="exact"/>
        <w:rPr>
          <w:sz w:val="20"/>
          <w:szCs w:val="20"/>
          <w:color w:val="auto"/>
        </w:rPr>
      </w:pPr>
    </w:p>
    <w:p>
      <w:pPr>
        <w:ind w:left="370" w:right="20" w:hanging="370"/>
        <w:spacing w:after="0" w:line="260" w:lineRule="auto"/>
        <w:tabs>
          <w:tab w:leader="none" w:pos="37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patents, trademarks, and contractual provisions may be insufficient to protect our proprietary rights, or we may infringe the proprietary rights of others.</w:t>
      </w:r>
    </w:p>
    <w:p>
      <w:pPr>
        <w:spacing w:after="0" w:line="1" w:lineRule="exact"/>
        <w:rPr>
          <w:rFonts w:ascii="Times New Roman" w:cs="Times New Roman" w:eastAsia="Times New Roman" w:hAnsi="Times New Roman"/>
          <w:sz w:val="20"/>
          <w:szCs w:val="20"/>
          <w:color w:val="auto"/>
        </w:rPr>
      </w:pPr>
    </w:p>
    <w:p>
      <w:pPr>
        <w:ind w:left="370" w:right="20" w:hanging="370"/>
        <w:spacing w:after="0" w:line="234" w:lineRule="auto"/>
        <w:tabs>
          <w:tab w:leader="none" w:pos="37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which is subject to extensive regulation, including new regulators of businesses that we have acquired or may acquire in the future, involves legal and regulatory risks.</w:t>
      </w:r>
    </w:p>
    <w:p>
      <w:pPr>
        <w:spacing w:after="0" w:line="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product quality issues, product liability claims, and other litigation from time to time.</w:t>
      </w:r>
    </w:p>
    <w:p>
      <w:pPr>
        <w:spacing w:after="0" w:line="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General Risk Factors</w:t>
      </w:r>
    </w:p>
    <w:p>
      <w:pPr>
        <w:spacing w:after="0" w:line="139" w:lineRule="exact"/>
        <w:rPr>
          <w:sz w:val="20"/>
          <w:szCs w:val="20"/>
          <w:color w:val="auto"/>
        </w:rPr>
      </w:pPr>
    </w:p>
    <w:p>
      <w:pPr>
        <w:ind w:left="370" w:hanging="370"/>
        <w:spacing w:after="0" w:line="260" w:lineRule="auto"/>
        <w:tabs>
          <w:tab w:leader="none" w:pos="3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achieve our financial projections or other business and productivity initiatives, which could have an adverse effect on our business, operating results, and financial condition.</w:t>
      </w:r>
    </w:p>
    <w:p>
      <w:pPr>
        <w:spacing w:after="0" w:line="1"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attract and retain key executive and other talent or successfully implement key employee transitions, we may be unable to meet strategic objectives and our business could suffer.</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Economic and Operational Risks</w:t>
      </w:r>
    </w:p>
    <w:p>
      <w:pPr>
        <w:spacing w:after="0" w:line="128" w:lineRule="exact"/>
        <w:rPr>
          <w:sz w:val="20"/>
          <w:szCs w:val="20"/>
          <w:color w:val="auto"/>
        </w:rPr>
      </w:pPr>
    </w:p>
    <w:p>
      <w:pPr>
        <w:jc w:val="both"/>
        <w:ind w:left="1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net sales and earnings have been and could continue to be adversely affected by economic conditions and outlook in the locations in which we conduct business.</w:t>
      </w:r>
    </w:p>
    <w:p>
      <w:pPr>
        <w:spacing w:after="0" w:line="57"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Adverse economic conditions and outlook in the U.S. and in other countries in which we conduct business have and could continue to impact our net sales and earnings. These adverse economic conditions include, but are not limited to, business closures, slowdowns, suspensions or delays of production and commercial activity; recessionary conditions; slow or negative economic growth rates; slowdowns or reductions in levels of interest in the game of golf or golf course activity, development, renovation, and improvement; golf course closures; reduced governmental or municipal spending; reduced levels of home ownership, construction, and sales; home foreclosures; negative consumer confidence; reduced consumer spending levels; increased or prolonged high unemployment rates; higher costs, longer lead times, and reduced availability of commodities, components, parts, and accessories, including as a result of transportation-related costs,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government shutdowns; and general economic and political conditions and expectations. In the past, some of these factors have caused and may continue to cause our distributors, dealers, and end-user customers to reduce spending and delay or forego purchases of our products, which has had an adverse effect on our net sales and earnings.</w:t>
      </w:r>
    </w:p>
    <w:p>
      <w:pPr>
        <w:spacing w:after="0" w:line="90" w:lineRule="exact"/>
        <w:rPr>
          <w:sz w:val="20"/>
          <w:szCs w:val="20"/>
          <w:color w:val="auto"/>
        </w:rPr>
      </w:pPr>
    </w:p>
    <w:p>
      <w:pPr>
        <w:jc w:val="both"/>
        <w:ind w:left="1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continue to enhance existing products and develop and market new products, demand for our products may decrease.</w:t>
      </w:r>
    </w:p>
    <w:p>
      <w:pPr>
        <w:spacing w:after="0" w:line="57"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One of our strategies is to develop innovative, customer-valued and high-quality products to generate revenue and earnings growth. In the past, our sales from new products, which we define as those introduced in the current and previous two fiscal years, have represented a significant portion of our net sales and are expected to continue to represent a significant portion of our future net sales. We may not be able to compete as effectively and ultimately satisfy the needs and preferences of our customers, unless we can continue to enhance existing products and develop new and innovative products, including by incorporating new, emerging, and/or disruptive technologies that may become preferred by our customers. For example, we have the risks related to developing and marketing electric and alternative fuel products to meet market demands for less greenhouse gas intensive products.</w:t>
      </w:r>
    </w:p>
    <w:p>
      <w:pPr>
        <w:spacing w:after="0" w:line="9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Product development, improvement, and introductions require significant financial and technological resources, talent, research, planning, design, development, engineering, and testing at the technological, product, and manufacturing process levels, and we may not be able to timely develop and introduce new products, technologies or product improvements. New and innovative competitive products may beat our products to market; be higher quality or more reliable; be more effective, have more features, and/or be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investments in manufacturing capacity and commitments to fund advertising, sales incentive and promotion programs, and research and development.</w:t>
      </w:r>
    </w:p>
    <w:p>
      <w:pPr>
        <w:spacing w:after="0" w:line="80" w:lineRule="exact"/>
        <w:rPr>
          <w:sz w:val="20"/>
          <w:szCs w:val="20"/>
          <w:color w:val="auto"/>
        </w:rPr>
      </w:pPr>
    </w:p>
    <w:p>
      <w:pPr>
        <w:jc w:val="both"/>
        <w:ind w:left="1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Disruption and/or shortages in the availability of commodities, components, parts, or accessories has, and could continue to, adversely affect our business.</w:t>
      </w:r>
    </w:p>
    <w:p>
      <w:pPr>
        <w:spacing w:after="0" w:line="5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Global supply chain disruptions, natural disasters, antidumping and countervailing duty petitions regarding certain engines imported into the U.S. from China, and other tariffs have, to various and differing degrees, impacted the availability and price of commodities, components, parts, and accessories used in our products. In addition, while most of our commodities, components, parts, or accessories are generally commercially available from a number of sources, certain items are sourced</w:t>
      </w:r>
    </w:p>
    <w:p>
      <w:pPr>
        <w:sectPr>
          <w:pgSz w:w="11880" w:h="15527" w:orient="portrait"/>
          <w:cols w:equalWidth="0" w:num="1">
            <w:col w:w="10270"/>
          </w:cols>
          <w:pgMar w:left="810" w:top="649" w:right="800" w:bottom="0" w:gutter="0" w:footer="0" w:header="0"/>
        </w:sectPr>
      </w:pPr>
    </w:p>
    <w:p>
      <w:pPr>
        <w:spacing w:after="0" w:line="39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17</w:t>
      </w:r>
    </w:p>
    <w:p>
      <w:pPr>
        <w:sectPr>
          <w:pgSz w:w="11880" w:h="15527" w:orient="portrait"/>
          <w:cols w:equalWidth="0" w:num="1">
            <w:col w:w="10270"/>
          </w:cols>
          <w:pgMar w:left="810" w:top="649" w:right="800" w:bottom="0" w:gutter="0" w:footer="0" w:header="0"/>
          <w:type w:val="continuous"/>
        </w:sectPr>
      </w:pPr>
    </w:p>
    <w:bookmarkStart w:id="23" w:name="page24"/>
    <w:bookmarkEnd w:id="23"/>
    <w:p>
      <w:pPr>
        <w:spacing w:after="0" w:line="48"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from single suppliers, which has limited, and could continue to limit, the availability of commodities, components, parts, and accessories when such suppliers are unable to meet our production requirements and we are unable to source such items from an alternative supplier in a timely manner to meet our production needs. This occurred at times during the past couple of years. Any continued or new disruption or shortages in the availability of commodities, components, parts, or accessories, including as a result of labor staffing, workforce shortage, or other challenges that our suppliers may experience as a result of financial hardship, pandemics and/or epidemics, natural disasters, and adverse weather, the frequency and intensity of which may be exacerbated by climate change, or other events, our inability to timely or otherwise obtain substitutes for such items, or any deterioration in our relationships with, the financial viability or quality of, or the personnel relationships at, our suppliers, could adversely affect our business and operating results.</w:t>
      </w:r>
    </w:p>
    <w:p>
      <w:pPr>
        <w:spacing w:after="0" w:line="80" w:lineRule="exact"/>
        <w:rPr>
          <w:sz w:val="20"/>
          <w:szCs w:val="20"/>
          <w:color w:val="auto"/>
        </w:rPr>
      </w:pPr>
    </w:p>
    <w:p>
      <w:pPr>
        <w:jc w:val="both"/>
        <w:ind w:left="1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spacing w:after="0" w:line="76"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Weather conditions in particular geographic regions have adversely impacted, and will likely in the future, adversely affect the sales, demand, and field inventory levels and seasonality trends of some of our products. Weather conditions also have disrupted our own manufacturing and distribution facilities and our supply chain, which has impacted our ability to manufacture product to fulfill customer demand, and such disruptions may occur in the future. For example, drought or unusually wet conditions have had, and may continue to have, an adverse effect on sales of certain Residential and Professional mowing equipment products. Unusually rainy weather or severe drought conditions that result in watering bans, or otherwise, have had, and may continue to have, an adverse effect on sales of our irrigation products, and lower snowfall accumulations in key markets have had, and may continue to have, an adverse effect on sales of our Residential snow thrower products and products of our 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w:t>
      </w:r>
    </w:p>
    <w:p>
      <w:pPr>
        <w:spacing w:after="0" w:line="91"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Further, our facilities and other operations and those of our channel customers and suppliers have incurred losses and experienced disruptions as a result of certain weather conditions and such losses or disruption may continue due to additional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outages or shortages, or telecommunications failures.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8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Global climate change may exacerbate the frequency and intensity of unfavorable weather conditions, such as fires, hurricanes, tornadoes, drought, water shortages, rainfall, unseasonably warm winter months, or other weather events, many of which have increased in severity in recent years, in geographic areas where our products are manufactured, distributed, sold, and used and where our supply chains are located, and our sales and operating results may be affected to a greater degree than we have previously experienced. Such weather conditions could pose physical risks to our facilities and critical infrastructure in the U.S. and abroad, disrupt the operation of our supply chain and third-party vendors, and may impact our operational results. Additionally, increased frequency and intensity of weather events due to climate change could lead to lost sales as customers prioritize basic needs.</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Our Professional segment includes a variety of products that depend on certain and varied factors.</w:t>
      </w:r>
    </w:p>
    <w:p>
      <w:pPr>
        <w:spacing w:after="0" w:line="139"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Our Professional segment includes a variety of products that are sold by distributors or dealers, or directly to government customers, rental companies, professional and other users, including homeowners, engaged in maintaining and creating properties and landscapes, such as golf courses, sports fields, residential and commercial properties and landscapes, and governmental and municipal properties. Any one or a combination of the following factors, among others, have in the past resulted and could in the future result in a decrease in spending and demand for our products, resulting in an adverse effect on our Professional segment net sales and earnings:</w:t>
      </w:r>
    </w:p>
    <w:p>
      <w:pPr>
        <w:spacing w:after="0" w:line="88" w:lineRule="exact"/>
        <w:rPr>
          <w:sz w:val="20"/>
          <w:szCs w:val="20"/>
          <w:color w:val="auto"/>
        </w:rPr>
      </w:pPr>
    </w:p>
    <w:p>
      <w:pPr>
        <w:ind w:left="370" w:hanging="370"/>
        <w:spacing w:after="0" w:line="260" w:lineRule="auto"/>
        <w:tabs>
          <w:tab w:leader="none" w:pos="3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revenue for golf courses resulting from a reduction in the level of interest in the game of golf and/or a decrease in rounds played, memberships, and/or food and beverage sales, as applicable;</w:t>
      </w:r>
    </w:p>
    <w:p>
      <w:pPr>
        <w:spacing w:after="0" w:line="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investment in golf course renovations and improvements;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new golf course development and golf course closures;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consumer and business spending on property maintenance, such as lawn care and snow and ice removal activities;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or reduced levels of infrastructure improvements and other construction activities;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construction activities for oil, gas, telecommunication, and other utility distribution systems;</w:t>
      </w:r>
    </w:p>
    <w:p>
      <w:pPr>
        <w:sectPr>
          <w:pgSz w:w="11880" w:h="15528" w:orient="portrait"/>
          <w:cols w:equalWidth="0" w:num="1">
            <w:col w:w="10270"/>
          </w:cols>
          <w:pgMar w:left="810" w:top="658" w:right="800" w:bottom="0" w:gutter="0" w:footer="0" w:header="0"/>
        </w:sectPr>
      </w:pPr>
    </w:p>
    <w:p>
      <w:pPr>
        <w:spacing w:after="0" w:line="3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18</w:t>
      </w:r>
    </w:p>
    <w:p>
      <w:pPr>
        <w:sectPr>
          <w:pgSz w:w="11880" w:h="15528" w:orient="portrait"/>
          <w:cols w:equalWidth="0" w:num="1">
            <w:col w:w="10270"/>
          </w:cols>
          <w:pgMar w:left="810" w:top="658" w:right="800" w:bottom="0" w:gutter="0" w:footer="0" w:header="0"/>
          <w:type w:val="continuous"/>
        </w:sectPr>
      </w:pPr>
    </w:p>
    <w:bookmarkStart w:id="24" w:name="page25"/>
    <w:bookmarkEnd w:id="24"/>
    <w:p>
      <w:pPr>
        <w:spacing w:after="0" w:line="47" w:lineRule="exact"/>
        <w:rPr>
          <w:sz w:val="20"/>
          <w:szCs w:val="20"/>
          <w:color w:val="auto"/>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in acceptance of, and demand for, ag-irrigation solutions for agricultural production;</w:t>
      </w:r>
    </w:p>
    <w:p>
      <w:pPr>
        <w:spacing w:after="0" w:line="30"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cash or credit on acceptable terms for our customers to finance new product purchases or rent equipment; and</w:t>
      </w:r>
    </w:p>
    <w:p>
      <w:pPr>
        <w:ind w:left="370" w:right="20" w:hanging="370"/>
        <w:spacing w:after="0" w:line="260" w:lineRule="auto"/>
        <w:tabs>
          <w:tab w:leader="none" w:pos="3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and/or government budgetary constraints resulting in reduced spending for grounds maintenance or construction equipment.</w:t>
      </w:r>
    </w:p>
    <w:p>
      <w:pPr>
        <w:spacing w:after="0" w:line="72" w:lineRule="exact"/>
        <w:rPr>
          <w:sz w:val="20"/>
          <w:szCs w:val="20"/>
          <w:color w:val="auto"/>
        </w:rPr>
      </w:pPr>
    </w:p>
    <w:p>
      <w:pPr>
        <w:jc w:val="both"/>
        <w:ind w:left="1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Residential segment net sales depend on several factors, including product placement, consumer confidence and spending levels, changing buying patterns of customers, and the impact of significant sales or promotional events.</w:t>
      </w:r>
    </w:p>
    <w:p>
      <w:pPr>
        <w:spacing w:after="0" w:line="57"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The elimination, reduction, or changes in the placement of shelf space assigned to our Residential segment products at mass retailers and home centers have in the past adversely affected and, in the future, could adversely affect our Residential segment net sales. Our Residential segment net sales also depend upon the buying patterns of consumers and changes to buying patterns could result in reduced sales. In addition, as consumers purchase products at home centers and mass retailers that typically offer broader and lower price points than dealers, demand for and sales of our Residential segment products purchased at mass retailers and home centers, as compared to dealers and hardware retailers, have increased, adversely affecting our margins. We believe that our diverse distribution channels and customer base should reduce the long-term impact on us if we were to lose any substantial customer, but the loss of any such customer, a significant reduction in sales to such customers,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have in the past and could in the future be impacted as a result of the timing of significant sales or promotional events for our Residential products.</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Changes in product mix could adversely impact our financial performance, including profit margins and net earnings.</w:t>
      </w:r>
    </w:p>
    <w:p>
      <w:pPr>
        <w:spacing w:after="0" w:line="139"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Our Professional segment products generally have higher profit margins than our Residential segment products. Accordingly, our financial performance, including our profit margins and net earnings, have been and will continue to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have been and could continue to be negatively impacted. Similarly, within each reportable segment, if we experience lower sales of products that generally carry higher profit margins, our financial performance, including profit margins and net earnings, have been and could continue to be negatively impacted.</w:t>
      </w:r>
    </w:p>
    <w:p>
      <w:pPr>
        <w:spacing w:after="0" w:line="200" w:lineRule="exact"/>
        <w:rPr>
          <w:sz w:val="20"/>
          <w:szCs w:val="20"/>
          <w:color w:val="auto"/>
        </w:rPr>
      </w:pPr>
    </w:p>
    <w:p>
      <w:pPr>
        <w:spacing w:after="0" w:line="2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We face intense competition, which could harm our business and operating results.</w:t>
      </w:r>
    </w:p>
    <w:p>
      <w:pPr>
        <w:spacing w:after="0" w:line="139"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Our products are sold in highly competitive markets throughout the world and as a result, we compete with many U.S. and non-U.S. companies across our various markets, industries, and product offerings. These competitors and the degree of competition vary widely by industry, product line, end market, geographic scope and/or geographic location. The principal competitive factors in our industries and markets include product innovation; quality and reliability; pricing and sales promotion and incentive programs; product support and customer service; warranty; brand awareness; reputation; distribution, shelf space, and product placement and availability; and financing options. Some of our competitors have substantially larger operations and greater financial resources than us, and some have smaller operations offering various and/or more specialized capabilities to customers, and they may be able to adapt more quickly to new or emerging technologies and changes in customer preferences, or devote greater or more specialized resources to the development, promotion, and sale of their products or disruptive new products or technologies than we can. In addition, competition could increase if new companies enter the market, existing competitors combine or consolidate their operations or if existing competitors expand their product lines or intensify efforts within existing product lines. Our current products, products and technologies under development, and our ability to develop new and improved products and technologies may be insufficient to enable us to compete effectively with our competitors.</w:t>
      </w:r>
    </w:p>
    <w:p>
      <w:pPr>
        <w:spacing w:after="0" w:line="88"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Our Residential segment products generally face a higher and increasing volume of competition compared to our Professional segment products given the low barriers to entry resulting in numerous other manufacturers selling products that compete directly with our products. Internationally, our Residential segment products typically face more competition than in the U.S. because many foreign competitors design, manufacture, market, and sell products in their respective countries. In addition, fluctuations in the value of the U.S. dollar may affect the price of our products in foreign markets, thereby impacting their competitiveness. Competitors may move manufacturing operations to low cost countries for significant cost and price reductions, and we may not be able to compete, which could harm our business and operating results.</w:t>
      </w:r>
    </w:p>
    <w:p>
      <w:pPr>
        <w:spacing w:after="0" w:line="80" w:lineRule="exact"/>
        <w:rPr>
          <w:sz w:val="20"/>
          <w:szCs w:val="20"/>
          <w:color w:val="auto"/>
        </w:rPr>
      </w:pPr>
    </w:p>
    <w:p>
      <w:pPr>
        <w:jc w:val="both"/>
        <w:ind w:left="1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domain names are critical assets for informing consumers about our brand, but they are increasingly targeted by scams.</w:t>
      </w:r>
    </w:p>
    <w:p>
      <w:pPr>
        <w:spacing w:after="0" w:line="57" w:lineRule="exact"/>
        <w:rPr>
          <w:sz w:val="20"/>
          <w:szCs w:val="20"/>
          <w:color w:val="auto"/>
        </w:rPr>
      </w:pPr>
    </w:p>
    <w:p>
      <w:pPr>
        <w:jc w:val="both"/>
        <w:ind w:left="10" w:right="20"/>
        <w:spacing w:after="0" w:line="292" w:lineRule="auto"/>
        <w:rPr>
          <w:sz w:val="20"/>
          <w:szCs w:val="20"/>
          <w:color w:val="auto"/>
        </w:rPr>
      </w:pPr>
      <w:r>
        <w:rPr>
          <w:rFonts w:ascii="Times New Roman" w:cs="Times New Roman" w:eastAsia="Times New Roman" w:hAnsi="Times New Roman"/>
          <w:sz w:val="20"/>
          <w:szCs w:val="20"/>
          <w:color w:val="auto"/>
        </w:rPr>
        <w:t>We face significant risks from cybersquatting, typosquatting, and other domain name scams that target our trademarks, trade names, and brand identity. These activities involve registering domain names that are identical or confusingly similar to our</w:t>
      </w:r>
    </w:p>
    <w:p>
      <w:pPr>
        <w:sectPr>
          <w:pgSz w:w="11880" w:h="15527"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19</w:t>
      </w:r>
    </w:p>
    <w:p>
      <w:pPr>
        <w:sectPr>
          <w:pgSz w:w="11880" w:h="15527" w:orient="portrait"/>
          <w:cols w:equalWidth="0" w:num="1">
            <w:col w:w="10270"/>
          </w:cols>
          <w:pgMar w:left="810" w:top="658" w:right="800" w:bottom="0" w:gutter="0" w:footer="0" w:header="0"/>
          <w:type w:val="continuous"/>
        </w:sectPr>
      </w:pPr>
    </w:p>
    <w:bookmarkStart w:id="25" w:name="page26"/>
    <w:bookmarkEnd w:id="25"/>
    <w:p>
      <w:pPr>
        <w:spacing w:after="0" w:line="4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intellectual property, often for resale at inflated prices or to mislead consumers. Common schemes include: cybersquatting (registering our marks as domain names to demand payment for transfer); typosquatting and look-alike domains (using minor variations of our legitimate domains to divert traffic); and homograph attacks (exploiting internationalized domain names to create visually deceptive domains).</w:t>
      </w:r>
    </w:p>
    <w:p>
      <w:pPr>
        <w:spacing w:after="0" w:line="21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These fraudulent domains may host phishing sites, distribute malware, sell counterfeit goods, or disseminate false information. Such activities can result in: reputational harm through loss of consumer trust and brand dilution; operational disruption through increased costs for monitoring, enforcement, and litigation; and regulatory exposure through potential scrutiny under consumer protection and cybersecurity regulations.</w:t>
      </w:r>
    </w:p>
    <w:p>
      <w:pPr>
        <w:spacing w:after="0" w:line="21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0"/>
          <w:szCs w:val="20"/>
          <w:color w:val="auto"/>
        </w:rPr>
        <w:t>Despite our monitoring and enforcement programs, we cannot guarantee complete prevention or timely remediation of these abuses. If these activities lead to consumer confusion, unauthorized transactions, or data compromise, our business, financial condition, and results of operations could be materially adversely affected.</w:t>
      </w:r>
    </w:p>
    <w:p>
      <w:pPr>
        <w:spacing w:after="0" w:line="6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Increases in the cost of commodities, components, parts, and accessories or our other costs of doing business, have, and could continue to, adversely affect our profit margins and businesses.</w:t>
      </w:r>
    </w:p>
    <w:p>
      <w:pPr>
        <w:spacing w:after="0" w:line="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electrification components, and other commodities, components, parts and accessories. Increased costs and/or inflation, increased tariffs,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U.S. from China, or the inability of suppliers to continue operations or otherwise remain in business, have affected our profit margins, operating results and businesses and could continue to result in declines in our profit margins, operating results and businesses. Historically, we have mitigated commodity, component, parts, or accessories cost increases, in part, by increasing prices on some of our products and executing on our strategic productivity initiatives, which include, but are not limited to, collaborating with suppliers, reviewing alternative sourcing options, substituting materials, utilizing Lean methods, and engaging in internal cost reduction efforts, all as appropriate. However, during the past couple of years, we experienced higher material, manufacturing, and freight costs, which adversely affected our margins, and we may not be able to fully offset increased commodity, component, parts, or accessories costs in the future. Further, if our price increases are not accepted by our customers and the market, our net sales, profit margins, earnings, and market share could be adversely affected.</w:t>
      </w:r>
    </w:p>
    <w:p>
      <w:pPr>
        <w:spacing w:after="0" w:line="8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upon the efficient operation of our facilities and those of our suppliers, channel customers, mass retailers, and home centers where our products are sold.</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Production downtime and/or the inability to produce products at our facilities, and those of our suppliers, or other disruptions have occurred, and could continue to occur, as a result of several factors, including supply chain challenges, labor shortages, natural disasters, inclement weather, man-made disasters or other external events, such as terrorist acts or acts of war, pandemics and/or epidemics, boycotts and sanctions, widespread criminal activities, or protests and/or social unrest, or other events, at or in proximity to any of our facilities or in our manufacturing or other operations, or those of our channel customers, mass retailers or home centers where our products are sold, or suppliers. A work slowdown, strike, or similar action could occur at any one of our facilities, or the facilities of our channel customers and suppliers, and such facilities could fail to renew or enter into new collective bargaining agreements or may have to enter into a new collective bargaining agreement at a facility not currently covered by an agreement. Furthermore, we shift production between our manufacturing facilities from time to time, and open new manufacturing and/or distribution facilities, to align production capacity with production goals. Such events and disruptions could make it difficult or impossible to manufacture or to deliver products to our customers, produce or maintain sufficient inventory of our products, receive commodities, components, parts or accessories from our suppliers, or perform critical functions, which could adversely affect our business globally or in certain regions. Such events also may result in shortages of commodities, components, parts, or accessories; higher fuel, transportation, and commodity costs; and delays in shipments to our channel customers.</w:t>
      </w:r>
    </w:p>
    <w:p>
      <w:pPr>
        <w:spacing w:after="0" w:line="8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failure by us, or our suppliers or channel partners, to hire and/or retain an adequate labor force could adversely affect our business, operating results, and reputation.</w:t>
      </w:r>
    </w:p>
    <w:p>
      <w:pPr>
        <w:spacing w:after="0" w:line="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labor needs, and those of our suppliers and channel partners, fluctuate throughout the year and by region. During periods of peak manufacturing activity it is often 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due to limited workforce populations in areas around the locations where we, or our suppliers and channel partners, manufacture products or conduct</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880" w:h="15528" w:orient="portrait"/>
          <w:cols w:equalWidth="0" w:num="1">
            <w:col w:w="10260"/>
          </w:cols>
          <w:pgMar w:left="820" w:top="658" w:right="800" w:bottom="0" w:gutter="0" w:footer="0" w:header="0"/>
          <w:type w:val="continuous"/>
        </w:sectPr>
      </w:pPr>
    </w:p>
    <w:bookmarkStart w:id="26" w:name="page27"/>
    <w:bookmarkEnd w:id="26"/>
    <w:p>
      <w:pPr>
        <w:spacing w:after="0" w:line="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business, or other factors, we, or our suppliers and channel partners, may not have a sufficient pool of individuals with the right skills and experience available to fulfill labor requirements on a cost-effective basis or otherwise.</w:t>
      </w:r>
    </w:p>
    <w:p>
      <w:pPr>
        <w:spacing w:after="0" w:line="6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If we, or our suppliers and channel partners, are unable to hire, train, and/or retain a labor force to adequately staff manufacturing operations, perform service or warranty work, or other necessary activities, we could experience disruptions in our manufacturing and other processes, which have in the past adversely impacted, and could continue to adversely impact, our business, operating results, and reputation.</w:t>
      </w:r>
    </w:p>
    <w:p>
      <w:pPr>
        <w:spacing w:after="0" w:line="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net sales and/or working capital are negatively impacted when we underestimate or overestimate demand for our products or do not maintain appropriate inventory levels.</w:t>
      </w:r>
    </w:p>
    <w:p>
      <w:pPr>
        <w:spacing w:after="0" w:line="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ability to manage our inventory levels to meet our customers' demand for our products and fulfill existing and future sales order backlog is important for our business. Our production levels and inventory management goals for our products are based on estimates of demand for our products, considering production capacity, timing of shipments, existing sales order backlog, and field inventory levels. Managing inventory levels during an uncertain macroeconomic environment is particularly difficult as a result of demand volatility; changes to production operations, locations and schedule; and supply chain challenges limiting our ability to source an adequate supply of commodities, components, parts, and accessories to meet our production requirements. These factors have resulted in, and could continue to result in, manufacturing inefficiencies and related unfavorable manufacturing variances that have negatively impacted, and could continue to impact, our financial results. Our net sales, margins, net earnings, and/or working capital are negatively impacted when we underestimate or overestimate channel or retail demand for our products, we are not able to manufacture product to fulfill customer demand and existing and future sales order backlog, and/or we do not produce or maintain appropriate inventory levels. Furthermore, such impacts hinder our ability to meet customer demand, result in the loss of customers, and could cause us to incur charges associated with inventory valuation adjustments for excess and obsolete inventories.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operating results are subject to the inventory management decisions of our channel customers.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subject to risks relating to the inventory management decisions and operational and sourcing practices of our distribution network. Our channel customers carry inventories of our products as part of their ongoing operations and adjust those inventories based on their assessments of future needs, including anticipated end-customer demand. Such adjustments have impacted our inventory management and working capital goals as well as operating results, and such adjustments may impact us in the future.</w:t>
      </w:r>
    </w:p>
    <w:p>
      <w:pPr>
        <w:spacing w:after="0" w:line="7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composition of, financial viability of, and the relationships with, our channel customers could negatively impact our business and operating results.</w:t>
      </w:r>
    </w:p>
    <w:p>
      <w:pPr>
        <w:spacing w:after="0" w:line="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we fail to maintain an effective network of channel partners, including distributors, dealers, mass retailers, and home centers, for our products, we may not have adequate market coverage for the optimal level of sales of our products. Additionally, our channel customers may not commit the necessary resources to market and sell our products as we would expect, and/or they may not be successful in marketing and ultimately selling our products. Any weak demand for, or quality issues with, our products may cause our channel customers to reduce or terminate their relationships with us or adversely affect our ability to engage new dealers and distributors or maintain or obtain shelf space at mass retailers and home centers. Changes in the ownership or control of our channel customers could also adversely affect our relationships with them. If we are not able to maintain effective distribution channels, if our channel customers are not successful in marketing and selling our products, or if we experience a significant reduction or cancellation or change in the size and timing of orders from our channel customers, our sales could decline and have an adverse effect on our business and operating results.</w:t>
      </w:r>
    </w:p>
    <w:p>
      <w:pPr>
        <w:spacing w:after="0" w:line="9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if adverse economic conditions, business conditions or other events cause a decline in sales by our channel customers or weakens their financial condition, including insolvency or bankruptcy, our net sales and earnings could be adversely affected. Such situation could adversely affect the ability of such customers to pay amounts owed, which could require us to repurchase financed product.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the availability and terms of credit offered to our customers.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a party to various floor plan arrangements in order to provide reliable, competitive floor plan financing to certain of our distributors and dealers primarily in the U.S. and Canada to support their businesses and improve our working capital for our other strategic purposes. As a result, we depend on such arrangements for our inventory financing programs. The availability of financing from our floor plan arrangements is affected by many factors, including, among others, the overall credit markets, the credit worthiness of our dealers and distributors, and regulations that may affect such financing providers. Any material changes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ectPr>
          <w:pgSz w:w="11880" w:h="1553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1880" w:h="15530" w:orient="portrait"/>
          <w:cols w:equalWidth="0" w:num="1">
            <w:col w:w="10260"/>
          </w:cols>
          <w:pgMar w:left="820" w:top="658" w:right="800" w:bottom="0" w:gutter="0" w:footer="0" w:header="0"/>
          <w:type w:val="continuous"/>
        </w:sectPr>
      </w:pPr>
    </w:p>
    <w:bookmarkStart w:id="27" w:name="page28"/>
    <w:bookmarkEnd w:id="27"/>
    <w:p>
      <w:pPr>
        <w:spacing w:after="0" w:line="5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upon the effective operation of our information systems, software, or information security practices and those of our business partners or third-party service providers.</w:t>
      </w:r>
    </w:p>
    <w:p>
      <w:pPr>
        <w:spacing w:after="0" w:line="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have many information systems and other software that are critical to our business and certain of our products, some of which are managed by third parties. These information systems and software are used to record, process, summarize, transmit, and store electronic information, and to manage or support a variety of business processes and activities, including, among other things, our accounting and financial functions; our manufacturing and supply chain processes; managing personal data or other data relating to our customers, suppliers, and employees; and the data related to our research and development efforts. We may be unable to enhance our existing information systems and software or implement new information systems or software when necessary; may experience unanticipated delays, complications, or expenses in implementing, integrating, and operating our systems; and/or require substantial expenditures or interruptions in operations in connection with any system changes we might pursue, including as may be necessary during the integration of acquisitions. The failure of our information systems or software or those of our business partners or third-party service providers to perform properly, or difficulties encountered in the development of or transfer over to new systems or the modification or upgrade of existing systems, could disrupt our business and harm our reputation, which may result in decreased sales, increased overhead costs, excess or obsolete inventory, and product shortages, causing our business, reputation, financial condition, and operating results to suffer. As we continue to develop internet-connected products and other new, emerging, and/or disruptive technologies, similar risks may also be present in the systems, technology, and software installed within such products.</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Additionally, we take steps to secure our information systems and software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data privacy breaches, natural or man-made disasters, cyber attacks, computer viruses, malware, phishing, denial of service attacks, power loss, or other disruptive events. Information technology security threats have been increasing in frequency and sophistication. Cyber attacks may be random, coordinated, or targeted, including sophisticated computer crime threats. These threats pose a risk to the security of our systems and networks including those that may be used by our products, and those of our business partners and third-party service providers, and to the confidentiality, availability, and integrity of our data or data of our customers, suppliers or employees. Our business, reputation, operating results, and financial condition could be adversely affected if a significant cyber event or other event, disrupts or shuts down our operations; our confidential, proprietary information or data of our customers, suppliers, or employees is stolen or disclosed; our intranet and internet sites are compromised; data is manipulated or destroyed; we incur costs, are required to pay fines or face other regulatory enforcement actions,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 As a result of the SEC rule on cybersecurity disclosure, we are required to disclose, on a current basis pursuant to new Item 1.05 of SEC Form 8-K, any cybersecurity incident that we determine to be material and describe the material aspects of the nature, scope, and timing of the incident, as well as the material impact or reasonably likely material impact of the incident on us, including our financial condition and results of operations. We will also be required to describe, on a periodic basis, our processes, if any, for the assessment, identification, and management of material risks from cybersecurity threats, and describe whether any risks from cybersecurity threats have materially affected or are reasonably likely to materially affect our business strategy, results of operations, or financial condition, our board’s oversight of risks from cybersecurity threats and management’s role in assessing and managing material risks from cybersecurity threats. We have incurred significant costs in an effort to detect and prevent security breaches and incidents, and we may face increased costs and requirements to expend substantial resources in the event of an actual or perceived security breach or incident and to comply with the SEC cybersecurity rule.</w:t>
      </w:r>
    </w:p>
    <w:p>
      <w:pPr>
        <w:spacing w:after="0" w:line="10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insurance policies may not be adequate to compensate us for the potential losses arising from any such disruption or failure.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8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may incorporate traditional and generative artificial intelligence (AI) solutions into our information systems, products, offerings, services and features, and these solutions may become important in our operations over time. The ever-increasing use and evolution of technology, including cloud-based computing and AI, creates opportunities for the potential loss or misuse of personal data that forms part of any data set and was collected, used, stored, or transferred to run our business, and unintentional dissemination or intentional destruction of confidential information stored in our or our third party providers' systems, portable media or storage devices, which may result in significantly increased business and security costs, a damaged reputation, administrative penalties, or costs related to defending legal claims. If the content, analyses, or recommendations that AI programs assist in producing are or are alleged to be deficient, inaccurate, or biased, our business, financial condition, and results of operations and our reputation may be adversely affected. AI programs may be costly and require significant expertise</w:t>
      </w:r>
    </w:p>
    <w:p>
      <w:pPr>
        <w:sectPr>
          <w:pgSz w:w="11880" w:h="15530" w:orient="portrait"/>
          <w:cols w:equalWidth="0" w:num="1">
            <w:col w:w="10260"/>
          </w:cols>
          <w:pgMar w:left="820" w:top="649" w:right="80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1880" w:h="15530" w:orient="portrait"/>
          <w:cols w:equalWidth="0" w:num="1">
            <w:col w:w="10260"/>
          </w:cols>
          <w:pgMar w:left="820" w:top="649" w:right="800" w:bottom="0" w:gutter="0" w:footer="0" w:header="0"/>
          <w:type w:val="continuous"/>
        </w:sectPr>
      </w:pPr>
    </w:p>
    <w:bookmarkStart w:id="28" w:name="page29"/>
    <w:bookmarkEnd w:id="28"/>
    <w:p>
      <w:pPr>
        <w:spacing w:after="0" w:line="48"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to develop, may be difficult to set up and manage, and require periodic upgrades. There is also a risk that we may not have access to the technology and qualified AI personnel resources to adequately incorporate ongoing advancements into our AI initiatives, including access to the licensing of key intellectual property from third parties. Our competitors or other third parties may incorporate AI into their products more quickly or more successfully than us, which could impair our ability to compete effectively and adversely affect our results of operations. Our competition may have access to greater financial and technological resources, giving them a competitive advantage in recruiting, motivating, and retaining sought-after AI professionals. AI also presents emerging ethical issues and if our use of AI becomes controversial, we may experience brand or reputational harm, competitive harm, or legal liability. The rapid evolution of AI, including potential government regulation of AI, will require significant resources to develop, test and maintain our platform, offerings, services, and features to help us implement AI ethically in order to minimize unintended, harmful impact.</w:t>
      </w:r>
    </w:p>
    <w:p>
      <w:pPr>
        <w:spacing w:after="0" w:line="96"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In addition, our information technology systems require an ongoing commitment of significant resources to maintain, protect, and enhance existing systems and develop new systems. This enables us to keep pace with continuing changes in information processing technology, evolving legal and regulatory standards, the increasing need to protect employee and customer information, changes in the techniques used to obtain unauthorized access to data and information systems, and the information technology needs associated with our evolving products. There can be no assurance that our efforts (including, but not limited to, consolidating, protecting, upgrading, and expanding our systems and capabilities, continuing to build security into the design of our products, and developing new systems to keep pace with continuing changes in information processing technology, including, but not limited to, generative AI platforms) will be successful or that additional systems issues will not arise in the future. For additional information regarding the company's cybersecurity risk management, strategy, and governance, refer to Item 1C. Cybersecurity.</w:t>
      </w:r>
    </w:p>
    <w:p>
      <w:pPr>
        <w:spacing w:after="0" w:line="86" w:lineRule="exact"/>
        <w:rPr>
          <w:sz w:val="20"/>
          <w:szCs w:val="20"/>
          <w:color w:val="auto"/>
        </w:rPr>
      </w:pPr>
    </w:p>
    <w:p>
      <w:pPr>
        <w:jc w:val="both"/>
        <w:ind w:left="1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international operations require significant management attention and financial resources, expose us to difficulties presented by international economic, political, legal, regulatory, accounting, and business factors, and may not be successful or produce desired levels of net sales and earnings.</w:t>
      </w:r>
    </w:p>
    <w:p>
      <w:pPr>
        <w:spacing w:after="0" w:line="76"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International markets have been, and will continue to be, a strategic focus area for revenue growth, both organically and through acquisitions. We currently manufacture our products and maintain sales offices in the U.S. and other countries for sale throughout the world. Our net sales outside the U.S. were 19.5 percent, 20.1 percent, and 20.8 percent of our total consolidated net sales for fiscal years 2025, 2024, and 2023, respectively. We believe many opportunities exist in the international markets, and over time, we intend for international net sales to comprise a larger percentage of our total consolidated net sales; however, expanding our existing international operations and entering into additional international markets requires significant management attention and financial resources. Several factors, including the implications of withdrawal by the U.S. from, or revisions to, international trade agreements, foreign trade or other policy changes between the U.S. and other countries, weakened international economic conditions, the impact of sovereign debt defaults by certain European countries, and current wars and related sanctions and other geopolitical tensions could adversely affect our international net sales.</w:t>
      </w:r>
    </w:p>
    <w:p>
      <w:pPr>
        <w:spacing w:after="0" w:line="96"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Many of the countries in which we manufacture or sell our products, or in which we otherwise have a presence are, to some degree, subject to political, economic, and/or social instability. As a result, our international operations expose us and our representatives, agents, and channel customers to risks inherent in operating in foreign jurisdictions. These risks include:</w:t>
      </w:r>
    </w:p>
    <w:p>
      <w:pPr>
        <w:spacing w:after="0" w:line="75" w:lineRule="exact"/>
        <w:rPr>
          <w:sz w:val="20"/>
          <w:szCs w:val="20"/>
          <w:color w:val="auto"/>
        </w:rPr>
      </w:pPr>
    </w:p>
    <w:p>
      <w:pPr>
        <w:ind w:left="370" w:hanging="370"/>
        <w:spacing w:after="0"/>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weakened economic conditions;</w:t>
      </w:r>
    </w:p>
    <w:p>
      <w:pPr>
        <w:spacing w:after="0" w:line="3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 and/or epidemics;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of customizing and/or certifying products for foreign countries;</w:t>
      </w:r>
    </w:p>
    <w:p>
      <w:pPr>
        <w:spacing w:after="0" w:line="10"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and staffing international operations and increases in infrastructure costs including legal, tax, accounting, and information technology;</w:t>
      </w:r>
    </w:p>
    <w:p>
      <w:pPr>
        <w:ind w:left="370" w:hanging="370"/>
        <w:spacing w:after="0"/>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additional U.S. and foreign governmental controls or regulations;</w:t>
      </w:r>
    </w:p>
    <w:p>
      <w:pPr>
        <w:spacing w:after="0" w:line="10"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enhanced trade restrictions and restrictions on the activities of foreign agents, representatives, and channel customers;</w:t>
      </w:r>
    </w:p>
    <w:p>
      <w:pPr>
        <w:jc w:val="both"/>
        <w:ind w:left="370" w:hanging="370"/>
        <w:spacing w:after="0" w:line="250"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from or revisions to international trade policies or agreements and the imposition or increases in import and export licensing and other compliance requirements, customs duties and tariffs, import and export quotas and other trade restrictions, license obligations, other non-tariff barriers to trade;</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U.S. and/or international sanctions against a country, company, person, or entity with whom we do business that would restrict or prohibit our business with the sanctioned country, company, person, or entity;</w:t>
      </w:r>
    </w:p>
    <w:p>
      <w:pPr>
        <w:ind w:left="370" w:hanging="370"/>
        <w:spacing w:after="0"/>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pricing pressures;</w:t>
      </w:r>
    </w:p>
    <w:p>
      <w:pPr>
        <w:spacing w:after="0" w:line="10"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U.S. from China;</w:t>
      </w:r>
    </w:p>
    <w:p>
      <w:pPr>
        <w:spacing w:after="0" w:line="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currency exchange rate fluctuations;</w:t>
      </w:r>
    </w:p>
    <w:p>
      <w:pPr>
        <w:spacing w:after="0" w:line="10"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payment cycles and difficulties in enforcing agreements and collecting receivables through certain foreign legal systems;</w:t>
      </w:r>
    </w:p>
    <w:p>
      <w:pPr>
        <w:sectPr>
          <w:pgSz w:w="11880" w:h="15528" w:orient="portrait"/>
          <w:cols w:equalWidth="0" w:num="1">
            <w:col w:w="10270"/>
          </w:cols>
          <w:pgMar w:left="810" w:top="658" w:right="800" w:bottom="0" w:gutter="0" w:footer="0" w:header="0"/>
        </w:sectPr>
      </w:pPr>
    </w:p>
    <w:p>
      <w:pPr>
        <w:spacing w:after="0" w:line="36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23</w:t>
      </w:r>
    </w:p>
    <w:p>
      <w:pPr>
        <w:sectPr>
          <w:pgSz w:w="11880" w:h="15528" w:orient="portrait"/>
          <w:cols w:equalWidth="0" w:num="1">
            <w:col w:w="10270"/>
          </w:cols>
          <w:pgMar w:left="810" w:top="658" w:right="800" w:bottom="0" w:gutter="0" w:footer="0" w:header="0"/>
          <w:type w:val="continuous"/>
        </w:sectPr>
      </w:pPr>
    </w:p>
    <w:bookmarkStart w:id="29" w:name="page30"/>
    <w:bookmarkEnd w:id="29"/>
    <w:p>
      <w:pPr>
        <w:spacing w:after="0" w:line="50" w:lineRule="exact"/>
        <w:rPr>
          <w:sz w:val="20"/>
          <w:szCs w:val="20"/>
          <w:color w:val="auto"/>
        </w:rPr>
      </w:pPr>
    </w:p>
    <w:p>
      <w:pPr>
        <w:ind w:left="370" w:right="20" w:hanging="370"/>
        <w:spacing w:after="0" w:line="260" w:lineRule="auto"/>
        <w:tabs>
          <w:tab w:leader="none" w:pos="3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higher tax rates and adverse tax consequences, including restrictions on repatriating cash and/or earnings to the U.S.;</w:t>
      </w:r>
    </w:p>
    <w:p>
      <w:pPr>
        <w:spacing w:after="0" w:line="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our operating performance based on our geographic mix of sales;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transportation delays and interruptions;</w:t>
      </w:r>
    </w:p>
    <w:p>
      <w:pPr>
        <w:spacing w:after="0" w:line="10" w:lineRule="exact"/>
        <w:rPr>
          <w:rFonts w:ascii="Times New Roman" w:cs="Times New Roman" w:eastAsia="Times New Roman" w:hAnsi="Times New Roman"/>
          <w:sz w:val="20"/>
          <w:szCs w:val="20"/>
          <w:color w:val="auto"/>
        </w:rPr>
      </w:pPr>
    </w:p>
    <w:p>
      <w:pPr>
        <w:jc w:val="both"/>
        <w:ind w:left="370" w:right="20" w:hanging="370"/>
        <w:spacing w:after="0" w:line="234" w:lineRule="auto"/>
        <w:tabs>
          <w:tab w:leader="none" w:pos="3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and international conflicts, political instability or tensions (such as the current geopolitical tensions involving China and Taiwan, the ongoing war between Russia and Ukraine, and Middle East conflicts and wars), foreign policy changes, acts of war or terrorist acts;</w:t>
      </w:r>
    </w:p>
    <w:p>
      <w:pPr>
        <w:spacing w:after="0" w:line="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protecting, enforcing or defending intellectual property rights; and</w:t>
      </w:r>
    </w:p>
    <w:p>
      <w:pPr>
        <w:spacing w:after="0" w:line="8"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changing, and often inconsistent enforcement of laws, rules, regulations and standards, including rules relating to taxes, environmental, health and safety matters.</w:t>
      </w:r>
    </w:p>
    <w:p>
      <w:pPr>
        <w:spacing w:after="0" w:line="82"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Our international operations may not produce desired levels of net sales or, among other things, the factors listed above may harm our business and operating results. Any material decrease in our international sales or profitability could also adversely impact our operating results.</w:t>
      </w:r>
    </w:p>
    <w:p>
      <w:pPr>
        <w:spacing w:after="0" w:line="66" w:lineRule="exact"/>
        <w:rPr>
          <w:sz w:val="20"/>
          <w:szCs w:val="20"/>
          <w:color w:val="auto"/>
        </w:rPr>
      </w:pPr>
    </w:p>
    <w:p>
      <w:pPr>
        <w:jc w:val="both"/>
        <w:ind w:left="1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renovating and expanding certain office, manufacturing, and other facilities and could experience disruptions to our operations in connection with such efforts.</w:t>
      </w:r>
    </w:p>
    <w:p>
      <w:pPr>
        <w:spacing w:after="0" w:line="5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We are continually renovating and, where appropriate or necessary, expanding our facilities, primarily driven by the growth of our business and the need to expand our manufacturing capacity. We have historically financed, and expect to continue to finance, such efforts with cash on hand and cash from operating activities. Expanding and renovating our facilities could disrupt our business operations, and such effects could include but are not limited to potential interruption in manufacturing processes, delivery of raw materials, shipping finished goods, and data flow; unforeseen construction, scheduling, engineering, environmental, or geological problems; and unanticipated cost increases.</w:t>
      </w:r>
    </w:p>
    <w:p>
      <w:pPr>
        <w:spacing w:after="0" w:line="79" w:lineRule="exact"/>
        <w:rPr>
          <w:sz w:val="20"/>
          <w:szCs w:val="20"/>
          <w:color w:val="auto"/>
        </w:rPr>
      </w:pPr>
    </w:p>
    <w:p>
      <w:pPr>
        <w:jc w:val="both"/>
        <w:ind w:left="1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Recently announced and future tariffs and other trade restrictions could materially and adversely affect our business, financial condition and results of operations.</w:t>
      </w:r>
    </w:p>
    <w:p>
      <w:pPr>
        <w:spacing w:after="0" w:line="57" w:lineRule="exact"/>
        <w:rPr>
          <w:sz w:val="20"/>
          <w:szCs w:val="20"/>
          <w:color w:val="auto"/>
        </w:rPr>
      </w:pPr>
    </w:p>
    <w:p>
      <w:pPr>
        <w:jc w:val="both"/>
        <w:ind w:left="10"/>
        <w:spacing w:after="0" w:line="237" w:lineRule="auto"/>
        <w:rPr>
          <w:sz w:val="20"/>
          <w:szCs w:val="20"/>
          <w:color w:val="auto"/>
        </w:rPr>
      </w:pPr>
      <w:r>
        <w:rPr>
          <w:rFonts w:ascii="Times New Roman" w:cs="Times New Roman" w:eastAsia="Times New Roman" w:hAnsi="Times New Roman"/>
          <w:sz w:val="20"/>
          <w:szCs w:val="20"/>
          <w:color w:val="auto"/>
        </w:rPr>
        <w:t>In 2025, the U.S. government announced a series of tariffs, including tariffs targeting a broad range of imports and targeted tariffs on goods from specific countries and industries. In response, many countries imposed reciprocal tariffs and other trade restrictions on the United States. Although many of these tariffs, countermeasures and other trade restrictions have since been eased or paused, their initial announcements triggered considerable volatility in global markets and heightened economic uncertainty, and the global trade situation, particularly between the United States and China, continues to be highly dynamic. These changes have, and similar changes in the future may continue to, increase the cost or reduce the availability of raw materials and supplies we need to operate, cause customers to advance, delay, reduce, or cancel orders, shift buying patterns, impact demand in our end markets, complicate demand forecasting for us and our customers, increase supply chain complexity and contribute to volatility, a broader economic slowdown or recession. Any of these impacts or changes could materially and adversely affect our business, financial condition and results of operations.</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Strategic Risks</w:t>
      </w:r>
    </w:p>
    <w:p>
      <w:pPr>
        <w:spacing w:after="0" w:line="128" w:lineRule="exact"/>
        <w:rPr>
          <w:sz w:val="20"/>
          <w:szCs w:val="20"/>
          <w:color w:val="auto"/>
        </w:rPr>
      </w:pPr>
    </w:p>
    <w:p>
      <w:pPr>
        <w:jc w:val="both"/>
        <w:ind w:left="1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strategy to pursue acquisitions and alliances, strong customer relations, and new joint ventures, investments, and partnerships and our recent activities related to Tornado Infrastructure Equipment in this regard involve risk and may not prove to be successful.</w:t>
      </w:r>
    </w:p>
    <w:p>
      <w:pPr>
        <w:spacing w:after="0" w:line="76"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One of our strategies is to drive growth in our businesses and expand our global presence through targeted acquisitions and alliances, strong customer relations, and new joint ventures, investments, and partnerships that add value and complement our existing brands and product portfolio. For example, on December 8, 2025, we announced the close of our acquisition of Tornado Infrastructure Equipment.</w:t>
      </w:r>
    </w:p>
    <w:p>
      <w:pPr>
        <w:spacing w:after="0" w:line="83"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Our ability to realize any of the anticipated benefits from the acquisition of Tornado Infrastructure Equipment depends on us successfully integrating Tornado Infrastructure Equipment into our business. If we cannot successfully integrate or are delayed in integrating newly acquired businesses or fail to execute our business plan, it would negatively impact our ability to manufacture new products for and to grow our business, which would materially adversely affect our financial condition, results of operations or cash flows. Even if Tornado Infrastructure Equipment is successfully integrated, the benefits of such acquisition may not be realized within the anticipated time frame or at all.</w:t>
      </w:r>
    </w:p>
    <w:p>
      <w:pPr>
        <w:spacing w:after="0" w:line="8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Our continued ability to grow through acquisitions will depend, in part, on the availability of suitable target candidates at acceptable prices, terms, and conditions; our ability to compete effectively for acquisition candidates; and the availability of capital and personnel resources to complete such acquisitions and operate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achieve, or may not develop at all. Acquisitions, alliances, joint ventures, investments, and</w:t>
      </w:r>
    </w:p>
    <w:p>
      <w:pPr>
        <w:sectPr>
          <w:pgSz w:w="11880" w:h="15530"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24</w:t>
      </w:r>
    </w:p>
    <w:p>
      <w:pPr>
        <w:sectPr>
          <w:pgSz w:w="11880" w:h="15530" w:orient="portrait"/>
          <w:cols w:equalWidth="0" w:num="1">
            <w:col w:w="10270"/>
          </w:cols>
          <w:pgMar w:left="810" w:top="658" w:right="800" w:bottom="0" w:gutter="0" w:footer="0" w:header="0"/>
          <w:type w:val="continuous"/>
        </w:sectPr>
      </w:pPr>
    </w:p>
    <w:bookmarkStart w:id="30" w:name="page31"/>
    <w:bookmarkEnd w:id="30"/>
    <w:p>
      <w:pPr>
        <w:spacing w:after="0" w:line="48"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partnerships may involve a number of risks, the occurrence of which could adversely affect our business, reputation, financial condition, and operating results, including:</w:t>
      </w:r>
    </w:p>
    <w:p>
      <w:pPr>
        <w:spacing w:after="0" w:line="61" w:lineRule="exact"/>
        <w:rPr>
          <w:sz w:val="20"/>
          <w:szCs w:val="20"/>
          <w:color w:val="auto"/>
        </w:rPr>
      </w:pPr>
    </w:p>
    <w:p>
      <w:pPr>
        <w:ind w:left="370" w:hanging="370"/>
        <w:spacing w:after="0"/>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to manage and integrate the acquired business;</w:t>
      </w:r>
    </w:p>
    <w:p>
      <w:pPr>
        <w:spacing w:after="0" w:line="3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to our existing operations and plans;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effectively manage our expanded operations;</w:t>
      </w:r>
    </w:p>
    <w:p>
      <w:pPr>
        <w:spacing w:after="0" w:line="10"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delays, or unanticipated costs in integrating and assimilating information and financial systems, internal controls, operations, manufacturing processes and products or in realizing projected efficiencies, growth prospects, cost savings, and other synergies;</w:t>
      </w:r>
    </w:p>
    <w:p>
      <w:pPr>
        <w:spacing w:after="0" w:line="17"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challenges in harmonizing information technology systems, compliance frameworks, and corporate governance practices related to Tornado Infrastructure Equipment;</w:t>
      </w:r>
    </w:p>
    <w:p>
      <w:pPr>
        <w:ind w:left="370" w:hanging="370"/>
        <w:spacing w:after="0"/>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integrate or develop a distribution channel for acquired product lines;</w:t>
      </w:r>
    </w:p>
    <w:p>
      <w:pPr>
        <w:spacing w:after="0" w:line="22"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key employees, customers, distributors, or dealers of the acquired businesses or adverse effects on existing business relationships with suppliers, customers, distributors, and dealers;</w:t>
      </w:r>
    </w:p>
    <w:p>
      <w:pPr>
        <w:jc w:val="both"/>
        <w:ind w:left="37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write-off of significant amounts of goodwill, other indefinite-lived intangible assets, and/or long-lived assets because of deterioration in the performance of an acquired business or product line, adverse market conditions, changes in the competitive landscape, changes in laws or regulations that restrict activities of an acquired business or product line, or other circumstances;</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challenges in transitioning distributors and dealers of acquired businesses to available floor plan financing arrangements;</w:t>
      </w:r>
    </w:p>
    <w:p>
      <w:pPr>
        <w:ind w:left="370" w:hanging="370"/>
        <w:spacing w:after="0"/>
        <w:tabs>
          <w:tab w:leader="none" w:pos="37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delays in integration related to Tornado Infrastructure Equipment;</w:t>
      </w:r>
    </w:p>
    <w:p>
      <w:pPr>
        <w:spacing w:after="0" w:line="15" w:lineRule="exact"/>
        <w:rPr>
          <w:rFonts w:ascii="Arial" w:cs="Arial" w:eastAsia="Arial" w:hAnsi="Arial"/>
          <w:sz w:val="24"/>
          <w:szCs w:val="24"/>
          <w:b w:val="1"/>
          <w:bCs w:val="1"/>
          <w:color w:val="auto"/>
        </w:rPr>
      </w:pPr>
    </w:p>
    <w:p>
      <w:pPr>
        <w:ind w:left="370" w:hanging="370"/>
        <w:spacing w:after="0" w:line="229" w:lineRule="auto"/>
        <w:tabs>
          <w:tab w:leader="none" w:pos="370"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new regulators of businesses that we have acquired or may acquire in the future;</w:t>
      </w:r>
    </w:p>
    <w:p>
      <w:pPr>
        <w:spacing w:after="0" w:line="12" w:lineRule="exact"/>
        <w:rPr>
          <w:rFonts w:ascii="Times New Roman" w:cs="Times New Roman" w:eastAsia="Times New Roman" w:hAnsi="Times New Roman"/>
          <w:sz w:val="24"/>
          <w:szCs w:val="24"/>
          <w:color w:val="auto"/>
        </w:rPr>
      </w:pPr>
    </w:p>
    <w:p>
      <w:pPr>
        <w:ind w:left="370" w:right="20" w:hanging="370"/>
        <w:spacing w:after="0" w:line="254"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violation of confidentiality, intellectual property, and non-compete obligations or agreements by employees of an acquired business or lack of or inadequate formal intellectual property protection mechanisms in place at an acquired business;</w:t>
      </w:r>
    </w:p>
    <w:p>
      <w:pPr>
        <w:spacing w:after="0" w:line="1"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impact on overall profitability if our expanded operations do not achieve, or are delayed in achieving, the growth prospects, net sales, net earnings, cost and/or revenue synergies, or other financial results projected in our valuation models;</w:t>
      </w:r>
    </w:p>
    <w:p>
      <w:pPr>
        <w:spacing w:after="0" w:line="1" w:lineRule="exact"/>
        <w:rPr>
          <w:rFonts w:ascii="Times New Roman" w:cs="Times New Roman" w:eastAsia="Times New Roman" w:hAnsi="Times New Roman"/>
          <w:sz w:val="20"/>
          <w:szCs w:val="20"/>
          <w:color w:val="auto"/>
        </w:rPr>
      </w:pPr>
    </w:p>
    <w:p>
      <w:pPr>
        <w:jc w:val="both"/>
        <w:ind w:left="37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reallocation of amounts of capital from other operating initiatives and/or an increase in our leverage and debt service requirements to pay acquisition purchase prices or other business venture investment costs, which could restrict our ability to access additional capital when needed, result in a decrease in our credit rating, or limit our ability to pursue other important elements of our business strategy;</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acquired businesses or other business ventures to comply with applicable international, federal, and state product safety or other regulatory standards;</w:t>
      </w:r>
    </w:p>
    <w:p>
      <w:pPr>
        <w:ind w:left="370" w:hanging="370"/>
        <w:spacing w:after="0"/>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infringement by acquired businesses or other business ventures of valid intellectual property rights of others;</w:t>
      </w:r>
    </w:p>
    <w:p>
      <w:pPr>
        <w:spacing w:after="0" w:line="10" w:lineRule="exact"/>
        <w:rPr>
          <w:rFonts w:ascii="Times New Roman" w:cs="Times New Roman" w:eastAsia="Times New Roman" w:hAnsi="Times New Roman"/>
          <w:sz w:val="20"/>
          <w:szCs w:val="20"/>
          <w:color w:val="auto"/>
        </w:rPr>
      </w:pPr>
    </w:p>
    <w:p>
      <w:pPr>
        <w:jc w:val="both"/>
        <w:ind w:left="370" w:right="20" w:hanging="370"/>
        <w:spacing w:after="0" w:line="25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inaccurate assessment of additional post-acquisition or business venture investments, undisclosed, contingent or other liabilities or problems, unanticipated costs associated with an acquisition or other business venture, and despite the existence of representations, warranties and indemnities in any definitive agreement and/or a representation and warranty insurance policy, if applicable, an inability to recover or manage such liabilities and costs; and</w:t>
      </w:r>
    </w:p>
    <w:p>
      <w:pPr>
        <w:spacing w:after="0" w:line="1" w:lineRule="exact"/>
        <w:rPr>
          <w:rFonts w:ascii="Times New Roman" w:cs="Times New Roman" w:eastAsia="Times New Roman" w:hAnsi="Times New Roman"/>
          <w:sz w:val="20"/>
          <w:szCs w:val="20"/>
          <w:color w:val="auto"/>
        </w:rPr>
      </w:pPr>
    </w:p>
    <w:p>
      <w:pPr>
        <w:ind w:left="370" w:right="20" w:hanging="370"/>
        <w:spacing w:after="0" w:line="260" w:lineRule="auto"/>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as a result of purchase accounting adjustments, incorrect estimates made in the accounting for acquisitions, occurrence of non-recurring charges, or other potential financial accounting or reporting impacts.</w:t>
      </w:r>
    </w:p>
    <w:p>
      <w:pPr>
        <w:spacing w:after="0" w:line="250"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Any of these risks could cause our strategic transactions, including the Tornado Infrastructure Equipment acquisition, not to be as profitable or accretive as expected or planned.</w:t>
      </w:r>
    </w:p>
    <w:p>
      <w:pPr>
        <w:spacing w:after="0" w:line="61"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For example, during the third quarter of fiscal 2025, we recorded a non-cash impairment charge of $81.1 million related to the indefinite-lived Spartan trade name intangible asset. This impairment charge resulted in a $19.7 million income tax benefit (deferred tax asset) associated with the remaining tax deductible basis in intangible assets.</w:t>
      </w:r>
    </w:p>
    <w:p>
      <w:pPr>
        <w:spacing w:after="0" w:line="75"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In addition, we need effective internal controls to provide reliable and accurate financial reports and to effectively prevent fraud. Integrating acquired businesses may make our systems and controls more complex and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w:t>
      </w:r>
    </w:p>
    <w:p>
      <w:pPr>
        <w:spacing w:after="0" w:line="9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Also, some acquisitions may require the consent of the lenders under our credit agreements. We cannot predict whether such approvals would be forthcoming or the terms on which the lenders would approve such acquisitions. These risks, among others,</w:t>
      </w:r>
    </w:p>
    <w:p>
      <w:pPr>
        <w:sectPr>
          <w:pgSz w:w="11880" w:h="15528"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25</w:t>
      </w:r>
    </w:p>
    <w:p>
      <w:pPr>
        <w:sectPr>
          <w:pgSz w:w="11880" w:h="15528" w:orient="portrait"/>
          <w:cols w:equalWidth="0" w:num="1">
            <w:col w:w="10270"/>
          </w:cols>
          <w:pgMar w:left="810" w:top="658" w:right="800" w:bottom="0" w:gutter="0" w:footer="0" w:header="0"/>
          <w:type w:val="continuous"/>
        </w:sectPr>
      </w:pPr>
    </w:p>
    <w:bookmarkStart w:id="31" w:name="page32"/>
    <w:bookmarkEnd w:id="31"/>
    <w:p>
      <w:pPr>
        <w:spacing w:after="0" w:line="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could be heightened if we complete a large acquisition or other business venture or multiple transactions within a relatively short period of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successfully complete divestitures or other restructuring activities could negatively affect our operations.</w:t>
      </w:r>
    </w:p>
    <w:p>
      <w:pPr>
        <w:spacing w:after="0" w:line="1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From time to time, we may divest of all or a portion of certain businesses and/or facilities, joint venture or minority equity investment interests, subsidiaries, distributorships, or product categories. Divestitures involve risk, including, potential increased expense associated with the divestitures, and potential issues with the acquirers, customers or suppliers of the divested business, or products. Occasionally, we may wind down certain business activities and/or facilities, product lines, and/or perform other organizational restructuring projects in an effort to reduce costs and streamline operations. Such activities involve risks as they may divert management's attention from our core businesses, increase expenses on a short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term basis and lead to potential issues with employees, customers, or suppliers.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Increased scrutiny regarding our sustainability practices could impact our reputation.</w:t>
      </w:r>
    </w:p>
    <w:p>
      <w:pPr>
        <w:spacing w:after="0" w:line="139"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0"/>
          <w:szCs w:val="20"/>
          <w:color w:val="auto"/>
        </w:rPr>
        <w:t>Increasing governmental and societal attention to sustainability matters, including expanding mandatory and voluntary reporting,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sustainability priority issue areas. To address this growing set of matters, we continue to devote dedicated employee resources while utilizing a cross-functional/business sustainability leadership team to further develop and implement an enterprise-wide sustainability strategy. Each year, we release our sustainability report, which highlights certain aspirations and goals related to sustainability matters, such as goals to increase battery and hybrid product sales and plans to reduce certain GHG emissions over time. No assurance can be provided that we will achieve our sustainability goals. It is possible that we may be unsuccessful in the achievement of our sustainability goals, on a timely basis or at all, or that the costs to achieve those goals become prohibitively expensive. Furthermore, our stakeholders may not be satisfied with our initiatives or efforts or the speed at which we are progressing towards any such aspirations and goals. Additionally, organizations that inform investors on sustainability matters have developed rating systems for evaluating companies on their approach to sustainability. Unfavorable ratings may lead to negative investor sentiment, which could negatively impact our stock price. Any failure, or perceived failure, to respond to sustainability concerns could harm our business and reputation. Certain challenges we face in the achievement of our sustainability objectives are also captured within our sustainability reporting in our most recent sustainability report, which is not incorporated by reference into and does not form any part of this report.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Risks</w:t>
      </w:r>
    </w:p>
    <w:p>
      <w:pPr>
        <w:spacing w:after="0" w:line="12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incur impairment and other charges resulting from the impairment of goodwill or tangible or intangible assets recorded in connection with acquisitions or due to exit or disposal activities.</w:t>
      </w:r>
    </w:p>
    <w:p>
      <w:pPr>
        <w:spacing w:after="0" w:line="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connection with our acquisitions and other business combinations, applicable accounting standards require the net tangible and intangible assets of the acquired business to be recorded on our consolidated balance sheet at their fair values as of the date of acquisition and any excess in the purchase price paid by us over the fair value of net tangible and intangible assets of any acquired business to be recorded as goodwill. Goodwill and indefinite-lived intangible assets are not amortized, but are tested at least annually for impairment or more frequently as events and circumstances dictate. Goodwill is tested for impairment at the reporting unit level, which is generally an operating segment or underlying business component. Indefinite-lived intangible assets are tested for impairment at the individual indefinite-lived intangible asset level. Finite-lived intangible assets other than goodwill considered long-lived assets for impairment testing purposes, are tested for impairment as events and circumstances dictate, and are required to be amortized over their estimated useful lives and this amortization expense may be significant to our ongoing financial results.</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If we determine that the anticipated future cash flows from our reporting units, indefinite-lived intangible assets, or long-lived asset groups may be less than their respective carrying values, our goodwill, indefinite-lived intangible assets, and/or long-lived assets may be deemed to be impaired. If this occurs, applicable accounting rules may require us to write-down the value of the goodwill, indefinite-lived intangible assets, and/or long-lived assets on our balance sheet to reflect the extent of any such impairment. Any such write-down of goodwill, indefinite-lived intangible assets, and/or long-lived assets would generally be recognized as a non-cash expense in our Consolidated Statements of Earnings for the accounting period during which any such write-down occurs.</w:t>
      </w:r>
    </w:p>
    <w:p>
      <w:pPr>
        <w:spacing w:after="0" w:line="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For example, during the third quarter of fiscal 2025, we recorded a non-cash impairment charge of $81.1 million related to the indefinite-lived Spartan trade name intangible asset. This impairment charge resulted in a $19.7 million income tax benefit (deferred tax asset) associated with the remaining tax deductible basis in other intangible assets. As of October 31, 2025, we had goodwill of $450.9 million, which is maintained in various reporting units, and indefinite-lived intangible assets of $190.6 million, which together comprise 18.7 percent of our total assets as of October 31, 2025. For additional information regarding</w:t>
      </w:r>
    </w:p>
    <w:p>
      <w:pPr>
        <w:sectPr>
          <w:pgSz w:w="11880" w:h="15528" w:orient="portrait"/>
          <w:cols w:equalWidth="0" w:num="1">
            <w:col w:w="10260"/>
          </w:cols>
          <w:pgMar w:left="820" w:top="658" w:right="800" w:bottom="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1880" w:h="15528" w:orient="portrait"/>
          <w:cols w:equalWidth="0" w:num="1">
            <w:col w:w="10260"/>
          </w:cols>
          <w:pgMar w:left="820" w:top="658" w:right="800" w:bottom="0" w:gutter="0" w:footer="0" w:header="0"/>
          <w:type w:val="continuous"/>
        </w:sectPr>
      </w:pPr>
    </w:p>
    <w:bookmarkStart w:id="32" w:name="page33"/>
    <w:bookmarkEnd w:id="32"/>
    <w:p>
      <w:pPr>
        <w:spacing w:after="0" w:line="4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the impairment charge, refer to Note 5, </w:t>
      </w:r>
      <w:r>
        <w:rPr>
          <w:rFonts w:ascii="Times New Roman" w:cs="Times New Roman" w:eastAsia="Times New Roman" w:hAnsi="Times New Roman"/>
          <w:sz w:val="20"/>
          <w:szCs w:val="20"/>
          <w:b w:val="1"/>
          <w:bCs w:val="1"/>
          <w:i w:val="1"/>
          <w:iCs w:val="1"/>
          <w:color w:val="auto"/>
        </w:rPr>
        <w:t>Goodwill and Other Intangible Assets,</w:t>
      </w:r>
      <w:r>
        <w:rPr>
          <w:rFonts w:ascii="Times New Roman" w:cs="Times New Roman" w:eastAsia="Times New Roman" w:hAnsi="Times New Roman"/>
          <w:sz w:val="20"/>
          <w:szCs w:val="20"/>
          <w:color w:val="auto"/>
        </w:rPr>
        <w:t xml:space="preserve"> in our Notes to Consolidated Financial Statements included in Part II, Item 8 of this Annual Report on Form 10-K. Any future impairment charges could be significant and could adversely affect our future consolidated operating results and financial condition.</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Exit or disposal activities include but are not limited to restructuring, such as the sale or termination of a line of business or product, the exit of business activities in a particular location, the termination of employees under a plan of termination, the relocation of business activities from one location to another, changes in management or business structure, and or fundamental reorganization that affects the nature and focus of operations.</w:t>
      </w:r>
    </w:p>
    <w:p>
      <w:pPr>
        <w:spacing w:after="0" w:line="7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have adversely affected and could continue to adversely affect our operating results.</w:t>
      </w:r>
    </w:p>
    <w:p>
      <w:pPr>
        <w:spacing w:after="0" w:line="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Because the functional currency of most of our foreign operations is the applicable local currency, but our financial reporting currency is the U.S. dollar, we are required to translate the assets, liabilities, expenses, and revenues of our foreign operations into U.S. dollars at the applicable exchange rate in preparing our Consolidated Financial Statements. Accordingly, we face foreign currency exchange rate risk arising from transactions in the normal course of business, such as sales and loans to wholly owned subsidiaries, sales to third-party customers, purchases from suppliers, and bank lines of credit with creditors denominated in foreign currencies.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Foreign currency exchange rates have affected our net sales, net earnings, and operating results in the past and could affect them in the future, in some cases materially. Currency exchange rate fluctuations may also affect the comparative prices between products we sell and products our foreign competitors sell in the same market, which may decrease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While we actively manage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financial and operating restrictions and counterparty risk as a result of our credit arrangements.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credit arrangements, including our revolving credit facility, term loan and senior notes, and the indentures governing our senior notes and debentures, include a number of financial and operating restrictions. For example, our credit arrangements contain financial covenants that, among other things, require us to maintain a maximum leverage ratio. Our credit arrangements and/or indentures also contain provisions that restrict our ability, subject to specified exceptions, to, among other things, create liens or other encumbrances on our assets; dispose of assets; engage in mergers or consolidations; and pay dividends that are significantly higher than those currently being paid, make other distributions to our shareholders, or redeem shares of our common stock. These provisions may limit our ability to conduct our business, take advantage of business opportunities, and respond to changing business, market, and economic conditions. They may also competitively disadvantage us relative to other companies that may be subject to fewer, if any, restrictions or may otherwise adversely affect our business.</w:t>
      </w:r>
    </w:p>
    <w:p>
      <w:pPr>
        <w:spacing w:after="0" w:line="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Potential important opportunities or transactions, such as significant acquisitions, may require the consent of our lenders, which consent may be withheld or granted subject to conditions that may affect the attractiveness or viability of the transaction. Additionally,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7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comply with the terms of our credit arrangements and indentures, they could be terminated and amounts thereunder could become due and payable.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cannot assure that we will be able to comply with all of the terms of our credit arrangements and indentures, particularly the financial covenants. Our ability to comply with such terms depends on the success of our business and our operating results, as well as various risks, uncertainties, and events beyond our control. If we fail to comply with any covenant required by our credit arrangements following any applicable cure periods, the banks could terminate their commitments unless we could negotiate a covenant waiver. The banks could condition such waiver on terms that may be unfavorable to us. In addition, any amounts outstanding pursuant to our credit arrangements and indentures could become due and payable if we were unable to obtain a covenant waiver or refinance our debt under such arrangements.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downgrade in our credit ratings could increase our cost of funding and/or adversely affect our access to funding.</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credit ratings are important to our cost and availability of capital. The major rating agencies routinely evaluate our credit profile and assign credit ratings to us. This evaluation is based on a number of factors, which include financial strength,</w:t>
      </w:r>
    </w:p>
    <w:p>
      <w:pPr>
        <w:sectPr>
          <w:pgSz w:w="11880" w:h="15527" w:orient="portrait"/>
          <w:cols w:equalWidth="0" w:num="1">
            <w:col w:w="10260"/>
          </w:cols>
          <w:pgMar w:left="820" w:top="654" w:right="800" w:bottom="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880" w:h="15527" w:orient="portrait"/>
          <w:cols w:equalWidth="0" w:num="1">
            <w:col w:w="10260"/>
          </w:cols>
          <w:pgMar w:left="820" w:top="654" w:right="800" w:bottom="0" w:gutter="0" w:footer="0" w:header="0"/>
          <w:type w:val="continuous"/>
        </w:sectPr>
      </w:pPr>
    </w:p>
    <w:bookmarkStart w:id="33" w:name="page34"/>
    <w:bookmarkEnd w:id="33"/>
    <w:p>
      <w:pPr>
        <w:spacing w:after="0" w:line="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business and financial risk, transparency with rating agencies, and timeliness of financial reporting. Further leveraging our capital structure could result in a downgrade to our credit ratings. For instance, if our credit rating falls below investment grade and/or our leverage ratio rises above 1.50, the interest rate we currently 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7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accounting or tax standards and policies and/or assumptions utilized in determining accounting or tax estimates could adversely affect our results of operations and financial condition.</w:t>
      </w:r>
    </w:p>
    <w:p>
      <w:pPr>
        <w:spacing w:after="0" w:line="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preparing the Consolidated Financial Statements in conformity with U.S. generally accepted accounting principles ("GAAP"), we must make decisions that impact our results of operations and/or financial condition, including selecting the appropriate accounting and/or tax principles to be applied and the assumptions on which to base accounting and tax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w:t>
      </w:r>
    </w:p>
    <w:p>
      <w:pPr>
        <w:spacing w:after="0" w:line="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addition, various authoritative accounting or regulatory entities, including the Financial Accounting Standards Board, Public Company Accounting Oversight Board, and the SEC may amend, expand, and/or eliminate the financial accounting or reporting standards or tax positions that govern the preparation of our Consolidated Financial Statements or could reverse their previous interpretations or positions on how various financial accounting and/or reporting standards or tax positions should be applied.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or tax standards could modify the accounting or tax policies and procedures that we currently use to prepare our Consolidated Financial Statements. Such changes may be difficult to predict and implement and could impact how we prepare and report our Consolidated Financial Statements, results of operations, and financial condition.</w:t>
      </w:r>
    </w:p>
    <w:p>
      <w:pPr>
        <w:spacing w:after="0" w:line="9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For additional information regarding our accounting policies and new accounting pronouncements, refer to Part II, Item 7, "Management's Discussion and Analysis of Financial Condition and Results of Operations," in the section entitled "Critical Accounting Policies and Estimates" and Note 1, </w:t>
      </w:r>
      <w:r>
        <w:rPr>
          <w:rFonts w:ascii="Times New Roman" w:cs="Times New Roman" w:eastAsia="Times New Roman" w:hAnsi="Times New Roman"/>
          <w:sz w:val="20"/>
          <w:szCs w:val="20"/>
          <w:b w:val="1"/>
          <w:bCs w:val="1"/>
          <w:i w:val="1"/>
          <w:iCs w:val="1"/>
          <w:color w:val="auto"/>
        </w:rPr>
        <w:t>Summary of Significant Accounting Policies and Related Data,</w:t>
      </w:r>
      <w:r>
        <w:rPr>
          <w:rFonts w:ascii="Times New Roman" w:cs="Times New Roman" w:eastAsia="Times New Roman" w:hAnsi="Times New Roman"/>
          <w:sz w:val="20"/>
          <w:szCs w:val="20"/>
          <w:color w:val="auto"/>
        </w:rPr>
        <w:t xml:space="preserve"> of the Notes to Consolidated Financial Statements included in Part II, Item 8, “Financial Statements and Supplementary Data,”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Regulatory, and Compliance Risks</w:t>
      </w:r>
    </w:p>
    <w:p>
      <w:pPr>
        <w:spacing w:after="0" w:line="12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patents, trademarks, and contractual provisions may be insufficient to protect our proprietary rights and intellectual property from others who may sell similar products and our products may infringe the valid proprietary rights of others.</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hold patents and trademarks relating to various aspects of our products and business and believe that proprietary technical know-how is important to our business. The loss of such intellectual property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Without enforceable patent protection, we may be vulnerable to competitors who attempt to copy our products or gain access to our trade secrets and know-how. We also cannot be certain that our products or technologies have not infringed or will not infringe the valid proprietary rights of others. Others may initiate litigation to challenge the validity of our patents, allege that we infringe their patents, or use their resources to design comparable products that do not infringe our patents. Additionally, we may initiate proceedings to protect our proprietary rights. Any litigation, whether initiated by us or others, may cause us to incur substantial costs and possible damages. If the outcome of any such litigation is unfavorable to us, our business, operating results, and financial condition could be adversely affected. We could also be forced to develop an alternative that could be costly and time-consuming, or acquire a license, which we might not be able to do on terms favorable to us, or at all.</w:t>
      </w:r>
    </w:p>
    <w:p>
      <w:pPr>
        <w:spacing w:after="0" w:line="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extensive laws, rules, policies, and regulations, with which our compliance is costly and not guaranteed.</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subject to numerous international, federal, state, municipal and other governmental laws, rules, policies, regulations, and orders ("Laws") relating to, among other things; climate change; emissions to air, including engine emission requirements;</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1880" w:h="15528" w:orient="portrait"/>
          <w:cols w:equalWidth="0" w:num="1">
            <w:col w:w="10260"/>
          </w:cols>
          <w:pgMar w:left="820" w:top="658" w:right="800" w:bottom="0" w:gutter="0" w:footer="0" w:header="0"/>
          <w:type w:val="continuous"/>
        </w:sectPr>
      </w:pPr>
    </w:p>
    <w:bookmarkStart w:id="34" w:name="page35"/>
    <w:bookmarkEnd w:id="34"/>
    <w:p>
      <w:pPr>
        <w:spacing w:after="0" w:line="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extended producer responsibility;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cybersecurity, radio frequency, broadband or other wireless technologies and technologies within the airspace of commercial airplanes, such as unmanned aerial systems. In addition, Laws may adversely affect our operating results, including, (i) to address health and safety requirements, (ii) taxation and tax policy changes, tax rate changes, new tax laws, or revised tax law interpretations or guidance, which individually or in combination may cause our effective tax rate to increase or result in tax charges, (iii) changes to, or adoption of new, healthcare laws or regulations, or (iv) changes to U.S. or international trade policies or agreements, or trade regulation and/or industry activity, including antidumping and countervailing duty petitions on certain products imported from foreign countries, including certain engines imported in the U.S. from China, that could result in additional tariffs, duties or other charges on commodities, components, parts or accessories that we import and/or use in our products.</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believe that we are in substantial compliance with currently applicable Laws, we are unable to predict the ultimate impact of adopted or future Laws on our company, business, properties, or products. Any of these Laws may cause us to incur significant expenses to achieve or maintain compliance, require us to modify our products, adversely affect the price of, or demand for, some of our products or manufacturing processes, and ultimately affect the way we conduct our operations. Failure to comply with any of these Laws could harm our reputation and/or lead to fines and other penalties, including restrictions on the importation of our products into, and the sale of our products in, one or more jurisdictions. In addition, our competitors may adopt strategies with respect to compliance with any such Laws that differ significantly from ours. This may change customer preferences and our markets in unanticipated ways which may adversely affect market demand for our products and our net sales and financial results. Other Laws impacting our supply chain, such as the United Kingdom Modern Slavery Act (and equivalent laws in California, Australia, and Canada) or data privacy requirements, such as the EU's General Data Protection Regulation, the California Consumer Privacy Act, and other emerging domestic and global data privacy and cybersecurity laws, may have similar consequences.</w:t>
      </w:r>
    </w:p>
    <w:p>
      <w:pPr>
        <w:spacing w:after="0" w:line="8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Climate change legislation, regulations, accords, mitigation efforts, or other legislation may adversely impact our operations and could impact the competitive landscape within our markets and affect demand for our products.</w:t>
      </w:r>
    </w:p>
    <w:p>
      <w:pPr>
        <w:spacing w:after="0" w:line="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currently subject to rules limiting exhaust and evaporative emissions and other climate-related rules and regulations in certain jurisdictions where we operate. Concern over climate change has resulted in, and could continue to result in, new legal or regulatory requirements designed to reduce or mitigate the effects of greenhouse gases. An example of such legislation is California's AB 1346, requires that most new sales of small off-road engines, such as those installed in certain of our products, including leaf blowers and lawnmowers, sold in the state of California on or after January 1, 2024, must be zero-emission.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or could otherwise decrease demand for our products.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 Additionally, inconsistency of regulations in the states and countries in which we operate may affect the costs of compliance with such requirements. If such laws or regulations are more stringent than current legal or regulatory requirements, we may be subject to curtailment or reduced access to resources or experience increased compliance burdens and costs to meet the regulatory obligations, which may adversely affect our business and operating results.</w:t>
      </w:r>
    </w:p>
    <w:p>
      <w:pPr>
        <w:spacing w:after="0" w:line="9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Additionally, various other legislative proposals, if enacted, could put us in a competitively advantaged or disadvantaged position and affect customer demand for our products. For example, any fiscal-stimulus or other legislation that inordinately impacts the lawn and garden, outdoor power equipment, or irrigation industries generally by promoting the purchase of certain types of products that we sell, such as through customer rebate or other incentive programs, could impact us positively or negatively, depending on whether we manufacture products that meet the specified legislative criteria, including in areas such as fuel efficiency, alternative energy or water usage. Such legislation may also cause customers to perceive our product offerings to be more or less attractive than our competitors' product offerings. We cannot currently predict whether any such legislation will be enacted, the specific terms and conditions of such legislation, such legislation's impact on the competitive landscape within our markets, or how, if at all, any such legislation might ultimately affect customer demand for our products or our operating results.</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1880" w:h="15527" w:orient="portrait"/>
          <w:cols w:equalWidth="0" w:num="1">
            <w:col w:w="10260"/>
          </w:cols>
          <w:pgMar w:left="820" w:top="658" w:right="800" w:bottom="0" w:gutter="0" w:footer="0" w:header="0"/>
          <w:type w:val="continuous"/>
        </w:sectPr>
      </w:pPr>
    </w:p>
    <w:bookmarkStart w:id="35" w:name="page36"/>
    <w:bookmarkEnd w:id="35"/>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compliance with applicable environmental laws is costly and not guaranteed.</w:t>
      </w:r>
    </w:p>
    <w:p>
      <w:pPr>
        <w:spacing w:after="0" w:line="1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condition or operating results, our future costs of complying with the various environmental requirements, as they now exist or may be altered in the future, could adversely affect our financial condition and operating results.</w:t>
      </w:r>
    </w:p>
    <w:p>
      <w:pPr>
        <w:spacing w:after="0" w:line="8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manufacture, sale, and use of our products expose us to significant risks associated with product quality issues and product liability claims and other litigation from time to time. If a product liability claim, other claim or series of claims is brought against us for liabilities exceeding our insurance coverage, and it is ultimately determined that we are liable, our business could suffer. While we believe that we appropriately instruct and warn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which could result in losses or damages or adversely affect our brand reputation and the marketability of our products, which may negatively impact our business and operating results.</w:t>
      </w:r>
    </w:p>
    <w:p>
      <w:pPr>
        <w:spacing w:after="0" w:line="9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Product defects can occur through our own product development, design, and manufacturing processes or through our reliance on third-parties for certain component design and manufacturing activities. Some of our products or product improvements were developed or modified relatively recently and defects or risks that we have not yet identified, such as quality issues or unanticipated use of our products, may give rise to warranty or other quality claims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9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also subject to other litigation from time to time that could adversely affect our business, reputation, operating results or financial condition.</w:t>
      </w:r>
    </w:p>
    <w:p>
      <w:pPr>
        <w:spacing w:after="0" w:line="5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Significant violations of these laws, or allegations of such violations, could harm our reputation, disrupt our business, and result in significant fines and penalties that could have a material adverse effect on our operating results or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2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achieve our financial projections, sustainability goals, or other business and productivity initiatives, which could have an adverse effect on our business, operating results, and financial condition.</w:t>
      </w:r>
    </w:p>
    <w:p>
      <w:pPr>
        <w:spacing w:after="0" w:line="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generally provide financial projections such as our expected revenue growth and adjusted diluted earnings per share. These financial projections are based on management’s assumptions and expectations at the time made. Failure to achieve our financial projections could have an adverse effect on our business, operating results, and financial condition.</w:t>
      </w:r>
    </w:p>
    <w:p>
      <w:pPr>
        <w:sectPr>
          <w:pgSz w:w="11880" w:h="15528" w:orient="portrait"/>
          <w:cols w:equalWidth="0" w:num="1">
            <w:col w:w="10260"/>
          </w:cols>
          <w:pgMar w:left="820" w:top="64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1880" w:h="15528" w:orient="portrait"/>
          <w:cols w:equalWidth="0" w:num="1">
            <w:col w:w="10260"/>
          </w:cols>
          <w:pgMar w:left="820" w:top="649" w:right="800" w:bottom="0" w:gutter="0" w:footer="0" w:header="0"/>
          <w:type w:val="continuous"/>
        </w:sectPr>
      </w:pPr>
    </w:p>
    <w:bookmarkStart w:id="36" w:name="page37"/>
    <w:bookmarkEnd w:id="36"/>
    <w:p>
      <w:pPr>
        <w:spacing w:after="0" w:line="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set certain aspirations and goals related to sustainability matters, such as goals to increase battery and hybrid product sales, plans to reduce certain GHG emissions over time, and goals to increase the number of women and racial and ethnic minorities in leadership positions. We also set goals and objectives for the timing of certain accomplishments, initiatives and milestones regarding our business or operating results, including without limitation our "Amplifying Maximum Productivity" or AMP initiative, which is a multi-year productivity initiative intended to result in annualized cost savings of more than $125 million by fiscal 2027, driven by sustainable supply-base, design-to-value, route-to-market, and operational efficiency transformation. Whether we achieve our goals and objectives of such initiatives can vary due to several factors, including the risk factors described in this Annual Report on Form 10-K. It is possible that we may be unsuccessful in the achievement of our goals, on a timely basis or at all. A delay, failure or perceived failure or delay to achieve such goals and objectives in the time periods that we anticipate, or at all, could have an adverse effect on our business, operating results and financial condition, and the public perception of our business.</w:t>
      </w:r>
    </w:p>
    <w:p>
      <w:pPr>
        <w:spacing w:after="0" w:line="8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upon our ability to attract and retain key executive and employees and successfully implement key employee transitions.</w:t>
      </w:r>
    </w:p>
    <w:p>
      <w:pPr>
        <w:spacing w:after="0" w:line="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ability to meet our strategic objectives and otherwise profitably grow our business will depend to a significant extent on the continued contributions of our leadership team and our ability to identify, attract, engage, develop, and retain other highly qualified employees worldwide. Competition for these individuals is intense, and we may not succeed in identifying, attracting, or retaining qualified employees. Our executive management team and board of directors have undergone significant changes during the past three years. Losing executive officers or other key employees, failure to identify, attract, or retain qualified leaders in the future, ineffective executive officer or other employee transitions, delays or the inability to hire necessary and qualified office or production employees due to employment conditions or otherwise, or any employee work slowdowns, strikes, or similar actions could make it difficult for us to conduct and manage our business and meet key objectives, which could harm our business,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protect the confidentiality, integrity, and availability of our critical systems and information, our enterprise risk management framework considers cybersecurity risk alongside other company risks, as part of our overall risk assessment process. Cybersecurity risks are reviewed at least quarterly by the Enterprise Risk Management and Compliance team and escalated to senior management as appropriate. We leverage an industry leading framework, the National Institute of Standards and Technology Cybersecurity Framework, which organizes cybersecurity risks into five categories: identify, protect, detect, respond and recover. We assess our maturity against that framework in partnership with an independent firm on at least an annual basis.</w:t>
      </w:r>
    </w:p>
    <w:p>
      <w:pPr>
        <w:spacing w:after="0" w:line="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assess and manage our cybersecurity risk using various mechanisms, starting with threat intelligence, which provides us a necessary viewpoint to help us identify trends, understand how certain attacks may affect us, and prepare for evolutions in threat actor behavior that may require changes to our security posture. We monitor emerging trends and regulations related to information security, and implement appropriate changes, as needed, to our cybersecurity risk management program.</w:t>
      </w:r>
    </w:p>
    <w:p>
      <w:pPr>
        <w:spacing w:after="0" w:line="8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To drive readiness, we perform periodic adversarial testing of our cybersecurity posture through penetration testing, using both internal resources and external expertise, as well as table-top and “red team” exercises to understand where processes or controls may be insufficient based on adversarial techniques. We have also implemented technical security controls, maintenance of certain backup and protective systems, physical and system securities measures, and data security protocols.</w:t>
      </w:r>
    </w:p>
    <w:p>
      <w:pPr>
        <w:spacing w:after="0" w:line="8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We maintain established information security policies and processes; deploy regular network and endpoint software updates on all company-managed systems and workstations to detect and prevent, among others, viruses, malicious code, unauthorized access, and phishing attempts; maintain a disaster recovery plan, and perform at least two disaster recovery exercises annually to validate and optimize our recovery efforts in event of a cybersecurity incident; and regularly engage third-party cybersecurity experts to conduct vulnerability assessments and penetration testing on our information networks, systems, and applications.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internal audit team performs regular assessments of our program and selected components. We also leverage retrospectives from previous cybersecurity incidents to understand weaknesses and to improve our security controls. We assess our critical suppliers regularly for cybersecurity risk and prescribe remediation activities when necessary. As a part of a collaborative defense approach, we regularly participate in multiple cybersecurity forums to share threat intelligence, best practices, and points of caution.</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1880" w:h="15528" w:orient="portrait"/>
          <w:cols w:equalWidth="0" w:num="1">
            <w:col w:w="10260"/>
          </w:cols>
          <w:pgMar w:left="820" w:top="658" w:right="800" w:bottom="0" w:gutter="0" w:footer="0" w:header="0"/>
          <w:type w:val="continuous"/>
        </w:sectPr>
      </w:pPr>
    </w:p>
    <w:bookmarkStart w:id="37" w:name="page38"/>
    <w:bookmarkEnd w:id="37"/>
    <w:p>
      <w:pPr>
        <w:spacing w:after="0" w:line="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train our employees through annual security training, phishing simulations, and regular communications about timely cybersecurity topics and threats. We have a documented and well-tested cybersecurity incident response plan that guides us in responding, containing, and eradicating cybersecurity threats that have breached our preventative controls. Examples of relevant processes include steps for: assessing the severity of a cybersecurity threat; identifying the source of a cybersecurity threat, including whether the cybersecurity threat is associated with a third-party service provider; implementing cybersecurity countermeasures and mitigation strategies; and remediating and escalating cybersecurity incidents using cross-functional expertise. Our cybersecurity risk management program also includes risk-based processes related to overseeing and identifying cybersecurity risks associated with the use of third-party providers, including processes related to: conducting cybersecurity assessments of third-party service providers, including cybersecurity obligations in contract with third-party service providers; and receiving and responding to notification of cybersecurity incidents of third-party service providers. We regularly practice technical recovery.</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Cybersecurity risks related to third-party IT providers and solutions are managed as part of our vendor security protocol that includes vendors, software, and cloud-based service providers. We partner with our vendors to minimize the customer data needed to provide services and ensure compliance with regulations. Vendors are reviewed annually to identify any changes to services, data requirements, and associated security and protections. Where applicable, vendors are contractually bound to protect customer data and support enforcement of all regulatory requirements. We proactively evaluate the cybersecurity risk of third-party IT providers and solutions by utilizing a repository of risk assessments and an external monitoring solution that includes threat intelligence to better inform us during contracting and vendor selection processes. When third-party risks are identified, we require those third-parties to agree by contract to implement appropriate security controls or refrain from doing business with them. Security issues are documented, tracked, and periodic monitoring is conducted for third-parties in order to mitigate risk.</w:t>
      </w:r>
    </w:p>
    <w:p>
      <w:pPr>
        <w:spacing w:after="0" w:line="9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also contractually requires suppliers, vendors and other third-parties with access to its information technology systems, sensitive business data or personal information to implement and maintain appropriate security controls and contractually restricts their ability to use the Company’s data, including personal information, for purposes other than to provide services to the Company, except as required by law.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cybersecurity program is led by the Senior Manager of our Enterprise IT Security Risk and Compliance team, who reports to the Managing Director of Enterprise IT. The Senior Manager has over 30 years of IT experience, with over 20 years specializing in cybersecurity. He has strategic and operational responsibility for all aspects of the company’s cybersecurity program, including how cyber risks are identified and assessed and how the company prepares for, detects, responds, and recovers from cyber threats. Quarterly cybersecurity program updates and as-needed reporting on cybersecurity incidents are provided to the Chief Executive Officer, Chief Operating Officer, Chief Financial Officer, and General Counsel.</w:t>
      </w:r>
    </w:p>
    <w:p>
      <w:pPr>
        <w:spacing w:after="0" w:line="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Audit Committee of our Board of Directors provides oversight for our cybersecurity program. The Audit Committee receives regular updates from management on the effectiveness of our cybersecurity program, reviews plans on how management will continually advance the program, and receives updates on special topics that help the committee provide effective oversight of the program.</w:t>
      </w:r>
    </w:p>
    <w:p>
      <w:pPr>
        <w:spacing w:after="0" w:line="8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Despite our best efforts, we cannot guarantee that our security measures will prevent all potential cybersecurity incidents or breaches. Like most companies, our systems are continually subjected to sophisticated and evolving cybersecurity threats, such as phishing, ransomware, social engineering, and advanced persistent threats. However, to date, we have not been subject to any incidents or successful cyber-attacks that materially impacted our operations or financial condition. Vulnerabilities could lead to significant additional expenses and an adverse effect on our reputation, business, results of operations, financial condition and cash flows. The Company has invested in developing and acquiring cybersecurity capabilities allowing us to monitor threats and manage incident response. We have also developed internal policies to mitigate cybersecurity incidents, including providing clear guidelines for incident classification and response. We recognize the importance of continued monitoring and improvement of our cybersecurity program, and will continue to invest in our security controls, incident response capabilities, and third-party vendor management protocols. Additional information on cybersecurity risks we face is included in Part I, Item 1A, "Risk Factors," which should be read in conjunction with the information in this section.</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1880" w:h="15528" w:orient="portrait"/>
          <w:cols w:equalWidth="0" w:num="1">
            <w:col w:w="10260"/>
          </w:cols>
          <w:pgMar w:left="820" w:top="658" w:right="800" w:bottom="0" w:gutter="0" w:footer="0" w:header="0"/>
          <w:type w:val="continuous"/>
        </w:sectPr>
      </w:pPr>
    </w:p>
    <w:bookmarkStart w:id="38" w:name="page39"/>
    <w:bookmarkEnd w:id="3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global business operations require the use of various facilities and other properties for manufacturing, distribution, warehousing, engineering and product testing, sales and marketing, and other corporate activities. We generally consider our current facilities to be in good operating condition, suitable for their respective uses, and adequate for our current and future business needs as our business is presently conducted. However, as a matter of course, we review our facilities from time to time as we continue to optimize our global business operations and footprint and may determine that certain of our facilities should be expanded or exited, sold, or utilized in another manner.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significant facilities are listed below by location, ownership, and function as of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Reportable Segment</w:t>
            </w:r>
          </w:p>
        </w:tc>
        <w:tc>
          <w:tcPr>
            <w:tcW w:w="4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Facility Type/Use</w:t>
            </w:r>
          </w:p>
        </w:tc>
        <w:tc>
          <w:tcPr>
            <w:tcW w:w="1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14"/>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Batesville, Arkansas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office, and warehouse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El Cajon, California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Fresno, California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Warehouse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Riverside, California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office, and test site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Sanford, Florida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Ankeny, Iowa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 center</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Mount Sterling, Kentucky</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Iron Mountain, Michigan</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office, test site, and warehouse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Bloomington, Minnesota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activities</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headquarters, test site, and warehouse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Brooklyn Center, Minnesota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activities</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Service center, distribution center, and office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Shakopee, Minnesota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Windom, Minnesota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Beatrice, Nebraska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office, and test site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Orrville, Ohio</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and office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West Salem, Ohio</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and office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Perry, Oklahoma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office, and test site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El Paso, Texas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and distribution center</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Weatherford, Texas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Baraboo, Wisconsin</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 center</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Lake Mills, Wisconsin</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Plymouth, Wisconsin</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 center</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Tomah, Wisconsin</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and distribution center</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Owned/Leased</w:t>
            </w:r>
          </w:p>
        </w:tc>
      </w:tr>
      <w:tr>
        <w:trPr>
          <w:trHeight w:val="240"/>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Countries:</w:t>
            </w:r>
          </w:p>
        </w:tc>
        <w:tc>
          <w:tcPr>
            <w:tcW w:w="20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Braeside, Australia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Office, distribution center, service center &amp; warehouse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Oevel, Belgium</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 center</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Xiamen City, China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Althengstett, Germany</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and office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Fiano Romano, Italy</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and office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Juarez, Mexico</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Monterrey, Mexico</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Ustron, Poland</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0"/>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Ploiesti, Romania</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w:t>
            </w: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Manufacturing facility and test site</w:t>
            </w:r>
          </w:p>
        </w:tc>
        <w:tc>
          <w:tcPr>
            <w:tcW w:w="1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Owned</w:t>
            </w:r>
          </w:p>
        </w:tc>
      </w:tr>
      <w:tr>
        <w:trPr>
          <w:trHeight w:val="246"/>
        </w:trPr>
        <w:tc>
          <w:tcPr>
            <w:tcW w:w="2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Hertfordshire, United Kingdom</w:t>
            </w:r>
          </w:p>
        </w:tc>
        <w:tc>
          <w:tcPr>
            <w:tcW w:w="2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Professional &amp; Residential</w:t>
            </w:r>
          </w:p>
        </w:tc>
        <w:tc>
          <w:tcPr>
            <w:tcW w:w="4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Manufacturing facility, office, and test site</w:t>
            </w:r>
          </w:p>
        </w:tc>
        <w:tc>
          <w:tcPr>
            <w:tcW w:w="1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Owned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-5212715</wp:posOffset>
            </wp:positionV>
            <wp:extent cx="6565900" cy="5232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65900" cy="52324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refer to the heading titled "Litigation" within Note 11,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of the Notes to Consolidated Financial Statements included in Part II, Item 8, "Financial Statements and Supplementary Data," of this Annual Report on Form 10-K, which is incorporated into this Item 3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880" w:h="15528" w:orient="portrait"/>
          <w:cols w:equalWidth="0" w:num="1">
            <w:col w:w="10260"/>
          </w:cols>
          <w:pgMar w:left="820" w:top="651" w:right="800" w:bottom="0" w:gutter="0" w:footer="0" w:header="0"/>
          <w:type w:val="continuous"/>
        </w:sectPr>
      </w:pPr>
    </w:p>
    <w:bookmarkStart w:id="39" w:name="page40"/>
    <w:bookmarkEnd w:id="39"/>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list below identifies those persons designated by our Board of Directors as executive officers of the company. The list sets forth each such person's age and position with the company as of December 10, 2025, as well as other positions held by the executive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such executive officer was selected as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6515100"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Name, Age, and Position</w:t>
            </w:r>
          </w:p>
        </w:tc>
        <w:tc>
          <w:tcPr>
            <w:tcW w:w="70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6"/>
                <w:szCs w:val="16"/>
                <w:b w:val="1"/>
                <w:bCs w:val="1"/>
                <w:color w:val="auto"/>
              </w:rPr>
              <w:t>Business Experience During the Last Five or More Years</w:t>
            </w:r>
          </w:p>
        </w:tc>
      </w:tr>
      <w:tr>
        <w:trPr>
          <w:trHeight w:val="153"/>
        </w:trPr>
        <w:tc>
          <w:tcPr>
            <w:tcW w:w="32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Richard M. Olson</w:t>
            </w:r>
          </w:p>
        </w:tc>
        <w:tc>
          <w:tcPr>
            <w:tcW w:w="706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Chairman of the Board since November 2017 and Chief Executive Officer since November 2016. From</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61, Chairman of the Board and Chief Executive</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September 2015 through October 2016, he served as President and Chief Operating Officer. From June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Officer</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2014 through August 2015, he served as Group Vice President, International Business, Global Ag-</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Irrigation Business and Distributor Development.</w:t>
            </w:r>
          </w:p>
        </w:tc>
      </w:tr>
      <w:tr>
        <w:trPr>
          <w:trHeight w:val="191"/>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Jason P. Baab</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Strategy, Corporate Development, and Sustainability since July 2023. Prior to joining the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50, Vice President, Strategy, Corporate</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company, he held several roles at Oshkosh Corporation, a global manufacturer of specialty vehicles and</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Development, and Sustainability</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equipment, serving as Senior Vice President, Corporate Development, Strategy, and Venture Capital from</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October 2021 to June 2023 and Vice President from 2017 to September 2021.</w:t>
            </w:r>
          </w:p>
        </w:tc>
      </w:tr>
      <w:tr>
        <w:trPr>
          <w:trHeight w:val="191"/>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Kevin N. Carpenter</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Global Operations and Integrated Supply Chain since December 2021. Prior to joining the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51, Vice President, Global Operations and</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company, he held several roles at Carrier Global Corporation, a global provider of healthy, safe, sustainable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Integrated Supply Chain</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and intelligent building and cold chain solutions, serving as Vice President of Operations, Residential and</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Light Commercial Systems from June 2021 to November 2021, Vice President of Quality and Continuous</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Improvement from August 2020 to May 2021, Vice President of Operations, Commercial HVAC from</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February 2020 to July 2020, and Vice President of Advanced Manufacturing from May 2019 to January</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2020.</w:t>
            </w:r>
          </w:p>
        </w:tc>
      </w:tr>
      <w:tr>
        <w:trPr>
          <w:trHeight w:val="191"/>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Angela C. Drake</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and Chief Financial Officer since March 2023. She previously served as Vice President,</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53, Vice President and Chief Financial Officer</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Finance from July 2022 to February 2023. From April 2020 to June 2022, she served as Vice President,</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Construction and from April 2019 through March 2020, she served as Senior Managing Director,</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Integration. From February 2011 through March 2019, she served as Chief Financial Officer for The</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Charles Machine Works, Inc., an underground construction company acquired by the company in April</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2019.</w:t>
            </w:r>
          </w:p>
        </w:tc>
      </w:tr>
      <w:tr>
        <w:trPr>
          <w:trHeight w:val="18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Edric C. Funk</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President and Chief Operating Officer since September 2025. He previously served as Group Vice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53, President and Chief Operating Officer</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President, Golf, Grounds, and Irrigation from November 2022 to September 2025. From November 2020 to</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November 2022, he served as General Manager, Sitework Systems, and prior to that led the company’s</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Center for Technology, Research and Innovation from July 2017 to October 2020.</w:t>
            </w:r>
          </w:p>
        </w:tc>
      </w:tr>
      <w:tr>
        <w:trPr>
          <w:trHeight w:val="176"/>
        </w:trPr>
        <w:tc>
          <w:tcPr>
            <w:tcW w:w="3200" w:type="dxa"/>
            <w:vAlign w:val="bottom"/>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Gregory S. Janey</w:t>
            </w:r>
          </w:p>
        </w:tc>
        <w:tc>
          <w:tcPr>
            <w:tcW w:w="7060" w:type="dxa"/>
            <w:vAlign w:val="bottom"/>
          </w:tcPr>
          <w:p>
            <w:pPr>
              <w:ind w:left="80"/>
              <w:spacing w:after="0" w:line="177" w:lineRule="exact"/>
              <w:rPr>
                <w:sz w:val="20"/>
                <w:szCs w:val="20"/>
                <w:color w:val="auto"/>
              </w:rPr>
            </w:pPr>
            <w:r>
              <w:rPr>
                <w:rFonts w:ascii="Times New Roman" w:cs="Times New Roman" w:eastAsia="Times New Roman" w:hAnsi="Times New Roman"/>
                <w:sz w:val="16"/>
                <w:szCs w:val="16"/>
                <w:color w:val="auto"/>
              </w:rPr>
              <w:t>Group Vice President, Landscapes and Contractor since November 2022. He previously served as Vice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47, Group Vice President, Landscapes and</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President, Residential and Landscape Contractor Businesses from November 2019 to November 2022.</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Contractor</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From November 2017 to October 2019, he served as General Manager, Residential and Landscape</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Contractor Businesses.</w:t>
            </w:r>
          </w:p>
        </w:tc>
      </w:tr>
      <w:tr>
        <w:trPr>
          <w:trHeight w:val="191"/>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Peter D. Moeller</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Group Vice President, Underground, Specialty Construction and International since October 2025. He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48, Group Vice President, Underground and</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previously served as Group Vice President, Underground and Specialty Construction from March 2023 to</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Specialty Construction and International</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September 2025. From November 2020 to February 2023, he served as Vice President, International. From</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November 2019 to October 2020, he served as Vice President, Sitework Systems.</w:t>
            </w:r>
          </w:p>
        </w:tc>
      </w:tr>
      <w:tr>
        <w:trPr>
          <w:trHeight w:val="191"/>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Lori A. Riley</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Human Resources since April 2025. Prior to joining the company, she served as Chief</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60, Vice President, Human Resources</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People and Administrative Officer at Northern Tool + Equipment, a manufacturer and retailer of light</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industrial equipment and DIY supplies, from August 2024 to March 2025 and as Senior Vice President,</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People, Communications and Legal from December 2021 to September 2024. She served as Senior Vice</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President, Human Capital at Optum from May 2019 to December 2021 and Chief People Officer at Rally</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Health from November 2019 to November 2021.</w:t>
            </w:r>
          </w:p>
        </w:tc>
      </w:tr>
      <w:tr>
        <w:trPr>
          <w:trHeight w:val="18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Kurt D. Svendsen</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Technology since March 2023. From November 2020 to February 2023, he served as Vice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59, Vice President, Technology</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President, Strategy, Corporate and Channel Development. From June 2013 to October 2020, he served as</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Information Technology.</w:t>
            </w:r>
          </w:p>
        </w:tc>
      </w:tr>
      <w:tr>
        <w:trPr>
          <w:trHeight w:val="18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Joanna M. Totsky</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General Counsel, and Corporate Secretary since June 2023. Prior to joining the company,</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57, Vice President, General Counsel, and</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she held several roles at Cooper-Standard Holdings, a leading manufacturer of sealing, fuel and brake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Corporate Secretary</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delivery, and fluid transfer systems, serving as Senior Vice President, Chief Legal and Transformation</w:t>
            </w:r>
          </w:p>
        </w:tc>
      </w:tr>
      <w:tr>
        <w:trPr>
          <w:trHeight w:val="160"/>
        </w:trPr>
        <w:tc>
          <w:tcPr>
            <w:tcW w:w="3200" w:type="dxa"/>
            <w:vAlign w:val="bottom"/>
          </w:tcPr>
          <w:p>
            <w:pPr>
              <w:spacing w:after="0"/>
              <w:rPr>
                <w:sz w:val="13"/>
                <w:szCs w:val="13"/>
                <w:color w:val="auto"/>
              </w:rPr>
            </w:pP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Officer and Secretary from November 2022 to May 2023, and Senior Vice President, Chief Legal and</w:t>
            </w:r>
          </w:p>
        </w:tc>
      </w:tr>
      <w:tr>
        <w:trPr>
          <w:trHeight w:val="209"/>
        </w:trPr>
        <w:tc>
          <w:tcPr>
            <w:tcW w:w="320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Compliance Officer and Secretary from July 2019 to October 2022.</w:t>
            </w:r>
          </w:p>
        </w:tc>
      </w:tr>
      <w:tr>
        <w:trPr>
          <w:trHeight w:val="19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Grant M. Young</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Group Vice President, Golf, Grounds and Irrigation since September 2025. He previously served as Vice</w:t>
            </w:r>
          </w:p>
        </w:tc>
      </w:tr>
      <w:tr>
        <w:trPr>
          <w:trHeight w:val="160"/>
        </w:trPr>
        <w:tc>
          <w:tcPr>
            <w:tcW w:w="320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56, Group Vice President, Golf, Grounds and</w:t>
            </w:r>
          </w:p>
        </w:tc>
        <w:tc>
          <w:tcPr>
            <w:tcW w:w="7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President, Commercial from November 2023 to September 2025. From April 2019 to October 2023, he</w:t>
            </w:r>
          </w:p>
        </w:tc>
      </w:tr>
      <w:tr>
        <w:trPr>
          <w:trHeight w:val="209"/>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Irrigation</w:t>
            </w:r>
          </w:p>
        </w:tc>
        <w:tc>
          <w:tcPr>
            <w:tcW w:w="7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served as General Manager, Commercial.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-5629910</wp:posOffset>
            </wp:positionV>
            <wp:extent cx="6565900" cy="5880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65900" cy="5880100"/>
                    </a:xfrm>
                    <a:prstGeom prst="rect">
                      <a:avLst/>
                    </a:prstGeom>
                    <a:noFill/>
                  </pic:spPr>
                </pic:pic>
              </a:graphicData>
            </a:graphic>
          </wp:anchor>
        </w:drawing>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880" w:h="15528" w:orient="portrait"/>
          <w:cols w:equalWidth="0" w:num="1">
            <w:col w:w="10260"/>
          </w:cols>
          <w:pgMar w:left="820" w:top="651" w:right="800" w:bottom="0" w:gutter="0" w:footer="0" w:header="0"/>
          <w:type w:val="continuous"/>
        </w:sectPr>
      </w:pPr>
    </w:p>
    <w:bookmarkStart w:id="40" w:name="page41"/>
    <w:bookmarkEnd w:id="40"/>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4"/>
          <w:szCs w:val="24"/>
          <w:b w:val="1"/>
          <w:bCs w:val="1"/>
          <w:color w:val="auto"/>
        </w:rPr>
        <w:t>PART II</w:t>
      </w:r>
    </w:p>
    <w:p>
      <w:pPr>
        <w:spacing w:after="0" w:line="147"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Common Stock and Cash Dividends</w:t>
      </w:r>
    </w:p>
    <w:p>
      <w:pPr>
        <w:spacing w:after="0" w:line="13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Our common stock is listed for trading on the New York Stock Exchange and trades under the symbol "TTC". As of October 31, 2025 and 2024, we had 175,000,000 shares of common stock, par value $1.00 per share, authorized, and 97,888,105 and 101,472,125 shares of common stock outstanding, respectively. In each quarter of fiscal 2025, our Board of Directors declared a common stock cash dividend of $0.38 per share, which was a 5.6 percent increase over our common stock cash dividend of $0.36 per share paid in each quarter of fiscal 2024. As announced on December 9, 2025, our Board of Directors increased our fiscal 2026 first quarter common stock cash dividend by 2.6 percent to $0.39 per share. Future common stock cash dividends will depend upon our financial condition, results of operations, capital requirements, and other factors deemed relevant by our Board of Directors. Restrictions on our ability to pay dividends are disclosed in Part II, Item 7, "Management's Discussion and Analysis of Financial Condition and Results of Operations."</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3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As of October 31, 2025 and 2024, we had 1,000,000 voting shares and 850,000 non-voting shares of preferred stock, par value $1.00 per share, authorized, none of which were outstanding.</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Shareholders</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10, 2025, we had 2,250 shareholders of record.</w:t>
      </w:r>
    </w:p>
    <w:p>
      <w:pPr>
        <w:spacing w:after="0" w:line="1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7"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Periodically, the company's Board of Directors authorizes the repurchase of shares of the company's common stock in open-market or privately negotiated transactions under the company's Board authorized stock repurchase program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our common stock repurchased by the company during each of the three fiscal months in our fourth quarter ended October 31, 2025:</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33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Maximum Number of</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 (or Units) that</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2060" w:type="dxa"/>
            <w:vAlign w:val="bottom"/>
            <w:vMerge w:val="restart"/>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(or Units) Repurchased</w:t>
            </w:r>
          </w:p>
        </w:tc>
        <w:tc>
          <w:tcPr>
            <w:tcW w:w="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As Part of Publicly</w:t>
            </w:r>
          </w:p>
        </w:tc>
        <w:tc>
          <w:tcPr>
            <w:tcW w:w="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Repurchased Under</w:t>
            </w:r>
          </w:p>
        </w:tc>
        <w:tc>
          <w:tcPr>
            <w:tcW w:w="0" w:type="dxa"/>
            <w:vAlign w:val="bottom"/>
          </w:tcPr>
          <w:p>
            <w:pPr>
              <w:spacing w:after="0"/>
              <w:rPr>
                <w:sz w:val="1"/>
                <w:szCs w:val="1"/>
                <w:color w:val="auto"/>
              </w:rPr>
            </w:pPr>
          </w:p>
        </w:tc>
      </w:tr>
      <w:tr>
        <w:trPr>
          <w:trHeight w:val="160"/>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60" w:type="dxa"/>
            <w:vAlign w:val="bottom"/>
          </w:tcPr>
          <w:p>
            <w:pPr>
              <w:jc w:val="center"/>
              <w:ind w:left="320"/>
              <w:spacing w:after="0" w:line="160"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2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18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the Plans or</w:t>
            </w:r>
          </w:p>
        </w:tc>
        <w:tc>
          <w:tcPr>
            <w:tcW w:w="0" w:type="dxa"/>
            <w:vAlign w:val="bottom"/>
          </w:tcPr>
          <w:p>
            <w:pPr>
              <w:spacing w:after="0"/>
              <w:rPr>
                <w:sz w:val="1"/>
                <w:szCs w:val="1"/>
                <w:color w:val="auto"/>
              </w:rPr>
            </w:pPr>
          </w:p>
        </w:tc>
      </w:tr>
      <w:tr>
        <w:trPr>
          <w:trHeight w:val="214"/>
        </w:trPr>
        <w:tc>
          <w:tcPr>
            <w:tcW w:w="338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jc w:val="center"/>
              <w:ind w:left="320"/>
              <w:spacing w:after="0" w:line="214" w:lineRule="exact"/>
              <w:rPr>
                <w:sz w:val="20"/>
                <w:szCs w:val="20"/>
                <w:color w:val="auto"/>
              </w:rPr>
            </w:pPr>
            <w:r>
              <w:rPr>
                <w:rFonts w:ascii="Times New Roman" w:cs="Times New Roman" w:eastAsia="Times New Roman" w:hAnsi="Times New Roman"/>
                <w:sz w:val="16"/>
                <w:szCs w:val="16"/>
                <w:b w:val="1"/>
                <w:bCs w:val="1"/>
                <w:color w:val="auto"/>
                <w:w w:val="92"/>
              </w:rPr>
              <w:t>Repurchased</w:t>
            </w:r>
            <w:r>
              <w:rPr>
                <w:rFonts w:ascii="Times New Roman" w:cs="Times New Roman" w:eastAsia="Times New Roman" w:hAnsi="Times New Roman"/>
                <w:sz w:val="20"/>
                <w:szCs w:val="20"/>
                <w:b w:val="1"/>
                <w:bCs w:val="1"/>
                <w:color w:val="auto"/>
                <w:w w:val="92"/>
                <w:vertAlign w:val="superscript"/>
              </w:rPr>
              <w:t>1, 2, 3, 4</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(or Unit)</w:t>
            </w:r>
          </w:p>
        </w:tc>
        <w:tc>
          <w:tcPr>
            <w:tcW w:w="18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1"/>
              </w:rPr>
              <w:t>Programs</w:t>
            </w:r>
            <w:r>
              <w:rPr>
                <w:rFonts w:ascii="Times New Roman" w:cs="Times New Roman" w:eastAsia="Times New Roman" w:hAnsi="Times New Roman"/>
                <w:sz w:val="20"/>
                <w:szCs w:val="20"/>
                <w:b w:val="1"/>
                <w:bCs w:val="1"/>
                <w:color w:val="auto"/>
                <w:w w:val="91"/>
                <w:vertAlign w:val="superscript"/>
              </w:rPr>
              <w:t>1, 2, 3</w:t>
            </w:r>
          </w:p>
        </w:tc>
        <w:tc>
          <w:tcPr>
            <w:tcW w:w="60" w:type="dxa"/>
            <w:vAlign w:val="bottom"/>
          </w:tcPr>
          <w:p>
            <w:pPr>
              <w:spacing w:after="0"/>
              <w:rPr>
                <w:sz w:val="18"/>
                <w:szCs w:val="18"/>
                <w:color w:val="auto"/>
              </w:rPr>
            </w:pPr>
          </w:p>
        </w:tc>
        <w:tc>
          <w:tcPr>
            <w:tcW w:w="168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1"/>
              </w:rPr>
              <w:t>Programs</w:t>
            </w:r>
            <w:r>
              <w:rPr>
                <w:rFonts w:ascii="Times New Roman" w:cs="Times New Roman" w:eastAsia="Times New Roman" w:hAnsi="Times New Roman"/>
                <w:sz w:val="20"/>
                <w:szCs w:val="20"/>
                <w:b w:val="1"/>
                <w:bCs w:val="1"/>
                <w:color w:val="auto"/>
                <w:w w:val="91"/>
                <w:vertAlign w:val="superscript"/>
              </w:rPr>
              <w:t>1, 2, 3</w:t>
            </w:r>
          </w:p>
        </w:tc>
        <w:tc>
          <w:tcPr>
            <w:tcW w:w="0" w:type="dxa"/>
            <w:vAlign w:val="bottom"/>
          </w:tcPr>
          <w:p>
            <w:pPr>
              <w:spacing w:after="0"/>
              <w:rPr>
                <w:sz w:val="1"/>
                <w:szCs w:val="1"/>
                <w:color w:val="auto"/>
              </w:rPr>
            </w:pPr>
          </w:p>
        </w:tc>
      </w:tr>
      <w:tr>
        <w:trPr>
          <w:trHeight w:val="214"/>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August 2, 2025 through August 29, 2025</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10,391,790</w:t>
            </w:r>
          </w:p>
        </w:tc>
        <w:tc>
          <w:tcPr>
            <w:tcW w:w="0" w:type="dxa"/>
            <w:vAlign w:val="bottom"/>
          </w:tcPr>
          <w:p>
            <w:pPr>
              <w:spacing w:after="0"/>
              <w:rPr>
                <w:sz w:val="1"/>
                <w:szCs w:val="1"/>
                <w:color w:val="auto"/>
              </w:rPr>
            </w:pPr>
          </w:p>
        </w:tc>
      </w:tr>
      <w:tr>
        <w:trPr>
          <w:trHeight w:val="240"/>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August 30, 2025 through October 3, 2025</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10,391,790</w:t>
            </w:r>
          </w:p>
        </w:tc>
        <w:tc>
          <w:tcPr>
            <w:tcW w:w="0" w:type="dxa"/>
            <w:vAlign w:val="bottom"/>
          </w:tcPr>
          <w:p>
            <w:pPr>
              <w:spacing w:after="0"/>
              <w:rPr>
                <w:sz w:val="1"/>
                <w:szCs w:val="1"/>
                <w:color w:val="auto"/>
              </w:rPr>
            </w:pPr>
          </w:p>
        </w:tc>
      </w:tr>
      <w:tr>
        <w:trPr>
          <w:trHeight w:val="246"/>
        </w:trPr>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October 4, 2025 through October 31, 2025</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75.77</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10,391,790</w:t>
            </w:r>
          </w:p>
        </w:tc>
        <w:tc>
          <w:tcPr>
            <w:tcW w:w="0" w:type="dxa"/>
            <w:vAlign w:val="bottom"/>
          </w:tcPr>
          <w:p>
            <w:pPr>
              <w:spacing w:after="0"/>
              <w:rPr>
                <w:sz w:val="1"/>
                <w:szCs w:val="1"/>
                <w:color w:val="auto"/>
              </w:rPr>
            </w:pPr>
          </w:p>
        </w:tc>
      </w:tr>
      <w:tr>
        <w:trPr>
          <w:trHeight w:val="200"/>
        </w:trPr>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75.77</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-653415</wp:posOffset>
            </wp:positionV>
            <wp:extent cx="6565900" cy="203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65900" cy="2032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-348615</wp:posOffset>
            </wp:positionV>
            <wp:extent cx="6565900" cy="203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65900" cy="2032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-56515</wp:posOffset>
            </wp:positionV>
            <wp:extent cx="6565900" cy="76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5900" cy="76200"/>
                    </a:xfrm>
                    <a:prstGeom prst="rect">
                      <a:avLst/>
                    </a:prstGeom>
                    <a:noFill/>
                  </pic:spPr>
                </pic:pic>
              </a:graphicData>
            </a:graphic>
          </wp:anchor>
        </w:drawing>
      </w:r>
    </w:p>
    <w:p>
      <w:pPr>
        <w:spacing w:after="0" w:line="120" w:lineRule="exact"/>
        <w:rPr>
          <w:sz w:val="20"/>
          <w:szCs w:val="20"/>
          <w:color w:val="auto"/>
        </w:rPr>
      </w:pPr>
    </w:p>
    <w:p>
      <w:pPr>
        <w:jc w:val="both"/>
        <w:ind w:left="370" w:hanging="370"/>
        <w:spacing w:after="0" w:line="233" w:lineRule="auto"/>
        <w:tabs>
          <w:tab w:leader="none" w:pos="37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13, 2022, the company’s Board of Directors authorized the repurchase of up to 5,000,000 shares of common stock under the stock repurchase program. No shares of common stock were repurchased under this tranche of the stock repurchase program during the time period indicated above, and as a result, 391,790 shares of common stock remained available to repurchase as of October 31, 2025.</w:t>
      </w:r>
    </w:p>
    <w:p>
      <w:pPr>
        <w:spacing w:after="0" w:line="104" w:lineRule="exact"/>
        <w:rPr>
          <w:sz w:val="20"/>
          <w:szCs w:val="20"/>
          <w:color w:val="auto"/>
        </w:rPr>
      </w:pPr>
    </w:p>
    <w:p>
      <w:pPr>
        <w:jc w:val="both"/>
        <w:ind w:left="370" w:hanging="370"/>
        <w:spacing w:after="0" w:line="233" w:lineRule="auto"/>
        <w:tabs>
          <w:tab w:leader="none" w:pos="37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10, 2024, the company’s Board of Directors authorized the repurchase of up to an additional 4,000,000 shares of common stock under the stock repurchase program. No shares of common stock were repurchased under this tranche of the stock repurchase program during the time period indicated above.</w:t>
      </w:r>
    </w:p>
    <w:p>
      <w:pPr>
        <w:spacing w:after="0" w:line="104" w:lineRule="exact"/>
        <w:rPr>
          <w:sz w:val="20"/>
          <w:szCs w:val="20"/>
          <w:color w:val="auto"/>
        </w:rPr>
      </w:pPr>
    </w:p>
    <w:p>
      <w:pPr>
        <w:jc w:val="both"/>
        <w:ind w:left="370" w:hanging="370"/>
        <w:spacing w:after="0" w:line="233" w:lineRule="auto"/>
        <w:tabs>
          <w:tab w:leader="none" w:pos="37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9, 2025, the company’s Board of Directors authorized the repurchase of up to an additional 6,000,000 shares of common stock under the stock repurchase program. No shares of common stock were repurchased under this tranche of the stock repurchase program during the time period indicated above.</w:t>
      </w:r>
    </w:p>
    <w:p>
      <w:pPr>
        <w:spacing w:after="0" w:line="104" w:lineRule="exact"/>
        <w:rPr>
          <w:sz w:val="20"/>
          <w:szCs w:val="20"/>
          <w:color w:val="auto"/>
        </w:rPr>
      </w:pPr>
    </w:p>
    <w:p>
      <w:pPr>
        <w:jc w:val="both"/>
        <w:ind w:left="370" w:right="20" w:hanging="370"/>
        <w:spacing w:after="0" w:line="233" w:lineRule="auto"/>
        <w:tabs>
          <w:tab w:leader="none" w:pos="37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1,604 shares of the company's common stock repurchased in open-market transactions at an average price of $75.77 per share on behalf of a rabbi trust formed to pay benefit obligations of the company to participants in the company's deferred compensation plans. These 1,604 shares were not repurchased under the stock repurchase program.</w:t>
      </w:r>
    </w:p>
    <w:p>
      <w:pPr>
        <w:sectPr>
          <w:pgSz w:w="11880" w:h="15528" w:orient="portrait"/>
          <w:cols w:equalWidth="0" w:num="1">
            <w:col w:w="10270"/>
          </w:cols>
          <w:pgMar w:left="810" w:top="6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35</w:t>
      </w:r>
    </w:p>
    <w:p>
      <w:pPr>
        <w:sectPr>
          <w:pgSz w:w="11880" w:h="15528" w:orient="portrait"/>
          <w:cols w:equalWidth="0" w:num="1">
            <w:col w:w="10270"/>
          </w:cols>
          <w:pgMar w:left="810" w:top="636" w:right="800" w:bottom="0" w:gutter="0" w:footer="0" w:header="0"/>
          <w:type w:val="continuous"/>
        </w:sectPr>
      </w:pPr>
    </w:p>
    <w:bookmarkStart w:id="41" w:name="page42"/>
    <w:bookmarkEnd w:id="41"/>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Toro Company Common Stock Comparative Performance Graph</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following stock performance graph and table depict the cumulative total shareholder return (assuming reinvestment of dividends) on $100 invested in each of TTC common stock, the S&amp;P 500 Index, and the S&amp;P 500 Industrial Machinery Index for the five-year period from October 31, 2020 through October 31, 2025. The total returns on TTC common stock depicted in the stock performance graph and table are not necessarily indicative of future performance.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COMPARISON OF 5 YEAR CUMULATIVE TOTAL RETURN*</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Among The Toro Company, the S&amp;P 500 Index, and the S&amp;P 500 Industrial Machinery Index</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-67945</wp:posOffset>
            </wp:positionV>
            <wp:extent cx="5372100" cy="2762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72100"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0</w:t>
      </w:r>
    </w:p>
    <w:p>
      <w:pPr>
        <w:spacing w:after="0" w:line="30" w:lineRule="exact"/>
        <w:rPr>
          <w:sz w:val="20"/>
          <w:szCs w:val="20"/>
          <w:color w:val="auto"/>
        </w:rPr>
      </w:pPr>
    </w:p>
    <w:tbl>
      <w:tblPr>
        <w:tblLayout w:type="fixed"/>
        <w:tblInd w:w="1300" w:type="dxa"/>
        <w:tblCellMar>
          <w:top w:w="0" w:type="dxa"/>
          <w:left w:w="0" w:type="dxa"/>
          <w:bottom w:w="0" w:type="dxa"/>
          <w:right w:w="0" w:type="dxa"/>
        </w:tblCellMar>
      </w:tblPr>
      <w:tr>
        <w:trPr>
          <w:trHeight w:val="260"/>
        </w:trPr>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10/31/20</w:t>
            </w: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10/31/21</w:t>
            </w:r>
          </w:p>
        </w:tc>
        <w:tc>
          <w:tcPr>
            <w:tcW w:w="14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10/31/22</w:t>
            </w:r>
          </w:p>
        </w:tc>
        <w:tc>
          <w:tcPr>
            <w:tcW w:w="13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10/31/23</w:t>
            </w:r>
          </w:p>
        </w:tc>
        <w:tc>
          <w:tcPr>
            <w:tcW w:w="14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10/31/24</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10/31/25</w:t>
            </w:r>
          </w:p>
        </w:tc>
        <w:tc>
          <w:tcPr>
            <w:tcW w:w="0" w:type="dxa"/>
            <w:vAlign w:val="bottom"/>
          </w:tcPr>
          <w:p>
            <w:pPr>
              <w:spacing w:after="0"/>
              <w:rPr>
                <w:sz w:val="1"/>
                <w:szCs w:val="1"/>
                <w:color w:val="auto"/>
              </w:rPr>
            </w:pPr>
          </w:p>
        </w:tc>
      </w:tr>
      <w:tr>
        <w:trPr>
          <w:trHeight w:val="376"/>
        </w:trPr>
        <w:tc>
          <w:tcPr>
            <w:tcW w:w="520" w:type="dxa"/>
            <w:vAlign w:val="bottom"/>
            <w:tcBorders>
              <w:bottom w:val="single" w:sz="8" w:color="FB0813"/>
            </w:tcBorders>
          </w:tcPr>
          <w:p>
            <w:pPr>
              <w:spacing w:after="0"/>
              <w:rPr>
                <w:sz w:val="24"/>
                <w:szCs w:val="24"/>
                <w:color w:val="auto"/>
              </w:rPr>
            </w:pPr>
          </w:p>
        </w:tc>
        <w:tc>
          <w:tcPr>
            <w:tcW w:w="2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20"/>
                <w:szCs w:val="20"/>
                <w:color w:val="auto"/>
              </w:rPr>
              <w:t>The Toro Company</w:t>
            </w:r>
          </w:p>
        </w:tc>
        <w:tc>
          <w:tcPr>
            <w:tcW w:w="144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S&amp;P 500</w:t>
            </w:r>
          </w:p>
        </w:tc>
        <w:tc>
          <w:tcPr>
            <w:tcW w:w="3800" w:type="dxa"/>
            <w:vAlign w:val="bottom"/>
            <w:gridSpan w:val="3"/>
            <w:vMerge w:val="restart"/>
          </w:tcPr>
          <w:p>
            <w:pPr>
              <w:jc w:val="center"/>
              <w:ind w:left="220"/>
              <w:spacing w:after="0"/>
              <w:rPr>
                <w:sz w:val="20"/>
                <w:szCs w:val="20"/>
                <w:color w:val="auto"/>
              </w:rPr>
            </w:pPr>
            <w:r>
              <w:rPr>
                <w:rFonts w:ascii="Times New Roman" w:cs="Times New Roman" w:eastAsia="Times New Roman" w:hAnsi="Times New Roman"/>
                <w:sz w:val="20"/>
                <w:szCs w:val="20"/>
                <w:color w:val="auto"/>
                <w:w w:val="99"/>
              </w:rPr>
              <w:t>S&amp;P 500 Industrial Machinery Index</w:t>
            </w:r>
          </w:p>
        </w:tc>
        <w:tc>
          <w:tcPr>
            <w:tcW w:w="0" w:type="dxa"/>
            <w:vAlign w:val="bottom"/>
          </w:tcPr>
          <w:p>
            <w:pPr>
              <w:spacing w:after="0"/>
              <w:rPr>
                <w:sz w:val="1"/>
                <w:szCs w:val="1"/>
                <w:color w:val="auto"/>
              </w:rPr>
            </w:pPr>
          </w:p>
        </w:tc>
      </w:tr>
      <w:tr>
        <w:trPr>
          <w:trHeight w:val="94"/>
        </w:trPr>
        <w:tc>
          <w:tcPr>
            <w:tcW w:w="52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-144780</wp:posOffset>
            </wp:positionV>
            <wp:extent cx="161925" cy="161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-144780</wp:posOffset>
            </wp:positionV>
            <wp:extent cx="333375" cy="161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3375" cy="16192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-144780</wp:posOffset>
            </wp:positionV>
            <wp:extent cx="333375" cy="161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3375" cy="16192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 invested on 10/31/20 in stock or index, including reinvestment of dividends. Fiscal years ending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170180</wp:posOffset>
            </wp:positionV>
            <wp:extent cx="6515100"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4"/>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Toro Company</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117.50</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131.55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103.41</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97.99</w:t>
            </w:r>
          </w:p>
        </w:tc>
      </w:tr>
      <w:tr>
        <w:trPr>
          <w:trHeight w:val="240"/>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S&amp;P 500</w:t>
            </w:r>
          </w:p>
        </w:tc>
        <w:tc>
          <w:tcPr>
            <w:tcW w:w="10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142.91</w:t>
            </w:r>
          </w:p>
        </w:tc>
        <w:tc>
          <w:tcPr>
            <w:tcW w:w="2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122.03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134.41</w:t>
            </w:r>
          </w:p>
        </w:tc>
        <w:tc>
          <w:tcPr>
            <w:tcW w:w="2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185.51</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225.31</w:t>
            </w:r>
          </w:p>
        </w:tc>
      </w:tr>
      <w:tr>
        <w:trPr>
          <w:trHeight w:val="240"/>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S&amp;P 500 Industrial Machinery Index</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131.99</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114.60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170.97</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-471805</wp:posOffset>
            </wp:positionV>
            <wp:extent cx="6565900" cy="508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65900" cy="508000"/>
                    </a:xfrm>
                    <a:prstGeom prst="rect">
                      <a:avLst/>
                    </a:prstGeom>
                    <a:noFill/>
                  </pic:spPr>
                </pic:pic>
              </a:graphicData>
            </a:graphic>
          </wp:anchor>
        </w:drawing>
      </w:r>
    </w:p>
    <w:p>
      <w:pPr>
        <w:spacing w:after="0" w:line="1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515"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1880" w:h="15515" w:orient="portrait"/>
          <w:cols w:equalWidth="0" w:num="1">
            <w:col w:w="10260"/>
          </w:cols>
          <w:pgMar w:left="820" w:top="651" w:right="800" w:bottom="0" w:gutter="0" w:footer="0" w:header="0"/>
          <w:type w:val="continuous"/>
        </w:sectPr>
      </w:pPr>
    </w:p>
    <w:bookmarkStart w:id="42" w:name="page43"/>
    <w:bookmarkEnd w:id="42"/>
    <w:p>
      <w:pPr>
        <w:spacing w:after="0" w:line="47"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59"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This Management's Discussion and Analysis of Financial Condition and Results of Operations ("MD&amp;A") is intended to provide a reader of our Consolidated Financial Statements with a narrative from the perspective of management on our financial condition, results of operations, liquidity, and certain other factors that may affect our future results. Our Consolidated Financial Statements and Notes to Consolidated Financial Statements are included in Part II, Item 8, "Financial Statements and Supplementary Data," of this Annual Report on Form 10-K and all references in this MD&amp;A to the Notes to Consolidated Financial Statements can be found in Part II, Item 8, "Financial Statements and Supplementary Data," of this Annual Report on Form 10-K.</w:t>
      </w:r>
    </w:p>
    <w:p>
      <w:pPr>
        <w:spacing w:after="0" w:line="90"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Unless expressly stated otherwise, the comparisons presented in this MD&amp;A refer to the year-over-year comparison of changes in our financial condition and results of operations as of and for the fiscal years ended October 31, 2025 and 2024. Discussion of fiscal 2023 items and the year-over-year comparison of changes in our financial condition and results of operations as of and for the fiscal years ended October 31, 2024 and 2023 can be found in Part II, Item 7, "Management’s Discussion and Analysis of Financial Condition and Results of Operations," of our Annual Report on Form 10-K for the fiscal year ended October 31, 2024. Statements that are not historical are forward-looking and involve risks and uncertainties, including those discussed in Part I, Item 1A, "Risk Factors," and elsewhere in this Annual Report on Form 10-K. These risks and uncertainties could cause our actual results to differ materially from any future performance suggested throughout this MD&amp;A.</w:t>
      </w:r>
    </w:p>
    <w:p>
      <w:pPr>
        <w:spacing w:after="0" w:line="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Our MD&amp;A is presented as follows:</w:t>
      </w:r>
    </w:p>
    <w:p>
      <w:pPr>
        <w:spacing w:after="0" w:line="130" w:lineRule="exact"/>
        <w:rPr>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Overview</w:t>
      </w:r>
    </w:p>
    <w:p>
      <w:pPr>
        <w:spacing w:after="0" w:line="3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Operations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Segments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Position</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Financial Measures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Critical Accounting Policies and Estimates</w:t>
      </w:r>
    </w:p>
    <w:p>
      <w:pPr>
        <w:spacing w:after="0" w:line="110"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Throughout this MD&amp;A, we have provided financial and liquidity measures that are not calculated or presented in accordance with U.S. GAAP ("non-GAAP financial measures," "adjusted" before specified financial measures, and "non-GAAP liquidity measures"), as information supplemental and in addition to the most directly comparable financial measures presented in this Annual Report on Form 10-K that are calculated and presented in accordance with U.S. GAAP. 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3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Our fiscal 2025 results included the following items of significance that are provided in summary format here and described in greater detail throughout the "Results of Operations," "Business Segments," and "Financial Position" sections:</w:t>
      </w:r>
    </w:p>
    <w:p>
      <w:pPr>
        <w:spacing w:after="0" w:line="61" w:lineRule="exact"/>
        <w:rPr>
          <w:sz w:val="20"/>
          <w:szCs w:val="20"/>
          <w:color w:val="auto"/>
        </w:rPr>
      </w:pPr>
    </w:p>
    <w:p>
      <w:pPr>
        <w:ind w:left="370" w:right="20" w:hanging="370"/>
        <w:spacing w:after="0" w:line="260"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sales for fiscal 2025 were $4,510.4 million, a decrease of 1.6 percent compared to $4,583.8 million in fiscal 2024.</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segment net sales for fiscal 2025 were $3,624.0 million, an increase of 1.9 percent compared to $3,556.9 million in fiscal 2024.</w:t>
      </w:r>
    </w:p>
    <w:p>
      <w:pPr>
        <w:ind w:left="370" w:right="20" w:hanging="370"/>
        <w:spacing w:after="0" w:line="250"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Residential segment net sales for fiscal 2025 were $858.4 million, a decrease of 14.0 percent compared to $998.3 million in fiscal 2024.</w:t>
      </w:r>
    </w:p>
    <w:p>
      <w:pPr>
        <w:ind w:left="370" w:hanging="370"/>
        <w:spacing w:after="0"/>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was 33.4 percent in fiscal 2025, a decrease of 40 basis points compared to 33.8 percent in fiscal 2024.</w:t>
      </w:r>
    </w:p>
    <w:p>
      <w:pPr>
        <w:spacing w:after="0" w:line="10"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gross margin was 34.1 percent in fiscal 2025, an increase of 20 basis points compared to 33.9 percent in fiscal 2024.</w:t>
      </w:r>
    </w:p>
    <w:p>
      <w:pPr>
        <w:ind w:left="370" w:right="20" w:hanging="370"/>
        <w:spacing w:after="0" w:line="250"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expense as a percentage of net sales in fiscal 2025 was 22.5 percent, an increase of 30 basis points compared to 22.2 percent in fiscal 2024.</w:t>
      </w:r>
    </w:p>
    <w:p>
      <w:pPr>
        <w:ind w:left="370" w:hanging="370"/>
        <w:spacing w:after="0" w:line="250"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earnings for fiscal 2025 were $316.1 million, or $3.17 per diluted share, compared to $418.9 million, or $4.01 per diluted share, in fiscal 2024.</w:t>
      </w:r>
    </w:p>
    <w:p>
      <w:pPr>
        <w:ind w:left="370" w:right="20" w:hanging="370"/>
        <w:spacing w:after="0" w:line="260"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earnings for fiscal 2025 were $419.6 million, or $4.20 per diluted share, compared to $435.2 million, or $4.17 per diluted share, in fiscal 2024.</w:t>
      </w:r>
    </w:p>
    <w:p>
      <w:pPr>
        <w:sectPr>
          <w:pgSz w:w="11880" w:h="15527" w:orient="portrait"/>
          <w:cols w:equalWidth="0" w:num="1">
            <w:col w:w="10270"/>
          </w:cols>
          <w:pgMar w:left="810" w:top="651" w:right="80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37</w:t>
      </w:r>
    </w:p>
    <w:p>
      <w:pPr>
        <w:sectPr>
          <w:pgSz w:w="11880" w:h="15527" w:orient="portrait"/>
          <w:cols w:equalWidth="0" w:num="1">
            <w:col w:w="10270"/>
          </w:cols>
          <w:pgMar w:left="810" w:top="651" w:right="800" w:bottom="0" w:gutter="0" w:footer="0" w:header="0"/>
          <w:type w:val="continuous"/>
        </w:sectPr>
      </w:pPr>
    </w:p>
    <w:bookmarkStart w:id="43" w:name="page44"/>
    <w:bookmarkEnd w:id="43"/>
    <w:p>
      <w:pPr>
        <w:spacing w:after="0" w:line="48" w:lineRule="exact"/>
        <w:rPr>
          <w:sz w:val="20"/>
          <w:szCs w:val="20"/>
          <w:color w:val="auto"/>
        </w:rPr>
      </w:pPr>
    </w:p>
    <w:p>
      <w:pPr>
        <w:ind w:left="370" w:right="20" w:hanging="370"/>
        <w:spacing w:after="0" w:line="260" w:lineRule="auto"/>
        <w:tabs>
          <w:tab w:leader="none" w:pos="37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Field inventory was lower as of the end of fiscal 2025 compared to the end of fiscal 2024, primarily due to decreased balances of golf and grounds and turf products, partially offset by higher balances of underground construction products.</w:t>
      </w:r>
    </w:p>
    <w:p>
      <w:pPr>
        <w:spacing w:after="0" w:line="1" w:lineRule="exact"/>
        <w:rPr>
          <w:rFonts w:ascii="Times New Roman" w:cs="Times New Roman" w:eastAsia="Times New Roman" w:hAnsi="Times New Roman"/>
          <w:sz w:val="20"/>
          <w:szCs w:val="20"/>
          <w:color w:val="auto"/>
        </w:rPr>
      </w:pPr>
    </w:p>
    <w:p>
      <w:pPr>
        <w:jc w:val="both"/>
        <w:ind w:left="370" w:hanging="370"/>
        <w:spacing w:after="0" w:line="253" w:lineRule="auto"/>
        <w:tabs>
          <w:tab w:leader="none" w:pos="37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order backlog represents unfulfilled customer orders at a point in time. Our order backlog (including shipments beyond 12 months) decreased $0.4 billion to $0.8 billion as of October 31, 2025 from $1.2 billion as of October 31, 2024, primarily driven by improved manufacturing output and more normalized order patterns. Although we continue to see sustained demand for underground construction and golf and grounds products, we expect backlog to normalize by mid-fiscal 2026 given our improved manufacturing output and lower lead times.</w:t>
      </w:r>
    </w:p>
    <w:p>
      <w:pPr>
        <w:spacing w:after="0" w:line="88"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We continued our history of paying quarterly cash dividends throughout fiscal 2025 and increased our fiscal 2025 quarterly cash dividend by 5.6 percent to $0.38 per share compared to $0.36 per share paid in fiscal 2024.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$441.1 million of cash to our shareholders during fiscal 2025. As of October 31, 2025, we had a strong liquidity profile with available liquidity of $1,238.9 million, consisting of cash and cash equivalents of $341.0 million and availability under our revolving credit facility of $897.9 million.</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Tariffs</w:t>
      </w:r>
    </w:p>
    <w:p>
      <w:pPr>
        <w:spacing w:after="0" w:line="13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tariff environment is complex and evolving. Our business has incurred, and expects to continue to incur, additional costs as it relates to tariffs. We have taken and will continue to take action to mitigate inflationary pressures caused by tariffs through a combination of targeted price increases, strategic sourcing adjustments, manufacturing and product portfolio optimization, as well as our ongoing efforts to drive sustainable efficiency gains in our operations and administrative structures.</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AMP Initiative</w:t>
      </w:r>
    </w:p>
    <w:p>
      <w:pPr>
        <w:spacing w:after="0" w:line="137"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In the first quarter of fiscal 2024, we launched a significant productivity initiative named AMP, which is a multi-year initiative now on track to achieve at least $125 million of run-rate savings by fiscal 2027, up from the initial program estimate of at least $100 million. The program is driven by sustainable supply-base, design-to-value, route-to-market, and operational efficiency transformation. We expect to reinvest a portion of the savings from this initiative to drive further innovation and growth. As of the fourth quarter of fiscal 2025, the AMP initiative has delivered cumulative cost savings of $78.5 million and anticipated annualized cost savings of $86.2 million. Refer to the section titled "Non-GAAP Financial Measures" for information about the productivity initiative charges incurred to generate these savings.</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Impairment of Spartan Trade Name</w:t>
      </w:r>
    </w:p>
    <w:p>
      <w:pPr>
        <w:spacing w:after="0" w:line="13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 xml:space="preserve">During the third quarter of fiscal 2025, we recorded an impairment charge of $81.1 million related to the indefinite-lived Spartan trade name intangible asset reported under the Professional segment. Subsequent to this impairment charge, the indefinite-lived Spartan trade name intangible asset is fully impaired, resulting in a carrying value of zero. This impairment charge is included in the Non-cash impairment charge caption on the Consolidated Statements of Earnings. The impairment charge resulted in a $19.7 million income tax benefit (deferred tax asset) associated with the remaining tax deductible basis of the intangible asset. For additional information regarding the impairment charge, refer to Note 5, </w:t>
      </w:r>
      <w:r>
        <w:rPr>
          <w:rFonts w:ascii="Times New Roman" w:cs="Times New Roman" w:eastAsia="Times New Roman" w:hAnsi="Times New Roman"/>
          <w:sz w:val="20"/>
          <w:szCs w:val="20"/>
          <w:b w:val="1"/>
          <w:bCs w:val="1"/>
          <w:i w:val="1"/>
          <w:iCs w:val="1"/>
          <w:color w:val="auto"/>
        </w:rPr>
        <w:t>Goodwill and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Intangible Assets, </w:t>
      </w:r>
      <w:r>
        <w:rPr>
          <w:rFonts w:ascii="Times New Roman" w:cs="Times New Roman" w:eastAsia="Times New Roman" w:hAnsi="Times New Roman"/>
          <w:sz w:val="20"/>
          <w:szCs w:val="20"/>
          <w:color w:val="auto"/>
        </w:rPr>
        <w:t>in our Notes to Consolidated Financial Statements included in Part II, Item 8 of this Annual Report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Form 10-K.</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Tax</w:t>
      </w:r>
    </w:p>
    <w:p>
      <w:pPr>
        <w:spacing w:after="0" w:line="137" w:lineRule="exact"/>
        <w:rPr>
          <w:sz w:val="20"/>
          <w:szCs w:val="20"/>
          <w:color w:val="auto"/>
        </w:rPr>
      </w:pPr>
    </w:p>
    <w:p>
      <w:pPr>
        <w:jc w:val="both"/>
        <w:ind w:left="10" w:right="20"/>
        <w:spacing w:after="0" w:line="241" w:lineRule="auto"/>
        <w:rPr>
          <w:sz w:val="20"/>
          <w:szCs w:val="20"/>
          <w:color w:val="auto"/>
        </w:rPr>
      </w:pPr>
      <w:r>
        <w:rPr>
          <w:rFonts w:ascii="Times New Roman" w:cs="Times New Roman" w:eastAsia="Times New Roman" w:hAnsi="Times New Roman"/>
          <w:sz w:val="20"/>
          <w:szCs w:val="20"/>
          <w:color w:val="auto"/>
        </w:rPr>
        <w:t>On July 4, 2025, new U.S tax legislation was signed into law (known as the "One Big Beautiful Bill Act" or "OBBB") which makes permanent many of the tax provisions enacted in 2017 as part of the Tax Cuts and Jobs Act that were set to expire at the end of 2025. In addition, the OBBB makes changes to certain U.S. corporate tax provisions, but many are generally not effective until 2026 or later. The Company is currently evaluating the impact of the new legislation but does not expect it to have a material impact on the results of operations.</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Net Sales</w:t>
      </w:r>
    </w:p>
    <w:p>
      <w:pPr>
        <w:spacing w:after="0" w:line="13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Consolidated net sales in fiscal 2025 were $4,510.4 million compared to $4,583.8 million in fiscal 2024, a decrease of 1.6 percent. This net sales decrease was primarily driven by lower Residential segment shipments and prior year divestitures, partially offset by net price realization and higher Professional segment shipments.</w:t>
      </w:r>
    </w:p>
    <w:p>
      <w:pPr>
        <w:spacing w:after="0" w:line="75"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Net sales in international markets were $878.3 million for fiscal 2025 compared to $923.0 million in fiscal 2024, a decrease of 4.8 percent. The international net sales decrease was primarily driven by lower shipments of both Residential and Professional segment products. Changes in foreign currency exchange rates resulted in a decrease in our net sales of $4.2 million in fiscal 2025.</w:t>
      </w:r>
    </w:p>
    <w:p>
      <w:pPr>
        <w:sectPr>
          <w:pgSz w:w="11880" w:h="15528"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38</w:t>
      </w:r>
    </w:p>
    <w:p>
      <w:pPr>
        <w:sectPr>
          <w:pgSz w:w="11880" w:h="15528" w:orient="portrait"/>
          <w:cols w:equalWidth="0" w:num="1">
            <w:col w:w="10270"/>
          </w:cols>
          <w:pgMar w:left="810" w:top="658" w:right="800" w:bottom="0" w:gutter="0" w:footer="0" w:header="0"/>
          <w:type w:val="continuous"/>
        </w:sectPr>
      </w:pPr>
    </w:p>
    <w:bookmarkStart w:id="44" w:name="page45"/>
    <w:bookmarkEnd w:id="4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as a percentage of our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40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4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100.0 %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46"/>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4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(66.6)</w:t>
            </w: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(66.2)</w:t>
            </w:r>
          </w:p>
        </w:tc>
      </w:tr>
      <w:tr>
        <w:trPr>
          <w:trHeight w:val="214"/>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margin</w:t>
            </w:r>
          </w:p>
        </w:tc>
        <w:tc>
          <w:tcPr>
            <w:tcW w:w="40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33.4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33.8</w:t>
            </w:r>
          </w:p>
        </w:tc>
      </w:tr>
      <w:tr>
        <w:trPr>
          <w:trHeight w:val="240"/>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SG&amp;A expense</w:t>
            </w:r>
          </w:p>
        </w:tc>
        <w:tc>
          <w:tcPr>
            <w:tcW w:w="40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(22.5)</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r>
      <w:tr>
        <w:trPr>
          <w:trHeight w:val="246"/>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Non-cash impairment charge</w:t>
            </w:r>
          </w:p>
        </w:tc>
        <w:tc>
          <w:tcPr>
            <w:tcW w:w="4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earnings</w:t>
            </w:r>
          </w:p>
        </w:tc>
        <w:tc>
          <w:tcPr>
            <w:tcW w:w="40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9.1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11.6</w:t>
            </w:r>
          </w:p>
        </w:tc>
      </w:tr>
      <w:tr>
        <w:trPr>
          <w:trHeight w:val="240"/>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40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r>
      <w:tr>
        <w:trPr>
          <w:trHeight w:val="246"/>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4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0.6</w:t>
            </w: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0.9</w:t>
            </w:r>
          </w:p>
        </w:tc>
      </w:tr>
      <w:tr>
        <w:trPr>
          <w:trHeight w:val="214"/>
        </w:trPr>
        <w:tc>
          <w:tcPr>
            <w:tcW w:w="5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0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8.4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11.2</w:t>
            </w:r>
          </w:p>
        </w:tc>
      </w:tr>
      <w:tr>
        <w:trPr>
          <w:trHeight w:val="246"/>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(1.4)</w:t>
            </w: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r>
      <w:tr>
        <w:trPr>
          <w:trHeight w:val="200"/>
        </w:trPr>
        <w:tc>
          <w:tcPr>
            <w:tcW w:w="5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earnings</w:t>
            </w:r>
          </w:p>
        </w:tc>
        <w:tc>
          <w:tcPr>
            <w:tcW w:w="40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7.0 %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-1720215</wp:posOffset>
            </wp:positionV>
            <wp:extent cx="6565900" cy="1739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65900" cy="17399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Profit and Gross Margin</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Gross profit represents net sales less cost of sales and gross margin represents gross profit as a percentage of net sales. Refer to Note 1, </w:t>
      </w:r>
      <w:r>
        <w:rPr>
          <w:rFonts w:ascii="Times New Roman" w:cs="Times New Roman" w:eastAsia="Times New Roman" w:hAnsi="Times New Roman"/>
          <w:sz w:val="20"/>
          <w:szCs w:val="20"/>
          <w:b w:val="1"/>
          <w:bCs w:val="1"/>
          <w:i w:val="1"/>
          <w:iCs w:val="1"/>
          <w:color w:val="auto"/>
        </w:rPr>
        <w:t>Summary of Significant Accounting Policies and Related Data</w:t>
      </w:r>
      <w:r>
        <w:rPr>
          <w:rFonts w:ascii="Times New Roman" w:cs="Times New Roman" w:eastAsia="Times New Roman" w:hAnsi="Times New Roman"/>
          <w:sz w:val="20"/>
          <w:szCs w:val="20"/>
          <w:color w:val="auto"/>
        </w:rPr>
        <w:t>, of the Notes to Consolidated Financial Statements within the section entitled "Cost of Sales," for a description of expenses included in cost of sales. Gross profit for fiscal 2025 was $1,504.8 million, down 2.9 percent compared to gross profit of $1,549.3 million in fiscal 2024. Gross margin was 33.4 percent in fiscal 2025 compared to 33.8 percent in fiscal 2024, a decrease of 40 basis points. This gross margin decrease was primarily due to lower net sales volume, higher material and manufacturing costs, inventory valuation adjustments, and higher productivity initiative charges, partially offset by productivity improvements, net price realization, and product mix.</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("SG&amp;A") Expense</w:t>
      </w:r>
    </w:p>
    <w:p>
      <w:pPr>
        <w:spacing w:after="0" w:line="13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 xml:space="preserve">SG&amp;A expense decreased $2.2 million, or 0.2 percent, in fiscal 2025 compared to fiscal 2024. Refer to Note 1, </w:t>
      </w:r>
      <w:r>
        <w:rPr>
          <w:rFonts w:ascii="Times New Roman" w:cs="Times New Roman" w:eastAsia="Times New Roman" w:hAnsi="Times New Roman"/>
          <w:sz w:val="20"/>
          <w:szCs w:val="20"/>
          <w:b w:val="1"/>
          <w:bCs w:val="1"/>
          <w:i w:val="1"/>
          <w:iCs w:val="1"/>
          <w:color w:val="auto"/>
        </w:rPr>
        <w:t>Summary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Significant Accounting Policies and Related Data</w:t>
      </w:r>
      <w:r>
        <w:rPr>
          <w:rFonts w:ascii="Times New Roman" w:cs="Times New Roman" w:eastAsia="Times New Roman" w:hAnsi="Times New Roman"/>
          <w:sz w:val="20"/>
          <w:szCs w:val="20"/>
          <w:color w:val="auto"/>
        </w:rPr>
        <w:t>, of the Notes to Consolidated Financial Statements within the section entitled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"Selling, General and Administrative Expense" for a description of expenses included in SG&amp;A expense. As a percentage of net sales, SG&amp;A expense was 22.5 percent in fiscal 2025 compared to 22.2 percent in fiscal 2024, an increase of 30 basis points. The increase in SG&amp;A expense as a percentage of net sales was primarily due to lower net sales volume and higher incentive expenses, partially offset by cost savings measures.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Non-Cash Impairment Charge</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recorded a non-cash impairment charge of $81.1 million within our Other activities in fiscal 2025. No impairment charges were recognized in fiscal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Interest expense primarily consists of interest costs incurred on outstanding borrowings related to our fixed and variable interest rate debt arrangements, as well as amortization of the debt issuance costs associated with our debt arrangements. Interest expense for fiscal 2025 decreased $2.8 million compared to fiscal 2024. This decrease was primarily driven by lower average interest rates during fiscal 2025 compared to fiscal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Net</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Other income, net for fiscal 2025 was $26.8 million compared to $41.4 million in fiscal 2024, a decrease of $14.6 million in fiscal 2025 as compared to fiscal 2024. This decrease in other income, net was primarily due to prior year net gains on divestitures, current year net losses on divestitures, prior year net favorable legal settlement activity, and lower income from our Red Iron joint venture, partially offset by the favorable impact from derivative instruments.</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1880" w:h="15527" w:orient="portrait"/>
          <w:cols w:equalWidth="0" w:num="1">
            <w:col w:w="10260"/>
          </w:cols>
          <w:pgMar w:left="820" w:top="658" w:right="800" w:bottom="0" w:gutter="0" w:footer="0" w:header="0"/>
          <w:type w:val="continuous"/>
        </w:sectPr>
      </w:pPr>
    </w:p>
    <w:bookmarkStart w:id="45" w:name="page46"/>
    <w:bookmarkEnd w:id="45"/>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effective tax rate for fiscal 2025 was 16.3 percent compared to 18.3 percent in fiscal 2024. The decrease in the effective tax rate for fiscal 2025 was primarily due to the impact of the non-cash impairment charge and a more favorable geographic mix of earnings in the current year, partially offset by lower tax benefits recorded as excess tax deductions for stock compensation. The adjusted effective tax rate for fiscal 2025 was 17.8 percent, compared to an adjusted effective tax rate of 18.8 percent in fiscal 2024. The decrease in the adjusted effective tax rate was primarily due to a more favorable geographic mix of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Earnings and Net Earnings Per Diluted Share</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Fiscal 2025 net earnings were $316.1 million compared to $418.9 million in fiscal 2024, a decrease of 24.5 percent. Fiscal 2025 diluted net earnings per share were $3.17, a decrease of 20.9 percent from $4.01 per diluted share in fiscal 2024. The decrease in net earnings per diluted share for fiscal 2025 was primarily due to the non-cash impairment charge, higher productivity initiative charges, lower Residential segment earnings, and higher incentive expenses, partially offset by higher Professional segment earnings and lower shares outstanding. Adjusted net earnings for fiscal 2025 were $419.6 million, or $4.20 per diluted share, compared to $435.2 million, or $4.17 per diluted share, in fiscal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As more fully described in Note 3, </w:t>
      </w:r>
      <w:r>
        <w:rPr>
          <w:rFonts w:ascii="Times New Roman" w:cs="Times New Roman" w:eastAsia="Times New Roman" w:hAnsi="Times New Roman"/>
          <w:sz w:val="20"/>
          <w:szCs w:val="20"/>
          <w:b w:val="1"/>
          <w:bCs w:val="1"/>
          <w:i w:val="1"/>
          <w:iCs w:val="1"/>
          <w:color w:val="auto"/>
        </w:rPr>
        <w:t>Segment Data</w:t>
      </w:r>
      <w:r>
        <w:rPr>
          <w:rFonts w:ascii="Times New Roman" w:cs="Times New Roman" w:eastAsia="Times New Roman" w:hAnsi="Times New Roman"/>
          <w:sz w:val="20"/>
          <w:szCs w:val="20"/>
          <w:color w:val="auto"/>
        </w:rPr>
        <w:t>, of the Notes to Consolidated Financial Statements, we operate in two reportable business segments: Professional and Residential. Segment earnings (loss) before interest and taxes ("EBIT") for our Professional and Residential reportable segments are defined as earnings from operations plus other income, net. Our remaining activities consisting of a wholly-owned domestic distribution company, Red Iron joint venture, certain corporate activities, impairment charges, and the elimination of intersegment revenues and expenses, are presented as "Other" due to their insignificance. Corporate activities include general corporate expenditures, such as finance, human resources, legal, information technology, public relations, business development, and similar activities, productivity initiative charges, and other unallocated corporate assets and liabilities, such as corporate facilities and deferred tax assets and liabilities. The following information provides perspective on the net sales and results of our reportable business segments and Other activities.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Professional Segment</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Professional segment net sales represented 80.3 percent and 77.6 percent of consolidated net sales for fiscal 2025 and 2024, respectively. The following table presents our Professional segment's net sales, EBIT, and EBIT margin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3,624.0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3,556.9</w:t>
            </w:r>
          </w:p>
        </w:tc>
      </w:tr>
      <w:tr>
        <w:trPr>
          <w:trHeight w:val="240"/>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change from prior year</w:t>
            </w:r>
          </w:p>
        </w:tc>
        <w:tc>
          <w:tcPr>
            <w:tcW w:w="29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0"/>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EBIT</w:t>
            </w:r>
          </w:p>
        </w:tc>
        <w:tc>
          <w:tcPr>
            <w:tcW w:w="2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702.5</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638.9</w:t>
            </w:r>
          </w:p>
        </w:tc>
      </w:tr>
      <w:tr>
        <w:trPr>
          <w:trHeight w:val="246"/>
        </w:trPr>
        <w:tc>
          <w:tcPr>
            <w:tcW w:w="5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EBIT margin</w:t>
            </w:r>
          </w:p>
        </w:tc>
        <w:tc>
          <w:tcPr>
            <w:tcW w:w="29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-640715</wp:posOffset>
            </wp:positionV>
            <wp:extent cx="6565900" cy="660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5900" cy="66040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Professional Segment Net Sales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Net sales for our Professional segment in fiscal 2025 increased 1.9 percent compared to fiscal 2024. This increase was primarily driven by higher shipments of golf, grounds, and underground construction products, as well as net price realization, partially offset by prior year divestitures and lower shipments of specialty construction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Professional Segment EBIT</w:t>
      </w:r>
    </w:p>
    <w:p>
      <w:pPr>
        <w:spacing w:after="0" w:line="13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Professional segment EBIT increased 10.0 percent in fiscal 2025 compared to fiscal 2024, and Professional segment EBIT margin increased to 19.4 percent from 18.0 percent. The increase in Professional segment EBIT margin for fiscal 2025 was primarily due to net price realization, productivity improvements, cost savings measures, partially offset by higher material and manufacturing costs and inventory valuation adjustments.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Residential Segment</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Residential segment net sales represented 19.0 percent and 21.8 percent of consolidated net sales for fiscal 2025 and 2024, respectively. The following table presents our Residential segment's net sales, EBIT, and EBIT margin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858.4</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998.3</w:t>
            </w:r>
          </w:p>
        </w:tc>
      </w:tr>
      <w:tr>
        <w:trPr>
          <w:trHeight w:val="240"/>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change from prior year</w:t>
            </w:r>
          </w:p>
        </w:tc>
        <w:tc>
          <w:tcPr>
            <w:tcW w:w="29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40"/>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EBIT</w:t>
            </w:r>
          </w:p>
        </w:tc>
        <w:tc>
          <w:tcPr>
            <w:tcW w:w="2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35.8</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78.4</w:t>
            </w:r>
          </w:p>
        </w:tc>
      </w:tr>
      <w:tr>
        <w:trPr>
          <w:trHeight w:val="246"/>
        </w:trPr>
        <w:tc>
          <w:tcPr>
            <w:tcW w:w="5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EBIT margin</w:t>
            </w:r>
          </w:p>
        </w:tc>
        <w:tc>
          <w:tcPr>
            <w:tcW w:w="29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-640715</wp:posOffset>
            </wp:positionV>
            <wp:extent cx="6565900" cy="660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5900" cy="660400"/>
                    </a:xfrm>
                    <a:prstGeom prst="rect">
                      <a:avLst/>
                    </a:prstGeom>
                    <a:noFill/>
                  </pic:spPr>
                </pic:pic>
              </a:graphicData>
            </a:graphic>
          </wp:anchor>
        </w:drawing>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1880" w:h="15528" w:orient="portrait"/>
          <w:cols w:equalWidth="0" w:num="1">
            <w:col w:w="10260"/>
          </w:cols>
          <w:pgMar w:left="820" w:top="651" w:right="800" w:bottom="0" w:gutter="0" w:footer="0" w:header="0"/>
          <w:type w:val="continuous"/>
        </w:sectPr>
      </w:pPr>
    </w:p>
    <w:bookmarkStart w:id="46" w:name="page47"/>
    <w:bookmarkEnd w:id="46"/>
    <w:p>
      <w:pPr>
        <w:spacing w:after="0" w:line="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Residential Segment Net Sales</w:t>
      </w:r>
    </w:p>
    <w:p>
      <w:pPr>
        <w:spacing w:after="0" w:line="13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Net sales for our Residential segment in fiscal 2025 decreased by 14.0 percent compared to fiscal 2024. This decrease was primarily driven by lower shipments broadly across the segment, as well as the prior year Pope divestiture.</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Residential Segment EBIT</w:t>
      </w:r>
    </w:p>
    <w:p>
      <w:pPr>
        <w:spacing w:after="0" w:line="139"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Residential segment EBIT decreased 54.3 percent in fiscal 2025 compared to fiscal 2024, and Residential segment EBIT margin decreased to 4.2 percent from 7.9 percent. The decrease in Residential segment EBIT margin for fiscal 2025 was primarily driven by lower net sales volume, higher material and manufacturing costs, and inventory valuation adjustments, partially offset by productivity improvements and cost savings measures.</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Other Activities</w:t>
      </w:r>
    </w:p>
    <w:p>
      <w:pPr>
        <w:spacing w:after="0" w:line="13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Net sales for our Other activities consist of sales from a wholly-owned domestic distribution company less intercompany sales from our Professional and Residential business segments to a wholly-owned domestic distribution company. Net sales for our Other activities represented 0.7 percent and 0.6 percent of consolidated net sales for fiscal 2025 and 2024, respectively.</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net sales and EBIT (Loss) for our Other activities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515100"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28.6</w:t>
            </w:r>
          </w:p>
        </w:tc>
      </w:tr>
      <w:tr>
        <w:trPr>
          <w:trHeight w:val="240"/>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change from prior year</w:t>
            </w:r>
          </w:p>
        </w:tc>
        <w:tc>
          <w:tcPr>
            <w:tcW w:w="29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r>
      <w:tr>
        <w:trPr>
          <w:trHeight w:val="246"/>
        </w:trPr>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EBIT (Loss)</w:t>
            </w:r>
            <w:r>
              <w:rPr>
                <w:rFonts w:ascii="Times New Roman" w:cs="Times New Roman" w:eastAsia="Times New Roman" w:hAnsi="Times New Roman"/>
                <w:sz w:val="20"/>
                <w:szCs w:val="20"/>
                <w:color w:val="auto"/>
                <w:vertAlign w:val="superscript"/>
              </w:rPr>
              <w:t>1</w:t>
            </w:r>
          </w:p>
        </w:tc>
        <w:tc>
          <w:tcPr>
            <w:tcW w:w="2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(301.6)</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-488315</wp:posOffset>
            </wp:positionV>
            <wp:extent cx="6565900" cy="508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65900" cy="508000"/>
                    </a:xfrm>
                    <a:prstGeom prst="rect">
                      <a:avLst/>
                    </a:prstGeom>
                    <a:noFill/>
                  </pic:spPr>
                </pic:pic>
              </a:graphicData>
            </a:graphic>
          </wp:anchor>
        </w:drawing>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 xml:space="preserve">1 </w:t>
      </w:r>
      <w:r>
        <w:rPr>
          <w:rFonts w:ascii="Times New Roman" w:cs="Times New Roman" w:eastAsia="Times New Roman" w:hAnsi="Times New Roman"/>
          <w:sz w:val="17"/>
          <w:szCs w:val="17"/>
          <w:color w:val="auto"/>
        </w:rPr>
        <w:t>Presentation of fiscal 2024 EBIT (Loss) has been conformed to the current year presentation.</w:t>
      </w:r>
    </w:p>
    <w:p>
      <w:pPr>
        <w:spacing w:after="0" w:line="1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Net Sales</w:t>
      </w:r>
    </w:p>
    <w:p>
      <w:pPr>
        <w:spacing w:after="0" w:line="139"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Net sales for our Other activities includes sales from a wholly-owned domestic distribution company net of intersegment sales from the Professional and Residential segments to the distribution company. Net sales for our Other activities in fiscal 2025 decreased $0.6 million compared to fiscal 2024.</w:t>
      </w:r>
    </w:p>
    <w:p>
      <w:pPr>
        <w:spacing w:after="0" w:line="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EBIT (Loss)</w:t>
      </w:r>
    </w:p>
    <w:p>
      <w:pPr>
        <w:spacing w:after="0" w:line="13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The loss before interest and taxes for our Other activities increased $159.0 million in fiscal 2025 compared to fiscal 2024. This year-over-year loss increase was primarily driven by the non-cash impairment charge, higher productivity initiative charges, and higher incentive expenses.</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FINANCIAL POSITION</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Working Capital</w:t>
      </w:r>
    </w:p>
    <w:p>
      <w:pPr>
        <w:spacing w:after="0" w:line="13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Our ongoing goal is to maintain requisite inventory levels to meet our anticipated production requirements, avoid manufacturing delays, and meet the demand for our products, as well as working to ensure service parts availability for our customers. The following table highlights several key measures of our working capital performance (dollars in millions except average days outstanding and turnover):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515100"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receivables, net</w:t>
            </w:r>
          </w:p>
        </w:tc>
        <w:tc>
          <w:tcPr>
            <w:tcW w:w="2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455.2</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w:t>
            </w:r>
          </w:p>
        </w:tc>
      </w:tr>
      <w:tr>
        <w:trPr>
          <w:trHeight w:val="240"/>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inventories, net</w:t>
            </w:r>
          </w:p>
        </w:tc>
        <w:tc>
          <w:tcPr>
            <w:tcW w:w="25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1,115.6</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1,156.8</w:t>
            </w:r>
          </w:p>
        </w:tc>
      </w:tr>
      <w:tr>
        <w:trPr>
          <w:trHeight w:val="240"/>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accounts payable</w:t>
            </w:r>
          </w:p>
        </w:tc>
        <w:tc>
          <w:tcPr>
            <w:tcW w:w="2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427.5</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r>
      <w:tr>
        <w:trPr>
          <w:trHeight w:val="240"/>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days outstanding for receivables</w:t>
            </w:r>
          </w:p>
        </w:tc>
        <w:tc>
          <w:tcPr>
            <w:tcW w:w="25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36.8</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46"/>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Average inventory turnover (times per fiscal year)</w:t>
            </w:r>
          </w:p>
        </w:tc>
        <w:tc>
          <w:tcPr>
            <w:tcW w:w="2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-793115</wp:posOffset>
            </wp:positionV>
            <wp:extent cx="6565900" cy="812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65900" cy="812800"/>
                    </a:xfrm>
                    <a:prstGeom prst="rect">
                      <a:avLst/>
                    </a:prstGeom>
                    <a:noFill/>
                  </pic:spPr>
                </pic:pic>
              </a:graphicData>
            </a:graphic>
          </wp:anchor>
        </w:drawing>
      </w:r>
    </w:p>
    <w:p>
      <w:pPr>
        <w:spacing w:after="0" w:line="148"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As of the end of fiscal 2025, our average net working capital was 25.3 percent compared to 25.9 percent as of the end of fiscal 2024. We calculate our average net working capital as average net accounts receivable plus average net inventory, less average accounts payable as a percentage of net sales for a twelve month period.</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factors impacted our average net working capital during fiscal 2025 as compared to fiscal 2024:</w:t>
      </w:r>
    </w:p>
    <w:p>
      <w:pPr>
        <w:spacing w:after="0" w:line="130" w:lineRule="exact"/>
        <w:rPr>
          <w:sz w:val="20"/>
          <w:szCs w:val="20"/>
          <w:color w:val="auto"/>
        </w:rPr>
      </w:pPr>
    </w:p>
    <w:p>
      <w:pPr>
        <w:ind w:left="370" w:right="20" w:hanging="370"/>
        <w:spacing w:after="0" w:line="260" w:lineRule="auto"/>
        <w:tabs>
          <w:tab w:leader="none" w:pos="3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net receivables decreased by 5.2 percent, primarily driven by timing of shipments and lower net sales volume. Our average days outstanding for receivables decreased to 36.8 days in fiscal 2025 compared to 38.2 days in fiscal 2024.</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net inventories decreased by 3.6 percent, primarily due to lower raw materials, work in process, and finished goods balances.</w:t>
      </w:r>
    </w:p>
    <w:p>
      <w:pPr>
        <w:ind w:left="370" w:hanging="370"/>
        <w:spacing w:after="0"/>
        <w:tabs>
          <w:tab w:leader="none" w:pos="3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accounts payable decreased by 4.8 percent, primarily due to lower purchases.</w:t>
      </w:r>
    </w:p>
    <w:p>
      <w:pPr>
        <w:sectPr>
          <w:pgSz w:w="11880" w:h="15530" w:orient="portrait"/>
          <w:cols w:equalWidth="0" w:num="1">
            <w:col w:w="10270"/>
          </w:cols>
          <w:pgMar w:left="810" w:top="64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41</w:t>
      </w:r>
    </w:p>
    <w:p>
      <w:pPr>
        <w:sectPr>
          <w:pgSz w:w="11880" w:h="15530" w:orient="portrait"/>
          <w:cols w:equalWidth="0" w:num="1">
            <w:col w:w="10270"/>
          </w:cols>
          <w:pgMar w:left="810" w:top="649" w:right="800" w:bottom="0" w:gutter="0" w:footer="0" w:header="0"/>
          <w:type w:val="continuous"/>
        </w:sectPr>
      </w:pPr>
    </w:p>
    <w:bookmarkStart w:id="47" w:name="page48"/>
    <w:bookmarkEnd w:id="47"/>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make ongoing capital investments in our property, plant, and equipment and believe that in periods of normalized supply chain conditions our historical capital investments in our manufacturing facilities and other capital assets will increase the production capacity and efficiencies of our operations to better enable us to meet the needs of our customers. Fiscal 2025 capital expenditures of $83.7 million were $19.8 million lower than our fiscal 2024 capital expenditures of $103.5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Cash flows provided by/(used in) operating, investing, and financing activities during the past two fiscal years are shown in the following table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71755</wp:posOffset>
            </wp:positionV>
            <wp:extent cx="157162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71625" cy="12700"/>
                    </a:xfrm>
                    <a:prstGeom prst="rect">
                      <a:avLst/>
                    </a:prstGeom>
                    <a:noFill/>
                  </pic:spPr>
                </pic:pic>
              </a:graphicData>
            </a:graphic>
          </wp:anchor>
        </w:drawing>
      </w:r>
    </w:p>
    <w:p>
      <w:pPr>
        <w:spacing w:after="0" w:line="11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6"/>
          <w:szCs w:val="16"/>
          <w:b w:val="1"/>
          <w:bCs w:val="1"/>
          <w:color w:val="auto"/>
        </w:rPr>
        <w:t>Cash Provided by/(Used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6515100"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2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662.0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w:t>
            </w:r>
          </w:p>
        </w:tc>
      </w:tr>
      <w:tr>
        <w:trPr>
          <w:trHeight w:val="24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2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4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2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w:t>
            </w:r>
          </w:p>
        </w:tc>
      </w:tr>
      <w:tr>
        <w:trPr>
          <w:trHeight w:val="246"/>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2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0"/>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141.5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0"/>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2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341.0</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-958215</wp:posOffset>
            </wp:positionV>
            <wp:extent cx="6565900" cy="977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65900" cy="97790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primary source of funds is cash generated from operations. In fiscal 2025, cash provided by operating activities increased $92.1 million from fiscal 2024. This increase was mainly due to net favorable fluctuations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Acquisitions and capital expenditures are a significant use of our capital resources. These investments are intended to enable sales growth in new, existing, and expanding markets, help us meet product demand, and increase our manufacturing efficiencies and capacity. In fiscal 2025, cash used in investing activities increased $17.7 million from fiscal 2024. This increase was primarily driven by lower proceeds from divestitures, partially offset by lower purchases of property, plant, and equipment in the current year period compared to the prior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fiscal 2025, cash used in financing activities decreased $59.0 million from fiscal 2024. This decrease was mainly due to net debt repayments in the prior year, partially offset by higher common stock repurchases.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October 31, 2025, we had available liquidity of $1,238.9 million, consisting of cash and cash equivalents of $341.0 million, of which $141.3 million was held by our foreign subsidiaries, and availability under our revolving credit facility of $897.9 million.</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expect that $45.8 million of cash and cash equivalents held by our foreign subsidiaries will be indefinitely reinvested. Should these cash and cash equivalents be distributed in the future in the form of dividends or otherwise, we may be subject to foreign withholding taxes, state income taxes, and/or additional federal taxes for currency fluctuations. As of October 31, 2025,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8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believe our current liquidity position, including the funds available through existing, and potential future, financing arrangements and projected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ectPr>
          <w:pgSz w:w="11880" w:h="1553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1880" w:h="15530" w:orient="portrait"/>
          <w:cols w:equalWidth="0" w:num="1">
            <w:col w:w="10260"/>
          </w:cols>
          <w:pgMar w:left="820" w:top="651" w:right="800" w:bottom="0" w:gutter="0" w:footer="0" w:header="0"/>
          <w:type w:val="continuous"/>
        </w:sectPr>
      </w:pPr>
    </w:p>
    <w:bookmarkStart w:id="48" w:name="page49"/>
    <w:bookmarkEnd w:id="4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indebtedness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2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 loan, due April 2027</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5.27% senior notes, due September 2032</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27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124.3</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46"/>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7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921.5</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921.5</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-2025015</wp:posOffset>
            </wp:positionV>
            <wp:extent cx="6565900" cy="2044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65900" cy="2044700"/>
                    </a:xfrm>
                    <a:prstGeom prst="rect">
                      <a:avLst/>
                    </a:prstGeom>
                    <a:noFill/>
                  </pic:spPr>
                </pic:pic>
              </a:graphicData>
            </a:graphic>
          </wp:anchor>
        </w:drawing>
      </w:r>
    </w:p>
    <w:p>
      <w:pPr>
        <w:spacing w:after="0" w:line="108" w:lineRule="exact"/>
        <w:rPr>
          <w:sz w:val="20"/>
          <w:szCs w:val="20"/>
          <w:color w:val="auto"/>
        </w:rPr>
      </w:pPr>
    </w:p>
    <w:p>
      <w:pPr>
        <w:ind w:right="1180"/>
        <w:spacing w:after="0" w:line="281" w:lineRule="auto"/>
        <w:rPr>
          <w:sz w:val="20"/>
          <w:szCs w:val="20"/>
          <w:color w:val="auto"/>
        </w:rPr>
      </w:pPr>
      <w:r>
        <w:rPr>
          <w:rFonts w:ascii="Times New Roman" w:cs="Times New Roman" w:eastAsia="Times New Roman" w:hAnsi="Times New Roman"/>
          <w:sz w:val="20"/>
          <w:szCs w:val="20"/>
          <w:color w:val="auto"/>
        </w:rPr>
        <w:t>Principal payments required on our outstanding indebtedness, based on the maturity dates defined within our debt arrangements, for each of the succeeding fiscal years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Succeeding fiscal year</w:t>
            </w:r>
          </w:p>
        </w:tc>
        <w:tc>
          <w:tcPr>
            <w:tcW w:w="3880" w:type="dxa"/>
            <w:vAlign w:val="bottom"/>
          </w:tcPr>
          <w:p>
            <w:pPr>
              <w:spacing w:after="0"/>
              <w:rPr>
                <w:sz w:val="16"/>
                <w:szCs w:val="16"/>
                <w:color w:val="auto"/>
              </w:rPr>
            </w:pPr>
          </w:p>
        </w:tc>
        <w:tc>
          <w:tcPr>
            <w:tcW w:w="10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auto"/>
            </w:tcBorders>
            <w:vMerge w:val="continue"/>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14"/>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3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8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0" w:type="dxa"/>
            <w:vAlign w:val="bottom"/>
          </w:tcPr>
          <w:p>
            <w:pPr>
              <w:spacing w:after="0"/>
              <w:rPr>
                <w:sz w:val="1"/>
                <w:szCs w:val="1"/>
                <w:color w:val="auto"/>
              </w:rPr>
            </w:pPr>
          </w:p>
        </w:tc>
      </w:tr>
      <w:tr>
        <w:trPr>
          <w:trHeight w:val="200"/>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principal payments</w:t>
            </w:r>
          </w:p>
        </w:tc>
        <w:tc>
          <w:tcPr>
            <w:tcW w:w="3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-1110615</wp:posOffset>
            </wp:positionV>
            <wp:extent cx="6565900" cy="1130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65900" cy="1130300"/>
                    </a:xfrm>
                    <a:prstGeom prst="rect">
                      <a:avLst/>
                    </a:prstGeom>
                    <a:noFill/>
                  </pic:spPr>
                </pic:pic>
              </a:graphicData>
            </a:graphic>
          </wp:anchor>
        </w:drawing>
      </w:r>
    </w:p>
    <w:p>
      <w:pPr>
        <w:spacing w:after="0" w:line="1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payments required on our outstanding indebtedness, assuming no prepayments of indebtedness, for each of the succeeding fiscal years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Succeeding fiscal year</w:t>
            </w:r>
          </w:p>
        </w:tc>
        <w:tc>
          <w:tcPr>
            <w:tcW w:w="39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4"/>
        </w:trPr>
        <w:tc>
          <w:tcPr>
            <w:tcW w:w="5320" w:type="dxa"/>
            <w:vAlign w:val="bottom"/>
            <w:tcBorders>
              <w:bottom w:val="single" w:sz="8" w:color="auto"/>
            </w:tcBorders>
            <w:vMerge w:val="continue"/>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14"/>
        </w:trPr>
        <w:tc>
          <w:tcPr>
            <w:tcW w:w="5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3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40"/>
        </w:trPr>
        <w:tc>
          <w:tcPr>
            <w:tcW w:w="5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3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40"/>
        </w:trPr>
        <w:tc>
          <w:tcPr>
            <w:tcW w:w="5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3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40"/>
        </w:trPr>
        <w:tc>
          <w:tcPr>
            <w:tcW w:w="5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3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40"/>
        </w:trPr>
        <w:tc>
          <w:tcPr>
            <w:tcW w:w="5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3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46"/>
        </w:trPr>
        <w:tc>
          <w:tcPr>
            <w:tcW w:w="5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-945515</wp:posOffset>
            </wp:positionV>
            <wp:extent cx="6565900" cy="965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65900" cy="9652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on variable rate debt was calculated using the interest rate as of October 31, 2025.</w:t>
      </w:r>
    </w:p>
    <w:p>
      <w:pPr>
        <w:spacing w:after="0" w:line="13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revolving credit facility has a borrowing capacity of up to $900.0 million that matures on October 2, 2029. Included in the revolving credit facility is a $10.0 million sublimit for standby letters of credit and a $75.0 million sublimit for swingline loans. At our election, and with the approval of the named borrowers on the revolving credit facility and the election of the lenders to fund such increase, the aggregate maximum principal amount available under the revolving credit facility may be increased by an amount of up to $450.0 million. As of October 31, 2025 we had no outstanding borrowings under the revolving credit facility and $2.1 million outstanding under the sublimit for standby letters of credit, resulting in $897.9 million of unutilized availability under our revolving credit facility. As of October 31, 2024 we had no outstanding borrowings under the revolving credit facility and $2.7 million outstanding under the sublimit for standby letters of credit, resulting in $897.3 million of unutilized availability under our revolving credit facility. As of October 31, 2025, our debt ratings for long-term unsecured senior, non-credit enhanced debt by Standard and Poor's Ratings Group and by Moody's Investors Service were BBB and Baa1, respectively, and in both cases with a stable outlook.</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debt agreements contain customary representations and warranties of the company, event of default provisions, as well as certain customary covenants, including, without limitation, financial covenants, such as the maintenance of a maximum leverage ratio; and negative covenants, which among other things, limit cash dividends, disposition of assets, consolidations and mergers, liens, and other matters customarily restricted in such agreements. Most of these restrictions are subject to certain</w:t>
      </w:r>
    </w:p>
    <w:p>
      <w:pPr>
        <w:sectPr>
          <w:pgSz w:w="11880" w:h="15528" w:orient="portrait"/>
          <w:cols w:equalWidth="0" w:num="1">
            <w:col w:w="10260"/>
          </w:cols>
          <w:pgMar w:left="820" w:top="649" w:right="80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1880" w:h="15528" w:orient="portrait"/>
          <w:cols w:equalWidth="0" w:num="1">
            <w:col w:w="10260"/>
          </w:cols>
          <w:pgMar w:left="820" w:top="649" w:right="800" w:bottom="0" w:gutter="0" w:footer="0" w:header="0"/>
          <w:type w:val="continuous"/>
        </w:sectPr>
      </w:pPr>
    </w:p>
    <w:bookmarkStart w:id="49" w:name="page50"/>
    <w:bookmarkEnd w:id="49"/>
    <w:p>
      <w:pPr>
        <w:spacing w:after="0" w:line="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minimum thresholds, and we were in compliance with all covenants under our outstanding indebtedness as of October 31, 2025. The agreements governing our outstanding indebtedness are described in Note 6, </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of the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details the components of our capital structure and debt-to-capitalization ratio (dollars in millions, except percentage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3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r>
      <w:tr>
        <w:trPr>
          <w:trHeight w:val="214"/>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c>
          <w:tcPr>
            <w:tcW w:w="180" w:type="dxa"/>
            <w:vAlign w:val="bottom"/>
          </w:tcPr>
          <w:p>
            <w:pPr>
              <w:spacing w:after="0"/>
              <w:rPr>
                <w:sz w:val="18"/>
                <w:szCs w:val="18"/>
                <w:color w:val="auto"/>
              </w:rPr>
            </w:pPr>
          </w:p>
        </w:tc>
      </w:tr>
      <w:tr>
        <w:trPr>
          <w:trHeight w:val="240"/>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180" w:type="dxa"/>
            <w:vAlign w:val="bottom"/>
          </w:tcPr>
          <w:p>
            <w:pPr>
              <w:spacing w:after="0"/>
              <w:rPr>
                <w:sz w:val="20"/>
                <w:szCs w:val="20"/>
                <w:color w:val="auto"/>
              </w:rPr>
            </w:pPr>
          </w:p>
        </w:tc>
      </w:tr>
      <w:tr>
        <w:trPr>
          <w:trHeight w:val="246"/>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Debt-to-capitalization ratio</w:t>
            </w:r>
          </w:p>
        </w:tc>
        <w:tc>
          <w:tcPr>
            <w:tcW w:w="3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5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-488315</wp:posOffset>
            </wp:positionV>
            <wp:extent cx="6565900" cy="508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65900" cy="508000"/>
                    </a:xfrm>
                    <a:prstGeom prst="rect">
                      <a:avLst/>
                    </a:prstGeom>
                    <a:noFill/>
                  </pic:spPr>
                </pic:pic>
              </a:graphicData>
            </a:graphic>
          </wp:anchor>
        </w:drawing>
      </w:r>
    </w:p>
    <w:p>
      <w:pPr>
        <w:spacing w:after="0" w:line="1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debt-to-capitalization ratio increased in fiscal 2025 compared to fiscal 2024 primarily due to shareholder buybacks and dividends partially offset by our continued profitability.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Dividends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each quarter of fiscal 2025, our Board of Directors declared a common stock cash dividend of $0.38 per share, which was a 5.6 percent increase over our common stock cash dividend of $0.36 per share paid each quarter in fiscal 2024. On December 9, 2025, our Board of Directors increased our fiscal 2026 first quarter common stock cash dividend by 2.6 percent to $0.39 per share. Future common stock cash dividends will depend upon our financial condition, results of operations, capital requirements, and other factors deemed relevant by our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Repurchases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stock repurchase program provides shares for use in connection with our stock-based compensation plans, among other uses, and has no expiration. The following table provides information with respect to repurchases of our common stock during the past two fiscal years (dollars 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80645</wp:posOffset>
            </wp:positionV>
            <wp:extent cx="6515100"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of Board authorized common stock repurchased</w:t>
            </w:r>
          </w:p>
        </w:tc>
        <w:tc>
          <w:tcPr>
            <w:tcW w:w="236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3,780,167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2,777,534</w:t>
            </w:r>
          </w:p>
        </w:tc>
      </w:tr>
      <w:tr>
        <w:trPr>
          <w:trHeight w:val="240"/>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to repurchase common stock</w:t>
            </w:r>
          </w:p>
        </w:tc>
        <w:tc>
          <w:tcPr>
            <w:tcW w:w="23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290.0</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r>
      <w:tr>
        <w:trPr>
          <w:trHeight w:val="246"/>
        </w:trPr>
        <w:tc>
          <w:tcPr>
            <w:tcW w:w="5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2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76.72</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-488315</wp:posOffset>
            </wp:positionV>
            <wp:extent cx="6565900" cy="508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5900" cy="508000"/>
                    </a:xfrm>
                    <a:prstGeom prst="rect">
                      <a:avLst/>
                    </a:prstGeom>
                    <a:noFill/>
                  </pic:spPr>
                </pic:pic>
              </a:graphicData>
            </a:graphic>
          </wp:anchor>
        </w:drawing>
      </w:r>
    </w:p>
    <w:p>
      <w:pPr>
        <w:spacing w:after="0" w:line="1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October 31, 2025, 4,391,790 shares of our common stock remained available for repurchase under our stock repurchase program. On December 9, 2025, the company's Board of Directors authorized the repurchase of up to an additional 6,000,000 shares of common stock under the stock repurchase program. This repurchase authorization has no expiration date. We currently expect to continue stock repurchases in fiscal 2026, depending on our cash balance, debt repayments, common stock price and other market conditions, our anticipated working capital needs, and/or other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Financing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Financing Arrangements</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are party to inventory financing arrangements with Red Iron, HCFC, and other third-party financial institutions (collectively, the "financial institutions") which provide inventory financing to certain dealers and distributors of certain of our products in the U.S. and internationally. These financing arrangements are structured as an advance in the form of a payment by the financial institutions to us on behalf of a distributor or dealer with respect to invoices financed by the financial institution. These payments extinguish the obligation of the dealer or distributor to make payment to us under the terms of the applicable invoice.</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separate agreements between the financial institutions and the dealers and distributors, the financial institutions provide loans to the dealers and distributors for the advances paid by the financial institutions to us. Under these financing arrangements, down payments are not required, and depending on the finance program for each product line, finance charges are incurred by us, shared between us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becomes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ectPr>
          <w:pgSz w:w="11880" w:h="15530"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1880" w:h="15530" w:orient="portrait"/>
          <w:cols w:equalWidth="0" w:num="1">
            <w:col w:w="10260"/>
          </w:cols>
          <w:pgMar w:left="820" w:top="658" w:right="800" w:bottom="0" w:gutter="0" w:footer="0" w:header="0"/>
          <w:type w:val="continuous"/>
        </w:sectPr>
      </w:pPr>
    </w:p>
    <w:bookmarkStart w:id="50" w:name="page51"/>
    <w:bookmarkEnd w:id="50"/>
    <w:p>
      <w:pPr>
        <w:spacing w:after="0" w:line="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net amount of receivables financed for dealers and distributors under the arrangement with Red Iron during fiscal 2025 and 2024 was $2,680.9 million and $2,613.3 million, respectively. The total amount of net receivables outstanding under the arrangement with Red Iron as of October 31, 2025 and 2024 was $807.6 million and $979.6 million, respectively. The total amount of receivables due from Red Iron to us as of October 31, 2025 and 2024 were $21.6 million and $26.0 million, respectively.</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net amount of receivables financed for dealers and distributors under the arrangements with HCFC and the other third-party financial institutions during fiscal 2025 and 2024 was $712.5 million and $612.1 million, respectively. As of October 31, 2025 and 2024, $308.3 million and $272.2 million, respectively, of receivables financed by HCFC and the other third-party financial institutions were outstanding.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Repurchase Agreements</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also entered into inventory repurchase agreements with the other third-party financial institutions under which we have agreed to repurchase certain repossessed products. As of October 31, 2025 and 2024, we were contingently liable to repurchase up to a maximum amount of $29.0 million and $29.5 million of repossessed inventory, respectively.</w:t>
      </w:r>
    </w:p>
    <w:p>
      <w:pPr>
        <w:spacing w:after="0" w:line="7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End-User Financing</w:t>
      </w:r>
    </w:p>
    <w:p>
      <w:pPr>
        <w:spacing w:after="0" w:line="13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agreements with third-party financing companies to provide financing options to end-customers throughout the world.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From time to time, we enter into agreements where we provide recourse to third-party finance companies in the event of default by the customer for financing payments to the third-party finance company. We may recover a portion of any required recourse payments incurred under these agreements from repossession and resale of the equipment collateralizing the receivables. Our maximum exposure for credit collection under those arrangements as of October 31, 2025 and 2024 was $4.1 million and $2.9 million, respectively.</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Open Account Terms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have provided in this Annual Report on Form 10-K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w:t>
      </w:r>
    </w:p>
    <w:p>
      <w:pPr>
        <w:spacing w:after="0" w:line="9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believe that these non-GAAP financial measures, when considered in conjunction with our Consolidated Financial Statements prepared in accordance with U.S. GAAP, provide investors with useful supplemental financial information to better</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1880" w:h="15528" w:orient="portrait"/>
          <w:cols w:equalWidth="0" w:num="1">
            <w:col w:w="10260"/>
          </w:cols>
          <w:pgMar w:left="820" w:top="658" w:right="800" w:bottom="0" w:gutter="0" w:footer="0" w:header="0"/>
          <w:type w:val="continuous"/>
        </w:sectPr>
      </w:pPr>
    </w:p>
    <w:bookmarkStart w:id="51" w:name="page52"/>
    <w:bookmarkEnd w:id="51"/>
    <w:p>
      <w:pPr>
        <w:spacing w:after="0" w:line="4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13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The following table provides a reconciliation of financial performance measures calculated and reported in accordance with U.S. GAAP to the most directly comparable non-GAAP financial performance measures for the fiscal years ended October 31, 2025 and 2024 (dollars in millions, except per share and percentage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6515100"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2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40" w:type="dxa"/>
            <w:vAlign w:val="bottom"/>
            <w:tcBorders>
              <w:bottom w:val="single" w:sz="8" w:color="auto"/>
            </w:tcBorders>
            <w:vMerge w:val="continue"/>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1,504.8</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gross profit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53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2"/>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26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33.4 %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0" w:type="dxa"/>
            <w:vAlign w:val="bottom"/>
          </w:tcPr>
          <w:p>
            <w:pPr>
              <w:spacing w:after="0"/>
              <w:rPr>
                <w:sz w:val="1"/>
                <w:szCs w:val="1"/>
                <w:color w:val="auto"/>
              </w:rPr>
            </w:pPr>
          </w:p>
        </w:tc>
      </w:tr>
      <w:tr>
        <w:trPr>
          <w:trHeight w:val="246"/>
        </w:trPr>
        <w:tc>
          <w:tcPr>
            <w:tcW w:w="5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2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gross margin</w:t>
            </w:r>
          </w:p>
        </w:tc>
        <w:tc>
          <w:tcPr>
            <w:tcW w:w="2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34.1 %</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0" w:type="dxa"/>
            <w:vAlign w:val="bottom"/>
          </w:tcPr>
          <w:p>
            <w:pPr>
              <w:spacing w:after="0"/>
              <w:rPr>
                <w:sz w:val="1"/>
                <w:szCs w:val="1"/>
                <w:color w:val="auto"/>
              </w:rPr>
            </w:pPr>
          </w:p>
        </w:tc>
      </w:tr>
      <w:tr>
        <w:trPr>
          <w:trHeight w:val="85"/>
        </w:trPr>
        <w:tc>
          <w:tcPr>
            <w:tcW w:w="53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earnings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ind w:left="180"/>
              <w:spacing w:after="0" w:line="215"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53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2"/>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earnings margin</w:t>
            </w:r>
          </w:p>
        </w:tc>
        <w:tc>
          <w:tcPr>
            <w:tcW w:w="26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71"/>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ind w:left="180"/>
              <w:spacing w:after="0" w:line="215"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1.8 %</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2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12.0 %</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r>
        <w:trPr>
          <w:trHeight w:val="85"/>
        </w:trPr>
        <w:tc>
          <w:tcPr>
            <w:tcW w:w="53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ind w:left="180"/>
              <w:spacing w:after="0" w:line="215"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53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provision</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2</w:t>
            </w:r>
          </w:p>
        </w:tc>
        <w:tc>
          <w:tcPr>
            <w:tcW w:w="2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ind w:left="180"/>
              <w:spacing w:after="0" w:line="215"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2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53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2</w:t>
            </w:r>
          </w:p>
        </w:tc>
        <w:tc>
          <w:tcPr>
            <w:tcW w:w="2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ind w:left="180"/>
              <w:spacing w:after="0" w:line="215"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2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net earnings</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53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2</w:t>
            </w:r>
          </w:p>
        </w:tc>
        <w:tc>
          <w:tcPr>
            <w:tcW w:w="2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ind w:left="180"/>
              <w:spacing w:after="0" w:line="215"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2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53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26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0" w:type="dxa"/>
            <w:vAlign w:val="bottom"/>
          </w:tcPr>
          <w:p>
            <w:pPr>
              <w:spacing w:after="0"/>
              <w:rPr>
                <w:sz w:val="1"/>
                <w:szCs w:val="1"/>
                <w:color w:val="auto"/>
              </w:rPr>
            </w:pPr>
          </w:p>
        </w:tc>
      </w:tr>
      <w:tr>
        <w:trPr>
          <w:trHeight w:val="271"/>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40"/>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2</w:t>
            </w:r>
          </w:p>
        </w:tc>
        <w:tc>
          <w:tcPr>
            <w:tcW w:w="26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tcPr>
          <w:p>
            <w:pPr>
              <w:ind w:left="180"/>
              <w:spacing w:after="0" w:line="215"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2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0"/>
        </w:trPr>
        <w:tc>
          <w:tcPr>
            <w:tcW w:w="5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2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4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-6368415</wp:posOffset>
            </wp:positionV>
            <wp:extent cx="6565900" cy="638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65900" cy="6388100"/>
                    </a:xfrm>
                    <a:prstGeom prst="rect">
                      <a:avLst/>
                    </a:prstGeom>
                    <a:noFill/>
                  </pic:spPr>
                </pic:pic>
              </a:graphicData>
            </a:graphic>
          </wp:anchor>
        </w:drawing>
      </w:r>
    </w:p>
    <w:p>
      <w:pPr>
        <w:spacing w:after="0" w:line="120" w:lineRule="exact"/>
        <w:rPr>
          <w:sz w:val="20"/>
          <w:szCs w:val="20"/>
          <w:color w:val="auto"/>
        </w:rPr>
      </w:pPr>
    </w:p>
    <w:p>
      <w:pPr>
        <w:jc w:val="both"/>
        <w:ind w:left="190" w:hanging="190"/>
        <w:spacing w:after="0" w:line="237" w:lineRule="auto"/>
        <w:tabs>
          <w:tab w:leader="none" w:pos="19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fiscal years ended October 31, 2025 and 2024 primarily</w:t>
      </w:r>
    </w:p>
    <w:p>
      <w:pPr>
        <w:sectPr>
          <w:pgSz w:w="11880" w:h="15528"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46</w:t>
      </w:r>
    </w:p>
    <w:p>
      <w:pPr>
        <w:sectPr>
          <w:pgSz w:w="11880" w:h="15528" w:orient="portrait"/>
          <w:cols w:equalWidth="0" w:num="1">
            <w:col w:w="10270"/>
          </w:cols>
          <w:pgMar w:left="810" w:top="658" w:right="800" w:bottom="0" w:gutter="0" w:footer="0" w:header="0"/>
          <w:type w:val="continuous"/>
        </w:sectPr>
      </w:pPr>
    </w:p>
    <w:bookmarkStart w:id="52" w:name="page53"/>
    <w:bookmarkEnd w:id="52"/>
    <w:p>
      <w:pPr>
        <w:spacing w:after="0" w:line="47" w:lineRule="exact"/>
        <w:rPr>
          <w:sz w:val="20"/>
          <w:szCs w:val="20"/>
          <w:color w:val="auto"/>
        </w:rPr>
      </w:pPr>
    </w:p>
    <w:p>
      <w:pPr>
        <w:ind w:left="190"/>
        <w:spacing w:after="0" w:line="282" w:lineRule="auto"/>
        <w:rPr>
          <w:sz w:val="20"/>
          <w:szCs w:val="20"/>
          <w:color w:val="auto"/>
        </w:rPr>
      </w:pPr>
      <w:r>
        <w:rPr>
          <w:rFonts w:ascii="Times New Roman" w:cs="Times New Roman" w:eastAsia="Times New Roman" w:hAnsi="Times New Roman"/>
          <w:sz w:val="16"/>
          <w:szCs w:val="16"/>
          <w:color w:val="auto"/>
        </w:rPr>
        <w:t>represent facility exit costs, severance and termination benefits, compensation for fully-dedicated AMP personnel, third-party consulting costs, and product-line exit costs.</w:t>
      </w:r>
    </w:p>
    <w:p>
      <w:pPr>
        <w:spacing w:after="0" w:line="72" w:lineRule="exact"/>
        <w:rPr>
          <w:sz w:val="20"/>
          <w:szCs w:val="20"/>
          <w:color w:val="auto"/>
        </w:rPr>
      </w:pPr>
    </w:p>
    <w:p>
      <w:pPr>
        <w:ind w:left="190" w:right="20" w:hanging="190"/>
        <w:spacing w:after="0" w:line="225" w:lineRule="auto"/>
        <w:tabs>
          <w:tab w:leader="none" w:pos="19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the end of the third quarter of fiscal 2025, the company recorded a non-cash impairment charge within Other activities related to the Spartan trade name, as discussed in more detail under the heading "Company Overview-Impairment of Spartan Trade Name" in this section.</w:t>
      </w:r>
    </w:p>
    <w:p>
      <w:pPr>
        <w:spacing w:after="0" w:line="105" w:lineRule="exact"/>
        <w:rPr>
          <w:sz w:val="20"/>
          <w:szCs w:val="20"/>
          <w:color w:val="auto"/>
        </w:rPr>
      </w:pPr>
    </w:p>
    <w:p>
      <w:pPr>
        <w:jc w:val="both"/>
        <w:ind w:left="190" w:hanging="190"/>
        <w:spacing w:after="0" w:line="237" w:lineRule="auto"/>
        <w:tabs>
          <w:tab w:leader="none" w:pos="19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fiscal years ended October 31, 2025 and 2024.</w:t>
      </w:r>
    </w:p>
    <w:p>
      <w:pPr>
        <w:spacing w:after="0" w:line="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Reconciliation of Non-GAAP Liquidity Measures</w:t>
      </w:r>
    </w:p>
    <w:p>
      <w:pPr>
        <w:spacing w:after="0" w:line="137"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We define free cash flow as net cash provided by operating activities less purchases of property, plant, and equipment, net of proceeds from insurance claim. Free cash flow conversion percentage represents free cash flow as a percentage of net earnings, excluding the non-cash impairment charge.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Consolidated Balance Sheets, after reinvesting in necessary capital expenditures required to maintain and grow our business.</w:t>
      </w:r>
    </w:p>
    <w:p>
      <w:pPr>
        <w:spacing w:after="0" w:line="9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following table provides a reconciliation of free cash flow and free cash flow conversion percentage to net cash provided by operating activities, which is the most directly comparable financial measure calculated and reported in accordance with U.S. GAAP for the fiscal years ended October 31, 2025 and October 31, 2024 (dollars in millions, except percentage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515100"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100" w:type="dxa"/>
            <w:vAlign w:val="bottom"/>
          </w:tcPr>
          <w:p>
            <w:pPr>
              <w:spacing w:after="0"/>
              <w:rPr>
                <w:sz w:val="16"/>
                <w:szCs w:val="16"/>
                <w:color w:val="auto"/>
              </w:rPr>
            </w:pPr>
          </w:p>
        </w:tc>
        <w:tc>
          <w:tcPr>
            <w:tcW w:w="110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180" w:type="dxa"/>
            <w:vAlign w:val="bottom"/>
          </w:tcPr>
          <w:p>
            <w:pPr>
              <w:spacing w:after="0"/>
              <w:rPr>
                <w:sz w:val="16"/>
                <w:szCs w:val="16"/>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0" w:type="dxa"/>
            <w:vAlign w:val="bottom"/>
          </w:tcPr>
          <w:p>
            <w:pPr>
              <w:spacing w:after="0"/>
              <w:rPr>
                <w:sz w:val="1"/>
                <w:szCs w:val="1"/>
                <w:color w:val="auto"/>
              </w:rPr>
            </w:pPr>
          </w:p>
        </w:tc>
      </w:tr>
      <w:tr>
        <w:trPr>
          <w:trHeight w:val="214"/>
        </w:trPr>
        <w:tc>
          <w:tcPr>
            <w:tcW w:w="68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4"/>
        </w:trPr>
        <w:tc>
          <w:tcPr>
            <w:tcW w:w="6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662.0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569.9</w:t>
            </w:r>
          </w:p>
        </w:tc>
        <w:tc>
          <w:tcPr>
            <w:tcW w:w="0" w:type="dxa"/>
            <w:vAlign w:val="bottom"/>
          </w:tcPr>
          <w:p>
            <w:pPr>
              <w:spacing w:after="0"/>
              <w:rPr>
                <w:sz w:val="1"/>
                <w:szCs w:val="1"/>
                <w:color w:val="auto"/>
              </w:rPr>
            </w:pPr>
          </w:p>
        </w:tc>
      </w:tr>
      <w:tr>
        <w:trPr>
          <w:trHeight w:val="246"/>
        </w:trPr>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Less: Purchases of property, plant, and equipment, net of proceeds from insurance claim</w:t>
            </w:r>
          </w:p>
        </w:tc>
        <w:tc>
          <w:tcPr>
            <w:tcW w:w="1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83.7</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14"/>
        </w:trPr>
        <w:tc>
          <w:tcPr>
            <w:tcW w:w="6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Free cash flow</w:t>
            </w:r>
          </w:p>
        </w:tc>
        <w:tc>
          <w:tcPr>
            <w:tcW w:w="1100" w:type="dxa"/>
            <w:vAlign w:val="bottom"/>
          </w:tcPr>
          <w:p>
            <w:pPr>
              <w:spacing w:after="0"/>
              <w:rPr>
                <w:sz w:val="18"/>
                <w:szCs w:val="18"/>
                <w:color w:val="auto"/>
              </w:rPr>
            </w:pPr>
          </w:p>
        </w:tc>
        <w:tc>
          <w:tcPr>
            <w:tcW w:w="11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578.3</w:t>
            </w:r>
          </w:p>
        </w:tc>
        <w:tc>
          <w:tcPr>
            <w:tcW w:w="18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470.7</w:t>
            </w:r>
          </w:p>
        </w:tc>
        <w:tc>
          <w:tcPr>
            <w:tcW w:w="0" w:type="dxa"/>
            <w:vAlign w:val="bottom"/>
          </w:tcPr>
          <w:p>
            <w:pPr>
              <w:spacing w:after="0"/>
              <w:rPr>
                <w:sz w:val="1"/>
                <w:szCs w:val="1"/>
                <w:color w:val="auto"/>
              </w:rPr>
            </w:pPr>
          </w:p>
        </w:tc>
      </w:tr>
      <w:tr>
        <w:trPr>
          <w:trHeight w:val="246"/>
        </w:trPr>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earnings, excluding the non-cash impairment charge of $81.1 million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397.2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418.9</w:t>
            </w:r>
          </w:p>
        </w:tc>
        <w:tc>
          <w:tcPr>
            <w:tcW w:w="0" w:type="dxa"/>
            <w:vAlign w:val="bottom"/>
          </w:tcPr>
          <w:p>
            <w:pPr>
              <w:spacing w:after="0"/>
              <w:rPr>
                <w:sz w:val="1"/>
                <w:szCs w:val="1"/>
                <w:color w:val="auto"/>
              </w:rPr>
            </w:pPr>
          </w:p>
        </w:tc>
      </w:tr>
      <w:tr>
        <w:trPr>
          <w:trHeight w:val="20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145.6 %</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112.4 %</w:t>
            </w:r>
          </w:p>
        </w:tc>
        <w:tc>
          <w:tcPr>
            <w:tcW w:w="0" w:type="dxa"/>
            <w:vAlign w:val="bottom"/>
          </w:tcPr>
          <w:p>
            <w:pPr>
              <w:spacing w:after="0"/>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-805815</wp:posOffset>
            </wp:positionV>
            <wp:extent cx="6565900" cy="825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65900" cy="825500"/>
                    </a:xfrm>
                    <a:prstGeom prst="rect">
                      <a:avLst/>
                    </a:prstGeom>
                    <a:noFill/>
                  </pic:spPr>
                </pic:pic>
              </a:graphicData>
            </a:graphic>
          </wp:anchor>
        </w:drawing>
      </w:r>
    </w:p>
    <w:p>
      <w:pPr>
        <w:spacing w:after="0" w:line="2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3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and other independent external third-party specialist valuations, when applicable. As a result, actual amounts could differ from those estimated at the time the Consolidated Financial Statements are prepared.</w:t>
      </w:r>
    </w:p>
    <w:p>
      <w:pPr>
        <w:spacing w:after="0" w:line="8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and susceptible to change at the time the accounting estimate is made and different estimates reasonably could have been used and (ii) changes in the estimate may have a material impact on the presentation of our financial condition or results of operations. Our critical accounting policies and estimates include the following:</w:t>
      </w:r>
    </w:p>
    <w:p>
      <w:pPr>
        <w:spacing w:after="0" w:line="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Sales Promotions and Incentives</w:t>
      </w:r>
    </w:p>
    <w:p>
      <w:pPr>
        <w:spacing w:after="0" w:line="137"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We recognize revenues based on the transaction price of the good or service sold to our customers, which is measured as the amount of consideration we expect to receive in exchange for transferring product or rendering services pursuant to the terms of the contract with a customer. The amount of consideration we receive and the revenue we recognize varies with changes in the variable consideration associated with the estimated expense of certain of our sales promotions and incentives programs offered to customers that are determined to represent price concessions. The estimated expense of each sales promotion and incentive program is classified and recorded as a reduction from gross sales or as a component of SG&amp;A expense within the Consolidated Statements of Earnings when revenue is recognized, depending on the nature of the respective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to be provided to the customer or</w:t>
      </w:r>
    </w:p>
    <w:p>
      <w:pPr>
        <w:spacing w:after="0" w:line="5" w:lineRule="exact"/>
        <w:rPr>
          <w:sz w:val="20"/>
          <w:szCs w:val="20"/>
          <w:color w:val="auto"/>
        </w:rPr>
      </w:pPr>
    </w:p>
    <w:p>
      <w:pPr>
        <w:jc w:val="both"/>
        <w:ind w:left="10" w:right="20" w:hanging="10"/>
        <w:spacing w:after="0" w:line="255" w:lineRule="auto"/>
        <w:tabs>
          <w:tab w:leader="none" w:pos="3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anticipate a future cost based on historical or expected future business practice for which we do not receive a distinct good or service in exchange for the future consideration provided to the customer under the program. In other circumstances, the anticipated future cost of a program based on historical or expected future business practice is recorded as SG&amp;A expense</w:t>
      </w:r>
    </w:p>
    <w:p>
      <w:pPr>
        <w:sectPr>
          <w:pgSz w:w="11880" w:h="15527" w:orient="portrait"/>
          <w:cols w:equalWidth="0" w:num="1">
            <w:col w:w="10270"/>
          </w:cols>
          <w:pgMar w:left="810" w:top="670" w:right="80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47</w:t>
      </w:r>
    </w:p>
    <w:p>
      <w:pPr>
        <w:sectPr>
          <w:pgSz w:w="11880" w:h="15527" w:orient="portrait"/>
          <w:cols w:equalWidth="0" w:num="1">
            <w:col w:w="10270"/>
          </w:cols>
          <w:pgMar w:left="810" w:top="670" w:right="800" w:bottom="0" w:gutter="0" w:footer="0" w:header="0"/>
          <w:type w:val="continuous"/>
        </w:sectPr>
      </w:pPr>
    </w:p>
    <w:bookmarkStart w:id="53" w:name="page54"/>
    <w:bookmarkEnd w:id="53"/>
    <w:p>
      <w:pPr>
        <w:spacing w:after="0" w:line="48"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because we receive a distinct good or service in exchange for the future consideration provided to the customer under the program.</w:t>
      </w:r>
    </w:p>
    <w:p>
      <w:pPr>
        <w:spacing w:after="0" w:line="61"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Examples of significant sales promotions and incentive programs that are considered to be variable consideration because the cost of the program is classified as a reduction from gross sales are as follows:</w:t>
      </w:r>
    </w:p>
    <w:p>
      <w:pPr>
        <w:spacing w:after="0" w:line="57" w:lineRule="exact"/>
        <w:rPr>
          <w:sz w:val="20"/>
          <w:szCs w:val="20"/>
          <w:color w:val="auto"/>
        </w:rPr>
      </w:pPr>
    </w:p>
    <w:p>
      <w:pPr>
        <w:ind w:left="370" w:right="20" w:hanging="370"/>
        <w:spacing w:after="0" w:line="263" w:lineRule="auto"/>
        <w:tabs>
          <w:tab w:leader="none" w:pos="37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Off-Invoice Discounts: </w:t>
      </w:r>
      <w:r>
        <w:rPr>
          <w:rFonts w:ascii="Times New Roman" w:cs="Times New Roman" w:eastAsia="Times New Roman" w:hAnsi="Times New Roman"/>
          <w:sz w:val="20"/>
          <w:szCs w:val="20"/>
          <w:color w:val="auto"/>
        </w:rPr>
        <w:t>Our off-invoice discounts represent an immediate reduction in the selling price of our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realized at the time of sale with no anticipated future cost or consideration provided to the customer.</w:t>
      </w:r>
    </w:p>
    <w:p>
      <w:pPr>
        <w:jc w:val="both"/>
        <w:ind w:left="370" w:right="20" w:hanging="370"/>
        <w:spacing w:after="0" w:line="250" w:lineRule="auto"/>
        <w:tabs>
          <w:tab w:leader="none" w:pos="37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Rebate Programs: </w:t>
      </w:r>
      <w:r>
        <w:rPr>
          <w:rFonts w:ascii="Times New Roman" w:cs="Times New Roman" w:eastAsia="Times New Roman" w:hAnsi="Times New Roman"/>
          <w:sz w:val="20"/>
          <w:szCs w:val="20"/>
          <w:color w:val="auto"/>
        </w:rPr>
        <w:t>Our rebate programs are generally based on claims submitted from either our direct customers or end-users of our products or are based on our purchase or retail sales goals for our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our selling price. Consideration is typically provided to our customers for our rebate programs after the initial sale of our products to our direct customers and thus, there is generally an anticipated future cost at the time revenue is recognized based on historical and expected future business practice.</w:t>
      </w:r>
    </w:p>
    <w:p>
      <w:pPr>
        <w:spacing w:after="0" w:line="3" w:lineRule="exact"/>
        <w:rPr>
          <w:rFonts w:ascii="Times New Roman" w:cs="Times New Roman" w:eastAsia="Times New Roman" w:hAnsi="Times New Roman"/>
          <w:sz w:val="20"/>
          <w:szCs w:val="20"/>
          <w:b w:val="1"/>
          <w:bCs w:val="1"/>
          <w:color w:val="auto"/>
        </w:rPr>
      </w:pPr>
    </w:p>
    <w:p>
      <w:pPr>
        <w:jc w:val="both"/>
        <w:ind w:left="370" w:right="20" w:hanging="370"/>
        <w:spacing w:after="0" w:line="252" w:lineRule="auto"/>
        <w:tabs>
          <w:tab w:leader="none" w:pos="37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Financing Programs: </w:t>
      </w:r>
      <w:r>
        <w:rPr>
          <w:rFonts w:ascii="Times New Roman" w:cs="Times New Roman" w:eastAsia="Times New Roman" w:hAnsi="Times New Roman"/>
          <w:sz w:val="20"/>
          <w:szCs w:val="20"/>
          <w:color w:val="auto"/>
        </w:rPr>
        <w:t>Our financing programs consist of inventory financing arrangements with financial institutions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end-user financing. Costs incurred for inventory financing arrangements represent dealer and distributor financing costs shared by the company for a pre-established length of time based on a predefined rate from the contract between the company and the financial institution to finance dealer and distributor inventory purchases. End-user financing is offered to end-user customers under which we, at our discretion, may pay a portion of interest costs on behalf of end-users for financing purchases of our equipment.</w:t>
      </w:r>
    </w:p>
    <w:p>
      <w:pPr>
        <w:spacing w:after="0" w:line="91"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Examples of significant sales promotions and incentive programs that are not considered to be variable consideration because the cost of the program is classified as a component of SG&amp;A expense are as follows:</w:t>
      </w:r>
    </w:p>
    <w:p>
      <w:pPr>
        <w:spacing w:after="0" w:line="57" w:lineRule="exact"/>
        <w:rPr>
          <w:sz w:val="20"/>
          <w:szCs w:val="20"/>
          <w:color w:val="auto"/>
        </w:rPr>
      </w:pPr>
    </w:p>
    <w:p>
      <w:pPr>
        <w:jc w:val="both"/>
        <w:ind w:left="370" w:right="20" w:hanging="370"/>
        <w:spacing w:after="0" w:line="254" w:lineRule="auto"/>
        <w:tabs>
          <w:tab w:leader="none" w:pos="37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Commissions Paid to Distributors and Dealers</w:t>
      </w:r>
      <w:r>
        <w:rPr>
          <w:rFonts w:ascii="Times New Roman" w:cs="Times New Roman" w:eastAsia="Times New Roman" w:hAnsi="Times New Roman"/>
          <w:sz w:val="20"/>
          <w:szCs w:val="20"/>
          <w:color w:val="auto"/>
        </w:rPr>
        <w:t>: For certain products, we use a distribution network of distributors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dealers that purchase and take possession of products for sale to the end customer. We also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 In addition, TTC dealers are often paid a commission to set up and deliver riding product purchased at certain mass retailers and home centers.</w:t>
      </w:r>
    </w:p>
    <w:p>
      <w:pPr>
        <w:jc w:val="both"/>
        <w:ind w:left="370" w:right="20" w:hanging="370"/>
        <w:spacing w:after="0" w:line="253" w:lineRule="auto"/>
        <w:tabs>
          <w:tab w:leader="none" w:pos="37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Cooperative Advertising: </w:t>
      </w:r>
      <w:r>
        <w:rPr>
          <w:rFonts w:ascii="Times New Roman" w:cs="Times New Roman" w:eastAsia="Times New Roman" w:hAnsi="Times New Roman"/>
          <w:sz w:val="20"/>
          <w:szCs w:val="20"/>
          <w:color w:val="auto"/>
        </w:rPr>
        <w:t>Cooperative advertising programs are based on advertising costs incurred by distributors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dealers for promoting our 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90"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Regardless of classification of the cost of the sales promotion and incentive program within the Consolidated Statements of Earnings, we record an accrual within the Consolidated Balance Sheets for the estimated future expense of certain of our sales promotion and incentive programs for which we anticipate a future cost based on historical or expected future business practice by using the expected value method and applying the portfolio approach practical expedient under the accounting standards codification guidance for revenue from contracts with customers. Under such approach, our determination of variable consideration associated with the estimated expense of certain of our sales promotions and incentives programs is primarily based on the terms of the sales arrangements and sales promotion and incentive programs with customers, historical payment and rebate claims experience, field inventory levels, quantity or mix of products purchased, projected sales volumes, types of programs offered, and expectations for the acceptance of sales promotion and incentive programs offered in the future or changes in other relevant trends.</w:t>
      </w:r>
    </w:p>
    <w:p>
      <w:pPr>
        <w:spacing w:after="0" w:line="96"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Of our sales promotion and incentive programs that are considered to be variable consideration, our off-invoice discounts and financing programs are less subject to complex judgment or estimates as compared to our rebate programs, which are subject to a more significant level of estimation uncertainty as they require inputs and assumptions that are more susceptible to change or subjectivity. Specifically, our rebate programs are primarily sensitive to fluctuations in historical payment and rebate claims experience as compared to actual realized payment and rebate claims, field inventory levels, and projected wholesale and retail sales volumes and the quantity or mix of products.</w:t>
      </w:r>
    </w:p>
    <w:p>
      <w:pPr>
        <w:spacing w:after="0" w:line="88"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Adjustments to sales promotions and incentive accruals are made from time to time as actual usage becomes known in order to properly estimate the amounts necessary to generate consumer demand based on market conditions as of the balance sheet date. As of October 31, 2025, we had recorded an accrual for sales promotion and incentive programs of $168.6 million within the Consolidated Balance Sheets. We believe that our accrual for sales promotion and incentive programs is adequate as of October 31, 2025 and historically has been adequate; however, due to the inherent uncertainty in the accrual estimation process, actual results may differ from these estimates if competitive factors dictate the need to enhance or modify sales promotion and incentive programs or if customer usage, product mix, or field inventory levels vary from historical trends.</w:t>
      </w:r>
    </w:p>
    <w:p>
      <w:pPr>
        <w:sectPr>
          <w:pgSz w:w="11880" w:h="15528" w:orient="portrait"/>
          <w:cols w:equalWidth="0" w:num="1">
            <w:col w:w="10270"/>
          </w:cols>
          <w:pgMar w:left="810" w:top="658" w:right="800" w:bottom="0" w:gutter="0" w:footer="0" w:header="0"/>
        </w:sectPr>
      </w:pPr>
    </w:p>
    <w:p>
      <w:pPr>
        <w:spacing w:after="0" w:line="3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48</w:t>
      </w:r>
    </w:p>
    <w:p>
      <w:pPr>
        <w:sectPr>
          <w:pgSz w:w="11880" w:h="15528" w:orient="portrait"/>
          <w:cols w:equalWidth="0" w:num="1">
            <w:col w:w="10270"/>
          </w:cols>
          <w:pgMar w:left="810" w:top="658" w:right="800" w:bottom="0" w:gutter="0" w:footer="0" w:header="0"/>
          <w:type w:val="continuous"/>
        </w:sectPr>
      </w:pPr>
    </w:p>
    <w:bookmarkStart w:id="54" w:name="page55"/>
    <w:bookmarkEnd w:id="5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Goodwill is initially recognized as a result of the excess of purchase consideration transferred over the estimated fair value of the net assets acquired in a business combination. As of October 31, 2025, our goodwill balance was $450.9 million. Goodwill is not amortized, but is assessed for impairment at the reporting unit level at least annually during the fourth quarter of each fiscal year unless events or changes in circumstances indicate that impairment may have occurred prior to the annual assessment. Based on a change made to our operating segments during the fourth quarter of fiscal 2025, as discussed in Note 3, </w:t>
      </w:r>
      <w:r>
        <w:rPr>
          <w:rFonts w:ascii="Times New Roman" w:cs="Times New Roman" w:eastAsia="Times New Roman" w:hAnsi="Times New Roman"/>
          <w:sz w:val="20"/>
          <w:szCs w:val="20"/>
          <w:b w:val="1"/>
          <w:bCs w:val="1"/>
          <w:i w:val="1"/>
          <w:iCs w:val="1"/>
          <w:color w:val="auto"/>
        </w:rPr>
        <w:t>Segment Data</w:t>
      </w:r>
      <w:r>
        <w:rPr>
          <w:rFonts w:ascii="Times New Roman" w:cs="Times New Roman" w:eastAsia="Times New Roman" w:hAnsi="Times New Roman"/>
          <w:sz w:val="20"/>
          <w:szCs w:val="20"/>
          <w:color w:val="auto"/>
        </w:rPr>
        <w:t>, of the Notes to Consolidated Financial Statements, we have eight operating segments. The company tested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goodwill of the new reporting units for impairment both before and following the change in reporting unit structure, and no impairment was identified. Seven of our reporting units contained goodwill on their respective balance sheets as of October 31, 2025.</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fourth quarter of fiscal 2025, consistent with prior fiscal years, we performed our annual quantitative goodwill impairment assessment, which is a one-step process. In performing the quantitative analysis, we compare the carrying value of a reporting unit, including goodwill, to its fair value.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its fair value, not to exceed the total amount of goodwill allocated to that reporting unit. Based on the fourth quarter annual quantitative goodwill impairment analysis, we determined there was no impairment of goodwill for any of our reporting units as the fair value of each reporting unit exceeded its respective carrying value, including goodwill. Further, the fair value of each reporting unit exceeded its respective carrying value, including goodwill, in excess of 11 percent.</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fair value of each reporting unit under the quantitative goodwill impairment test was determined using a discounted cash flow model under the income approach which requires the use of significant judgment regarding the selection of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("WACC") rate.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The WACC rate could be increased by 95 basis points with no impairment indicated for any of our reporting units. Additionally, the terminal growth rate could be decreased by 135 basis points with no impairment indicated for any of our reporting units.</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inputs and assumptions, which are independently determined and vary for each reporting unit, are based on historical experience, our projections of future operating results and contemplate current and future business, industry, and economic conditions, as well as relevant observable market inputs and consideration of risk regarding future performance for purposes of determining the WACC and terminal growth rates. The WACC rate selected is commensurate with the risks and uncertainty inherent in the respective reporting unit and in our projected operating results and is calculated based on weighted average returns on debt and equity from guideline public companies. Therefore, changes in the market that are beyond our control and that impact our guideline public companies may have an adverse effect on our future calculations of the estimated fair values of our reporting units. Terminal growth rates are generally determined based on economic and industry growth expectations, while also considering the lifecycle stage of each respective reporting unit. Where available, and as appropriate, comparable EBITDA and revenue multiples are derived from the market prices of stocks of guideline public companies and are used to assist in developing an estimated business enterprise value of our reporting units under the market approach to corroborate our determination of the estimated fair values of our reporting units under the income approach. Identifying appropriate guideline public companies for purposes of computing estimated market multiples and selecting an appropriate WACC rate is subjective. We select guideline public companies that are engaged in the same or similar lines of business and that have reasonably similar qualitative factors as our reporting units, while also considering relevant quantitative factors such as profitability and market capitalization, where applicable. As a final corroboratory step, we reconcile the aggregate estimated fair value of our reporting units resulting from the income approach to our company's market capitalization.</w:t>
      </w:r>
    </w:p>
    <w:p>
      <w:pPr>
        <w:spacing w:after="0" w:line="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While our annual impairment assessment performed in the fourth quarter of fiscal 2025 supported the carrying amount of our goodwill, we may be required to re-evaluate the carrying amounts in future periods utilizing different inputs and assumptions that reflect the then current market conditions and expectations regarding our operating performance, which may result in a future impairment that could be material.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Indefinite-Lived Intangible Assets</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Indefinite-lived intangible assets are initially recognized at their estimated fair values as a result of a business combination or asset acquisition. As of October 31, 2025, our indefinite-lived intangible asset balances, which consist of certain trade names,</w:t>
      </w:r>
    </w:p>
    <w:p>
      <w:pPr>
        <w:sectPr>
          <w:pgSz w:w="11880" w:h="15527"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1880" w:h="15527" w:orient="portrait"/>
          <w:cols w:equalWidth="0" w:num="1">
            <w:col w:w="10260"/>
          </w:cols>
          <w:pgMar w:left="820" w:top="651" w:right="800" w:bottom="0" w:gutter="0" w:footer="0" w:header="0"/>
          <w:type w:val="continuous"/>
        </w:sectPr>
      </w:pPr>
    </w:p>
    <w:bookmarkStart w:id="55" w:name="page56"/>
    <w:bookmarkEnd w:id="55"/>
    <w:p>
      <w:pPr>
        <w:spacing w:after="0" w:line="4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were $190.6 million. Indefinite-lived intangible assets are not amortized, but are assessed for impairment at least annually during the fourth quarter of each fiscal year unless events or changes in circumstances indicate that impairment may have occurred prior to the annual assessment. We assess indefinite-lived intangible assets for impairment at the individual indefinite-lived intangible asset.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2025 Impairment</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During the preparation of the financial statements for the third quarter of fiscal 2025, we concluded that impairment indicators existed for our indefinite-lived Spartan trade name intangible asset. Based on the resulting impairment assessment performed, we recorded an impairment charge of $81.1 million related to the indefinite-lived Spartan trade name intangible asset in the third quarter of fiscal 2025. For additional information regarding the impairment charge, refer to Note 1, </w:t>
      </w:r>
      <w:r>
        <w:rPr>
          <w:rFonts w:ascii="Times New Roman" w:cs="Times New Roman" w:eastAsia="Times New Roman" w:hAnsi="Times New Roman"/>
          <w:sz w:val="20"/>
          <w:szCs w:val="20"/>
          <w:b w:val="1"/>
          <w:bCs w:val="1"/>
          <w:i w:val="1"/>
          <w:iCs w:val="1"/>
          <w:color w:val="auto"/>
        </w:rPr>
        <w:t>Summary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Significant Accounting Policies and Related Data</w:t>
      </w:r>
      <w:r>
        <w:rPr>
          <w:rFonts w:ascii="Times New Roman" w:cs="Times New Roman" w:eastAsia="Times New Roman" w:hAnsi="Times New Roman"/>
          <w:sz w:val="20"/>
          <w:szCs w:val="20"/>
          <w:color w:val="auto"/>
        </w:rPr>
        <w:t>, of the Notes to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Impairment Analysis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During the fourth quarter of fiscal 2025, consistent with prior fiscal years, we performed our annual quantitative impairment assessment for indefinite-lived intangible assets by comparing the carrying amounts of each respective asset to its estimated fair value. If the fair value of the indefinite-lived intangible asset is less than its carrying value, an impairment loss is recognized in an amount equal to the excess. Based on our fourth quarter quantitative impairment analysis, we determined that our indefinite-lived intangible assets were not impaired as the estimated fair value of each of our indefinite-lived intangible assets exceeded its carrying value. Further, the fair value of each of our indefinite-lived intangible assets exceeded its carrying value in excess of 14 percent.</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Fair value was determined using the relief-from-royalty method under the income approach which requires the use of significant judgment regarding the selection of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These inputs and assumptions contemplate business, industry, and overall economic conditions, as well as relevant market data for royalty rates of similar intangible assets.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The discount rate could be increased by 170 basis points with no impairment indicated for any of our indefinite-lived intangible assets. The royalty rate could be decreased by 35 basis points with no impairment indicated for any of our indefinite-lived intangible assets.</w:t>
      </w:r>
    </w:p>
    <w:p>
      <w:pPr>
        <w:spacing w:after="0" w:line="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Determining the estimated fair values of our reporting units and indefinite-lived intangible assets requires considerable judgment and such estimates are sensitive to changes in the underlying inputs and assumptions. As a result, there can be no assurance that the inputs and assumptions made for purposes of our annual impairment assessments will prove to be an accurate prediction of the future. Certain events or circumstances that could reasonably be expected may negatively affect the underlying key inputs and assumptions and ultimately affect the estimated fair values of our reporting units and indefinite-lived intangible assets. Such events or circumstances could include a decrease in expected future operating results and the related cash flows; adverse economic, market, and industry conditions, including unfavorable impacts on our guideline public companies used in determining our WACC rate and the business enterprise value of our reporting units under the market approach; prolonged periods of unfavorable weather conditions; changes in regulatory conditions impacting our products and industries; a continued volatile supply chain environment and/or additional increases in the costs of commodities, component parts, and labor; lack of customer acceptance of new or innovative technologies; increased competition; and other factors.</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While our annual impairment assessment performed in the fourth quarter of fiscal 2025 supported the carrying amount of our indefinite-lived intangible assets, we may be required to re-evaluate the carrying amounts in future periods utilizing different inputs and assumptions that reflect the then current market conditions and expectations regarding our operating performance, which may result in a future impairment that could be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Warranty Guarantees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products are warranted to provide assurance that the product will function as expected and to ensure customer confidence in design, workmanship, and overall quality. Warranty coverage on our products is generally provided for specified periods of time and on select products' hours of usage, and generally covers parts, labor, and other expenses for non-maintenance repairs. Warranty coverage generally does not cover operator abuse or improper use. In addition to the standard warranties offered on our products, we also sell separately priced extended warranty coverage on select products for a prescribed period after the original warranty period expires.</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the time of sale, we recognize expense and record a warranty accrual by product line for estimated costs in connection with projected future warranty claims. Our estimate of the cost of future warranty claims is based primarily on the estimated number of products under warranty, historical average costs incurred to service warranty claims, the trend in the historical ratio of</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1880" w:h="15528" w:orient="portrait"/>
          <w:cols w:equalWidth="0" w:num="1">
            <w:col w:w="10260"/>
          </w:cols>
          <w:pgMar w:left="820" w:top="658" w:right="800" w:bottom="0" w:gutter="0" w:footer="0" w:header="0"/>
          <w:type w:val="continuous"/>
        </w:sectPr>
      </w:pPr>
    </w:p>
    <w:bookmarkStart w:id="56" w:name="page57"/>
    <w:bookmarkEnd w:id="56"/>
    <w:p>
      <w:pPr>
        <w:spacing w:after="0" w:line="4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warranty claims to sales, and the historical length of time between the sale and resulting warranty claim. If applicable, historical claims experience may be adjusted for known product design improvements or for the impact of unusual product quality issues. We periodically assess the adequacy of our warranty accruals based on changes in our estimates and assumptions and record any necessary adjustments if the cost of actual claim experience differs from our estimate and indicates that adjustments to our warranty accrual are necessary. Factors that could have an impact on actual future claims and our warranty accrual include, but are not limited to, items such as performance of new products; product failure rates; factors impacting product usage, such as weather; changes in sales volumes and shifts in product mix; manufacturing quality and product design issues, including significant manufacturing or design defects not discovered until after the product is delivered to customers; the extent of customers affected by the product failure; higher or lower than expected service and component part costs to satisfactorily address the repair, and upon rare occasion, changes to the warranty coverage periods. Additionally, from time to time, we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9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believe that our analysis of historical warranty claim trends and knowledge of potential manufacturing and/or product design improvements or issues provide sufficient information to establish a reasonable estimate for the cost of future warranty claims at the time of sale and our warranty accruals as of the date of our Consolidated Balance Sheets. We believe that our $152.2 million warranty accrual as of October 31, 2025 is adequate and historically has been adequate; however, due to the inherent uncertainty in the accrual estimation process, including projecting future warranty claims, costs associated with servicing future warranty claims, and unexpected major rework campaigns that may arise in the future, our actual warranty costs incurred may differ from our warranty accrual estimate. An unexpected increase in warranty claims and/or in the costs associated with servicing those claims would result in an increase in our warranty accruals and a decrease in our net earnings.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Inventory Valuation</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Approximately half of our inventories are valued at the lower of the cost of inventory or net realizable value, with cost determined by either the first-in, first-out or average cost method. Other inventories are valued at the lower of cost or market, with cost determined under the last-in, first-out method. As needed, we record an inventory valuation adjustment for excess, slow moving, and obsolete inventory that is equal to the excess of the cost of the inventory over the estimated net realizable value or market value for the inventory depending on inventory costing method.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w:t>
      </w:r>
    </w:p>
    <w:p>
      <w:pPr>
        <w:spacing w:after="0" w:line="9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 developing inventory valuation adjustments for excess, slow moving, and obsolete inventory, we are required to use judgment and make estimates of future sales demand and production requirements compared with current inventory levels. Our estimate of projected sales demand and production requirements is primarily based on actual orders received, historical demand, technological and product life cycle changes, product pricing, economic trends, and competitive factors, such as market and pricing trends for similar products. Although we believe our inventory valuation reserve for excess, slow-moving, and obsolete inventory is adequate at $60.5 million as of October 31, 2025, projecting sales demand and production requirements involves significant management judgment regarding future events. Future events that could significantly influence our judgments and related estimates include general economic conditions within the specific markets in which we operate, changes in demand for our products and customer preference, price fluctuations, and actions of our competitors, including the introduction of new products, technological advances, and pricing changes. Projected sales demand and production requirements can also be affected by the significant redesign of our existing products or the replacement of an existing product by an entirely new generation of product. It is possible that an unfavorable adjustment to our inventory valuation reserve for excess, slow moving, and obsolete inventory may be required in the future if there is a change in any of the aforementioned factors that adversely impacts our estimates of future demand for our products and we do not modify our purchases or production schedule accordingly.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When applicable, 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8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Assigning estimated fair values to the net assets acquired requires the use of significant estimates, judgments, inputs, and assumptions regarding the fair value of intangible assets that are separately identifiable from goodwill, inventory, and property,</w:t>
      </w:r>
    </w:p>
    <w:p>
      <w:pPr>
        <w:sectPr>
          <w:pgSz w:w="11880" w:h="15528" w:orient="portrait"/>
          <w:cols w:equalWidth="0" w:num="1">
            <w:col w:w="10260"/>
          </w:cols>
          <w:pgMar w:left="820" w:top="658" w:right="800" w:bottom="0" w:gutter="0" w:footer="0" w:header="0"/>
        </w:sect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1880" w:h="15528" w:orient="portrait"/>
          <w:cols w:equalWidth="0" w:num="1">
            <w:col w:w="10260"/>
          </w:cols>
          <w:pgMar w:left="820" w:top="658" w:right="800" w:bottom="0" w:gutter="0" w:footer="0" w:header="0"/>
          <w:type w:val="continuous"/>
        </w:sectPr>
      </w:pPr>
    </w:p>
    <w:bookmarkStart w:id="57" w:name="page58"/>
    <w:bookmarkEnd w:id="57"/>
    <w:p>
      <w:pPr>
        <w:spacing w:after="0" w:line="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plant, and equipment. While the ultimate responsibility for determining estimated fair values of the acquired net assets resides with management, for material acquisitions we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the acquisition; applying an appropriate discount rate to estimate the present value of those projected cash flows we expect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determining the estimated fair value of intangible assets that are separately identifiable from goodwill, we typically utilize the income approach, which discounts the projected future cash flows using a discount rate that appropriately reflects the risks associated with the projected cash flows. Generally, we estimate the fair value of acquired trade names using the relief from royalty method under the income approach, which is based on the hypothetical royalty stream that would be received if we were to license the acquired trade name. For most other acquired intangible assets, we estimate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we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9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3"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9"/>
          <w:szCs w:val="19"/>
          <w:color w:val="auto"/>
        </w:rPr>
        <w:t xml:space="preserve">For information regarding recent accounting pronouncements, refer to Note 1, </w:t>
      </w:r>
      <w:r>
        <w:rPr>
          <w:rFonts w:ascii="Times New Roman" w:cs="Times New Roman" w:eastAsia="Times New Roman" w:hAnsi="Times New Roman"/>
          <w:sz w:val="19"/>
          <w:szCs w:val="19"/>
          <w:b w:val="1"/>
          <w:bCs w:val="1"/>
          <w:i w:val="1"/>
          <w:iCs w:val="1"/>
          <w:color w:val="auto"/>
        </w:rPr>
        <w:t>Summary of Significant Accounting Policies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Related Data</w:t>
      </w:r>
      <w:r>
        <w:rPr>
          <w:rFonts w:ascii="Times New Roman" w:cs="Times New Roman" w:eastAsia="Times New Roman" w:hAnsi="Times New Roman"/>
          <w:sz w:val="19"/>
          <w:szCs w:val="19"/>
          <w:color w:val="auto"/>
        </w:rPr>
        <w:t>, in our Notes to Consolidated Financial Statements under the section entitled "New Accounting Pronouncements".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Market risk is the potential loss arising from adverse changes in market rates and prices. 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1880" w:h="15528" w:orient="portrait"/>
          <w:cols w:equalWidth="0" w:num="1">
            <w:col w:w="10260"/>
          </w:cols>
          <w:pgMar w:left="820" w:top="658" w:right="800" w:bottom="0" w:gutter="0" w:footer="0" w:header="0"/>
          <w:type w:val="continuous"/>
        </w:sectPr>
      </w:pPr>
    </w:p>
    <w:bookmarkStart w:id="58" w:name="page59"/>
    <w:bookmarkEnd w:id="5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Rate Risk</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13, </w:t>
      </w:r>
      <w:r>
        <w:rPr>
          <w:rFonts w:ascii="Times New Roman" w:cs="Times New Roman" w:eastAsia="Times New Roman" w:hAnsi="Times New Roman"/>
          <w:sz w:val="20"/>
          <w:szCs w:val="20"/>
          <w:b w:val="1"/>
          <w:bCs w:val="1"/>
          <w:i w:val="1"/>
          <w:iCs w:val="1"/>
          <w:color w:val="auto"/>
        </w:rPr>
        <w:t>Derivative Instruments and Hedging Activities</w:t>
      </w:r>
      <w:r>
        <w:rPr>
          <w:rFonts w:ascii="Times New Roman" w:cs="Times New Roman" w:eastAsia="Times New Roman" w:hAnsi="Times New Roman"/>
          <w:sz w:val="20"/>
          <w:szCs w:val="20"/>
          <w:color w:val="auto"/>
        </w:rPr>
        <w:t>, in the Notes to Consolidated Financial Statements included in Part II, Item 8, "Financial Statements and Supplementary Data," of this Annual Report on Form 10-K.</w:t>
      </w:r>
    </w:p>
    <w:p>
      <w:pPr>
        <w:spacing w:after="0" w:line="9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foreign currency exchange contracts in the table below have maturity dates in fiscal 2026 through fiscal 2028. All items are non-trading and stated in U.S. dollars. As of October 31, 2025, the average contracted rate, notional amount, fair value, and the gain (loss) at fair value of outstanding derivative instruments were as follows (dollars in millions, except average contracted rate):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tcPr>
          <w:p>
            <w:pPr>
              <w:jc w:val="center"/>
              <w:ind w:left="11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Gain (Loss) at</w:t>
            </w: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2520" w:type="dxa"/>
            <w:vAlign w:val="bottom"/>
          </w:tcPr>
          <w:p>
            <w:pPr>
              <w:jc w:val="center"/>
              <w:ind w:left="1180"/>
              <w:spacing w:after="0" w:line="160" w:lineRule="exact"/>
              <w:rPr>
                <w:sz w:val="20"/>
                <w:szCs w:val="20"/>
                <w:color w:val="auto"/>
              </w:rPr>
            </w:pPr>
            <w:r>
              <w:rPr>
                <w:rFonts w:ascii="Times New Roman" w:cs="Times New Roman" w:eastAsia="Times New Roman" w:hAnsi="Times New Roman"/>
                <w:sz w:val="16"/>
                <w:szCs w:val="16"/>
                <w:b w:val="1"/>
                <w:bCs w:val="1"/>
                <w:color w:val="auto"/>
              </w:rPr>
              <w:t>Contracted</w:t>
            </w:r>
          </w:p>
        </w:tc>
        <w:tc>
          <w:tcPr>
            <w:tcW w:w="2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0.6535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40"/>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1.3651</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40"/>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Buy U.S. dollar/Sell Euro</w:t>
            </w:r>
          </w:p>
        </w:tc>
        <w:tc>
          <w:tcPr>
            <w:tcW w:w="2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1.1402</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2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183.6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40"/>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1.2980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40"/>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20.3299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-776605</wp:posOffset>
            </wp:positionV>
            <wp:extent cx="6565900" cy="812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65900" cy="812800"/>
                    </a:xfrm>
                    <a:prstGeom prst="rect">
                      <a:avLst/>
                    </a:prstGeom>
                    <a:noFill/>
                  </pic:spPr>
                </pic:pic>
              </a:graphicData>
            </a:graphic>
          </wp:anchor>
        </w:drawing>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net investment in foreign subsidiaries translated into U.S. dollars is not hedged. Any translation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interest rate risk relates primarily to fluctuations in variable interest rates on our revolving credit facility and a term loan credit agreement,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indebtedness as of October 31, 2025 included $724.3 million of gross fixed rate debt that is not subject to variable interest rate fluctuations and $200.0 million of gross variable rate debt under our term loan credit agreement and revolving credit facility. As of October 31, 2025, the estimated fair value of gross long-term debt with fixed interest rates was $733.1 million compared to its carrying amount of $724.3 million. Interest rate risk for fixed-rate, long-term debt is estimated as the potential increase in the fair value of gross fixed rate debt, resulting from a hypothetical 10 percent decrease in interest rates, and amounts to $19.5 million. The estimated fair value of gross fixed rate debt is estimated by discounting the projected cash flows of our gross fixed rate debt using the current interest rate that could be obtained for similar amounts of debt and a similar financing term.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Cost Risk</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the inability of suppliers to absorb incremental costs related to inefficiencies, continue operations or otherwise remain in business; financial difficulties; changes to international trade policies, agreements, and/or</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1880" w:h="15528" w:orient="portrait"/>
          <w:cols w:equalWidth="0" w:num="1">
            <w:col w:w="10260"/>
          </w:cols>
          <w:pgMar w:left="820" w:top="651" w:right="800" w:bottom="0" w:gutter="0" w:footer="0" w:header="0"/>
          <w:type w:val="continuous"/>
        </w:sectPr>
      </w:pPr>
    </w:p>
    <w:bookmarkStart w:id="59" w:name="page60"/>
    <w:bookmarkEnd w:id="59"/>
    <w:p>
      <w:pPr>
        <w:spacing w:after="0" w:line="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regulation; and competitor activity, including antidumping and countervailing duties on certain products imported from foreign countries, such as certain engines imported into the U.S. from China.</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 or product price increases are less effective than anticipated and/or do not fully offset cost increases, we may experience a decline in our gross margins.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Market Risk</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Volatility in the trading price of our common stock impacts the compensation costs associated with our stock-based compensation awards. Additionally, when applicable, declines in the trading price of our common stock can adversely impact our reconciliation of our market capitalization to the aggregate estimated fair value of our reporting units as a component of our goodwill impairment analysis and can also represent an interim period impairment indicator requiring the need to quantitatively assess goodwill for impairment during an interim period, which could result in impairment charges. Refer to Note 9, </w:t>
      </w:r>
      <w:r>
        <w:rPr>
          <w:rFonts w:ascii="Times New Roman" w:cs="Times New Roman" w:eastAsia="Times New Roman" w:hAnsi="Times New Roman"/>
          <w:sz w:val="20"/>
          <w:szCs w:val="20"/>
          <w:b w:val="1"/>
          <w:bCs w:val="1"/>
          <w:i w:val="1"/>
          <w:iCs w:val="1"/>
          <w:color w:val="auto"/>
        </w:rPr>
        <w:t>Stock-Based Compensation</w:t>
      </w:r>
      <w:r>
        <w:rPr>
          <w:rFonts w:ascii="Times New Roman" w:cs="Times New Roman" w:eastAsia="Times New Roman" w:hAnsi="Times New Roman"/>
          <w:sz w:val="20"/>
          <w:szCs w:val="20"/>
          <w:color w:val="auto"/>
        </w:rPr>
        <w:t>, and Note 1,</w:t>
      </w:r>
      <w:r>
        <w:rPr>
          <w:rFonts w:ascii="Times New Roman" w:cs="Times New Roman" w:eastAsia="Times New Roman" w:hAnsi="Times New Roman"/>
          <w:sz w:val="20"/>
          <w:szCs w:val="20"/>
          <w:b w:val="1"/>
          <w:bCs w:val="1"/>
          <w:i w:val="1"/>
          <w:iCs w:val="1"/>
          <w:color w:val="auto"/>
        </w:rPr>
        <w:t xml:space="preserve"> Summary of Significant Accounting Policies and Related Data</w:t>
      </w:r>
      <w:r>
        <w:rPr>
          <w:rFonts w:ascii="Times New Roman" w:cs="Times New Roman" w:eastAsia="Times New Roman" w:hAnsi="Times New Roman"/>
          <w:sz w:val="20"/>
          <w:szCs w:val="20"/>
          <w:color w:val="auto"/>
        </w:rPr>
        <w:t>, in the Notes to Consolidated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Statements for additional information regarding our stock-based compensation awards and our goodwill impairment analysis, respectively.</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1880" w:h="15528" w:orient="portrait"/>
          <w:cols w:equalWidth="0" w:num="1">
            <w:col w:w="10260"/>
          </w:cols>
          <w:pgMar w:left="820" w:top="658" w:right="800" w:bottom="0" w:gutter="0" w:footer="0" w:header="0"/>
          <w:type w:val="continuous"/>
        </w:sectPr>
      </w:pPr>
    </w:p>
    <w:bookmarkStart w:id="60" w:name="page61"/>
    <w:bookmarkEnd w:id="60"/>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70" w:lineRule="exact"/>
        <w:rPr>
          <w:sz w:val="20"/>
          <w:szCs w:val="20"/>
          <w:color w:val="auto"/>
        </w:rPr>
      </w:pPr>
    </w:p>
    <w:p>
      <w:pPr>
        <w:ind w:left="221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37"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84"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left="10" w:hanging="10"/>
        <w:spacing w:after="0" w:line="260" w:lineRule="auto"/>
        <w:tabs>
          <w:tab w:leader="none" w:pos="37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 xml:space="preserve">Management, with the participation of the company's Chairman of the Board and Chief Executive Officer and Vice President and Chief Financial Officer, evaluated the effectiveness of the company's internal control over financial reporting as of October 31, 2025. In making this evaluation, management used the criteria set forth by the Committee of Sponsoring Organizations of the Treadway Commission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Based on this assessment, management concluded that the company's internal control over financial reporting was effective as of October 31, 2025. The company's internal control over financial reporting as of October 31, 2025 has been audited by KPMG LLP, an independent registered public accounting firm, as stated in their report, which is included herein.</w:t>
      </w:r>
    </w:p>
    <w:p>
      <w:pPr>
        <w:spacing w:after="0" w:line="35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4953000"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53000" cy="12700"/>
                    </a:xfrm>
                    <a:prstGeom prst="rect">
                      <a:avLst/>
                    </a:prstGeom>
                    <a:noFill/>
                  </pic:spPr>
                </pic:pic>
              </a:graphicData>
            </a:graphic>
          </wp:anchor>
        </w:drawing>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p>
      <w:pPr>
        <w:spacing w:after="0" w:line="2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4953000"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53000" cy="12700"/>
                    </a:xfrm>
                    <a:prstGeom prst="rect">
                      <a:avLst/>
                    </a:prstGeom>
                    <a:noFill/>
                  </pic:spPr>
                </pic:pic>
              </a:graphicData>
            </a:graphic>
          </wp:anchor>
        </w:drawing>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Vice President and Chief Financial Officer</w:t>
      </w:r>
    </w:p>
    <w:p>
      <w:pPr>
        <w:spacing w:after="0" w:line="31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December 17, 2025</w:t>
      </w:r>
    </w:p>
    <w:p>
      <w:pPr>
        <w:spacing w:after="0" w:line="200" w:lineRule="exact"/>
        <w:rPr>
          <w:sz w:val="20"/>
          <w:szCs w:val="20"/>
          <w:color w:val="auto"/>
        </w:rPr>
      </w:pPr>
    </w:p>
    <w:p>
      <w:pPr>
        <w:spacing w:after="0" w:line="382"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Further discussion of the company's internal controls and procedures is included in Part II, Item 9A, "Controls and Procedures" of this Annual Report on Form 10-K.</w:t>
      </w:r>
    </w:p>
    <w:p>
      <w:pPr>
        <w:sectPr>
          <w:pgSz w:w="11880" w:h="15528" w:orient="portrait"/>
          <w:cols w:equalWidth="0" w:num="1">
            <w:col w:w="10250"/>
          </w:cols>
          <w:pgMar w:left="810" w:top="65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55</w:t>
      </w:r>
    </w:p>
    <w:p>
      <w:pPr>
        <w:sectPr>
          <w:pgSz w:w="11880" w:h="15528" w:orient="portrait"/>
          <w:cols w:equalWidth="0" w:num="1">
            <w:col w:w="10250"/>
          </w:cols>
          <w:pgMar w:left="810" w:top="651" w:right="820" w:bottom="0" w:gutter="0" w:footer="0" w:header="0"/>
          <w:type w:val="continuous"/>
        </w:sectPr>
      </w:pPr>
    </w:p>
    <w:bookmarkStart w:id="61" w:name="page62"/>
    <w:bookmarkEnd w:id="61"/>
    <w:p>
      <w:pPr>
        <w:spacing w:after="0" w:line="4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Toro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Consolidated Financial Statements and Internal Control Over Financial Reporting</w:t>
      </w:r>
    </w:p>
    <w:p>
      <w:pPr>
        <w:spacing w:after="0" w:line="1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The Toro Company and subsidiaries (the Company) as of October 31, 2025 and 2024, the related consolidated statements of earnings, comprehensive income, stockholders’ equity, and cash flows for each of the years in the three-year period ended October 31, 2025, and the related notes (collectively, the consolidated financial statements). We also have audited the Company’s internal control over financial reporting as of October 31, 2025,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October 31, 2025 and 2024, and the results of its operations and its cash flows for each of the years in the three-year period ended October 31, 2025, in conformity with U.S. generally accepted accounting principles. Also in our opinion, the Company maintained, in all material respects, effective internal control over financial reporting as of October 31, 2025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1880" w:h="15528" w:orient="portrait"/>
          <w:cols w:equalWidth="0" w:num="1">
            <w:col w:w="10260"/>
          </w:cols>
          <w:pgMar w:left="820" w:top="651" w:right="800" w:bottom="0" w:gutter="0" w:footer="0" w:header="0"/>
          <w:type w:val="continuous"/>
        </w:sectPr>
      </w:pPr>
    </w:p>
    <w:bookmarkStart w:id="62" w:name="page63"/>
    <w:bookmarkEnd w:id="62"/>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Accrued sales promotions and incentives</w:t>
      </w:r>
    </w:p>
    <w:p>
      <w:pPr>
        <w:spacing w:after="0" w:line="134"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at the time of sale, the Company records an estimate for sales promotion and incentive costs, a portion of which relates to rebate programs. As of October 31, 2025, the Company recorded an accrual of $168.6 million for sales promotions and incentives. The Company’s estimates for sales promotion and incentive costs are primarily based on the terms of the sales arrangements and sales promotion and incentive programs with customers, historical payment and rebate claims experience, field inventory levels, quantity or mix of products purchased, types of programs offered, and expectations for the acceptance of sales promotion and incentive programs offered in the future or changes in other relevant trends.</w:t>
      </w:r>
    </w:p>
    <w:p>
      <w:pPr>
        <w:spacing w:after="0" w:line="90"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20"/>
          <w:szCs w:val="20"/>
          <w:color w:val="auto"/>
        </w:rPr>
        <w:t>We identified the evaluation of the accrued sales promotions and incentives as a critical audit matter. To evaluate the Company’s expectations for changes in other relevant trends that were used to develop the estimate, a high degree of auditor judgment was required. Historical experience was an input used to develop expectations for changes in other relevant trends. Changes in other relevant trends could have an impact to the accrual for sales promotions and incentives.</w:t>
      </w:r>
    </w:p>
    <w:p>
      <w:pPr>
        <w:spacing w:after="0" w:line="83"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20"/>
          <w:szCs w:val="20"/>
          <w:color w:val="auto"/>
        </w:rPr>
        <w:t>The following are the primary procedures performed to address this critical audit matter. We evaluated the design and tested the operating effectiveness of certain internal controls related to the Company’s sales promotions and incentives process. This included controls related to the evaluation of the input described above. We evaluated the Company’s ability to estimate the sales promotions and incentives accruals by comparing the prior year’s accrual with subsequent payments. We developed an expectation of the Company’s accrual considering historical experience and current year field inventory levels. We tested sales promotions and incentives paid throughout the year by tracing a sample of payments to underlying documentation supporting the program terms to evaluate whether there have been any changes in other relevant trends. Additionally, we tested sales promotions and incentives paid subsequent to the balance sheet date by tracing a sample of payments to underlying documentation supporting the program terms to evaluate the accrual estimate.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1928.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17, 2025</w:t>
      </w:r>
    </w:p>
    <w:p>
      <w:pPr>
        <w:sectPr>
          <w:pgSz w:w="11880" w:h="15527" w:orient="portrait"/>
          <w:cols w:equalWidth="0" w:num="1">
            <w:col w:w="10260"/>
          </w:cols>
          <w:pgMar w:left="820" w:top="65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1880" w:h="15527" w:orient="portrait"/>
          <w:cols w:equalWidth="0" w:num="1">
            <w:col w:w="10260"/>
          </w:cols>
          <w:pgMar w:left="820" w:top="654" w:right="800" w:bottom="0" w:gutter="0" w:footer="0" w:header="0"/>
          <w:type w:val="continuous"/>
        </w:sectPr>
      </w:pPr>
    </w:p>
    <w:bookmarkStart w:id="63" w:name="page64"/>
    <w:bookmarkEnd w:id="63"/>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THE TORO COMPANY AND SUBSIDIARIES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Consolidated Statements of Earnings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(Dollars and shares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6515100"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1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4,510.4</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4,583.8</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4,553.2</w:t>
            </w:r>
          </w:p>
        </w:tc>
      </w:tr>
      <w:tr>
        <w:trPr>
          <w:trHeight w:val="246"/>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3,005.6</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3,034.5</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2,975.6</w:t>
            </w:r>
          </w:p>
        </w:tc>
      </w:tr>
      <w:tr>
        <w:trPr>
          <w:trHeight w:val="214"/>
        </w:trPr>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1,504.8</w:t>
            </w:r>
          </w:p>
        </w:tc>
        <w:tc>
          <w:tcPr>
            <w:tcW w:w="3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1,549.3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1,577.6</w:t>
            </w:r>
          </w:p>
        </w:tc>
      </w:tr>
      <w:tr>
        <w:trPr>
          <w:trHeight w:val="240"/>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0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1,013.8</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1,016.0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r>
      <w:tr>
        <w:trPr>
          <w:trHeight w:val="246"/>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0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81.1</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14"/>
        </w:trPr>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earnings</w:t>
            </w:r>
          </w:p>
        </w:tc>
        <w:tc>
          <w:tcPr>
            <w:tcW w:w="10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409.9</w:t>
            </w:r>
          </w:p>
        </w:tc>
        <w:tc>
          <w:tcPr>
            <w:tcW w:w="3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533.3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w:t>
            </w:r>
          </w:p>
        </w:tc>
      </w:tr>
      <w:tr>
        <w:trPr>
          <w:trHeight w:val="240"/>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46"/>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0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4"/>
        </w:trPr>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0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377.6</w:t>
            </w:r>
          </w:p>
        </w:tc>
        <w:tc>
          <w:tcPr>
            <w:tcW w:w="3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512.8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46"/>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61.5</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93.9</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00"/>
        </w:trPr>
        <w:tc>
          <w:tcPr>
            <w:tcW w:w="5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316.1</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418.9</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329.7</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9"/>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net earnings per share of common stock</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3.18</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4.04</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351"/>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3.17</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4.01</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319"/>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040" w:type="dxa"/>
            <w:vAlign w:val="bottom"/>
          </w:tcPr>
          <w:p>
            <w:pPr>
              <w:spacing w:after="0"/>
              <w:rPr>
                <w:sz w:val="24"/>
                <w:szCs w:val="2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99.5</w:t>
            </w:r>
          </w:p>
        </w:tc>
        <w:tc>
          <w:tcPr>
            <w:tcW w:w="300" w:type="dxa"/>
            <w:vAlign w:val="bottom"/>
          </w:tcPr>
          <w:p>
            <w:pPr>
              <w:spacing w:after="0"/>
              <w:rPr>
                <w:sz w:val="24"/>
                <w:szCs w:val="24"/>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103.8</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351"/>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99.8</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104.4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-2583815</wp:posOffset>
            </wp:positionV>
            <wp:extent cx="6565900" cy="2603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65900" cy="260350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5000"/>
        <w:spacing w:after="0" w:line="251" w:lineRule="auto"/>
        <w:rPr>
          <w:sz w:val="20"/>
          <w:szCs w:val="20"/>
          <w:color w:val="auto"/>
        </w:rPr>
      </w:pPr>
      <w:r>
        <w:rPr>
          <w:rFonts w:ascii="Times New Roman" w:cs="Times New Roman" w:eastAsia="Times New Roman" w:hAnsi="Times New Roman"/>
          <w:sz w:val="24"/>
          <w:szCs w:val="24"/>
          <w:b w:val="1"/>
          <w:bCs w:val="1"/>
          <w:color w:val="auto"/>
        </w:rPr>
        <w:t xml:space="preserve">THE TORO COMPANY AND SUBSIDIARIES Consolidated Statements of Comprehensive Income </w:t>
      </w:r>
      <w:r>
        <w:rPr>
          <w:rFonts w:ascii="Times New Roman" w:cs="Times New Roman" w:eastAsia="Times New Roman" w:hAnsi="Times New Roman"/>
          <w:sz w:val="20"/>
          <w:szCs w:val="20"/>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515100"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316.1</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418.9</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r>
      <w:tr>
        <w:trPr>
          <w:trHeight w:val="240"/>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40"/>
        </w:trPr>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 net of tax of $(1.5), $(2.3), and $(4.1), respectively</w:t>
            </w:r>
          </w:p>
        </w:tc>
        <w:tc>
          <w:tcPr>
            <w:tcW w:w="10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46"/>
        </w:trPr>
        <w:tc>
          <w:tcPr>
            <w:tcW w:w="5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Pension benefits, net of tax of $(0.3), $(0.3), and $(0.5), respectively</w:t>
            </w:r>
          </w:p>
        </w:tc>
        <w:tc>
          <w:tcPr>
            <w:tcW w:w="10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20"/>
        </w:trPr>
        <w:tc>
          <w:tcPr>
            <w:tcW w:w="5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0"/>
        </w:trPr>
        <w:tc>
          <w:tcPr>
            <w:tcW w:w="5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327.0</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409.9</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-1110615</wp:posOffset>
            </wp:positionV>
            <wp:extent cx="6565900" cy="1130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65900" cy="113030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financial statements should be read in conjunction with the Notes to Consolidated Financial Statements.</w:t>
      </w:r>
    </w:p>
    <w:p>
      <w:pPr>
        <w:sectPr>
          <w:pgSz w:w="11880" w:h="15528" w:orient="portrait"/>
          <w:cols w:equalWidth="0" w:num="1">
            <w:col w:w="10260"/>
          </w:cols>
          <w:pgMar w:left="820" w:top="6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1880" w:h="15528" w:orient="portrait"/>
          <w:cols w:equalWidth="0" w:num="1">
            <w:col w:w="10260"/>
          </w:cols>
          <w:pgMar w:left="820" w:top="636" w:right="800" w:bottom="0" w:gutter="0" w:footer="0" w:header="0"/>
          <w:type w:val="continuous"/>
        </w:sectPr>
      </w:pPr>
    </w:p>
    <w:bookmarkStart w:id="64" w:name="page65"/>
    <w:bookmarkEnd w:id="6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THE TORO COMPANY AND SUBSIDIARIES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Consolidated Balance Sheets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(Dollars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6515100"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Borders>
              <w:bottom w:val="single" w:sz="8" w:color="auto"/>
            </w:tcBorders>
          </w:tcPr>
          <w:p>
            <w:pPr>
              <w:spacing w:after="0"/>
              <w:rPr>
                <w:sz w:val="18"/>
                <w:szCs w:val="18"/>
                <w:color w:val="auto"/>
              </w:rPr>
            </w:pPr>
          </w:p>
        </w:tc>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58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w w:val="96"/>
              </w:rPr>
              <w:t>ASSETS</w:t>
            </w:r>
          </w:p>
        </w:tc>
        <w:tc>
          <w:tcPr>
            <w:tcW w:w="704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341.0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Customers, net of allowances (2025 - $4.8; 2024 - $4.3)</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332.3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Receivables from finance affiliate</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24.3</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Total receivables, net</w:t>
            </w:r>
          </w:p>
        </w:tc>
        <w:tc>
          <w:tcPr>
            <w:tcW w:w="4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378.2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920.8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65.1</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20"/>
        </w:trPr>
        <w:tc>
          <w:tcPr>
            <w:tcW w:w="4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1,705.1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1,764.9</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615.8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450.9</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390.3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114.7</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105.8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0"/>
        </w:trPr>
        <w:tc>
          <w:tcPr>
            <w:tcW w:w="4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3,438.8</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360" w:type="dxa"/>
            <w:vAlign w:val="bottom"/>
          </w:tcPr>
          <w:p>
            <w:pPr>
              <w:spacing w:after="0"/>
              <w:rPr>
                <w:sz w:val="22"/>
                <w:szCs w:val="22"/>
                <w:color w:val="auto"/>
              </w:rPr>
            </w:pPr>
          </w:p>
        </w:tc>
        <w:tc>
          <w:tcPr>
            <w:tcW w:w="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367.6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Warranty</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152.2</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Advertising and sales promotions and incentives programs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168.6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Compensation and benefit costs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96.7</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Insurance</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83.1</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20"/>
        </w:trPr>
        <w:tc>
          <w:tcPr>
            <w:tcW w:w="4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525.5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0" w:type="dxa"/>
            <w:vAlign w:val="bottom"/>
          </w:tcPr>
          <w:p>
            <w:pPr>
              <w:spacing w:after="0"/>
              <w:rPr>
                <w:sz w:val="1"/>
                <w:szCs w:val="1"/>
                <w:color w:val="auto"/>
              </w:rPr>
            </w:pPr>
          </w:p>
        </w:tc>
      </w:tr>
      <w:tr>
        <w:trPr>
          <w:trHeight w:val="220"/>
        </w:trPr>
        <w:tc>
          <w:tcPr>
            <w:tcW w:w="4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912.4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4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921.5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Stockholders' equity:</w:t>
            </w:r>
          </w:p>
        </w:tc>
        <w:tc>
          <w:tcPr>
            <w:tcW w:w="62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non-voting shares, none issued</w:t>
            </w:r>
          </w:p>
        </w:tc>
        <w:tc>
          <w:tcPr>
            <w:tcW w:w="400" w:type="dxa"/>
            <w:vAlign w:val="bottom"/>
          </w:tcPr>
          <w:p>
            <w:pPr>
              <w:spacing w:after="0"/>
              <w:rPr>
                <w:sz w:val="18"/>
                <w:szCs w:val="18"/>
                <w:color w:val="auto"/>
              </w:rPr>
            </w:pPr>
          </w:p>
        </w:tc>
        <w:tc>
          <w:tcPr>
            <w:tcW w:w="9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and outstanding</w:t>
            </w: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 outstanding 97,888,105 shares</w:t>
            </w:r>
          </w:p>
        </w:tc>
        <w:tc>
          <w:tcPr>
            <w:tcW w:w="400" w:type="dxa"/>
            <w:vAlign w:val="bottom"/>
          </w:tcPr>
          <w:p>
            <w:pPr>
              <w:spacing w:after="0"/>
              <w:rPr>
                <w:sz w:val="17"/>
                <w:szCs w:val="17"/>
                <w:color w:val="auto"/>
              </w:rPr>
            </w:pPr>
          </w:p>
        </w:tc>
        <w:tc>
          <w:tcPr>
            <w:tcW w:w="9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97.9</w:t>
            </w:r>
          </w:p>
        </w:tc>
        <w:tc>
          <w:tcPr>
            <w:tcW w:w="3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 of October 31, 2025 and 101,472,125 shares as of October 31, 2024</w:t>
            </w: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1,390.5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20"/>
        </w:trPr>
        <w:tc>
          <w:tcPr>
            <w:tcW w:w="4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1,453.3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00"/>
        </w:trPr>
        <w:tc>
          <w:tcPr>
            <w:tcW w:w="4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3,438.8</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-6787515</wp:posOffset>
            </wp:positionV>
            <wp:extent cx="6565900" cy="68072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65900" cy="680720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financial statements should be read in conjunction with the Notes to Consolidated Financial Statements.</w:t>
      </w:r>
    </w:p>
    <w:p>
      <w:pPr>
        <w:sectPr>
          <w:pgSz w:w="11880" w:h="15527" w:orient="portrait"/>
          <w:cols w:equalWidth="0" w:num="1">
            <w:col w:w="10260"/>
          </w:cols>
          <w:pgMar w:left="820" w:top="6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1880" w:h="15527" w:orient="portrait"/>
          <w:cols w:equalWidth="0" w:num="1">
            <w:col w:w="10260"/>
          </w:cols>
          <w:pgMar w:left="820" w:top="636" w:right="800" w:bottom="0" w:gutter="0" w:footer="0" w:header="0"/>
          <w:type w:val="continuous"/>
        </w:sectPr>
      </w:pPr>
    </w:p>
    <w:bookmarkStart w:id="65" w:name="page66"/>
    <w:bookmarkEnd w:id="65"/>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THE TORO COMPANY AND SUBSIDIARIES</w:t>
      </w:r>
    </w:p>
    <w:p>
      <w:pPr>
        <w:spacing w:after="0" w:line="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w:t>
      </w:r>
    </w:p>
    <w:p>
      <w:pPr>
        <w:spacing w:after="0" w:line="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6515100"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8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316.1</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418.9</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r>
      <w:tr>
        <w:trPr>
          <w:trHeight w:val="240"/>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from finance affiliate, net</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26.9</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112.2</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93.7</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34.5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81.1</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0"/>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109.3</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r>
      <w:tr>
        <w:trPr>
          <w:trHeight w:val="246"/>
        </w:trPr>
        <w:tc>
          <w:tcPr>
            <w:tcW w:w="5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13.4</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20"/>
        </w:trPr>
        <w:tc>
          <w:tcPr>
            <w:tcW w:w="5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662.0</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569.9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w:t>
            </w:r>
          </w:p>
        </w:tc>
      </w:tr>
      <w:tr>
        <w:trPr>
          <w:trHeight w:val="214"/>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insurance claim</w:t>
            </w:r>
          </w:p>
        </w:tc>
        <w:tc>
          <w:tcPr>
            <w:tcW w:w="8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net of cash received</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46"/>
        </w:trPr>
        <w:tc>
          <w:tcPr>
            <w:tcW w:w="5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Divestitures</w:t>
            </w:r>
          </w:p>
        </w:tc>
        <w:tc>
          <w:tcPr>
            <w:tcW w:w="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20"/>
        </w:trPr>
        <w:tc>
          <w:tcPr>
            <w:tcW w:w="5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r>
      <w:tr>
        <w:trPr>
          <w:trHeight w:val="214"/>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1"/>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under debt arrangements</w:t>
            </w:r>
            <w:r>
              <w:rPr>
                <w:rFonts w:ascii="Times New Roman" w:cs="Times New Roman" w:eastAsia="Times New Roman" w:hAnsi="Times New Roman"/>
                <w:sz w:val="20"/>
                <w:szCs w:val="20"/>
                <w:color w:val="auto"/>
                <w:vertAlign w:val="superscript"/>
              </w:rPr>
              <w:t>1</w:t>
            </w:r>
          </w:p>
        </w:tc>
        <w:tc>
          <w:tcPr>
            <w:tcW w:w="86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1,040.0</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465.0</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under debt arrangements</w:t>
            </w:r>
            <w:r>
              <w:rPr>
                <w:rFonts w:ascii="Times New Roman" w:cs="Times New Roman" w:eastAsia="Times New Roman" w:hAnsi="Times New Roman"/>
                <w:sz w:val="20"/>
                <w:szCs w:val="20"/>
                <w:color w:val="auto"/>
                <w:vertAlign w:val="superscript"/>
              </w:rPr>
              <w:t>1</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(1,040.0)</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w:t>
            </w:r>
          </w:p>
        </w:tc>
      </w:tr>
      <w:tr>
        <w:trPr>
          <w:trHeight w:val="209"/>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r>
      <w:tr>
        <w:trPr>
          <w:trHeight w:val="246"/>
        </w:trPr>
        <w:tc>
          <w:tcPr>
            <w:tcW w:w="5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0"/>
        </w:trPr>
        <w:tc>
          <w:tcPr>
            <w:tcW w:w="5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85"/>
        </w:trPr>
        <w:tc>
          <w:tcPr>
            <w:tcW w:w="59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r>
      <w:tr>
        <w:trPr>
          <w:trHeight w:val="220"/>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85"/>
        </w:trPr>
        <w:tc>
          <w:tcPr>
            <w:tcW w:w="59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r>
      <w:tr>
        <w:trPr>
          <w:trHeight w:val="220"/>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141.5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0"/>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199.5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193.1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00"/>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341.0</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199.5</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
        </w:trPr>
        <w:tc>
          <w:tcPr>
            <w:tcW w:w="59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14"/>
        </w:trPr>
        <w:tc>
          <w:tcPr>
            <w:tcW w:w="5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during the fiscal year for:</w:t>
            </w: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62.5</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63.0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46"/>
        </w:trPr>
        <w:tc>
          <w:tcPr>
            <w:tcW w:w="5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Income taxes</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106.4</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91.7</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-6631940</wp:posOffset>
            </wp:positionV>
            <wp:extent cx="6565900" cy="6651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65900" cy="6651625"/>
                    </a:xfrm>
                    <a:prstGeom prst="rect">
                      <a:avLst/>
                    </a:prstGeom>
                    <a:noFill/>
                  </pic:spPr>
                </pic:pic>
              </a:graphicData>
            </a:graphic>
          </wp:anchor>
        </w:drawing>
      </w:r>
    </w:p>
    <w:p>
      <w:pPr>
        <w:spacing w:after="0" w:line="38" w:lineRule="exact"/>
        <w:rPr>
          <w:sz w:val="20"/>
          <w:szCs w:val="20"/>
          <w:color w:val="auto"/>
        </w:rPr>
      </w:pPr>
    </w:p>
    <w:p>
      <w:pPr>
        <w:ind w:left="10" w:hanging="10"/>
        <w:spacing w:after="0" w:line="227" w:lineRule="auto"/>
        <w:tabs>
          <w:tab w:leader="none" w:pos="122"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Presentation of prior year revolving credit facility and long-term debt activity has been conformed to the current year presentation. There was no change to net cash used in financing activities.</w:t>
      </w:r>
    </w:p>
    <w:p>
      <w:pPr>
        <w:spacing w:after="0" w:line="1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financial statements should be read in conjunction with the Notes to Consolidated Financial Statements.</w:t>
      </w:r>
    </w:p>
    <w:p>
      <w:pPr>
        <w:sectPr>
          <w:pgSz w:w="11880" w:h="15528" w:orient="portrait"/>
          <w:cols w:equalWidth="0" w:num="1">
            <w:col w:w="10270"/>
          </w:cols>
          <w:pgMar w:left="810" w:top="6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60</w:t>
      </w:r>
    </w:p>
    <w:p>
      <w:pPr>
        <w:sectPr>
          <w:pgSz w:w="11880" w:h="15528" w:orient="portrait"/>
          <w:cols w:equalWidth="0" w:num="1">
            <w:col w:w="10270"/>
          </w:cols>
          <w:pgMar w:left="810" w:top="636" w:right="800" w:bottom="0" w:gutter="0" w:footer="0" w:header="0"/>
          <w:type w:val="continuous"/>
        </w:sectPr>
      </w:pPr>
    </w:p>
    <w:bookmarkStart w:id="66" w:name="page67"/>
    <w:bookmarkEnd w:id="66"/>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THE TORO COMPANY AND SUBSIDIARIES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Consolidated Statements of Stockholders' Equity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(Dollars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6515100"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108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12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108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5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104.0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1,280.8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21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paid on common stock - $1.36 per share</w:t>
            </w:r>
          </w:p>
        </w:tc>
        <w:tc>
          <w:tcPr>
            <w:tcW w:w="52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6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0" w:type="dxa"/>
            <w:vAlign w:val="bottom"/>
          </w:tcPr>
          <w:p>
            <w:pPr>
              <w:spacing w:after="0"/>
              <w:rPr>
                <w:sz w:val="1"/>
                <w:szCs w:val="1"/>
                <w:color w:val="auto"/>
              </w:rPr>
            </w:pPr>
          </w:p>
        </w:tc>
      </w:tr>
      <w:tr>
        <w:trPr>
          <w:trHeight w:val="18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499,145 shares of common stock under stock-based compensation</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6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plans, less contribution of 14,270 shares of common stock to a deferred</w:t>
            </w:r>
          </w:p>
        </w:tc>
        <w:tc>
          <w:tcPr>
            <w:tcW w:w="520" w:type="dxa"/>
            <w:vAlign w:val="bottom"/>
          </w:tcPr>
          <w:p>
            <w:pPr>
              <w:spacing w:after="0"/>
              <w:rPr>
                <w:sz w:val="13"/>
                <w:szCs w:val="13"/>
                <w:color w:val="auto"/>
              </w:rPr>
            </w:pP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3"/>
                <w:szCs w:val="13"/>
                <w:color w:val="auto"/>
              </w:rPr>
            </w:pPr>
          </w:p>
        </w:tc>
        <w:tc>
          <w:tcPr>
            <w:tcW w:w="10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19.3</w:t>
            </w:r>
          </w:p>
        </w:tc>
        <w:tc>
          <w:tcPr>
            <w:tcW w:w="160" w:type="dxa"/>
            <w:vAlign w:val="bottom"/>
          </w:tcPr>
          <w:p>
            <w:pPr>
              <w:spacing w:after="0"/>
              <w:rPr>
                <w:sz w:val="13"/>
                <w:szCs w:val="13"/>
                <w:color w:val="auto"/>
              </w:rPr>
            </w:pPr>
          </w:p>
        </w:tc>
        <w:tc>
          <w:tcPr>
            <w:tcW w:w="11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trust</w:t>
            </w:r>
          </w:p>
        </w:tc>
        <w:tc>
          <w:tcPr>
            <w:tcW w:w="5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611,195 shares of common stock</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6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6"/>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329.7</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103.8</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1,444.1</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paid on common stock - $1.44 per share</w:t>
            </w:r>
          </w:p>
        </w:tc>
        <w:tc>
          <w:tcPr>
            <w:tcW w:w="52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6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18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502,917 shares of common stock under stock-based compensation</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6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plans, less contribution of 54,526 shares of common stock to a deferred</w:t>
            </w:r>
          </w:p>
        </w:tc>
        <w:tc>
          <w:tcPr>
            <w:tcW w:w="520" w:type="dxa"/>
            <w:vAlign w:val="bottom"/>
          </w:tcPr>
          <w:p>
            <w:pPr>
              <w:spacing w:after="0"/>
              <w:rPr>
                <w:sz w:val="13"/>
                <w:szCs w:val="13"/>
                <w:color w:val="auto"/>
              </w:rPr>
            </w:pP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3"/>
                <w:szCs w:val="13"/>
                <w:color w:val="auto"/>
              </w:rPr>
            </w:pPr>
          </w:p>
        </w:tc>
        <w:tc>
          <w:tcPr>
            <w:tcW w:w="10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Pr>
          <w:p>
            <w:pPr>
              <w:spacing w:after="0"/>
              <w:rPr>
                <w:sz w:val="13"/>
                <w:szCs w:val="13"/>
                <w:color w:val="auto"/>
              </w:rPr>
            </w:pPr>
          </w:p>
        </w:tc>
        <w:tc>
          <w:tcPr>
            <w:tcW w:w="11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trust</w:t>
            </w:r>
          </w:p>
        </w:tc>
        <w:tc>
          <w:tcPr>
            <w:tcW w:w="5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2,819,729 shares of common stock</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6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46"/>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418.9</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101.5</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1,496.4</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1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paid on common stock - $1.52 per share</w:t>
            </w:r>
          </w:p>
        </w:tc>
        <w:tc>
          <w:tcPr>
            <w:tcW w:w="52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6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18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243,902 shares of common stock under stock-based compensation</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6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plans, less contribution of 8,673 shares of common stock to a deferred</w:t>
            </w:r>
          </w:p>
        </w:tc>
        <w:tc>
          <w:tcPr>
            <w:tcW w:w="520" w:type="dxa"/>
            <w:vAlign w:val="bottom"/>
          </w:tcPr>
          <w:p>
            <w:pPr>
              <w:spacing w:after="0"/>
              <w:rPr>
                <w:sz w:val="13"/>
                <w:szCs w:val="13"/>
                <w:color w:val="auto"/>
              </w:rPr>
            </w:pP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3"/>
                <w:szCs w:val="13"/>
                <w:color w:val="auto"/>
              </w:rPr>
            </w:pPr>
          </w:p>
        </w:tc>
        <w:tc>
          <w:tcPr>
            <w:tcW w:w="10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3"/>
                <w:szCs w:val="13"/>
                <w:color w:val="auto"/>
              </w:rPr>
            </w:pPr>
          </w:p>
        </w:tc>
        <w:tc>
          <w:tcPr>
            <w:tcW w:w="11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trust</w:t>
            </w:r>
          </w:p>
        </w:tc>
        <w:tc>
          <w:tcPr>
            <w:tcW w:w="5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w:t>
            </w:r>
          </w:p>
        </w:tc>
        <w:tc>
          <w:tcPr>
            <w:tcW w:w="16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3,819,227 shares of common stock</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6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46"/>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316.1</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0" w:type="dxa"/>
            <w:vAlign w:val="bottom"/>
          </w:tcPr>
          <w:p>
            <w:pPr>
              <w:spacing w:after="0"/>
              <w:rPr>
                <w:sz w:val="1"/>
                <w:szCs w:val="1"/>
                <w:color w:val="auto"/>
              </w:rPr>
            </w:pPr>
          </w:p>
        </w:tc>
      </w:tr>
      <w:tr>
        <w:trPr>
          <w:trHeight w:val="200"/>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5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97.9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1,390.5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-3996690</wp:posOffset>
            </wp:positionV>
            <wp:extent cx="6565900" cy="40163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65900" cy="401637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financial statements should be read in conjunction with the Notes to Consolidated Financial Statements.</w:t>
      </w:r>
    </w:p>
    <w:p>
      <w:pPr>
        <w:sectPr>
          <w:pgSz w:w="11880" w:h="15528" w:orient="portrait"/>
          <w:cols w:equalWidth="0" w:num="1">
            <w:col w:w="10260"/>
          </w:cols>
          <w:pgMar w:left="820" w:top="6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1880" w:h="15528" w:orient="portrait"/>
          <w:cols w:equalWidth="0" w:num="1">
            <w:col w:w="10260"/>
          </w:cols>
          <w:pgMar w:left="820" w:top="636" w:right="800" w:bottom="0" w:gutter="0" w:footer="0" w:header="0"/>
          <w:type w:val="continuous"/>
        </w:sectPr>
      </w:pPr>
    </w:p>
    <w:bookmarkStart w:id="67" w:name="page68"/>
    <w:bookmarkEnd w:id="67"/>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THE TORO COMPANY AND SUBSIDIARIES •</w:t>
      </w:r>
    </w:p>
    <w:p>
      <w:pPr>
        <w:spacing w:after="0" w:line="200" w:lineRule="exact"/>
        <w:rPr>
          <w:sz w:val="20"/>
          <w:szCs w:val="20"/>
          <w:color w:val="auto"/>
        </w:rPr>
      </w:pPr>
    </w:p>
    <w:p>
      <w:pPr>
        <w:spacing w:after="0" w:line="240" w:lineRule="exact"/>
        <w:rPr>
          <w:sz w:val="20"/>
          <w:szCs w:val="20"/>
          <w:color w:val="auto"/>
        </w:rPr>
      </w:pPr>
    </w:p>
    <w:p>
      <w:pPr>
        <w:ind w:left="660" w:right="5480" w:hanging="617"/>
        <w:spacing w:after="0" w:line="183" w:lineRule="auto"/>
        <w:tabs>
          <w:tab w:leader="none" w:pos="660" w:val="left"/>
        </w:tabs>
        <w:numPr>
          <w:ilvl w:val="0"/>
          <w:numId w:val="33"/>
        </w:numPr>
        <w:rPr>
          <w:rFonts w:ascii="Times New Roman" w:cs="Times New Roman" w:eastAsia="Times New Roman" w:hAnsi="Times New Roman"/>
          <w:sz w:val="39"/>
          <w:szCs w:val="39"/>
          <w:b w:val="1"/>
          <w:bCs w:val="1"/>
          <w:color w:val="auto"/>
        </w:rPr>
      </w:pPr>
      <w:r>
        <w:rPr>
          <w:rFonts w:ascii="Times New Roman" w:cs="Times New Roman" w:eastAsia="Times New Roman" w:hAnsi="Times New Roman"/>
          <w:sz w:val="19"/>
          <w:szCs w:val="19"/>
          <w:b w:val="1"/>
          <w:bCs w:val="1"/>
          <w:color w:val="auto"/>
        </w:rPr>
        <w:t>Summary of Significant Accounting Policies and Related Data</w:t>
      </w:r>
    </w:p>
    <w:p>
      <w:pPr>
        <w:spacing w:after="0" w:line="17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The company sells its products worldwide through a network of distributors, dealers, mass retailers, hardware retailers, equipment rental centers, and home centers, as well as online and direct to end-users. The company strives to provide innovative, well-built, and dependable products supported by an extensive service network.</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are the company's significant accounting policies in addition to those included in the other Notes to Consolidated Financial Statements included within this Part II, Item 8, "Financial Statements and Supplementary Data,"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 and Consolidation</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("GAAP") in the United States ("U.S.") and include the accounts of the company and its wholly-owned subsidiaries. In the opinion of management, the Consolidated Financial Statements include all adjustments, consisting primarily of recurring accruals, considered necessary for the fair presentation of the company's consolidated financial position, results of operations, and cash flows for the periods presented.</w:t>
      </w:r>
    </w:p>
    <w:p>
      <w:pPr>
        <w:spacing w:after="0" w:line="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The company's businesses are organized, managed, and internally grouped into segments based on similarities in products and services. The company classifies its operations into two reportable business segments: Professional and Residential. The company's remaining activities are presented as "Other" due to their insignificance. For additional information regarding the company's reportable business segments refer to Note 3, </w:t>
      </w:r>
      <w:r>
        <w:rPr>
          <w:rFonts w:ascii="Times New Roman" w:cs="Times New Roman" w:eastAsia="Times New Roman" w:hAnsi="Times New Roman"/>
          <w:sz w:val="20"/>
          <w:szCs w:val="20"/>
          <w:b w:val="1"/>
          <w:bCs w:val="1"/>
          <w:i w:val="1"/>
          <w:iCs w:val="1"/>
          <w:color w:val="auto"/>
        </w:rPr>
        <w:t>Segment Data</w:t>
      </w:r>
      <w:r>
        <w:rPr>
          <w:rFonts w:ascii="Times New Roman" w:cs="Times New Roman" w:eastAsia="Times New Roman" w:hAnsi="Times New Roman"/>
          <w:sz w:val="20"/>
          <w:szCs w:val="20"/>
          <w:color w:val="auto"/>
        </w:rPr>
        <w: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uses the equity method to account for equity investments in unconsolidated entities over which it has the ability to exercise significant influence over operating and financial policies. The company's share of the net earnings or losses of these equity method investments are recorded within other income, net on the Consolidated Statements of Earnings.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 intercompany accounts and transactions have been eliminated from the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Estimates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 for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and other relevant factors, as applicable.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ectPr>
          <w:pgSz w:w="11880" w:h="15528" w:orient="portrait"/>
          <w:cols w:equalWidth="0" w:num="1">
            <w:col w:w="10260"/>
          </w:cols>
          <w:pgMar w:left="820" w:top="6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1880" w:h="15528" w:orient="portrait"/>
          <w:cols w:equalWidth="0" w:num="1">
            <w:col w:w="10260"/>
          </w:cols>
          <w:pgMar w:left="820" w:top="646" w:right="800" w:bottom="0" w:gutter="0" w:footer="0" w:header="0"/>
          <w:type w:val="continuous"/>
        </w:sectPr>
      </w:pPr>
    </w:p>
    <w:bookmarkStart w:id="68" w:name="page69"/>
    <w:bookmarkEnd w:id="6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 and Asset Acquisitions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When applicable, the company accounts for the acquisition of a business in accordance with the accounting standards codification ("ASC") guidance for business combinations, whereby the total purchase consideration transferred is allocated to the assets acquired and liabilities assumed, including amounts attributable to non-controlling interests, when applicable, based on their respective estimated fair values as of the date of acquisition. Goodwill represents the excess of purchase consideration transferred over the estimated fair value of the identifiable net assets acquired in a business combination.</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Assigning estimated fair values to the net assets acquired requires the use of significant estimates, judgments, inputs, and assumptions regarding the fair value of the assets acquired and liabilities assumed. Estimated fair values of assets acquired and liabilities assumed are generally based on available historical information, independent valuations or appraisals,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 through impairment charges, if the asset becomes impaired in the future. During the measurement period, any purchase price allocation changes that impact the carrying value of goodwill would also affect the amount of goodwill impairment taken,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When an acquisition does not meet the definition of a business combination because either: (i) substantially all of the fair value of the gross assets acquired is concentrated in a single identifiable asset, or group of similar identified assets, or (ii) the acquired entity does not have an input and a substantive process that together significantly contribute to the ability to create outputs, the company accounts for the acquisition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8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color w:val="auto"/>
        </w:rPr>
        <w:t xml:space="preserve">Refer to Note 2, </w:t>
      </w:r>
      <w:r>
        <w:rPr>
          <w:rFonts w:ascii="Times New Roman" w:cs="Times New Roman" w:eastAsia="Times New Roman" w:hAnsi="Times New Roman"/>
          <w:sz w:val="20"/>
          <w:szCs w:val="20"/>
          <w:b w:val="1"/>
          <w:bCs w:val="1"/>
          <w:i w:val="1"/>
          <w:iCs w:val="1"/>
          <w:color w:val="auto"/>
        </w:rPr>
        <w:t>Acquisitions and Divestitures</w:t>
      </w:r>
      <w:r>
        <w:rPr>
          <w:rFonts w:ascii="Times New Roman" w:cs="Times New Roman" w:eastAsia="Times New Roman" w:hAnsi="Times New Roman"/>
          <w:sz w:val="20"/>
          <w:szCs w:val="20"/>
          <w:color w:val="auto"/>
        </w:rPr>
        <w:t>, for additional information regarding the company's accounting for recent business combinations and asset acquisitions.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an original maturity of three months or less to be cash equivalents. Cash equivalents are stated at cost, which approximates fair value. As of October 31, 2025 and 2024, cash and cash equivalents held by the company's foreign subsidiaries were $141.3 million and $136.0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Receivables, Net</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Receivables are recorded at original carrying amount less an estimated allowance for expected credit losses. The allowance for expected credit losses is based on the company's assessment of losses that will result from its customers inability or unwillingness to pay amounts owed to the company. The allowance for expected credit losses is estimated using a combination of factors, including the age of receivable balances and historical credit loss experience, supplemented by the company's knowledge of customer-specific information, current market conditions, and reasonable and supportable projections of future events and economic conditions, when applicable. Receivables are written-off against the allowance for expected credit losses when all collection efforts have been exhausted.</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 xml:space="preserve">The company's financial exposure related to the collection of accounts receivable is reduced due to its inventory financing arrangements, as further discussed in Note 11,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w:t>
      </w:r>
    </w:p>
    <w:p>
      <w:pPr>
        <w:spacing w:after="0" w:line="6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For receivables not serviced through inventory financing agreements, the company provides financing in the form of open account terms in the normal course of business and performs on-going credit evaluations of customers.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Concentrations of Credit Risk</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concentrations of credit risk, consist principally of accounts receivable and derivative instruments. Accounts receivable balances are generally concentrated in the Professional and Residential business segments, and more specifically in our mass channel and international customers. The credit risk associated with these concentrations is limited because of the large number of customers in the company's customer base and</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1880" w:h="15528" w:orient="portrait"/>
          <w:cols w:equalWidth="0" w:num="1">
            <w:col w:w="10260"/>
          </w:cols>
          <w:pgMar w:left="820" w:top="651" w:right="800" w:bottom="0" w:gutter="0" w:footer="0" w:header="0"/>
          <w:type w:val="continuous"/>
        </w:sectPr>
      </w:pPr>
    </w:p>
    <w:bookmarkStart w:id="69" w:name="page70"/>
    <w:bookmarkEnd w:id="69"/>
    <w:p>
      <w:pPr>
        <w:spacing w:after="0" w:line="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their geographic dispersion. The credit risk associated with the company's derivative instruments is limited as the company enters into derivative instruments with multiple counterparties that are highly rated financial institutions.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 Net</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uses a combination of inventory valuation methods. Most inventories are valued at the lower of cost or net realizable value, with cost determined by the first-in, first-out ("FIFO") and average cost methods; these inventories totaled $550.1 million and $557.1 million as of October 31, 2025 and 2024, respectively. Remaining inventories are valued at the lower of cost or market, with cost determined under the last-in, first-out ("LIFO") method; these inventories totaled $370.7 million and $481.8 million as of October 31, 2025 and 2024, respectively. LIFO layers were reduced by $8.1 million during fiscal 2025 and were not materially reduced during fiscal 2024.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The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 Such inventory valuation reserves for excess, obsolete, and slow moving inventory are not reduced or removed until the product is sold or disposed of. As of October 31, 2025 and 2024, the company's inventory valuation reserve for excess, slow-moving, and obsolete inventory was $60.5 million and $47.8 million,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net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3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3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353.1</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w:t>
            </w:r>
          </w:p>
        </w:tc>
      </w:tr>
      <w:tr>
        <w:trPr>
          <w:trHeight w:val="246"/>
        </w:trPr>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30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785.4</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w:t>
            </w:r>
          </w:p>
        </w:tc>
      </w:tr>
      <w:tr>
        <w:trPr>
          <w:trHeight w:val="214"/>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FIFO value</w:t>
            </w:r>
          </w:p>
        </w:tc>
        <w:tc>
          <w:tcPr>
            <w:tcW w:w="300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1,138.5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w:t>
            </w:r>
          </w:p>
        </w:tc>
      </w:tr>
      <w:tr>
        <w:trPr>
          <w:trHeight w:val="246"/>
        </w:trPr>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Excess of FIFO over LIFO cost</w:t>
            </w:r>
          </w:p>
        </w:tc>
        <w:tc>
          <w:tcPr>
            <w:tcW w:w="30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00"/>
        </w:trPr>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inventories, net</w:t>
            </w:r>
          </w:p>
        </w:tc>
        <w:tc>
          <w:tcPr>
            <w:tcW w:w="3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920.8</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1,038.9</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-805815</wp:posOffset>
            </wp:positionV>
            <wp:extent cx="6565900" cy="825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65900" cy="8255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Property, plant, and equipment assets are carried at cost less accumulated depreciation. The company generally accounts for depreciation of property, plant, and equipment utilizing the straight-line half year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Consolidated Statements of Earnings depending on the nature and use of the related asset. Interest is capitalized during the construction period for significant capital projects. During the fiscal years ended October 31, 2025, 2024, and 2023, the company capitalized $2.2 million, $3.1 million, and $4.2 million of interest,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plant and equipment, net was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8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78.3</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40"/>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8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414.4</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240"/>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8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715.6</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676.9</w:t>
            </w:r>
          </w:p>
        </w:tc>
      </w:tr>
      <w:tr>
        <w:trPr>
          <w:trHeight w:val="240"/>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Tooling</w:t>
            </w:r>
          </w:p>
        </w:tc>
        <w:tc>
          <w:tcPr>
            <w:tcW w:w="28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40"/>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8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46"/>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Construction in process</w:t>
            </w:r>
          </w:p>
        </w:tc>
        <w:tc>
          <w:tcPr>
            <w:tcW w:w="28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65.1</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4"/>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86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1,636.6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w:t>
            </w:r>
          </w:p>
        </w:tc>
      </w:tr>
      <w:tr>
        <w:trPr>
          <w:trHeight w:val="246"/>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8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1,020.8</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00"/>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615.8</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644.8</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-1415415</wp:posOffset>
            </wp:positionV>
            <wp:extent cx="6565900" cy="1435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65900" cy="1435100"/>
                    </a:xfrm>
                    <a:prstGeom prst="rect">
                      <a:avLst/>
                    </a:prstGeom>
                    <a:noFill/>
                  </pic:spPr>
                </pic:pic>
              </a:graphicData>
            </a:graphic>
          </wp:anchor>
        </w:drawing>
      </w:r>
    </w:p>
    <w:p>
      <w:pPr>
        <w:spacing w:after="0" w:line="1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fiscal 2025, 2024, and 2023, the company recorded depreciation expense of $112.2 million, $93.7 million, and $83.5 million, respectively.</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1880" w:h="15528" w:orient="portrait"/>
          <w:cols w:equalWidth="0" w:num="1">
            <w:col w:w="10260"/>
          </w:cols>
          <w:pgMar w:left="820" w:top="658" w:right="800" w:bottom="0" w:gutter="0" w:footer="0" w:header="0"/>
          <w:type w:val="continuous"/>
        </w:sectPr>
      </w:pPr>
    </w:p>
    <w:bookmarkStart w:id="70" w:name="page71"/>
    <w:bookmarkEnd w:id="70"/>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Indefinite-Lived Intangible Assets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Goodwill is assigned to a reporting unit based upon the expected benefit of the synergies of the acquisition. Goodwill and certain trade names, which are considered to have indefinite lives, are not amortized; however, the company reviews them for impairment annually during the fourth quarter of each fiscal year or more frequently if changes in circumstances or the occurrence of events indicate that impairment may have occurred prior to the annual assessment. The company tests goodwill for impairment at the reporting unit level and tests indefinite-lived intangible assets for impairment at the individual indefinite-lived intangible asset level. At the end of the third quarter of fiscal 2025, the company recorded an impairment charge of $81.1 million related to the indefinite-lived Spartan trade name intangible asset reported under the Professional segment. The impairment charge resulted in a $19.7 million income tax benefit (deferred tax asset) associated with the remaining tax deductible basis in the intangible asset. Refer to Note 5, </w:t>
      </w:r>
      <w:r>
        <w:rPr>
          <w:rFonts w:ascii="Times New Roman" w:cs="Times New Roman" w:eastAsia="Times New Roman" w:hAnsi="Times New Roman"/>
          <w:sz w:val="20"/>
          <w:szCs w:val="20"/>
          <w:b w:val="1"/>
          <w:bCs w:val="1"/>
          <w:i w:val="1"/>
          <w:iCs w:val="1"/>
          <w:color w:val="auto"/>
        </w:rPr>
        <w:t>Goodwill and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Intangible Assets </w:t>
      </w:r>
      <w:r>
        <w:rPr>
          <w:rFonts w:ascii="Times New Roman" w:cs="Times New Roman" w:eastAsia="Times New Roman" w:hAnsi="Times New Roman"/>
          <w:sz w:val="20"/>
          <w:szCs w:val="20"/>
          <w:color w:val="auto"/>
        </w:rPr>
        <w:t>for further information.</w:t>
      </w:r>
    </w:p>
    <w:p>
      <w:pPr>
        <w:spacing w:after="0" w:line="8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color w:val="auto"/>
        </w:rPr>
        <w:t xml:space="preserve">Based on a change made to our operating segments during the fourth quarter of fiscal 2025, as discussed in Note 3, </w:t>
      </w:r>
      <w:r>
        <w:rPr>
          <w:rFonts w:ascii="Times New Roman" w:cs="Times New Roman" w:eastAsia="Times New Roman" w:hAnsi="Times New Roman"/>
          <w:sz w:val="20"/>
          <w:szCs w:val="20"/>
          <w:b w:val="1"/>
          <w:bCs w:val="1"/>
          <w:i w:val="1"/>
          <w:iCs w:val="1"/>
          <w:color w:val="auto"/>
        </w:rPr>
        <w:t>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has identified eight operating segments. The company tested goodwill of the new reporting units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impairment both before and following the change in reporting unit structure, and no impairment was identified. Seven reporting units contained goodwill on their respective balance sheets as of October 31, 2025.</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fourth quarter of fiscal 2025, the company performed its annual goodwill impairment test. The company elected to bypass the qualitative assessment and move directly to the quantitative goodwill impairment analysis. In performing the quantitative goodwill impairment analysis, the company compared the carrying value of each reporting unit, including goodwill, to its respective fair value. The carrying value of each reporting unit was determined based on the amount of equity required for the reporting unit's activities, considering the specific assets and liabilities of the reporting unit. The company did 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based on a discounted cash flow model under the income approach, which utilized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rate. Where available, and as appropriate, comparable market multiples and the company's market capitalization were also utilized to corroborate the results of the discounted cash flow models under the income approach.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its fair value, not to exceed the total amount of goodwill allocated to that reporting unit. Based on the quantitative annual goodwill impairment analysis performed in the fourth quarter of fiscal 2025, the company determined there was no impairment of goodwill for any of its reporting units.</w:t>
      </w:r>
    </w:p>
    <w:p>
      <w:pPr>
        <w:spacing w:after="0" w:line="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During the fourth quarter of fiscal 2025, the company also performed a quantitative impairment analysis for its indefinite-lived intangible assets, which consist of certain trade names. The company's estimate of the fair values of its trade names are based on the relief from royalty method under the income approach and utilizes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If the fair value of the indefinite-lived intangible asset is less than its carrying value, an impairment loss is recognized in an amount equal to the excess. Based on this quantitative impairment analysis performed in the fourth quarter of fiscal 2025, the company concluded its indefinite-lived intangible assets were not impaired.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Long-Lived Assets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Other long-lived assets primarily consist of property, plant, and equipment; right-of-use assets associated with operating lease agreements; capitalized implementation costs for hosted cloud-computing arrangements; finite-lived intangible assets; and other assets, as applicable. The company's finite-lived intangible assets are identifiable assets that were acquired as a result of business combinations or asset acquisitions and primarily consist of customer relationships and lists, developed technology, patents, trade names, non-compete agreements, and order backlog and are generally amortized on a straight-line basis over their expected useful lives, which typically range from several months to 20 years depending on the nature of the finite-lived intangible asset.</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reviews other long-lived assets for impairment whenever events or changes in circumstances indicate that the carrying amount of an asset, or asset group, may not be recoverable. Asset groups have identifiable cash flows that are largely independent of other asset groups. An impairment loss is recognized when estimated discounted future cash flows from the operation or disposition of the asset group are less than the carrying amount of the asset group.</w:t>
      </w:r>
    </w:p>
    <w:p>
      <w:pPr>
        <w:sectPr>
          <w:pgSz w:w="11880" w:h="15528" w:orient="portrait"/>
          <w:cols w:equalWidth="0" w:num="1">
            <w:col w:w="10260"/>
          </w:cols>
          <w:pgMar w:left="820" w:top="651" w:right="800" w:bottom="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1880" w:h="15528" w:orient="portrait"/>
          <w:cols w:equalWidth="0" w:num="1">
            <w:col w:w="10260"/>
          </w:cols>
          <w:pgMar w:left="820" w:top="651" w:right="800" w:bottom="0" w:gutter="0" w:footer="0" w:header="0"/>
          <w:type w:val="continuous"/>
        </w:sectPr>
      </w:pPr>
    </w:p>
    <w:bookmarkStart w:id="71" w:name="page72"/>
    <w:bookmarkEnd w:id="71"/>
    <w:p>
      <w:pPr>
        <w:spacing w:after="0" w:line="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part of the company's annual review process, during the fourth quarter of fiscal 2025, the company elected to perform a quantitative impairment analysis for its asset groups. The company's estimate of the respective fair values of its asset groups was determined using the methods, inputs, and assumptions used in the goodwill impairment model. Based on this quantitative analysis, the company concluded that the fair values of all asset groups exceeded their respective carrying amounts, and therefore, no impairment was recognized. The company did not record an impairment loss for fiscal 2025, 2024, and 2023.</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other long-lived assets to be abandoned, the company tests for potential impairment. If the company commits to a plan to abandon or dispose of an other long-lived asset, or asset group, before the end of its previously estimated useful life, depreciation or amortization expense is recognized over the revised estimated useful life.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enters into contracts that are, or contain, operating lease agreements that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includes all non-cancelable periods.</w:t>
      </w:r>
    </w:p>
    <w:p>
      <w:pPr>
        <w:spacing w:after="0" w:line="8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The company has operating leases with both lease components and non-lease components. For purposes of determining lease payments,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 Minimum remaining lease payments are discounted to present value based on the rate implicit in the operating lease agreement or the estimated incremental borrowing rate at lease commencement if the rate implicit in the lease is not readily determinable. Minimum remaining lease payments are generally discounted to present value based the estimated incremental borrowing rate at lease commencement as the rate implicit in the lease is generally not readily determinable.</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Right-of-use assets represent the company's right to use an underlying asset throughout the lease term and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Lease expense for the company's operating leases is recognized on a straight-line basis over the lease term and is recorded within either cost of sales or selling, general and administrative expense in the Consolidated Statements of Earnings depending on the nature and use of the identified asset underlying the respective operating lease arrangement. The company does not recognize right-of-use assets and lease liabilities, but does recognize lease expense on a straight-line basis, for short-term operating leases which have a lease term of 12 months or less and do not include an option to purchase the underlying asset.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Payable</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October 31, 2025 and 2024, $68.8 million and $98.8 million, respectively, of the company's outstanding payment obligations were financed by participating suppliers through the third-party financial institution's supply chain finance web-based platform. These obligations are presented within accounts payable in the Consolidated Balance Sheets.</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1880" w:h="15528" w:orient="portrait"/>
          <w:cols w:equalWidth="0" w:num="1">
            <w:col w:w="10260"/>
          </w:cols>
          <w:pgMar w:left="820" w:top="658" w:right="800" w:bottom="0" w:gutter="0" w:footer="0" w:header="0"/>
          <w:type w:val="continuous"/>
        </w:sectPr>
      </w:pPr>
    </w:p>
    <w:bookmarkStart w:id="72" w:name="page73"/>
    <w:bookmarkEnd w:id="72"/>
    <w:p>
      <w:pPr>
        <w:spacing w:after="0" w:line="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roll forward of the company's outstanding payment obligations financed by participating suppliers through the third-party financial institution's supply chain finance web-based platform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33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14"/>
        </w:trPr>
        <w:tc>
          <w:tcPr>
            <w:tcW w:w="6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Additions, including foreign currency translation</w:t>
            </w:r>
          </w:p>
        </w:tc>
        <w:tc>
          <w:tcPr>
            <w:tcW w:w="3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r>
      <w:tr>
        <w:trPr>
          <w:trHeight w:val="246"/>
        </w:trPr>
        <w:tc>
          <w:tcPr>
            <w:tcW w:w="6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Payments</w:t>
            </w:r>
          </w:p>
        </w:tc>
        <w:tc>
          <w:tcPr>
            <w:tcW w:w="3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(470.7)</w:t>
            </w:r>
          </w:p>
        </w:tc>
      </w:tr>
      <w:tr>
        <w:trPr>
          <w:trHeight w:val="200"/>
        </w:trPr>
        <w:tc>
          <w:tcPr>
            <w:tcW w:w="6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33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-501015</wp:posOffset>
            </wp:positionV>
            <wp:extent cx="6565900" cy="52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65900" cy="52070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Insurance</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 as applicable.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Warranty Guarantees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w:t>
      </w:r>
    </w:p>
    <w:p>
      <w:pPr>
        <w:spacing w:after="0" w:line="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At the time of sale, the company recognizes expense and records an accrual by product line for estimated costs in connection with projected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accrued warranties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1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150.2</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143.9</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14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87.9</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77.0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1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r>
      <w:tr>
        <w:trPr>
          <w:trHeight w:val="246"/>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1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0"/>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1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152.2</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150.2</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-805815</wp:posOffset>
            </wp:positionV>
            <wp:extent cx="6565900" cy="825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65900" cy="8255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 and Hedging Activities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Derivative instruments, consisting primarily of forward currency contracts, are used to hedge most foreign currency transactions, including projected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1880" w:h="15527" w:orient="portrait"/>
          <w:cols w:equalWidth="0" w:num="1">
            <w:col w:w="10260"/>
          </w:cols>
          <w:pgMar w:left="820" w:top="658" w:right="800" w:bottom="0" w:gutter="0" w:footer="0" w:header="0"/>
          <w:type w:val="continuous"/>
        </w:sectPr>
      </w:pPr>
    </w:p>
    <w:bookmarkStart w:id="73" w:name="page74"/>
    <w:bookmarkEnd w:id="73"/>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 and Transactions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functional currency of the company's foreign operations is generally the applicable local currency. The functional currency is translated into U.S. dollars using the respective current exchange rate in effect as of the balance sheet date for balance sheet accounts and the respective weighted-average exchange rate during the fiscal year for revenue and expense accounts. The resulting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Consolidated Balance Sheets as a direct deduction from the carrying amount of the outstanding borrowings, consistent with debt discounts. However, the company classifies the debt issuance costs related to its $900.0 million five-year senior unsecured revolving credit facility ("revolving credit facility") within other assets on the Consolidated Balance Sheets, regardless of whether the company has any outstanding borrowings on the revolving credit facility. Debt issuance costs related to borrowings that are fully extinguished in advance of the maturity date are charged to expense at the time of retirement of the borrowings. Debt issuance costs, net of accumulated amortization, were $4.5 million and $4.6 million as of October 31, 2025 and 2024,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believes it has reflected the necessary deferred tax assets and liabilities in the 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recognizes the effect of income tax positions only if it is more likely than not that those positions will be sustained. Recognized income tax positions are measured at the largest amount that is greater than 50.0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3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company's primary source of revenue is generated through the sale of equipment and irrigation products, as well as rendering of services to its customers. As a result, the company enters into contracts with its customers for the sale of products or rendering of services in the ordinary course of business, which generally occurs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as a result of variable consideration. Variable consideration is recorded at the time revenue is recognized as a reduction of the transaction price and typically occurs as a result of certain of the company's sales promotion and incentive programs offered to customers that are determined to represent price concessions, as well as anticipated product returns, when applicable.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Promotions and Incentives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the time revenue is recognized, the company records a reduction of the transaction price for the variable consideration associated with certain of the company's sales promotions and incentives programs offered to customers that are determined to represent price concessions. The expense of each sales promotion and incentive program is classified as a reduction from gross</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1880" w:h="15528" w:orient="portrait"/>
          <w:cols w:equalWidth="0" w:num="1">
            <w:col w:w="10260"/>
          </w:cols>
          <w:pgMar w:left="820" w:top="651" w:right="800" w:bottom="0" w:gutter="0" w:footer="0" w:header="0"/>
          <w:type w:val="continuous"/>
        </w:sectPr>
      </w:pPr>
    </w:p>
    <w:bookmarkStart w:id="74" w:name="page75"/>
    <w:bookmarkEnd w:id="74"/>
    <w:p>
      <w:pPr>
        <w:spacing w:after="0" w:line="47"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sales or as a component of selling, general and administrative expense within the Consolidated Statements of Earnings when revenue is recognized, depending on the nature of the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provided to the customer or (ii) the company anticipates future costs based on historical or expected future business practice for which the company does not receive a distinct good or service in exchange for the future consideration provided to the customer under the program. In other circumstances, the anticipated future cost of a program based on historical or expected future business practice is recorded as selling, general and administrative expense because the company receives a distinct good or service in exchange for the future consideration provided to the customer under the program.</w:t>
      </w:r>
    </w:p>
    <w:p>
      <w:pPr>
        <w:spacing w:after="0" w:line="96"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Examples of significant sales promotions and incentive programs that are considered to be variable consideration because the cost of the program is classified as a reduction from gross sales are as follows:</w:t>
      </w:r>
    </w:p>
    <w:p>
      <w:pPr>
        <w:spacing w:after="0" w:line="57" w:lineRule="exact"/>
        <w:rPr>
          <w:sz w:val="20"/>
          <w:szCs w:val="20"/>
          <w:color w:val="auto"/>
        </w:rPr>
      </w:pPr>
    </w:p>
    <w:p>
      <w:pPr>
        <w:jc w:val="both"/>
        <w:ind w:left="370" w:right="20" w:hanging="370"/>
        <w:spacing w:after="0" w:line="258" w:lineRule="auto"/>
        <w:tabs>
          <w:tab w:leader="none" w:pos="37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Off-Invoice Discounts: </w:t>
      </w:r>
      <w:r>
        <w:rPr>
          <w:rFonts w:ascii="Times New Roman" w:cs="Times New Roman" w:eastAsia="Times New Roman" w:hAnsi="Times New Roman"/>
          <w:sz w:val="20"/>
          <w:szCs w:val="20"/>
          <w:color w:val="auto"/>
        </w:rPr>
        <w:t>The company's off-invoice discounts represent an immediate reduction in the selling price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products that is realized at the time of sale with no anticipated future cost or consideration provided to the customer.</w:t>
      </w:r>
    </w:p>
    <w:p>
      <w:pPr>
        <w:spacing w:after="0" w:line="2" w:lineRule="exact"/>
        <w:rPr>
          <w:rFonts w:ascii="Times New Roman" w:cs="Times New Roman" w:eastAsia="Times New Roman" w:hAnsi="Times New Roman"/>
          <w:sz w:val="20"/>
          <w:szCs w:val="20"/>
          <w:b w:val="1"/>
          <w:bCs w:val="1"/>
          <w:color w:val="auto"/>
        </w:rPr>
      </w:pPr>
    </w:p>
    <w:p>
      <w:pPr>
        <w:jc w:val="both"/>
        <w:ind w:left="370" w:hanging="370"/>
        <w:spacing w:after="0" w:line="250" w:lineRule="auto"/>
        <w:tabs>
          <w:tab w:leader="none" w:pos="37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Rebate Programs: </w:t>
      </w:r>
      <w:r>
        <w:rPr>
          <w:rFonts w:ascii="Times New Roman" w:cs="Times New Roman" w:eastAsia="Times New Roman" w:hAnsi="Times New Roman"/>
          <w:sz w:val="20"/>
          <w:szCs w:val="20"/>
          <w:color w:val="auto"/>
        </w:rPr>
        <w:t>The company's rebate programs are generally based on claims submitted from either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 customers or end-users of the company's products or are based on purchase or retail sales goals for the company's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the company's selling price. Consideration is typically provided to the company's customers for the company's rebate programs after the initial sale of the company's products to the company's direct customers and thus, there is generally an anticipated future cost at the time revenue is recognized based on historical and expected future business practice.</w:t>
      </w:r>
    </w:p>
    <w:p>
      <w:pPr>
        <w:spacing w:after="0" w:line="3" w:lineRule="exact"/>
        <w:rPr>
          <w:rFonts w:ascii="Times New Roman" w:cs="Times New Roman" w:eastAsia="Times New Roman" w:hAnsi="Times New Roman"/>
          <w:sz w:val="20"/>
          <w:szCs w:val="20"/>
          <w:b w:val="1"/>
          <w:bCs w:val="1"/>
          <w:color w:val="auto"/>
        </w:rPr>
      </w:pPr>
    </w:p>
    <w:p>
      <w:pPr>
        <w:jc w:val="both"/>
        <w:ind w:left="370" w:hanging="370"/>
        <w:spacing w:after="0" w:line="252" w:lineRule="auto"/>
        <w:tabs>
          <w:tab w:leader="none" w:pos="37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Financing Programs: </w:t>
      </w:r>
      <w:r>
        <w:rPr>
          <w:rFonts w:ascii="Times New Roman" w:cs="Times New Roman" w:eastAsia="Times New Roman" w:hAnsi="Times New Roman"/>
          <w:sz w:val="20"/>
          <w:szCs w:val="20"/>
          <w:color w:val="auto"/>
        </w:rPr>
        <w:t>The company's financing programs consist of inventory financing arrangements with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institutions and end-user financing. Costs incurred for inventory financing arrangements represent dealer and distributor financing costs shared by the company for a pre-established length of time based on a predefined rate from the contract between the company and the financial institution to finance dealer and distributor inventory purchases. Inventory financing arrangement costs were $79.4 million, $100.9 million, and $114.7 million for the fiscal years ended October 31, 2025, 2024, and 2023, respectively. End-user financing is offered to end-user customers under which the company, at its discretion, may pay a portion of interest costs on behalf of end-users for financing purchases of the company's equipment.</w:t>
      </w:r>
    </w:p>
    <w:p>
      <w:pPr>
        <w:spacing w:after="0" w:line="89"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Examples of significant sales promotions and incentive programs that are not considered to be variable consideration because the cost of the program is classified as a component of selling, general, and administrative expense are as follows:</w:t>
      </w:r>
    </w:p>
    <w:p>
      <w:pPr>
        <w:spacing w:after="0" w:line="57" w:lineRule="exact"/>
        <w:rPr>
          <w:sz w:val="20"/>
          <w:szCs w:val="20"/>
          <w:color w:val="auto"/>
        </w:rPr>
      </w:pPr>
    </w:p>
    <w:p>
      <w:pPr>
        <w:jc w:val="both"/>
        <w:ind w:left="370" w:right="20" w:hanging="370"/>
        <w:spacing w:after="0" w:line="254" w:lineRule="auto"/>
        <w:tabs>
          <w:tab w:leader="none" w:pos="37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Commissions Paid to Distributors and Dealers: </w:t>
      </w:r>
      <w:r>
        <w:rPr>
          <w:rFonts w:ascii="Times New Roman" w:cs="Times New Roman" w:eastAsia="Times New Roman" w:hAnsi="Times New Roman"/>
          <w:sz w:val="20"/>
          <w:szCs w:val="20"/>
          <w:color w:val="auto"/>
        </w:rPr>
        <w:t>For certain products, the company uses a distribution network of dealers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distributors that purchase and take possession of products for sale to the end customer. The company also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 In addition, TTC dealers are often paid a commission to set up and deliver riding product purchased at certain mass retail and home centers.</w:t>
      </w:r>
    </w:p>
    <w:p>
      <w:pPr>
        <w:jc w:val="both"/>
        <w:ind w:left="370" w:right="20" w:hanging="370"/>
        <w:spacing w:after="0" w:line="253" w:lineRule="auto"/>
        <w:tabs>
          <w:tab w:leader="none" w:pos="37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Cooperative Advertising: </w:t>
      </w:r>
      <w:r>
        <w:rPr>
          <w:rFonts w:ascii="Times New Roman" w:cs="Times New Roman" w:eastAsia="Times New Roman" w:hAnsi="Times New Roman"/>
          <w:sz w:val="20"/>
          <w:szCs w:val="20"/>
          <w:color w:val="auto"/>
        </w:rPr>
        <w:t>Cooperative advertising programs are based on advertising costs incurred by distributors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dealers for promoting the 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90"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Regardless of classification of the cost of the sales promotion and incentive program within the Consolidated Statements of Earnings, the company records an accrual within the Consolidated Balance Sheets for the estimated future expense of certain of its sales promotion and incentive programs for which the company anticipates a future cost based on historical or expected future business practice by using the expected value method and applying the portfolio approach practical expedient under the accounting standards codification guidance for revenue from contracts with customers. Under such approach, the company's determination of variable consideration and the related accrual associated with the estimated expense of certain of the company's sales promotions and incentives programs is primarily based on the terms of the sales arrangements and sales promotion and incentive programs with customers, historical payment and rebate claims experience, field inventory levels,</w:t>
      </w:r>
    </w:p>
    <w:p>
      <w:pPr>
        <w:sectPr>
          <w:pgSz w:w="11880" w:h="15527"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69</w:t>
      </w:r>
    </w:p>
    <w:p>
      <w:pPr>
        <w:sectPr>
          <w:pgSz w:w="11880" w:h="15527" w:orient="portrait"/>
          <w:cols w:equalWidth="0" w:num="1">
            <w:col w:w="10270"/>
          </w:cols>
          <w:pgMar w:left="810" w:top="658" w:right="800" w:bottom="0" w:gutter="0" w:footer="0" w:header="0"/>
          <w:type w:val="continuous"/>
        </w:sectPr>
      </w:pPr>
    </w:p>
    <w:bookmarkStart w:id="75" w:name="page76"/>
    <w:bookmarkEnd w:id="75"/>
    <w:p>
      <w:pPr>
        <w:spacing w:after="0" w:line="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quantity or mix of products purchased, projected sales volumes, types of programs offered, and expectations for the acceptance of sales promotion and incentive programs offered in the future or changes in other relevant trends.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Sales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Cost of sales is primarily comprised of direct materials and supplies consumed to manufacture the company's products, as well as compensations costs for manufacturing labor and direct overhead expense necessary to convert direct materials and supplies into finished product. Cost of sales also includes freight costs for the procurement of direct materials and supplies and shipping products to customers; charges associated with inventory valuation adjustments for excess, slow-moving, and obsolete inventory; depreciation and amortization expense on manufacturing-related tangible and intangible assets; operating lease expense related to leased manufacturing assets; cost of services provided; cash discounts on payments to vendors, and other manufacturing-related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Selling, general and administrative expense is primarily comprised of compensation costs for non-manufacturing labor, occupancy and operating costs of distribution and corporate facilities, warranty expense, depreciation and amortization expense on non-manufacturing tangible and intangible assets, operating lease expense related to leased non-manufacturing assets; advertising, marketing, and selling expenses, engineering and research costs, information systems costs, and other miscellaneous administrative costs, such as legal costs for internal and outside services that are expensed as incurred.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Advertising Expense</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General advertising costs are expensed in the period incurred. Cooperative advertising represents expenditures for shared advertising costs that the company reimburses to customers and is classified as a component of selling, general and administrative expense within the Consolidated Statements of Earnings. These obligations are accrued and expensed when the related revenues are recognized in accordance with the sales promotion and incentive programs established for certain product lines. Advertising costs were $66.4 million, $69.5 million, and $77.6 million for the fiscal years ended October 31, 2025, 2024, and 2023,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Engineering and Research Expense</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company's engineering and research costs are expensed as incurred as a component of selling, general and administrative expense within the Consolidated Statements of Earnings and are primarily incurred in connection with the development of new products that may have additional applications or represent extensions of existing product lines, improvements or enhancements to existing products, and cost reduction efforts. Costs incurred for engineering and research activities were $162.3 million, $173.1 million, and $173.9 million for the fiscal years ended October 31, 2025, 2024, and 2023,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 xml:space="preserve">The company's stock-based compensation awards are generally granted to executive officers, other employees, and non-employee members of the company's Board of Directors ("Board"), and include unrestricted common stock awards, performance share awards that are contingent on the achievement of performance goals of the company, non-qualified stock options, and restricted stock units. Generally, compensation expense equal to the grant date fair value determined under the Black-Scholes valuation method is recognized for these awards over the vesting period and is classified in selling, general and administrative expense within the Consolidated Statements of Earnings. For stock options and restricted stock units, expense recognized for other employees not considered executive officers and non-employee Board members is net of estimated forfeitures, which is based on historical forfeiture experience. Stock options granted to executive officers and other employees are subject to accelerated expensing if the option holder meets the retirement definition set forth in the applicable equity and incentive plan document.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For additional information on The Toro Company 2022 Equity and Incentive Plan, refer to Note 9, </w:t>
      </w:r>
      <w:r>
        <w:rPr>
          <w:rFonts w:ascii="Times New Roman" w:cs="Times New Roman" w:eastAsia="Times New Roman" w:hAnsi="Times New Roman"/>
          <w:sz w:val="20"/>
          <w:szCs w:val="20"/>
          <w:b w:val="1"/>
          <w:bCs w:val="1"/>
          <w:i w:val="1"/>
          <w:iCs w:val="1"/>
          <w:color w:val="auto"/>
        </w:rPr>
        <w:t>Stock-Based Compensation</w:t>
      </w:r>
      <w:r>
        <w:rPr>
          <w:rFonts w:ascii="Times New Roman" w:cs="Times New Roman" w:eastAsia="Times New Roman" w:hAnsi="Times New Roman"/>
          <w:sz w:val="20"/>
          <w:szCs w:val="20"/>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Net</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Other income, net primarily consists of the company's proportionate share of income or losses from Red Iron, gains or losses on divestitures, realized foreign currency exchange rate gains and losses, interest and dividend income, gains or losses recognized on actuarial valuation changes for our pension and post-retirement plans, retail financing revenue, and other miscellaneous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Earnings Per Share</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Basic net earnings per share is calculated as net earnings available to common stockholders divided by the weighted-average number of shares of common stock outstanding during the year plus the assumed issuance of contingent shares related to</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1880" w:h="15527" w:orient="portrait"/>
          <w:cols w:equalWidth="0" w:num="1">
            <w:col w:w="10260"/>
          </w:cols>
          <w:pgMar w:left="820" w:top="658" w:right="800" w:bottom="0" w:gutter="0" w:footer="0" w:header="0"/>
          <w:type w:val="continuous"/>
        </w:sectPr>
      </w:pPr>
    </w:p>
    <w:bookmarkStart w:id="76" w:name="page77"/>
    <w:bookmarkEnd w:id="76"/>
    <w:p>
      <w:pPr>
        <w:spacing w:after="0" w:line="4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performance share awards under the company's equity and incentive plans.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Reconciliations of basic and diluted weighted-average shares of common stock outstanding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19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9"/>
        </w:trPr>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w w:val="95"/>
              </w:rPr>
              <w:t>Basic</w:t>
            </w:r>
          </w:p>
        </w:tc>
        <w:tc>
          <w:tcPr>
            <w:tcW w:w="554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1"/>
        </w:trPr>
        <w:tc>
          <w:tcPr>
            <w:tcW w:w="4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w:t>
            </w:r>
          </w:p>
        </w:tc>
        <w:tc>
          <w:tcPr>
            <w:tcW w:w="1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99.5</w:t>
            </w: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103.8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00"/>
        </w:trPr>
        <w:tc>
          <w:tcPr>
            <w:tcW w:w="4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99.5</w:t>
            </w: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103.8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5900" w:type="dxa"/>
            <w:vAlign w:val="bottom"/>
            <w:tcBorders>
              <w:bottom w:val="single" w:sz="8" w:color="auto"/>
            </w:tcBorders>
            <w:gridSpan w:val="3"/>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Diluted</w:t>
            </w:r>
          </w:p>
        </w:tc>
        <w:tc>
          <w:tcPr>
            <w:tcW w:w="19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4"/>
        </w:trPr>
        <w:tc>
          <w:tcPr>
            <w:tcW w:w="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9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99.5</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103.8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46"/>
        </w:trPr>
        <w:tc>
          <w:tcPr>
            <w:tcW w:w="40" w:type="dxa"/>
            <w:vAlign w:val="bottom"/>
            <w:tcBorders>
              <w:bottom w:val="single" w:sz="8" w:color="auto"/>
            </w:tcBorders>
          </w:tcPr>
          <w:p>
            <w:pPr>
              <w:spacing w:after="0"/>
              <w:rPr>
                <w:sz w:val="21"/>
                <w:szCs w:val="21"/>
                <w:color w:val="auto"/>
              </w:rPr>
            </w:pPr>
          </w:p>
        </w:tc>
        <w:tc>
          <w:tcPr>
            <w:tcW w:w="5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0.6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0"/>
        </w:trPr>
        <w:tc>
          <w:tcPr>
            <w:tcW w:w="4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99.8</w:t>
            </w: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104.4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-1177290</wp:posOffset>
            </wp:positionV>
            <wp:extent cx="6565900" cy="1196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65900" cy="1196975"/>
                    </a:xfrm>
                    <a:prstGeom prst="rect">
                      <a:avLst/>
                    </a:prstGeom>
                    <a:noFill/>
                  </pic:spPr>
                </pic:pic>
              </a:graphicData>
            </a:graphic>
          </wp:anchor>
        </w:drawing>
      </w:r>
    </w:p>
    <w:p>
      <w:pPr>
        <w:spacing w:after="0" w:line="1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Incremental shares from stock options and restricted stock units are computed under the treasury stock method. Stock option awards to purchase 2,105,818, 1,738,948, and 573,662 shares of common stock during fiscal 2025, 2024, and 2023, respectively, were excluded from the computation of diluted net earnings per share of common stock because they were anti-dilutive.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September 2025, the Financial Accounting Standards Board ("FASB") issued accounting standard update ("ASU") No. 2025-06, Intangibles—Goodwill and Other—Internal-Use Software (Subtopic 350-40): Targeted Improvements to the Accounting for Internal-Use Software, which is intended to modernize the accounting for software costs that are accounted for under Subtopic 350-40 by replacing the stage-based model with a principles-based approach. The amended guidance will become effective for the company's fiscal 2029 annual period and interim periods beginning with the first quarter of fiscal 2029. Early adoption is permitted. The company is currently evaluating the impact of this new standard on its Consolidated Financial Statements and related disclosures.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July 2025, the FASB issued ASU No. 2025-05, Financial Instruments—Credit Losses (Topic 326): Measurement of Credit Losses for Accounts Receivable and Contract Assets, which is intended to improve guidance on the measurement of credit losses on accounts receivable and contract assets. The amended guidance is optional and, if the company elects the practical expedient and accounting policy election, will become effective for the company's fiscal 2027 annual period and interim periods beginning with the first quarter of fiscal 2027. Early adoption is permitted. The company is currently evaluating the impact of this new standard on its Consolidated Financial Statements and related disclosures.</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Consolidated Financial Statements and related disclosures.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Consolidated Financial Statements and related disclosures.</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1880" w:h="15527" w:orient="portrait"/>
          <w:cols w:equalWidth="0" w:num="1">
            <w:col w:w="10260"/>
          </w:cols>
          <w:pgMar w:left="820" w:top="658" w:right="800" w:bottom="0" w:gutter="0" w:footer="0" w:header="0"/>
          <w:type w:val="continuous"/>
        </w:sectPr>
      </w:pPr>
    </w:p>
    <w:bookmarkStart w:id="77" w:name="page78"/>
    <w:bookmarkEnd w:id="77"/>
    <w:p>
      <w:pPr>
        <w:spacing w:after="0" w:line="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 guidance was adopted for the company's fiscal 2025 annual period and did not have a material impact on the company's Consolidated Financial Statements. For additional information regarding the company's reportable segments disclosure, refer to Note 3, </w:t>
      </w:r>
      <w:r>
        <w:rPr>
          <w:rFonts w:ascii="Times New Roman" w:cs="Times New Roman" w:eastAsia="Times New Roman" w:hAnsi="Times New Roman"/>
          <w:sz w:val="20"/>
          <w:szCs w:val="20"/>
          <w:b w:val="1"/>
          <w:bCs w:val="1"/>
          <w:i w:val="1"/>
          <w:iCs w:val="1"/>
          <w:color w:val="auto"/>
        </w:rPr>
        <w:t>Segment Data.</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Consolidated Financial Statements. The rollforward required by this standard was adopted for the fiscal 2025 annual period in this Annual Report on Form 10-K. For additional information regarding the company's supplier finance program, refer to the "Accounts Payable" subsection of Note 1, </w:t>
      </w:r>
      <w:r>
        <w:rPr>
          <w:rFonts w:ascii="Times New Roman" w:cs="Times New Roman" w:eastAsia="Times New Roman" w:hAnsi="Times New Roman"/>
          <w:sz w:val="19"/>
          <w:szCs w:val="19"/>
          <w:b w:val="1"/>
          <w:bCs w:val="1"/>
          <w:i w:val="1"/>
          <w:iCs w:val="1"/>
          <w:color w:val="auto"/>
        </w:rPr>
        <w:t>Summary of Significant Accounting Policies and Related Data</w:t>
      </w:r>
      <w:r>
        <w:rPr>
          <w:rFonts w:ascii="Times New Roman" w:cs="Times New Roman" w:eastAsia="Times New Roman" w:hAnsi="Times New Roman"/>
          <w:sz w:val="19"/>
          <w:szCs w:val="19"/>
          <w:color w:val="auto"/>
        </w:rPr>
        <w:t>.</w:t>
      </w:r>
    </w:p>
    <w:p>
      <w:pPr>
        <w:spacing w:after="0" w:line="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believes that all other recently issued accounting pronouncements from the FASB that the company has not noted above will not have a material impact on its Consolidated Financial Statements or do not apply to its operations.</w:t>
      </w:r>
    </w:p>
    <w:p>
      <w:pPr>
        <w:spacing w:after="0" w:line="100" w:lineRule="exact"/>
        <w:rPr>
          <w:sz w:val="20"/>
          <w:szCs w:val="20"/>
          <w:color w:val="auto"/>
        </w:rPr>
      </w:pPr>
    </w:p>
    <w:p>
      <w:pPr>
        <w:ind w:left="660" w:hanging="617"/>
        <w:spacing w:after="0"/>
        <w:tabs>
          <w:tab w:leader="none" w:pos="660" w:val="left"/>
        </w:tabs>
        <w:numPr>
          <w:ilvl w:val="0"/>
          <w:numId w:val="36"/>
        </w:numPr>
        <w:rPr>
          <w:rFonts w:ascii="Times New Roman" w:cs="Times New Roman" w:eastAsia="Times New Roman" w:hAnsi="Times New Roman"/>
          <w:sz w:val="48"/>
          <w:szCs w:val="48"/>
          <w:b w:val="1"/>
          <w:bCs w:val="1"/>
          <w:color w:val="auto"/>
        </w:rPr>
      </w:pPr>
      <w:r>
        <w:rPr>
          <w:rFonts w:ascii="Times New Roman" w:cs="Times New Roman" w:eastAsia="Times New Roman" w:hAnsi="Times New Roman"/>
          <w:sz w:val="22"/>
          <w:szCs w:val="22"/>
          <w:b w:val="1"/>
          <w:bCs w:val="1"/>
          <w:color w:val="auto"/>
        </w:rPr>
        <w:t>Acquisitions and Divestitures</w:t>
      </w:r>
    </w:p>
    <w:p>
      <w:pPr>
        <w:spacing w:after="0" w:line="62" w:lineRule="exact"/>
        <w:rPr>
          <w:rFonts w:ascii="Times New Roman" w:cs="Times New Roman" w:eastAsia="Times New Roman" w:hAnsi="Times New Roman"/>
          <w:sz w:val="48"/>
          <w:szCs w:val="48"/>
          <w:b w:val="1"/>
          <w:bCs w:val="1"/>
          <w:color w:val="auto"/>
        </w:rPr>
      </w:pPr>
    </w:p>
    <w:p>
      <w:pPr>
        <w:spacing w:after="0"/>
        <w:rPr>
          <w:rFonts w:ascii="Times New Roman" w:cs="Times New Roman" w:eastAsia="Times New Roman" w:hAnsi="Times New Roman"/>
          <w:sz w:val="48"/>
          <w:szCs w:val="48"/>
          <w:b w:val="1"/>
          <w:bCs w:val="1"/>
          <w:color w:val="auto"/>
        </w:rPr>
      </w:pPr>
      <w:r>
        <w:rPr>
          <w:rFonts w:ascii="Times New Roman" w:cs="Times New Roman" w:eastAsia="Times New Roman" w:hAnsi="Times New Roman"/>
          <w:sz w:val="20"/>
          <w:szCs w:val="20"/>
          <w:b w:val="1"/>
          <w:bCs w:val="1"/>
          <w:color w:val="auto"/>
        </w:rPr>
        <w:t>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Distributor Acquisition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February 3, 2025, during the second quarter of fiscal 2025, the company completed the acquisition of certain technology assets and substantially all of the assets of, and assumed certain liabilities for, a U.S. based distributor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second quarter of fiscal 2025. Additional purchase accounting disclosures have been omitted due to immateriality of this acquisition in relation to the company's Consolidated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Divestitures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Auger Boring</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third quarter of fiscal 2025, the company completed the sale of assets related to the auger boring product line, a subset of the American Augers brand. The financial results have historically been included in the company's Professional segment. The divestiture was immaterial in relation to the company's Consolidated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Trencor</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third quarter of fiscal 2025, the company completed the sale of assets related to the Trencor brand. The financial results have historically been included in the company's Professional segment. The divestiture was immaterial in relation to the company's Consolidated Financial Condition and Results of Operations.</w:t>
      </w:r>
    </w:p>
    <w:p>
      <w:pPr>
        <w:spacing w:after="0" w:line="114" w:lineRule="exact"/>
        <w:rPr>
          <w:sz w:val="20"/>
          <w:szCs w:val="20"/>
          <w:color w:val="auto"/>
        </w:rPr>
      </w:pPr>
    </w:p>
    <w:p>
      <w:pPr>
        <w:ind w:left="660" w:hanging="617"/>
        <w:spacing w:after="0"/>
        <w:tabs>
          <w:tab w:leader="none" w:pos="660" w:val="left"/>
        </w:tabs>
        <w:numPr>
          <w:ilvl w:val="0"/>
          <w:numId w:val="37"/>
        </w:numPr>
        <w:rPr>
          <w:rFonts w:ascii="Times New Roman" w:cs="Times New Roman" w:eastAsia="Times New Roman" w:hAnsi="Times New Roman"/>
          <w:sz w:val="48"/>
          <w:szCs w:val="48"/>
          <w:b w:val="1"/>
          <w:bCs w:val="1"/>
          <w:color w:val="auto"/>
        </w:rPr>
      </w:pPr>
      <w:r>
        <w:rPr>
          <w:rFonts w:ascii="Times New Roman" w:cs="Times New Roman" w:eastAsia="Times New Roman" w:hAnsi="Times New Roman"/>
          <w:sz w:val="22"/>
          <w:szCs w:val="22"/>
          <w:b w:val="1"/>
          <w:bCs w:val="1"/>
          <w:color w:val="auto"/>
        </w:rPr>
        <w:t>Segment Data</w:t>
      </w:r>
    </w:p>
    <w:p>
      <w:pPr>
        <w:spacing w:after="0" w:line="17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company's businesses are organized, managed, and internally grouped into segments based on similarities in products and services. Segment determination is based on the manner in which the CODM organizes segments for making operating and investment decisions and assessing performance. In the fourth quarter of fiscal 2025, the company modified the level at which information was being reviewed, including modification to the reporting packages and materials regularly reviewed by the CODM to evaluate the company’s operating results to assess performance and allocate resources. As a result, the company has identified eight operating segments and has aggregated certain of those operating segments into two reportable segments: Professional and Residential. The aggregation of the company's segments is based on the segments having the following</w:t>
      </w:r>
    </w:p>
    <w:p>
      <w:pPr>
        <w:sectPr>
          <w:pgSz w:w="11880" w:h="15527" w:orient="portrait"/>
          <w:cols w:equalWidth="0" w:num="1">
            <w:col w:w="10260"/>
          </w:cols>
          <w:pgMar w:left="820" w:top="658" w:right="800" w:bottom="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1880" w:h="15527" w:orient="portrait"/>
          <w:cols w:equalWidth="0" w:num="1">
            <w:col w:w="10260"/>
          </w:cols>
          <w:pgMar w:left="820" w:top="658" w:right="800" w:bottom="0" w:gutter="0" w:footer="0" w:header="0"/>
          <w:type w:val="continuous"/>
        </w:sectPr>
      </w:pPr>
    </w:p>
    <w:bookmarkStart w:id="78" w:name="page79"/>
    <w:bookmarkEnd w:id="78"/>
    <w:p>
      <w:pPr>
        <w:spacing w:after="0" w:line="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similarities: economic characteristics, types of products and services, types of production processes, type or class of customers, and method of distribution. For a summary of our products by market for our Professional and Residential reportable segments, refer to refer to Part I, Item 1, "Business," of this Annual Report on Form 10-K.</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remaining activities consists of a wholly-owned domestic distribution company, certain corporate activities, and the elimination of intersegment revenues and expenses. Corporate activities include general corporate expenditures (finance, human resources, legal, information technology, public relations, business development, and similar activities) and other unallocated corporate assets and liabilities, such as corporate facilities, severance and termination benefits, facility exit costs, and deferred tax assets and liabilities. These remaining activities are presented as "Other" due to their insignificance.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CODM is the Chairman of the Board and Chief Executive Officer. The CODM predominantly evaluates the performance of our segments using earnings before interest and taxes (“EBIT”). This metric provides our CODM with a comprehensive view of each segment’s profitability, enabling informed decision-making and effective resource allocation. The CODM regularly reviews EBIT to monitor progress against performance targets, focusing on actual-to-plan variances. These assessments help identify trends, compare segment profitability, and determine whether additional resources or strategic adjustments are necessary to achieve guideline goals. Additionally, the significant expense categories regularly reviewed by the CODM include cost of sales, SG&amp;A, non-cash charges, such as impairment, and other income (expense) items. These other items consist of foreign currency gains and losses, interest income and expense, gains and losses from sales of fixed assets, and income and losses from equity method investments and business divestitures.</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 accounting policies of the reportable business segments are the same as those described in the summary of significant accounting policies in Note 1, </w:t>
      </w:r>
      <w:r>
        <w:rPr>
          <w:rFonts w:ascii="Times New Roman" w:cs="Times New Roman" w:eastAsia="Times New Roman" w:hAnsi="Times New Roman"/>
          <w:sz w:val="20"/>
          <w:szCs w:val="20"/>
          <w:b w:val="1"/>
          <w:bCs w:val="1"/>
          <w:i w:val="1"/>
          <w:iCs w:val="1"/>
          <w:color w:val="auto"/>
        </w:rPr>
        <w:t>Summary of Significant Accounting Policies and Related Data</w:t>
      </w:r>
      <w:r>
        <w:rPr>
          <w:rFonts w:ascii="Times New Roman" w:cs="Times New Roman" w:eastAsia="Times New Roman" w:hAnsi="Times New Roman"/>
          <w:sz w:val="20"/>
          <w:szCs w:val="20"/>
          <w:color w:val="auto"/>
        </w:rPr>
        <w:t>. The company evaluates the performance of its Professional and Residential reportable business segment results based on EBIT which includes allocated expenses that these operations would have incurred otherwise, but does not include general corporate expenses, interest expense, and income taxes. EBIT for the company's Other activities includes earnings (loss) from a domestic wholly-owned distribution company, certain corporate activities, non-cash impairment charges, other income, and interest expense. The company accounts for intersegment gross sales at current market prices.</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1880" w:h="15527" w:orient="portrait"/>
          <w:cols w:equalWidth="0" w:num="1">
            <w:col w:w="10260"/>
          </w:cols>
          <w:pgMar w:left="820" w:top="658" w:right="800" w:bottom="0" w:gutter="0" w:footer="0" w:header="0"/>
          <w:type w:val="continuous"/>
        </w:sectPr>
      </w:pPr>
    </w:p>
    <w:bookmarkStart w:id="79" w:name="page80"/>
    <w:bookmarkEnd w:id="79"/>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tables present summarized financial information concerning the company's reportable business segments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Other activities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651510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 2025</w:t>
            </w:r>
          </w:p>
        </w:tc>
        <w:tc>
          <w:tcPr>
            <w:tcW w:w="1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 to external customers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3,561.0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91.1</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4,510.4</w:t>
            </w:r>
          </w:p>
        </w:tc>
      </w:tr>
      <w:tr>
        <w:trPr>
          <w:trHeight w:val="24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63.0</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3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3,624.0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858.4</w:t>
            </w:r>
          </w:p>
        </w:tc>
        <w:tc>
          <w:tcPr>
            <w:tcW w:w="32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28.0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4,510.4</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1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2,255.1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52.5</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3,005.6</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670.0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218.5</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w:t>
            </w:r>
          </w:p>
        </w:tc>
      </w:tr>
      <w:tr>
        <w:trPr>
          <w:trHeight w:val="271"/>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0"/>
                <w:szCs w:val="20"/>
                <w:color w:val="auto"/>
                <w:vertAlign w:val="superscript"/>
              </w:rPr>
              <w:t>1</w:t>
            </w:r>
          </w:p>
        </w:tc>
        <w:tc>
          <w:tcPr>
            <w:tcW w:w="1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81.1</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5"/>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4"/>
        </w:trPr>
        <w:tc>
          <w:tcPr>
            <w:tcW w:w="4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Earnings (loss) before interest and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702.5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4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20"/>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1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316.1</w:t>
            </w:r>
          </w:p>
        </w:tc>
      </w:tr>
      <w:tr>
        <w:trPr>
          <w:trHeight w:val="80"/>
        </w:trPr>
        <w:tc>
          <w:tcPr>
            <w:tcW w:w="40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-1771015</wp:posOffset>
            </wp:positionV>
            <wp:extent cx="6565900" cy="1727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65900" cy="1727200"/>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 2024</w:t>
            </w:r>
          </w:p>
        </w:tc>
        <w:tc>
          <w:tcPr>
            <w:tcW w:w="1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 to external customers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3,507.7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78.2</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4,583.8</w:t>
            </w:r>
          </w:p>
        </w:tc>
      </w:tr>
      <w:tr>
        <w:trPr>
          <w:trHeight w:val="24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49.2</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3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3,556.9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998.3</w:t>
            </w:r>
          </w:p>
        </w:tc>
        <w:tc>
          <w:tcPr>
            <w:tcW w:w="32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28.6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4,583.8</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1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2,236.1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3,034.5</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692.2</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183.1</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1,016.0</w:t>
            </w:r>
          </w:p>
        </w:tc>
      </w:tr>
      <w:tr>
        <w:trPr>
          <w:trHeight w:val="24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26.6</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4"/>
        </w:trPr>
        <w:tc>
          <w:tcPr>
            <w:tcW w:w="4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Earnings (loss) before interest and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638.9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4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20"/>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1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w:t>
            </w:r>
          </w:p>
        </w:tc>
      </w:tr>
      <w:tr>
        <w:trPr>
          <w:trHeight w:val="80"/>
        </w:trPr>
        <w:tc>
          <w:tcPr>
            <w:tcW w:w="40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-1618615</wp:posOffset>
            </wp:positionV>
            <wp:extent cx="6565900" cy="1574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65900" cy="1574800"/>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 2023</w:t>
            </w:r>
          </w:p>
        </w:tc>
        <w:tc>
          <w:tcPr>
            <w:tcW w:w="1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 to external customers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3,628.8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70.4</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4,553.2</w:t>
            </w:r>
          </w:p>
        </w:tc>
      </w:tr>
      <w:tr>
        <w:trPr>
          <w:trHeight w:val="24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3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3,674.6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32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24.4</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4,553.2</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1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2,324.7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2,975.6</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694.1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32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162.7</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r>
      <w:tr>
        <w:trPr>
          <w:trHeight w:val="271"/>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impairment charges</w:t>
            </w:r>
            <w:r>
              <w:rPr>
                <w:rFonts w:ascii="Times New Roman" w:cs="Times New Roman" w:eastAsia="Times New Roman" w:hAnsi="Times New Roman"/>
                <w:sz w:val="20"/>
                <w:szCs w:val="20"/>
                <w:color w:val="auto"/>
                <w:vertAlign w:val="superscript"/>
              </w:rPr>
              <w:t>2</w:t>
            </w:r>
          </w:p>
        </w:tc>
        <w:tc>
          <w:tcPr>
            <w:tcW w:w="1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151.3</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15"/>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23.4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4"/>
        </w:trPr>
        <w:tc>
          <w:tcPr>
            <w:tcW w:w="4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Earnings (loss) before interest and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660.4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r>
      <w:tr>
        <w:trPr>
          <w:trHeight w:val="240"/>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46"/>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20"/>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1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-1707515</wp:posOffset>
            </wp:positionV>
            <wp:extent cx="6565900" cy="1727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65900" cy="1727200"/>
                    </a:xfrm>
                    <a:prstGeom prst="rect">
                      <a:avLst/>
                    </a:prstGeom>
                    <a:noFill/>
                  </pic:spPr>
                </pic:pic>
              </a:graphicData>
            </a:graphic>
          </wp:anchor>
        </w:drawing>
      </w:r>
    </w:p>
    <w:p>
      <w:pPr>
        <w:spacing w:after="0" w:line="138" w:lineRule="exact"/>
        <w:rPr>
          <w:sz w:val="20"/>
          <w:szCs w:val="20"/>
          <w:color w:val="auto"/>
        </w:rPr>
      </w:pPr>
    </w:p>
    <w:p>
      <w:pPr>
        <w:jc w:val="both"/>
        <w:ind w:left="10" w:right="20" w:hanging="10"/>
        <w:spacing w:after="0" w:line="259" w:lineRule="auto"/>
        <w:tabs>
          <w:tab w:leader="none" w:pos="98"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 xml:space="preserve">Other activities earnings (loss) before interest and taxes includes an $81.1 million non-cash impairment charge recorded during the third quarter of fiscal 2025 related to the Spartan trade name. For additional information regarding the impairment charge, refer to </w:t>
      </w:r>
      <w:r>
        <w:rPr>
          <w:rFonts w:ascii="Times New Roman" w:cs="Times New Roman" w:eastAsia="Times New Roman" w:hAnsi="Times New Roman"/>
          <w:sz w:val="16"/>
          <w:szCs w:val="16"/>
          <w:color w:val="auto"/>
        </w:rPr>
        <w:t>Note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b w:val="1"/>
          <w:bCs w:val="1"/>
          <w:i w:val="1"/>
          <w:iCs w:val="1"/>
          <w:color w:val="auto"/>
        </w:rPr>
        <w:t>Summary of Significant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b w:val="1"/>
          <w:bCs w:val="1"/>
          <w:i w:val="1"/>
          <w:iCs w:val="1"/>
          <w:color w:val="auto"/>
        </w:rPr>
        <w:t>Accounting Policies and Related Data</w:t>
      </w:r>
      <w:r>
        <w:rPr>
          <w:rFonts w:ascii="Times New Roman" w:cs="Times New Roman" w:eastAsia="Times New Roman" w:hAnsi="Times New Roman"/>
          <w:sz w:val="16"/>
          <w:szCs w:val="16"/>
          <w:color w:val="auto"/>
        </w:rPr>
        <w:t>.</w:t>
      </w:r>
    </w:p>
    <w:p>
      <w:pPr>
        <w:spacing w:after="0" w:line="87" w:lineRule="exact"/>
        <w:rPr>
          <w:sz w:val="20"/>
          <w:szCs w:val="20"/>
          <w:color w:val="auto"/>
        </w:rPr>
      </w:pPr>
    </w:p>
    <w:p>
      <w:pPr>
        <w:ind w:left="10" w:right="20" w:hanging="10"/>
        <w:spacing w:after="0" w:line="282" w:lineRule="auto"/>
        <w:tabs>
          <w:tab w:leader="none" w:pos="143"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Presentation of fiscal 2023 non-cash impairment charges related to the Spartan operating segment has been conformed to the current year presentation within the 'Other' activities. There was no change to consolidated results.</w:t>
      </w:r>
    </w:p>
    <w:p>
      <w:pPr>
        <w:sectPr>
          <w:pgSz w:w="11880" w:h="15527"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74</w:t>
      </w:r>
    </w:p>
    <w:p>
      <w:pPr>
        <w:sectPr>
          <w:pgSz w:w="11880" w:h="15527" w:orient="portrait"/>
          <w:cols w:equalWidth="0" w:num="1">
            <w:col w:w="10270"/>
          </w:cols>
          <w:pgMar w:left="810" w:top="658" w:right="800" w:bottom="0" w:gutter="0" w:footer="0" w:header="0"/>
          <w:type w:val="continuous"/>
        </w:sectPr>
      </w:pPr>
    </w:p>
    <w:bookmarkStart w:id="80" w:name="page81"/>
    <w:bookmarkEnd w:id="80"/>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450850</wp:posOffset>
            </wp:positionV>
            <wp:extent cx="6515100"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 2025</w:t>
            </w: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2,503.7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525.5</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3,438.8</w:t>
            </w:r>
          </w:p>
        </w:tc>
      </w:tr>
      <w:tr>
        <w:trPr>
          <w:trHeight w:val="240"/>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expenditures</w:t>
            </w:r>
          </w:p>
        </w:tc>
        <w:tc>
          <w:tcPr>
            <w:tcW w:w="14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46"/>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27.5</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w:t>
            </w:r>
          </w:p>
        </w:tc>
      </w:tr>
      <w:tr>
        <w:trPr>
          <w:trHeight w:val="80"/>
        </w:trPr>
        <w:tc>
          <w:tcPr>
            <w:tcW w:w="39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-551815</wp:posOffset>
            </wp:positionV>
            <wp:extent cx="6565900" cy="203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65900" cy="2032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-247015</wp:posOffset>
            </wp:positionV>
            <wp:extent cx="6565900" cy="203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65900" cy="203200"/>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 2024</w:t>
            </w: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2,673.6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388.0</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3,582.8</w:t>
            </w:r>
          </w:p>
        </w:tc>
      </w:tr>
      <w:tr>
        <w:trPr>
          <w:trHeight w:val="240"/>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expenditures</w:t>
            </w:r>
          </w:p>
        </w:tc>
        <w:tc>
          <w:tcPr>
            <w:tcW w:w="14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3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r>
      <w:tr>
        <w:trPr>
          <w:trHeight w:val="246"/>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15.6</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80"/>
        </w:trPr>
        <w:tc>
          <w:tcPr>
            <w:tcW w:w="39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-551815</wp:posOffset>
            </wp:positionV>
            <wp:extent cx="6565900" cy="2032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65900" cy="2032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-247015</wp:posOffset>
            </wp:positionV>
            <wp:extent cx="6565900" cy="676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65900" cy="676275"/>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 2023</w:t>
            </w: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2,679.6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399.6</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3,644.3</w:t>
            </w:r>
          </w:p>
        </w:tc>
      </w:tr>
      <w:tr>
        <w:trPr>
          <w:trHeight w:val="240"/>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expenditures</w:t>
            </w:r>
          </w:p>
        </w:tc>
        <w:tc>
          <w:tcPr>
            <w:tcW w:w="14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3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46"/>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-183515</wp:posOffset>
            </wp:positionV>
            <wp:extent cx="6565900" cy="203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65900" cy="203200"/>
                    </a:xfrm>
                    <a:prstGeom prst="rect">
                      <a:avLst/>
                    </a:prstGeom>
                    <a:noFill/>
                  </pic:spPr>
                </pic:pic>
              </a:graphicData>
            </a:graphic>
          </wp:anchor>
        </w:drawing>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During fiscal 2025, 2024, and 2023, no customers accounted for 10.0 percent or more of total consolidated gross sales.</w:t>
      </w:r>
    </w:p>
    <w:p>
      <w:pPr>
        <w:spacing w:after="0" w:line="130"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following geographic area data includes net sales based on product shipment destination and long-lived assets, which consist of property, plant, and equipment, net and right-of-use assets and is based on physical location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515100"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280" w:type="dxa"/>
            <w:vAlign w:val="bottom"/>
          </w:tcPr>
          <w:p>
            <w:pPr>
              <w:spacing w:after="0"/>
              <w:rPr>
                <w:sz w:val="16"/>
                <w:szCs w:val="16"/>
                <w:color w:val="auto"/>
              </w:rPr>
            </w:pPr>
          </w:p>
        </w:tc>
        <w:tc>
          <w:tcPr>
            <w:tcW w:w="10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United States</w:t>
            </w:r>
          </w:p>
        </w:tc>
        <w:tc>
          <w:tcPr>
            <w:tcW w:w="200" w:type="dxa"/>
            <w:vAlign w:val="bottom"/>
          </w:tcPr>
          <w:p>
            <w:pPr>
              <w:spacing w:after="0"/>
              <w:rPr>
                <w:sz w:val="16"/>
                <w:szCs w:val="16"/>
                <w:color w:val="auto"/>
              </w:rPr>
            </w:pPr>
          </w:p>
        </w:tc>
        <w:tc>
          <w:tcPr>
            <w:tcW w:w="10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International</w:t>
            </w:r>
          </w:p>
        </w:tc>
        <w:tc>
          <w:tcPr>
            <w:tcW w:w="320" w:type="dxa"/>
            <w:vAlign w:val="bottom"/>
          </w:tcPr>
          <w:p>
            <w:pPr>
              <w:spacing w:after="0"/>
              <w:rPr>
                <w:sz w:val="16"/>
                <w:szCs w:val="16"/>
                <w:color w:val="auto"/>
              </w:rPr>
            </w:pPr>
          </w:p>
        </w:tc>
        <w:tc>
          <w:tcPr>
            <w:tcW w:w="94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Countries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878.3</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4,510.4</w:t>
            </w:r>
          </w:p>
        </w:tc>
        <w:tc>
          <w:tcPr>
            <w:tcW w:w="0" w:type="dxa"/>
            <w:vAlign w:val="bottom"/>
          </w:tcPr>
          <w:p>
            <w:pPr>
              <w:spacing w:after="0"/>
              <w:rPr>
                <w:sz w:val="1"/>
                <w:szCs w:val="1"/>
                <w:color w:val="auto"/>
              </w:rPr>
            </w:pPr>
          </w:p>
        </w:tc>
      </w:tr>
      <w:tr>
        <w:trPr>
          <w:trHeight w:val="246"/>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Long-lived assets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157.9</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0" w:type="dxa"/>
            <w:vAlign w:val="bottom"/>
          </w:tcPr>
          <w:p>
            <w:pPr>
              <w:spacing w:after="0"/>
              <w:rPr>
                <w:sz w:val="1"/>
                <w:szCs w:val="1"/>
                <w:color w:val="auto"/>
              </w:rPr>
            </w:pPr>
          </w:p>
        </w:tc>
      </w:tr>
      <w:tr>
        <w:trPr>
          <w:trHeight w:val="214"/>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923.0</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4,583.8</w:t>
            </w:r>
          </w:p>
        </w:tc>
        <w:tc>
          <w:tcPr>
            <w:tcW w:w="0" w:type="dxa"/>
            <w:vAlign w:val="bottom"/>
          </w:tcPr>
          <w:p>
            <w:pPr>
              <w:spacing w:after="0"/>
              <w:rPr>
                <w:sz w:val="1"/>
                <w:szCs w:val="1"/>
                <w:color w:val="auto"/>
              </w:rPr>
            </w:pPr>
          </w:p>
        </w:tc>
      </w:tr>
      <w:tr>
        <w:trPr>
          <w:trHeight w:val="246"/>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Long-lived assets</w:t>
            </w:r>
            <w:r>
              <w:rPr>
                <w:rFonts w:ascii="Times New Roman" w:cs="Times New Roman" w:eastAsia="Times New Roman" w:hAnsi="Times New Roman"/>
                <w:sz w:val="20"/>
                <w:szCs w:val="20"/>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176.6</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0" w:type="dxa"/>
            <w:vAlign w:val="bottom"/>
          </w:tcPr>
          <w:p>
            <w:pPr>
              <w:spacing w:after="0"/>
              <w:rPr>
                <w:sz w:val="1"/>
                <w:szCs w:val="1"/>
                <w:color w:val="auto"/>
              </w:rPr>
            </w:pPr>
          </w:p>
        </w:tc>
      </w:tr>
      <w:tr>
        <w:trPr>
          <w:trHeight w:val="214"/>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947.7</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4,553.2</w:t>
            </w:r>
          </w:p>
        </w:tc>
        <w:tc>
          <w:tcPr>
            <w:tcW w:w="0" w:type="dxa"/>
            <w:vAlign w:val="bottom"/>
          </w:tcPr>
          <w:p>
            <w:pPr>
              <w:spacing w:after="0"/>
              <w:rPr>
                <w:sz w:val="1"/>
                <w:szCs w:val="1"/>
                <w:color w:val="auto"/>
              </w:rPr>
            </w:pPr>
          </w:p>
        </w:tc>
      </w:tr>
      <w:tr>
        <w:trPr>
          <w:trHeight w:val="246"/>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Long-lived assets</w:t>
            </w:r>
            <w:r>
              <w:rPr>
                <w:rFonts w:ascii="Times New Roman" w:cs="Times New Roman" w:eastAsia="Times New Roman" w:hAnsi="Times New Roman"/>
                <w:sz w:val="20"/>
                <w:szCs w:val="20"/>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173.8</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-1402715</wp:posOffset>
            </wp:positionV>
            <wp:extent cx="6565900" cy="1422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65900" cy="1422400"/>
                    </a:xfrm>
                    <a:prstGeom prst="rect">
                      <a:avLst/>
                    </a:prstGeom>
                    <a:noFill/>
                  </pic:spPr>
                </pic:pic>
              </a:graphicData>
            </a:graphic>
          </wp:anchor>
        </w:drawing>
      </w:r>
    </w:p>
    <w:p>
      <w:pPr>
        <w:spacing w:after="0" w:line="158" w:lineRule="exact"/>
        <w:rPr>
          <w:sz w:val="20"/>
          <w:szCs w:val="20"/>
          <w:color w:val="auto"/>
        </w:rPr>
      </w:pPr>
    </w:p>
    <w:p>
      <w:pPr>
        <w:ind w:left="90" w:hanging="90"/>
        <w:spacing w:after="0"/>
        <w:tabs>
          <w:tab w:leader="none" w:pos="90"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Presentation of fiscal 2024 and fiscal 2023 long-lived assets has been conformed to the current year presentation.</w:t>
      </w:r>
    </w:p>
    <w:p>
      <w:pPr>
        <w:spacing w:after="0" w:line="157" w:lineRule="exact"/>
        <w:rPr>
          <w:sz w:val="20"/>
          <w:szCs w:val="20"/>
          <w:color w:val="auto"/>
        </w:rPr>
      </w:pPr>
    </w:p>
    <w:p>
      <w:pPr>
        <w:ind w:left="670" w:hanging="617"/>
        <w:spacing w:after="0"/>
        <w:tabs>
          <w:tab w:leader="none" w:pos="670" w:val="left"/>
        </w:tabs>
        <w:numPr>
          <w:ilvl w:val="0"/>
          <w:numId w:val="41"/>
        </w:numPr>
        <w:rPr>
          <w:rFonts w:ascii="Times New Roman" w:cs="Times New Roman" w:eastAsia="Times New Roman" w:hAnsi="Times New Roman"/>
          <w:sz w:val="48"/>
          <w:szCs w:val="48"/>
          <w:b w:val="1"/>
          <w:bCs w:val="1"/>
          <w:color w:val="auto"/>
        </w:rPr>
      </w:pPr>
      <w:r>
        <w:rPr>
          <w:rFonts w:ascii="Times New Roman" w:cs="Times New Roman" w:eastAsia="Times New Roman" w:hAnsi="Times New Roman"/>
          <w:sz w:val="22"/>
          <w:szCs w:val="22"/>
          <w:b w:val="1"/>
          <w:bCs w:val="1"/>
          <w:color w:val="auto"/>
        </w:rPr>
        <w:t>Revenue</w:t>
      </w:r>
    </w:p>
    <w:p>
      <w:pPr>
        <w:spacing w:after="0" w:line="170"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The company enters into contracts with its customers for the sale of products or rendering of services in the ordinary course of business. A contract with commercial substance exists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the variable consideration associated with the estimated expense of certain of the company's sales promotions and incentives programs offered to customers, as well as anticipated product returns, when applicable. The company recognizes a provision for estimated variable consideration at the time revenue is recognized as a reduction of the transaction price.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9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w:t>
      </w:r>
    </w:p>
    <w:p>
      <w:pPr>
        <w:sectPr>
          <w:pgSz w:w="11880" w:h="15527" w:orient="portrait"/>
          <w:cols w:equalWidth="0" w:num="1">
            <w:col w:w="10270"/>
          </w:cols>
          <w:pgMar w:left="810" w:top="898" w:right="80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75</w:t>
      </w:r>
    </w:p>
    <w:p>
      <w:pPr>
        <w:sectPr>
          <w:pgSz w:w="11880" w:h="15527" w:orient="portrait"/>
          <w:cols w:equalWidth="0" w:num="1">
            <w:col w:w="10270"/>
          </w:cols>
          <w:pgMar w:left="810" w:top="898" w:right="800" w:bottom="0" w:gutter="0" w:footer="0" w:header="0"/>
          <w:type w:val="continuous"/>
        </w:sectPr>
      </w:pPr>
    </w:p>
    <w:bookmarkStart w:id="81" w:name="page82"/>
    <w:bookmarkEnd w:id="81"/>
    <w:p>
      <w:pPr>
        <w:spacing w:after="0" w:line="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7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tables disaggregate the company's reportable segment net sales by similar product type and geographic market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650557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05575" cy="1270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Ended October 31, 2025</w:t>
            </w: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3,189.4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856.4</w:t>
            </w:r>
          </w:p>
        </w:tc>
        <w:tc>
          <w:tcPr>
            <w:tcW w:w="88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21.6</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4,067.4</w:t>
            </w:r>
          </w:p>
        </w:tc>
      </w:tr>
      <w:tr>
        <w:trPr>
          <w:trHeight w:val="246"/>
        </w:trPr>
        <w:tc>
          <w:tcPr>
            <w:tcW w:w="3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Irrigation</w:t>
            </w:r>
          </w:p>
        </w:tc>
        <w:tc>
          <w:tcPr>
            <w:tcW w:w="1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434.6</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w:t>
            </w:r>
          </w:p>
        </w:tc>
      </w:tr>
      <w:tr>
        <w:trPr>
          <w:trHeight w:val="200"/>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3,624.0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858.4</w:t>
            </w:r>
          </w:p>
        </w:tc>
        <w:tc>
          <w:tcPr>
            <w:tcW w:w="8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28.0</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4,510.4</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9"/>
        </w:trPr>
        <w:tc>
          <w:tcPr>
            <w:tcW w:w="3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2,863.2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740.9</w:t>
            </w:r>
          </w:p>
        </w:tc>
        <w:tc>
          <w:tcPr>
            <w:tcW w:w="88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28.0</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3,632.1</w:t>
            </w:r>
          </w:p>
        </w:tc>
      </w:tr>
      <w:tr>
        <w:trPr>
          <w:trHeight w:val="246"/>
        </w:trPr>
        <w:tc>
          <w:tcPr>
            <w:tcW w:w="3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760.8</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117.5</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878.3</w:t>
            </w:r>
          </w:p>
        </w:tc>
      </w:tr>
      <w:tr>
        <w:trPr>
          <w:trHeight w:val="200"/>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3,624.0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858.4</w:t>
            </w:r>
          </w:p>
        </w:tc>
        <w:tc>
          <w:tcPr>
            <w:tcW w:w="8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28.0</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4,510.4</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-1329690</wp:posOffset>
            </wp:positionV>
            <wp:extent cx="6556375" cy="1470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56375" cy="147002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Ended October 31, 2024</w:t>
            </w: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3,133.5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981.1</w:t>
            </w:r>
          </w:p>
        </w:tc>
        <w:tc>
          <w:tcPr>
            <w:tcW w:w="88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19.6</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4,134.2</w:t>
            </w:r>
          </w:p>
        </w:tc>
      </w:tr>
      <w:tr>
        <w:trPr>
          <w:trHeight w:val="246"/>
        </w:trPr>
        <w:tc>
          <w:tcPr>
            <w:tcW w:w="3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Irrigation</w:t>
            </w:r>
          </w:p>
        </w:tc>
        <w:tc>
          <w:tcPr>
            <w:tcW w:w="1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423.4</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w:t>
            </w:r>
          </w:p>
        </w:tc>
      </w:tr>
      <w:tr>
        <w:trPr>
          <w:trHeight w:val="200"/>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3,556.9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998.3</w:t>
            </w:r>
          </w:p>
        </w:tc>
        <w:tc>
          <w:tcPr>
            <w:tcW w:w="8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28.6</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4,583.8</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9"/>
        </w:trPr>
        <w:tc>
          <w:tcPr>
            <w:tcW w:w="3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2,766.4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865.8</w:t>
            </w:r>
          </w:p>
        </w:tc>
        <w:tc>
          <w:tcPr>
            <w:tcW w:w="88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28.6</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3,660.8</w:t>
            </w:r>
          </w:p>
        </w:tc>
      </w:tr>
      <w:tr>
        <w:trPr>
          <w:trHeight w:val="246"/>
        </w:trPr>
        <w:tc>
          <w:tcPr>
            <w:tcW w:w="3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790.5</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132.5</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923.0</w:t>
            </w:r>
          </w:p>
        </w:tc>
      </w:tr>
      <w:tr>
        <w:trPr>
          <w:trHeight w:val="200"/>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3,556.9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998.3</w:t>
            </w:r>
          </w:p>
        </w:tc>
        <w:tc>
          <w:tcPr>
            <w:tcW w:w="8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28.6</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4,583.8</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-1329690</wp:posOffset>
            </wp:positionV>
            <wp:extent cx="6556375" cy="14700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56375" cy="147002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 2023</w:t>
            </w: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3,236.9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w:t>
            </w:r>
          </w:p>
        </w:tc>
        <w:tc>
          <w:tcPr>
            <w:tcW w:w="88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13.1</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4,069.2</w:t>
            </w:r>
          </w:p>
        </w:tc>
      </w:tr>
      <w:tr>
        <w:trPr>
          <w:trHeight w:val="246"/>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Irrigation</w:t>
            </w:r>
          </w:p>
        </w:tc>
        <w:tc>
          <w:tcPr>
            <w:tcW w:w="1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437.7</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11.3</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484.0</w:t>
            </w:r>
          </w:p>
        </w:tc>
      </w:tr>
      <w:tr>
        <w:trPr>
          <w:trHeight w:val="200"/>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3,674.6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8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24.4</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4,553.2</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99"/>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0"/>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2,898.5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88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24.4</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3,605.5</w:t>
            </w:r>
          </w:p>
        </w:tc>
      </w:tr>
      <w:tr>
        <w:trPr>
          <w:trHeight w:val="246"/>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776.1</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947.7</w:t>
            </w:r>
          </w:p>
        </w:tc>
      </w:tr>
      <w:tr>
        <w:trPr>
          <w:trHeight w:val="200"/>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3,674.6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8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24.4</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4,553.2</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-1329690</wp:posOffset>
            </wp:positionV>
            <wp:extent cx="6565900" cy="1349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65900" cy="134937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Revenue</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In limited circumstances, the company ships some of its products on a consignment basis to customer facilities whereby the company retains control of the product stored at the customer's facility. As the company's products are removed from the facility by the customer, control is transferred from the company to the customer. At that time, the company invoices the customer and recognizes revenue for these consignment transactions. The total value of consignment inventory as of October 31, 2025 and 2024 was $11.1 million and $18.0 million, respectively.</w:t>
      </w:r>
    </w:p>
    <w:p>
      <w:pPr>
        <w:spacing w:after="0" w:line="9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Product revenue is recognized based on the transaction price, which is measured as the amount of consideration the company expects to receive in exchange for transferring control of a product to a customer. The company recognizes variable consideration as a reduction of the transaction price at the time of the initial product sale by applying the portfolio approach practical expedient under the accounting standards codification guidance for revenue from contracts with customers. Variable consideration typically occurs as a result of certain of the company's sales promotions and incentive programs that are determined to represent price concessions because the program either: (i) results in an immediate reduction of the transaction price with no anticipated future costs or consideration provided to the customer, or (ii) the company anticipates a future cost based on historical or expected future business practice for which the company does not receive a distinct good or service in exchange for the future consideration provided to the customer under the program. Such programs primarily consist of off-</w:t>
      </w:r>
    </w:p>
    <w:p>
      <w:pPr>
        <w:sectPr>
          <w:pgSz w:w="11880" w:h="15527" w:orient="portrait"/>
          <w:cols w:equalWidth="0" w:num="1">
            <w:col w:w="10260"/>
          </w:cols>
          <w:pgMar w:left="820" w:top="658" w:right="800" w:bottom="0" w:gutter="0" w:footer="0" w:header="0"/>
        </w:sect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1880" w:h="15527" w:orient="portrait"/>
          <w:cols w:equalWidth="0" w:num="1">
            <w:col w:w="10260"/>
          </w:cols>
          <w:pgMar w:left="820" w:top="658" w:right="800" w:bottom="0" w:gutter="0" w:footer="0" w:header="0"/>
          <w:type w:val="continuous"/>
        </w:sectPr>
      </w:pPr>
    </w:p>
    <w:bookmarkStart w:id="82" w:name="page83"/>
    <w:bookmarkEnd w:id="82"/>
    <w:p>
      <w:pPr>
        <w:spacing w:after="0" w:line="4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invoice discounts, rebates, and floor plan and retail financing. The cost of off-invoice discounts are incurred at the time of sale as a reduction of the transaction price and as a result, have no future cost. For all other sales promotion and incentive programs recorded as a reduction of the transaction price at the time of the initial product sale, the company estimates variable consideration using the expected value method because the company anticipates providing a future price concession based on historical or expected future business practice or other factors. Estimates of variable consideration under the expected value method are primarily based on the terms of the sales arrangements and sales promotion and incentive programs with customers, historical payment and rebate claims experience, field inventory levels, quantity or mix of products sold, projected sales volumes, types of programs offered, and expectations for the acceptance of sales promotion and incentive programs offered in the future or changes in other relevant trends. When revenue is recognized, the estimated expense of these sales promotions and incentives programs is recorded as a reduction from gross sales within the Consolidated Statements of Earnings with a corresponding accrual recorded within sales promotions and incentives programs in the Consolidated Balance Sheets. Additionally, from time to time, the company may offer its customers the right to return eligible equipment and irrigation products, replacement parts, and accessories. Such right of return offered on the company's products is also considered to be variable consideration that is estimated and recorded as a reduction of revenue based primarily on historical experience, anticipated sales returns estimated from sales terms, trend analysis, and other factors. The company records the obligation for product returns within accrued liabilities in the Consolidated Balance Sheets and the 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 There are no material instances where variable consideration is constrained and not recorded at the initial time of sale.</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Collectability from the customer for product revenue is generally assumed to be probable because the company's financial exposure related to accounts receivable is reduced due to its dealer and distributor inventory financing programs. For additional information regarding these programs, refer to Note 11,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xml:space="preserve"> The company's product sales to customers that do not elect to finance product purchases are generally on open account with terms that generally approximate 30 to 150 days. The resulting receivables are included within receivables, net on the Consolidated Balance Sheets. The company performs ongoing credit evaluations of customers on open account terms in order to assess collectability.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and Extended Warranty Revenue</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certain cases, the company renders service contracts to customers, which typically range from 12 to 60 months. The company also sells separately priced extended warranty coverage on select products for a prescribed period after the standard warranty period expires, which typically range from 12 to 24 months. Under both types of contracts, the company receives payment at the inception of the contract and recognizes revenue over the term of the agreement in proportion to the costs expected to be incurred in satisfying the performance obligations under the contract.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2025 and October 31, 2024, $34.0 million and $29.6 million, respectively, of deferred revenue associated with outstanding separately priced extended warranty contracts, service contracts, and non-refundable customer deposits was reported within accrued liabilities and other long-term liabilities in the Consolidated Balance Sheets. For the fiscal year ended October 31, 2025, the company recognized $14.1 million of the October 31, 2024 deferred revenue balance. The company expects to recognize approximately $13.0 million of the October 31, 2025 deferred revenue balance within net sales in the Consolidated Statements of Earnings in fiscal 2026 and $21.0 million thereafter.</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1880" w:h="15527" w:orient="portrait"/>
          <w:cols w:equalWidth="0" w:num="1">
            <w:col w:w="10260"/>
          </w:cols>
          <w:pgMar w:left="820" w:top="658" w:right="800" w:bottom="0" w:gutter="0" w:footer="0" w:header="0"/>
          <w:type w:val="continuous"/>
        </w:sectPr>
      </w:pPr>
    </w:p>
    <w:bookmarkStart w:id="83" w:name="page84"/>
    <w:bookmarkEnd w:id="83"/>
    <w:p>
      <w:pPr>
        <w:spacing w:after="0" w:line="47" w:lineRule="exact"/>
        <w:rPr>
          <w:sz w:val="20"/>
          <w:szCs w:val="20"/>
          <w:color w:val="auto"/>
        </w:rPr>
      </w:pPr>
    </w:p>
    <w:p>
      <w:pPr>
        <w:ind w:left="660" w:hanging="617"/>
        <w:spacing w:after="0"/>
        <w:tabs>
          <w:tab w:leader="none" w:pos="660" w:val="left"/>
        </w:tabs>
        <w:numPr>
          <w:ilvl w:val="0"/>
          <w:numId w:val="42"/>
        </w:numPr>
        <w:rPr>
          <w:rFonts w:ascii="Times New Roman" w:cs="Times New Roman" w:eastAsia="Times New Roman" w:hAnsi="Times New Roman"/>
          <w:sz w:val="48"/>
          <w:szCs w:val="48"/>
          <w:b w:val="1"/>
          <w:bCs w:val="1"/>
          <w:color w:val="auto"/>
        </w:rPr>
      </w:pPr>
      <w:r>
        <w:rPr>
          <w:rFonts w:ascii="Times New Roman" w:cs="Times New Roman" w:eastAsia="Times New Roman" w:hAnsi="Times New Roman"/>
          <w:sz w:val="22"/>
          <w:szCs w:val="22"/>
          <w:b w:val="1"/>
          <w:bCs w:val="1"/>
          <w:color w:val="auto"/>
        </w:rPr>
        <w:t>Goodwill and Other Intangible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Goodwill and indefinite-lived intangible assets are assessed for impairment at least annually during the fourth quarter of each fiscal year unless events or changes in circumstances indicate that impairment may have occurred prior to the annual assessment. Goodwill is assessed for impairment at the reporting unit level and the company's reporting units are its eight operating segments. Indefinite-lived intangible assets are assessed for impairment at the individual indefinite-lived intangible asset level.</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third quarter of fiscal 2025, the company identified that future expected cash flows of the Spartan business were lower than previously expected primarily due to a decline in customer demand for many of its products associated with homeowners who prefer professional grade products.</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Based on the above factors, the company concluded it was more likely than not that the indefinite-lived Spartan trade name intangible asset was impaired. As such, during the third quarter of fiscal 2025 the company performed a quantitative impairment analysis to compare the fair value of the Spartan trade name intangible asset with its respective carrying amount.</w:t>
      </w:r>
    </w:p>
    <w:p>
      <w:pPr>
        <w:spacing w:after="0" w:line="19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fair value of the Spartan trade name intangible asset was determined using the relief-from-royalty method under the income approach which utilized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Inputs used to estimate the fair value included significant unobservable inputs that reflect the company’s assumptions about the inputs that market participants would use and, therefore, the fair value assessment is classified within Level 3 of the fair value hierarchy.</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a result of the analysis, during the third quarter of fiscal 2025, the company concluded that the indefinite-lived Spartan trade name intangible asset of $81.1 million, reported under the Professional segment, was fully impaired. The impairment charge is included in the Non-cash impairment charge caption on the Consolidated Statements of Earnings. The impairment charge resulted in a $19.7 million income tax benefit (deferred tax asset) associated with the remaining tax deductible basis in the intangible asset.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changes in the carrying amount of goodwill by reportable segment for fiscal 2025 and 2024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6515100"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9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450.8</w:t>
            </w:r>
          </w:p>
        </w:tc>
      </w:tr>
      <w:tr>
        <w:trPr>
          <w:trHeight w:val="21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divested</w:t>
            </w:r>
          </w:p>
        </w:tc>
        <w:tc>
          <w:tcPr>
            <w:tcW w:w="1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90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6"/>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17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20"/>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1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440.4</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450.3</w:t>
            </w:r>
          </w:p>
        </w:tc>
      </w:tr>
      <w:tr>
        <w:trPr>
          <w:trHeight w:val="220"/>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1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r>
      <w:tr>
        <w:trPr>
          <w:trHeight w:val="200"/>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9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450.9</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-958215</wp:posOffset>
            </wp:positionV>
            <wp:extent cx="6565900" cy="977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65900" cy="9779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Intangible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other intangible assets were as follows (dollars in millions, except weighted-average useful life in years):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2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tcPr>
          <w:p>
            <w:pPr>
              <w:jc w:val="center"/>
              <w:ind w:left="1380"/>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2740" w:type="dxa"/>
            <w:vAlign w:val="bottom"/>
          </w:tcPr>
          <w:p>
            <w:pPr>
              <w:jc w:val="center"/>
              <w:ind w:left="13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2740" w:type="dxa"/>
            <w:vAlign w:val="bottom"/>
            <w:tcBorders>
              <w:bottom w:val="single" w:sz="8" w:color="auto"/>
            </w:tcBorders>
          </w:tcPr>
          <w:p>
            <w:pPr>
              <w:jc w:val="center"/>
              <w:ind w:left="1380"/>
              <w:spacing w:after="0"/>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Patents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40"/>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Customer-related</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320.0</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40"/>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Developed technology</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107.1</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Trade names</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finite-lived</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446.8</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2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190.6</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0" w:type="dxa"/>
            <w:vAlign w:val="bottom"/>
          </w:tcPr>
          <w:p>
            <w:pPr>
              <w:spacing w:after="0"/>
              <w:rPr>
                <w:sz w:val="1"/>
                <w:szCs w:val="1"/>
                <w:color w:val="auto"/>
              </w:rPr>
            </w:pPr>
          </w:p>
        </w:tc>
      </w:tr>
      <w:tr>
        <w:trPr>
          <w:trHeight w:val="200"/>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2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-1110615</wp:posOffset>
            </wp:positionV>
            <wp:extent cx="6565900" cy="1130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65900" cy="1130300"/>
                    </a:xfrm>
                    <a:prstGeom prst="rect">
                      <a:avLst/>
                    </a:prstGeom>
                    <a:noFill/>
                  </pic:spPr>
                </pic:pic>
              </a:graphicData>
            </a:graphic>
          </wp:anchor>
        </w:drawing>
      </w:r>
    </w:p>
    <w:p>
      <w:pPr>
        <w:sectPr>
          <w:pgSz w:w="11880" w:h="15527" w:orient="portrait"/>
          <w:cols w:equalWidth="0" w:num="1">
            <w:col w:w="10260"/>
          </w:cols>
          <w:pgMar w:left="820" w:top="696" w:right="80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1880" w:h="15527" w:orient="portrait"/>
          <w:cols w:equalWidth="0" w:num="1">
            <w:col w:w="10260"/>
          </w:cols>
          <w:pgMar w:left="820" w:top="696" w:right="800" w:bottom="0" w:gutter="0" w:footer="0" w:header="0"/>
          <w:type w:val="continuous"/>
        </w:sectPr>
      </w:pPr>
    </w:p>
    <w:bookmarkStart w:id="84" w:name="page85"/>
    <w:bookmarkEnd w:id="84"/>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2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tcPr>
          <w:p>
            <w:pPr>
              <w:jc w:val="center"/>
              <w:ind w:left="1380"/>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2740" w:type="dxa"/>
            <w:vAlign w:val="bottom"/>
          </w:tcPr>
          <w:p>
            <w:pPr>
              <w:jc w:val="center"/>
              <w:ind w:left="13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2740" w:type="dxa"/>
            <w:vAlign w:val="bottom"/>
            <w:tcBorders>
              <w:bottom w:val="single" w:sz="8" w:color="auto"/>
            </w:tcBorders>
          </w:tcPr>
          <w:p>
            <w:pPr>
              <w:jc w:val="center"/>
              <w:ind w:left="1380"/>
              <w:spacing w:after="0"/>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Patents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40"/>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Customer-related</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319.9</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240"/>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Developed technology</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102.9</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Trade names</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finite-lived</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451.7</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2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271.6</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00"/>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2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723.3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-1110615</wp:posOffset>
            </wp:positionV>
            <wp:extent cx="6565900" cy="1130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65900" cy="1130300"/>
                    </a:xfrm>
                    <a:prstGeom prst="rect">
                      <a:avLst/>
                    </a:prstGeom>
                    <a:noFill/>
                  </pic:spPr>
                </pic:pic>
              </a:graphicData>
            </a:graphic>
          </wp:anchor>
        </w:drawing>
      </w:r>
    </w:p>
    <w:p>
      <w:pPr>
        <w:spacing w:after="0" w:line="1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Amortization expense for finite-lived intangible assets for the fiscal years ended October 31, 2025, 2024, and 2023 was $30.7 million, $34.5 million, and $35.7 million, respectively. Estimated amortization expense for the succeeding fiscal years is as follows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8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0"/>
        </w:trPr>
        <w:tc>
          <w:tcPr>
            <w:tcW w:w="5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Succeeding fiscal year</w:t>
            </w:r>
          </w:p>
        </w:tc>
        <w:tc>
          <w:tcPr>
            <w:tcW w:w="3420" w:type="dxa"/>
            <w:vAlign w:val="bottom"/>
          </w:tcPr>
          <w:p>
            <w:pPr>
              <w:spacing w:after="0"/>
              <w:rPr>
                <w:sz w:val="13"/>
                <w:szCs w:val="13"/>
                <w:color w:val="auto"/>
              </w:rPr>
            </w:pPr>
          </w:p>
        </w:tc>
        <w:tc>
          <w:tcPr>
            <w:tcW w:w="106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0" w:type="dxa"/>
            <w:vAlign w:val="bottom"/>
          </w:tcPr>
          <w:p>
            <w:pPr>
              <w:spacing w:after="0"/>
              <w:rPr>
                <w:sz w:val="1"/>
                <w:szCs w:val="1"/>
                <w:color w:val="auto"/>
              </w:rPr>
            </w:pPr>
          </w:p>
        </w:tc>
      </w:tr>
      <w:tr>
        <w:trPr>
          <w:trHeight w:val="214"/>
        </w:trPr>
        <w:tc>
          <w:tcPr>
            <w:tcW w:w="5780" w:type="dxa"/>
            <w:vAlign w:val="bottom"/>
            <w:tcBorders>
              <w:bottom w:val="single" w:sz="8" w:color="auto"/>
            </w:tcBorders>
            <w:vMerge w:val="continue"/>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214"/>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3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40"/>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3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40"/>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3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40"/>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3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40"/>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3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46"/>
        </w:trPr>
        <w:tc>
          <w:tcPr>
            <w:tcW w:w="5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00"/>
        </w:trPr>
        <w:tc>
          <w:tcPr>
            <w:tcW w:w="5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-1110615</wp:posOffset>
            </wp:positionV>
            <wp:extent cx="6565900" cy="1130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65900" cy="113030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638"/>
        </w:trPr>
        <w:tc>
          <w:tcPr>
            <w:tcW w:w="480" w:type="dxa"/>
            <w:vAlign w:val="bottom"/>
          </w:tcPr>
          <w:p>
            <w:pPr>
              <w:ind w:left="40"/>
              <w:spacing w:after="0"/>
              <w:rPr>
                <w:sz w:val="20"/>
                <w:szCs w:val="20"/>
                <w:color w:val="auto"/>
              </w:rPr>
            </w:pPr>
            <w:r>
              <w:rPr>
                <w:rFonts w:ascii="Times New Roman" w:cs="Times New Roman" w:eastAsia="Times New Roman" w:hAnsi="Times New Roman"/>
                <w:sz w:val="48"/>
                <w:szCs w:val="48"/>
                <w:b w:val="1"/>
                <w:bCs w:val="1"/>
                <w:color w:val="auto"/>
              </w:rPr>
              <w:t>6</w:t>
            </w:r>
          </w:p>
        </w:tc>
        <w:tc>
          <w:tcPr>
            <w:tcW w:w="66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Indebtedness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6"/>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is a summary of the company's indebtedness (dollars in millions):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1"/>
        </w:trPr>
        <w:tc>
          <w:tcPr>
            <w:tcW w:w="7120" w:type="dxa"/>
            <w:vAlign w:val="bottom"/>
            <w:tcBorders>
              <w:bottom w:val="single" w:sz="8" w:color="auto"/>
            </w:tcBorders>
            <w:gridSpan w:val="2"/>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220"/>
        </w:trPr>
        <w:tc>
          <w:tcPr>
            <w:tcW w:w="7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Term loan, due April 2027</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5.27% senior notes, due September 2032</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9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124.3</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46"/>
        </w:trPr>
        <w:tc>
          <w:tcPr>
            <w:tcW w:w="7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9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0"/>
        </w:trPr>
        <w:tc>
          <w:tcPr>
            <w:tcW w:w="7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921.5</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7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0"/>
        </w:trPr>
        <w:tc>
          <w:tcPr>
            <w:tcW w:w="7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9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921.5</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-2025015</wp:posOffset>
            </wp:positionV>
            <wp:extent cx="6565900" cy="2044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65900" cy="2044700"/>
                    </a:xfrm>
                    <a:prstGeom prst="rect">
                      <a:avLst/>
                    </a:prstGeom>
                    <a:noFill/>
                  </pic:spPr>
                </pic:pic>
              </a:graphicData>
            </a:graphic>
          </wp:anchor>
        </w:drawing>
      </w:r>
    </w:p>
    <w:p>
      <w:pPr>
        <w:spacing w:after="0" w:line="1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Principal payments required on the company's outstanding indebtedness, based on the maturity dates defined within the company's debt arrangements, for the succeeding fiscal years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Succeeding fiscal year</w:t>
            </w:r>
          </w:p>
        </w:tc>
        <w:tc>
          <w:tcPr>
            <w:tcW w:w="3880" w:type="dxa"/>
            <w:vAlign w:val="bottom"/>
          </w:tcPr>
          <w:p>
            <w:pPr>
              <w:spacing w:after="0"/>
              <w:rPr>
                <w:sz w:val="16"/>
                <w:szCs w:val="16"/>
                <w:color w:val="auto"/>
              </w:rPr>
            </w:pPr>
          </w:p>
        </w:tc>
        <w:tc>
          <w:tcPr>
            <w:tcW w:w="10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auto"/>
            </w:tcBorders>
            <w:vMerge w:val="continue"/>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14"/>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3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3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8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0" w:type="dxa"/>
            <w:vAlign w:val="bottom"/>
          </w:tcPr>
          <w:p>
            <w:pPr>
              <w:spacing w:after="0"/>
              <w:rPr>
                <w:sz w:val="1"/>
                <w:szCs w:val="1"/>
                <w:color w:val="auto"/>
              </w:rPr>
            </w:pPr>
          </w:p>
        </w:tc>
      </w:tr>
      <w:tr>
        <w:trPr>
          <w:trHeight w:val="200"/>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principal payments</w:t>
            </w:r>
          </w:p>
        </w:tc>
        <w:tc>
          <w:tcPr>
            <w:tcW w:w="3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-1110615</wp:posOffset>
            </wp:positionV>
            <wp:extent cx="6565900" cy="1130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65900" cy="1130300"/>
                    </a:xfrm>
                    <a:prstGeom prst="rect">
                      <a:avLst/>
                    </a:prstGeom>
                    <a:noFill/>
                  </pic:spPr>
                </pic:pic>
              </a:graphicData>
            </a:graphic>
          </wp:anchor>
        </w:drawing>
      </w:r>
    </w:p>
    <w:p>
      <w:pPr>
        <w:sectPr>
          <w:pgSz w:w="11880" w:h="15527" w:orient="portrait"/>
          <w:cols w:equalWidth="0" w:num="1">
            <w:col w:w="10260"/>
          </w:cols>
          <w:pgMar w:left="820" w:top="69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1880" w:h="15527" w:orient="portrait"/>
          <w:cols w:equalWidth="0" w:num="1">
            <w:col w:w="10260"/>
          </w:cols>
          <w:pgMar w:left="820" w:top="690" w:right="800" w:bottom="0" w:gutter="0" w:footer="0" w:header="0"/>
          <w:type w:val="continuous"/>
        </w:sectPr>
      </w:pPr>
    </w:p>
    <w:bookmarkStart w:id="85" w:name="page86"/>
    <w:bookmarkEnd w:id="85"/>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October 2, 2024, the company entered into the second amended and restated credit agreement ("2024 Credit Agreement") that provided for, among other things, a five-year unsecured revolving credit facility with a borrowing capacity of up to $900.0 million ("revolving credit facility") that matures on October 2, 2029 and replaced the company's prior $600.0 million unsecured senior revolving credit facility ("prior revolving credit facility") scheduled to mature on October 5, 2026. Included in the revolving credit facility is a $10.0 million sublimit for standby letters of credit and a $75.0 million sublimit for swingline loans. At the company's election, and with the approval of the named borrowers on the revolving credit facility and the election of the lenders to fund such increase, the aggregate maximum principal amount available under the revolving credit facility may be increased by an amount of up to $450.0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2024 Credit Agreement. As of October 31, 2025, the company had no outstanding borrowings under the revolving credit facility and $2.1 million outstanding under the sublimit for standby letters of credit, resulting in $897.9 million of unutilized availability under the revolving credit facility. As of October 31, 2024, the company had no outstanding borrowings under the revolving credit facility and $2.7 million outstanding under the sublimit for standby letters of credit, resulting in $897.3 million of unutilized availability under the revolving credit facility.</w:t>
      </w:r>
    </w:p>
    <w:p>
      <w:pPr>
        <w:spacing w:after="0" w:line="9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Outstanding loans under the revolving credit facility, other than swingline loans, if applicable, bear interest at a variable rate generally based on SOFR or an alternative variable rate based on the highest of the Bank of America prime rate, the federal funds rate or a rate generally based on SOFR, in each case subject to an additional basis point spread as defined in the 2024 Credit Agreement. Swingline loans under the revolving credit facility bear interest at a rate determined by the swingline lender or an alternative variable rate based on the highest of the Bank of America prime rate, the federal funds rate or a rate generally based on SOFR, in each case subject to an additional basis point spread as defined in the 2024 Credit Agreement. Interest is payable quarterly in arrears. The interest rate on outstanding borrowings as of October 31, 2025 was 5.24%. During fiscal 2025, 2024 and 2023, the company incurred interest expense of $9.4 million, $5.4 million and $5.7 million, respectively, on the outstanding borrowings under the current and prior revolving credit facilities.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 Loan Maturing October 2029</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2024 credit agreement also provided for a five-year unsecured term loan in an aggregate principal amount of $200.0 million, the entire amount of which was funded on October 2, 2024 and matures on October 2, 2029 ("2024 Term Loan"). Under the 2024 Credit Agreement, incremental term loan commitments may be established at the company's election and the approval of the lenders on the 2024 Term Loan by an amount of up to $100.0 million.</w:t>
      </w:r>
    </w:p>
    <w:p>
      <w:pPr>
        <w:spacing w:after="0" w:line="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Beginning December 31, 2027, the company is required to make $5.0 million quarterly principal repayments on the 2024 Term Loan, reduced by applicable prepayments. On October 2, 2029, the aggregate principal amount of any remaining outstanding borrowings under the 2024 Term Loan is required to be repaid. The 2024 Term Loan may be prepaid and terminated at the company's election at any time without penalty or premium. Amounts repaid or prepaid may not be reborrowed. As of October 31, 2025, there was $200.0 million of outstanding borrowings under the 2024 Term Loan.</w:t>
      </w:r>
    </w:p>
    <w:p>
      <w:pPr>
        <w:spacing w:after="0" w:line="8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Outstanding borrowings under the 2024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 2024 Credit Agreement. Interest is payable quarterly in arrears. The interest rate on outstanding borrowings as of October 31, 2025 was 5.19%. For the fiscal years ended October 31, 2025, 2024, and 2023, the company incurred interest expense of $11.1 million, $17.0 million and $15.9 million, respectively, on the outstanding borrowings under the 2024 Term Loan.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 Loan Maturing April 2027</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April 27, 2022, the company entered into a term loan credit agreement ("2022 Credit Agreement") with certain financial institutions which provided for a five-year unsecured term loan in an aggregate principal amount of $200.0 million, the entire amount of which was funded on April 27, 2022, and matures on April 27, 2027 ("2022 Term Loan"). The company used the proceeds from the September 30, 2025 $200.0 million issuance of 5.27% Senior Notes due September 30, 2032 to repay the outstanding balance of the 2022 Term Loan as of September 30, 2025. As of October 31, 2025, there was no outstanding borrowings under the 2022 Term Loan.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3.81% Series A and 3.91% Series B Senior Notes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April 30, 2019, the company entered into a private placement note purchase agreement with certain purchasers pursuant to which the company agreed to issue and sell an aggregate principal amount of $100.0 million of 3.81% Series A Senior Notes due June 15, 2029 ("Series A Senior Notes") and $100.0 million of 3.91% Series B Senior Notes due June 15, 2031 ("Series B</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1880" w:h="15528" w:orient="portrait"/>
          <w:cols w:equalWidth="0" w:num="1">
            <w:col w:w="10260"/>
          </w:cols>
          <w:pgMar w:left="820" w:top="651" w:right="800" w:bottom="0" w:gutter="0" w:footer="0" w:header="0"/>
          <w:type w:val="continuous"/>
        </w:sectPr>
      </w:pPr>
    </w:p>
    <w:bookmarkStart w:id="86" w:name="page87"/>
    <w:bookmarkEnd w:id="86"/>
    <w:p>
      <w:pPr>
        <w:spacing w:after="0" w:line="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Senior Notes" and together with the Series A Senior Notes, the "Senior Notes"). On June 27, 2019, the company issued $100.0 million of the Series A Senior Notes and $100.0 million of the Series B Senior Notes pursuant to the private placement note purchase agreement. The Senior Notes are unsecured senior obligations of the company.</w:t>
      </w:r>
    </w:p>
    <w:p>
      <w:pPr>
        <w:spacing w:after="0" w:line="7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No principal is due on the Senior Notes prior to their stated due dates. The company has the right to prepay all or a portion of either series of the Senior Notes in amounts not less than 10% of the then outstanding principal amount of the series of Senior Notes being prepaid upon notice to the holders of such series for 100%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 of the principal amount so prepaid, plus accrued and unpaid interest, if any, to the date of prepayment. Upon the occurrence of certain change of control events, the company is required to offer to prepay all Senior Notes for 100% of the principal amount thereof plus accrued and unpaid interest, if any, to the date of prepayment.</w:t>
      </w:r>
    </w:p>
    <w:p>
      <w:pPr>
        <w:spacing w:after="0" w:line="8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on the Senior Notes is payable semiannually on the 15th day of June and December in each year. For each of the fiscal years ended October 31, 2025, 2024, and 2023, the company incurred interest expense of $7.7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3.97% Senior Notes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June 30, 2022, the company issued $100.0 million of 3.97% Senior Notes due June 30, 2032 ("3.97% Senior Notes") pursuant to a private placement note purchase agreement ("2022 Note Purchase Agreement") with certain purchasers. The 3.97% Senior Notes are unsecured senior obligations of the company and mature on June 30, 2032.</w:t>
      </w:r>
    </w:p>
    <w:p>
      <w:pPr>
        <w:spacing w:after="0" w:line="7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has the right to prepay all or a portion of the 3.97% Senior Notes in an amount not less than 10% of the then outstanding principal amount upon notice to the holders for 100% of the prepaid principal amount plus a make-whole premium, as set forth in the 2022 Note Purchase Agreement, plus accrued and unpaid interest, if any, to the date of prepayment. In addition, at any time during the 90 day period ending on the maturity date of the 3.97% Senior Notes, the company will have the right to prepay all of the 3.97% Senior Notes for 100% of the principal amount prepaid, plus accrued and unpaid interest, if any, to the date of prepayment. Upon the occurrence of certain change of control events, the company is required to offer to prepay all of the 3.97% Senior Notes for 100% of the principal amount thereof plus accrued and unpaid interest, if any, to the date of prepayment.</w:t>
      </w:r>
    </w:p>
    <w:p>
      <w:pPr>
        <w:spacing w:after="0" w:line="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Interest on the 3.97% Senior Notes is payable semiannually on the 30th day of June and December in each year. For the fiscal years ended October 31, 2025, 2024, and 2023, the company incurred interest expense of $4.0 million, respectively, on the outstanding borrowings under the 3.97% Senior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5.27% Senior Notes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September 30, 2025, the company issued $200.0 million of 5.27% Senior Notes due September 30, 2032 ("5.27% Senior Notes") pursuant to a private placement note purchase agreement ("2025 Note Purchase Agreement") with certain purchasers. The 5.27% Senior Notes are unsecured senior obligations of the company and mature on September 30, 2032. The proceeds were used to repay the outstanding balance of the 2022 Term Loan as of September 30, 2025.</w:t>
      </w:r>
    </w:p>
    <w:p>
      <w:pPr>
        <w:spacing w:after="0" w:line="8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has the right to prepay all or a portion of the 5.27% Senior Notes in an amount not less than 10% of the then outstanding principal amount upon notice to the holders for 100% of the prepaid principal amount plus a make-whole premium, as set forth in the 2025 Note Purchase Agreement, plus accrued and unpaid interest, if any, to the date of prepayment. In addition, at any time during the 90 day period ending on the maturity date of the 5.27% Senior Notes, the company will have the right to prepay all of the 5.27% Senior Notes for 100% of the principal amount prepaid, plus accrued and unpaid interest, if any, to the date of prepayment. Upon the occurrence of certain change of control events, the company is required to offer to prepay all of the 5.27% Senior Notes for 100% of the principal amount thereof plus accrued and unpaid interest, if any, to the date of prepayment.</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Interest on the 5.27% Senior Notes is payable semiannually on the 30th day of March and September in each year. For the fiscal years ended October 31, 2025, the company incurred interest expense of $0.9 million on the outstanding borrowings under the 3.97% Senior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7.8% Debentures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June 1997, the company issued $175.0 million of debt securities consisting of $75.0 million of 7.125% coupon 10-year notes which were repaid at maturity during fiscal 2007, and $100.0 million of 7.8% coupon 30-year debentures due June 15, 2027.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w:t>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1880" w:h="15528" w:orient="portrait"/>
          <w:cols w:equalWidth="0" w:num="1">
            <w:col w:w="10260"/>
          </w:cols>
          <w:pgMar w:left="820" w:top="658" w:right="800" w:bottom="0" w:gutter="0" w:footer="0" w:header="0"/>
          <w:type w:val="continuous"/>
        </w:sectPr>
      </w:pPr>
    </w:p>
    <w:bookmarkStart w:id="87" w:name="page88"/>
    <w:bookmarkEnd w:id="87"/>
    <w:p>
      <w:pPr>
        <w:spacing w:after="0" w:line="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7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on the debentures is payable semiannually on the 15th day of June and December in each year. For each of the fiscal years ended October 31, 2025, 2024, and 2023, the company incurred interest expense of $8.0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6.625% Senior Notes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April 26, 2007, the company issued $125.0 million in aggregate principal amount of 6.625% senior notes due May 1, 2037 and priced at 98.513%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the effective interest rate is 6.741% after taking into account the issuance discount. The senior notes are unsecured senior obligations of the company and rank equally with the company's other unsecured and unsubordinated indebtedness.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on the senior notes is payable semiannually on the 1st day of May and November in each year. For each of the fiscal years ended October 31, 2025, 2024, and 2023, the company incurred interest expense of $8.4 million, respectively.</w:t>
      </w:r>
    </w:p>
    <w:p>
      <w:pPr>
        <w:spacing w:after="0" w:line="100" w:lineRule="exact"/>
        <w:rPr>
          <w:sz w:val="20"/>
          <w:szCs w:val="20"/>
          <w:color w:val="auto"/>
        </w:rPr>
      </w:pPr>
    </w:p>
    <w:p>
      <w:pPr>
        <w:ind w:left="660" w:hanging="617"/>
        <w:spacing w:after="0"/>
        <w:tabs>
          <w:tab w:leader="none" w:pos="660" w:val="left"/>
        </w:tabs>
        <w:numPr>
          <w:ilvl w:val="0"/>
          <w:numId w:val="43"/>
        </w:numPr>
        <w:rPr>
          <w:rFonts w:ascii="Times New Roman" w:cs="Times New Roman" w:eastAsia="Times New Roman" w:hAnsi="Times New Roman"/>
          <w:sz w:val="48"/>
          <w:szCs w:val="48"/>
          <w:b w:val="1"/>
          <w:bCs w:val="1"/>
          <w:color w:val="auto"/>
        </w:rPr>
      </w:pPr>
      <w:r>
        <w:rPr>
          <w:rFonts w:ascii="Times New Roman" w:cs="Times New Roman" w:eastAsia="Times New Roman" w:hAnsi="Times New Roman"/>
          <w:sz w:val="22"/>
          <w:szCs w:val="22"/>
          <w:b w:val="1"/>
          <w:bCs w:val="1"/>
          <w:color w:val="auto"/>
        </w:rPr>
        <w:t>Investment in Joint Venture</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The company is party to a joint venture with HDF, established as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11, </w:t>
      </w:r>
      <w:r>
        <w:rPr>
          <w:rFonts w:ascii="Times New Roman" w:cs="Times New Roman" w:eastAsia="Times New Roman" w:hAnsi="Times New Roman"/>
          <w:sz w:val="20"/>
          <w:szCs w:val="20"/>
          <w:b w:val="1"/>
          <w:bCs w:val="1"/>
          <w:i w:val="1"/>
          <w:iCs w:val="1"/>
          <w:color w:val="auto"/>
        </w:rPr>
        <w:t>Commitments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Contingencies</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 $1,350.0 million secured revolving credit facility established under a credit agreement between Red Iron and HDF. The company's total investment in Red Iron as of October 31, 2025 and 2024 was $41.0 million and $49.2 million, respectively. The company has not guaranteed the outstanding indebtedness of Red Iron.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638"/>
        </w:trPr>
        <w:tc>
          <w:tcPr>
            <w:tcW w:w="480" w:type="dxa"/>
            <w:vAlign w:val="bottom"/>
          </w:tcPr>
          <w:p>
            <w:pPr>
              <w:ind w:left="40"/>
              <w:spacing w:after="0"/>
              <w:rPr>
                <w:sz w:val="20"/>
                <w:szCs w:val="20"/>
                <w:color w:val="auto"/>
              </w:rPr>
            </w:pPr>
            <w:r>
              <w:rPr>
                <w:rFonts w:ascii="Times New Roman" w:cs="Times New Roman" w:eastAsia="Times New Roman" w:hAnsi="Times New Roman"/>
                <w:sz w:val="48"/>
                <w:szCs w:val="48"/>
                <w:b w:val="1"/>
                <w:bCs w:val="1"/>
                <w:color w:val="auto"/>
              </w:rPr>
              <w:t>8</w:t>
            </w:r>
          </w:p>
        </w:tc>
        <w:tc>
          <w:tcPr>
            <w:tcW w:w="54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Income Taxes</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3"/>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Earnings Before Income Taxes</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3"/>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Earnings before income taxes were as follows (dollars in millions):</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1"/>
        </w:trPr>
        <w:tc>
          <w:tcPr>
            <w:tcW w:w="5960" w:type="dxa"/>
            <w:vAlign w:val="bottom"/>
            <w:tcBorders>
              <w:bottom w:val="single" w:sz="8" w:color="auto"/>
            </w:tcBorders>
            <w:gridSpan w:val="2"/>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220"/>
        </w:trPr>
        <w:tc>
          <w:tcPr>
            <w:tcW w:w="5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436.6</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r>
      <w:tr>
        <w:trPr>
          <w:trHeight w:val="246"/>
        </w:trPr>
        <w:tc>
          <w:tcPr>
            <w:tcW w:w="59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8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76.2</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00"/>
        </w:trPr>
        <w:tc>
          <w:tcPr>
            <w:tcW w:w="5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Total earnings before income taxes</w:t>
            </w:r>
          </w:p>
        </w:tc>
        <w:tc>
          <w:tcPr>
            <w:tcW w:w="8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512.8</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-653415</wp:posOffset>
            </wp:positionV>
            <wp:extent cx="6565900" cy="673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65900" cy="673100"/>
                    </a:xfrm>
                    <a:prstGeom prst="rect">
                      <a:avLst/>
                    </a:prstGeom>
                    <a:noFill/>
                  </pic:spPr>
                </pic:pic>
              </a:graphicData>
            </a:graphic>
          </wp:anchor>
        </w:drawing>
      </w:r>
    </w:p>
    <w:p>
      <w:pPr>
        <w:sectPr>
          <w:pgSz w:w="11880" w:h="15528"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1880" w:h="15528" w:orient="portrait"/>
          <w:cols w:equalWidth="0" w:num="1">
            <w:col w:w="10260"/>
          </w:cols>
          <w:pgMar w:left="820" w:top="658" w:right="800" w:bottom="0" w:gutter="0" w:footer="0" w:header="0"/>
          <w:type w:val="continuous"/>
        </w:sectPr>
      </w:pPr>
    </w:p>
    <w:bookmarkStart w:id="88" w:name="page89"/>
    <w:bookmarkEnd w:id="8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Effective Tax 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statutory federal income tax rate to the company's effective tax rate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7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Statutory federal income tax rate</w:t>
            </w:r>
          </w:p>
        </w:tc>
        <w:tc>
          <w:tcPr>
            <w:tcW w:w="27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21.0 %</w:t>
            </w:r>
          </w:p>
        </w:tc>
        <w:tc>
          <w:tcPr>
            <w:tcW w:w="12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21.0 %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4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deduction for stock-based compensation</w:t>
            </w:r>
          </w:p>
        </w:tc>
        <w:tc>
          <w:tcPr>
            <w:tcW w:w="27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(0.1)</w:t>
            </w:r>
          </w:p>
        </w:tc>
        <w:tc>
          <w:tcPr>
            <w:tcW w:w="12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(0.6)</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r>
      <w:tr>
        <w:trPr>
          <w:trHeight w:val="24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 and local income taxes, net of federal benefit</w:t>
            </w:r>
          </w:p>
        </w:tc>
        <w:tc>
          <w:tcPr>
            <w:tcW w:w="27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2.2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r>
      <w:tr>
        <w:trPr>
          <w:trHeight w:val="24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operations</w:t>
            </w:r>
          </w:p>
        </w:tc>
        <w:tc>
          <w:tcPr>
            <w:tcW w:w="27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(2.2)</w:t>
            </w:r>
          </w:p>
        </w:tc>
        <w:tc>
          <w:tcPr>
            <w:tcW w:w="12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r>
      <w:tr>
        <w:trPr>
          <w:trHeight w:val="24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research tax credit</w:t>
            </w:r>
          </w:p>
        </w:tc>
        <w:tc>
          <w:tcPr>
            <w:tcW w:w="27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r>
      <w:tr>
        <w:trPr>
          <w:trHeight w:val="24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Foreign-derived intangible income</w:t>
            </w:r>
          </w:p>
        </w:tc>
        <w:tc>
          <w:tcPr>
            <w:tcW w:w="27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(0.9)</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r>
      <w:tr>
        <w:trPr>
          <w:trHeight w:val="246"/>
        </w:trPr>
        <w:tc>
          <w:tcPr>
            <w:tcW w:w="5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(0.3)</w:t>
            </w:r>
          </w:p>
        </w:tc>
        <w:tc>
          <w:tcPr>
            <w:tcW w:w="12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(0.3)</w:t>
            </w: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r>
      <w:tr>
        <w:trPr>
          <w:trHeight w:val="200"/>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27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16.3 %</w:t>
            </w:r>
          </w:p>
        </w:tc>
        <w:tc>
          <w:tcPr>
            <w:tcW w:w="12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18.3 %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17.7 %</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-1263015</wp:posOffset>
            </wp:positionV>
            <wp:extent cx="6565900" cy="128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65900" cy="128270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the company's provision for income taxes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provision:</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24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91.6</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94.9</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4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242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46"/>
        </w:trPr>
        <w:tc>
          <w:tcPr>
            <w:tcW w:w="4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20"/>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current provision</w:t>
            </w:r>
          </w:p>
        </w:tc>
        <w:tc>
          <w:tcPr>
            <w:tcW w:w="2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120.2</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121.8</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14"/>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(benefit) provision:</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24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4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2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46"/>
        </w:trPr>
        <w:tc>
          <w:tcPr>
            <w:tcW w:w="4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0"/>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deferred benefit</w:t>
            </w:r>
          </w:p>
        </w:tc>
        <w:tc>
          <w:tcPr>
            <w:tcW w:w="2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00"/>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2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61.5</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93.9</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-1720215</wp:posOffset>
            </wp:positionV>
            <wp:extent cx="6565900" cy="1739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65900" cy="1739900"/>
                    </a:xfrm>
                    <a:prstGeom prst="rect">
                      <a:avLst/>
                    </a:prstGeom>
                    <a:noFill/>
                  </pic:spPr>
                </pic:pic>
              </a:graphicData>
            </a:graphic>
          </wp:anchor>
        </w:drawing>
      </w:r>
    </w:p>
    <w:p>
      <w:pPr>
        <w:spacing w:after="0" w:line="1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has issued the Pillar Two Model Rules Framework (the "Framework"), which establishes global minimum tax rules with a minimum tax rate of 15%. The OECD continues to release additional guidance on these rules. Certain countries where the company operates have adopted legislation effective for fiscal years beginning on or after January 1, 2024, and other countries are in the process of introducing such legislation. The Framework did not have a material impact on the Consolidated Financial Statements.</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July 4, 2025, new U.S tax legislation was signed into law (known as the "One Big Beautiful Bill Act" or "OBBB") which makes permanent many of the tax provisions enacted in 2017 as part of the Tax Cuts and Jobs Act that were set to expire at the end of 2025. These include but are not limited to the reinstatement of 100% bonus depreciation, the deduction of U.S. based research expenditures, the deduction of interest expense, the deduction for foreign-derived intangible income (FDII), the tax and related foreign tax credit on Global Intangible Low-Taxed Income (GILTI), and the base-erosion anti-abuse tax (BEAT).</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legislation in effect for the Company's current fiscal year is the permanent reinstatement of 100% bonus depreciation. The other provisions within the OBBB have varying effective dates that will phase in between fiscal years 2026 and 2027. The Company continues to evaluate the future impact of these provisions.</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1880" w:h="15528" w:orient="portrait"/>
          <w:cols w:equalWidth="0" w:num="1">
            <w:col w:w="10260"/>
          </w:cols>
          <w:pgMar w:left="820" w:top="651" w:right="800" w:bottom="0" w:gutter="0" w:footer="0" w:header="0"/>
          <w:type w:val="continuous"/>
        </w:sectPr>
      </w:pPr>
    </w:p>
    <w:bookmarkStart w:id="89" w:name="page90"/>
    <w:bookmarkEnd w:id="89"/>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Income Taxes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company's deferred income tax assets and liabilities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experimentation</w:t>
            </w:r>
          </w:p>
        </w:tc>
        <w:tc>
          <w:tcPr>
            <w:tcW w:w="2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86.0</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Warranty and insurance</w:t>
            </w:r>
          </w:p>
        </w:tc>
        <w:tc>
          <w:tcPr>
            <w:tcW w:w="25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5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35.5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25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Advertising and sales promotions and incentives</w:t>
            </w:r>
          </w:p>
        </w:tc>
        <w:tc>
          <w:tcPr>
            <w:tcW w:w="25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5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40"/>
        </w:trPr>
        <w:tc>
          <w:tcPr>
            <w:tcW w:w="5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operating losses and other carryforwards</w:t>
            </w:r>
          </w:p>
        </w:tc>
        <w:tc>
          <w:tcPr>
            <w:tcW w:w="25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5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46"/>
        </w:trPr>
        <w:tc>
          <w:tcPr>
            <w:tcW w:w="5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Valuation allowance</w:t>
            </w:r>
          </w:p>
        </w:tc>
        <w:tc>
          <w:tcPr>
            <w:tcW w:w="2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20"/>
        </w:trPr>
        <w:tc>
          <w:tcPr>
            <w:tcW w:w="5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5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240.8</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w:t>
            </w:r>
          </w:p>
        </w:tc>
      </w:tr>
      <w:tr>
        <w:trPr>
          <w:trHeight w:val="214"/>
        </w:trPr>
        <w:tc>
          <w:tcPr>
            <w:tcW w:w="5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2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40"/>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2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46"/>
        </w:trPr>
        <w:tc>
          <w:tcPr>
            <w:tcW w:w="5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2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20"/>
        </w:trPr>
        <w:tc>
          <w:tcPr>
            <w:tcW w:w="5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w:t>
            </w:r>
          </w:p>
        </w:tc>
      </w:tr>
      <w:tr>
        <w:trPr>
          <w:trHeight w:val="200"/>
        </w:trPr>
        <w:tc>
          <w:tcPr>
            <w:tcW w:w="5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5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104.9</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-2634615</wp:posOffset>
            </wp:positionV>
            <wp:extent cx="6565900" cy="265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65900" cy="2654300"/>
                    </a:xfrm>
                    <a:prstGeom prst="rect">
                      <a:avLst/>
                    </a:prstGeom>
                    <a:noFill/>
                  </pic:spPr>
                </pic:pic>
              </a:graphicData>
            </a:graphic>
          </wp:anchor>
        </w:drawing>
      </w:r>
    </w:p>
    <w:p>
      <w:pPr>
        <w:spacing w:after="0" w:line="1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of October 31, 2025, the company has domestic net operating loss carryforwards of $1.1 million for federal income tax purposes, and $2.8 million state income tax purposes, that do not expire and $1.0 million for state income tax purposes that expire between fiscal 2038 and fiscal 2045. As of October 31, 2025, the company has net operating loss carryforwards of approximately $8.8 million in foreign jurisdictions, which are comprised of $8.6 million that do not expire and $0.2 million that expires between fiscal 2035 and fiscal 2041. The company also has domestic credit carryforwards of $3.5 million that expire between fiscal 2027 and fiscal 2043.</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net change in the total valuation allowance between the fiscal years ended October 31, 2025 and 2024 was an increase of $0.3 million. The change in valuation allowance is related to capital loss carryforwards, domestic tax credits, and foreign net operating losses that are expected to expire prior to utilization.</w:t>
      </w:r>
    </w:p>
    <w:p>
      <w:pPr>
        <w:spacing w:after="0" w:line="7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expects that $27.6 million of the total undistributed earnings of its foreign operations will be indefinitely reinvested. Should these earnings be distributed in the future in the form of dividends or otherwise, the company may be subject to foreign withholding taxes, state income taxes, and/or additional federal taxes for currency fluctuations. As of October 31, 2025, the unrecognized deferred tax liabilities for temporary differences related to the company’s investment in non-U.S. subsidiaries, and any withholding, state, or additional federal taxes that may be applied upon any future repatriation, are expected to be immaterial.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Unrecognized tax benefits as of October 31, 2024</w:t>
            </w:r>
          </w:p>
        </w:tc>
        <w:tc>
          <w:tcPr>
            <w:tcW w:w="2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4"/>
        </w:trPr>
        <w:tc>
          <w:tcPr>
            <w:tcW w:w="6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Increase as a result of tax positions taken during the current period</w:t>
            </w:r>
          </w:p>
        </w:tc>
        <w:tc>
          <w:tcPr>
            <w:tcW w:w="2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46"/>
        </w:trPr>
        <w:tc>
          <w:tcPr>
            <w:tcW w:w="6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Reductions as a result of statute of limitations lapses</w:t>
            </w:r>
          </w:p>
        </w:tc>
        <w:tc>
          <w:tcPr>
            <w:tcW w:w="28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0"/>
        </w:trPr>
        <w:tc>
          <w:tcPr>
            <w:tcW w:w="6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Unrecognized tax benefits as of October 31, 2025</w:t>
            </w:r>
          </w:p>
        </w:tc>
        <w:tc>
          <w:tcPr>
            <w:tcW w:w="2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-501015</wp:posOffset>
            </wp:positionV>
            <wp:extent cx="6565900" cy="520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65900" cy="520700"/>
                    </a:xfrm>
                    <a:prstGeom prst="rect">
                      <a:avLst/>
                    </a:prstGeom>
                    <a:noFill/>
                  </pic:spPr>
                </pic:pic>
              </a:graphicData>
            </a:graphic>
          </wp:anchor>
        </w:drawing>
      </w:r>
    </w:p>
    <w:p>
      <w:pPr>
        <w:spacing w:after="0" w:line="1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unrecognized tax benefits as a component of the provision for income taxes within the Consolidated Statements of Earnings. In addition to the unrecognized tax benefits of $3.2 million, which have been recorded as an other accrued liability within the Consolidated Balance Sheets as of October 31, 2025, the company recorded $1.0 million of accrued interest and penalties as an other accrued liability within the Consolidated Balance Sheets as of October 31, 2025. Included in the balance of unrecognized tax benefits as of October 31, 2025 are potential benefits of $3.4 million that, if recognized, would affect the effective tax rate.</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2020. The Internal Revenue Service has commenced an audit of fiscal 2022, with no material adjustments to tax expense or unrecognized tax benefits expected. The company is under audit</w:t>
      </w:r>
    </w:p>
    <w:p>
      <w:pPr>
        <w:sectPr>
          <w:pgSz w:w="11880" w:h="15528"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1880" w:h="15528" w:orient="portrait"/>
          <w:cols w:equalWidth="0" w:num="1">
            <w:col w:w="10260"/>
          </w:cols>
          <w:pgMar w:left="820" w:top="651" w:right="800" w:bottom="0" w:gutter="0" w:footer="0" w:header="0"/>
          <w:type w:val="continuous"/>
        </w:sectPr>
      </w:pPr>
    </w:p>
    <w:bookmarkStart w:id="90" w:name="page91"/>
    <w:bookmarkEnd w:id="90"/>
    <w:p>
      <w:pPr>
        <w:spacing w:after="0" w:line="4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in certain state jurisdictions and expects various statutes of limitation to expire during the next 12 months. Due to the uncertainty related to the response of taxing authorities, a range of outcomes cannot be reasonably estimated at this time.</w:t>
      </w:r>
    </w:p>
    <w:p>
      <w:pPr>
        <w:spacing w:after="0" w:line="100" w:lineRule="exact"/>
        <w:rPr>
          <w:sz w:val="20"/>
          <w:szCs w:val="20"/>
          <w:color w:val="auto"/>
        </w:rPr>
      </w:pPr>
    </w:p>
    <w:p>
      <w:pPr>
        <w:ind w:left="660" w:hanging="617"/>
        <w:spacing w:after="0"/>
        <w:tabs>
          <w:tab w:leader="none" w:pos="660" w:val="left"/>
        </w:tabs>
        <w:numPr>
          <w:ilvl w:val="0"/>
          <w:numId w:val="44"/>
        </w:numPr>
        <w:rPr>
          <w:rFonts w:ascii="Times New Roman" w:cs="Times New Roman" w:eastAsia="Times New Roman" w:hAnsi="Times New Roman"/>
          <w:sz w:val="48"/>
          <w:szCs w:val="48"/>
          <w:b w:val="1"/>
          <w:bCs w:val="1"/>
          <w:color w:val="auto"/>
        </w:rPr>
      </w:pPr>
      <w:r>
        <w:rPr>
          <w:rFonts w:ascii="Times New Roman" w:cs="Times New Roman" w:eastAsia="Times New Roman" w:hAnsi="Times New Roman"/>
          <w:sz w:val="22"/>
          <w:szCs w:val="22"/>
          <w:b w:val="1"/>
          <w:bCs w:val="1"/>
          <w:color w:val="auto"/>
        </w:rPr>
        <w:t>Stock-Based Compensation</w:t>
      </w:r>
    </w:p>
    <w:p>
      <w:pPr>
        <w:spacing w:after="0" w:line="17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On March 15, 2022, the company’s shareholders approved The Toro Company 2022 Equity and Incentive Plan (the “2022 Plan”), which became effective immediately and replaced The Toro Company Amended and Restated 2010 Equity and Incentive Plan, as amended (the “2010 Plan”) with respect to future grants of awards. The 2022 Plan is administered by the Compensation and Human Resources Committee of the Board of Directors and permits the grant of nonqualified and incentive stock options, stock appreciation rights, restricted stock, restricted stock units, performance shares, performance units, annual performance awards, non-employee director awards and other cash-based and stock-based awards to eligible individuals. Subject to adjustment as provided in the 2022 Plan, the maximum aggregate number of shares of the company’s common stock authorized for issuance under the 2022 Plan is equal to the sum of: (a) 1,250,000 shares, plus (b) the number of shares remaining available for grant under the 2010 Plan but not subject to outstanding awards thereunder as of March 15, 2022, and plus (c) the number of shares subject to awards outstanding under the 2010 Plan as of March 15, 2022 but only to the extent that such outstanding awards are forfeited, expire or otherwise terminate without the issuance of such shares. The number of unissued shares of common stock available for future stock-based compensation award grants under the 2022 Plan was 1,797,299 as of October 31, 2025. All outstanding stock-based compensation awards were granted under the 2010 Plan or the 2022 Plan. Shares of common stock issued upon the exercise, vesting, or settlement of stock options, restricted stock units, and performance shares are issued from treasury shares.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costs related to stock-based compensation awards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1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 awards</w:t>
            </w:r>
          </w:p>
        </w:tc>
        <w:tc>
          <w:tcPr>
            <w:tcW w:w="14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14.6</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40"/>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 share awards</w:t>
            </w:r>
          </w:p>
        </w:tc>
        <w:tc>
          <w:tcPr>
            <w:tcW w:w="1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0"/>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1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4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46"/>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1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0"/>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14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23.0</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Related tax benefit from stock-based compensation awards</w:t>
            </w:r>
          </w:p>
        </w:tc>
        <w:tc>
          <w:tcPr>
            <w:tcW w:w="14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-945515</wp:posOffset>
            </wp:positionV>
            <wp:extent cx="6565900" cy="9652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65900" cy="96520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 Awards</w:t>
      </w:r>
    </w:p>
    <w:p>
      <w:pPr>
        <w:spacing w:after="0" w:line="13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Stock options are granted with an exercise price equal to the closing price of the company's common stock on the date of grant, as reported by the New York Stock Exchange and are generally granted to executive officers, other employees, and non-employee Board members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or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applicable equity and incentive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w:t>
      </w:r>
    </w:p>
    <w:p>
      <w:pPr>
        <w:sectPr>
          <w:pgSz w:w="11880" w:h="15528" w:orient="portrait"/>
          <w:cols w:equalWidth="0" w:num="1">
            <w:col w:w="10260"/>
          </w:cols>
          <w:pgMar w:left="820" w:top="658" w:right="80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1880" w:h="15528" w:orient="portrait"/>
          <w:cols w:equalWidth="0" w:num="1">
            <w:col w:w="10260"/>
          </w:cols>
          <w:pgMar w:left="820" w:top="658" w:right="800" w:bottom="0" w:gutter="0" w:footer="0" w:header="0"/>
          <w:type w:val="continuous"/>
        </w:sectPr>
      </w:pPr>
    </w:p>
    <w:bookmarkStart w:id="91" w:name="page92"/>
    <w:bookmarkEnd w:id="91"/>
    <w:p>
      <w:pPr>
        <w:spacing w:after="0" w:line="48"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historical cash dividends paid, expected future cash dividends and dividend yield, and expected changes in the company's stock price.</w:t>
      </w:r>
    </w:p>
    <w:p>
      <w:pPr>
        <w:spacing w:after="0" w:line="61"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illustrates the weighted-average valuation assumptions used under the Black-Scholes valuation method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6515100"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1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17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6.42</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6.37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40"/>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78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28.08 %</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26.76 %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25.20 %</w:t>
            </w:r>
          </w:p>
        </w:tc>
      </w:tr>
      <w:tr>
        <w:trPr>
          <w:trHeight w:val="240"/>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1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5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5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3.79 %</w:t>
            </w:r>
          </w:p>
        </w:tc>
      </w:tr>
      <w:tr>
        <w:trPr>
          <w:trHeight w:val="240"/>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dividend yield</w:t>
            </w:r>
          </w:p>
        </w:tc>
        <w:tc>
          <w:tcPr>
            <w:tcW w:w="178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1.43 %</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1.15 %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0.95 %</w:t>
            </w:r>
          </w:p>
        </w:tc>
      </w:tr>
      <w:tr>
        <w:trPr>
          <w:trHeight w:val="246"/>
        </w:trPr>
        <w:tc>
          <w:tcPr>
            <w:tcW w:w="5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17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5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5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-793115</wp:posOffset>
            </wp:positionV>
            <wp:extent cx="6565900" cy="812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65900" cy="812800"/>
                    </a:xfrm>
                    <a:prstGeom prst="rect">
                      <a:avLst/>
                    </a:prstGeom>
                    <a:noFill/>
                  </pic:spPr>
                </pic:pic>
              </a:graphicData>
            </a:graphic>
          </wp:anchor>
        </w:drawing>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presents stock option activity for fiscal 2025:</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386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center"/>
              <w:ind w:right="102"/>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2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5"/>
                <w:szCs w:val="15"/>
                <w:b w:val="1"/>
                <w:bCs w:val="1"/>
                <w:color w:val="auto"/>
              </w:rPr>
              <w:t>Stock Option</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8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40" w:type="dxa"/>
            <w:vAlign w:val="bottom"/>
          </w:tcPr>
          <w:p>
            <w:pPr>
              <w:spacing w:after="0"/>
              <w:rPr>
                <w:sz w:val="13"/>
                <w:szCs w:val="13"/>
                <w:color w:val="auto"/>
              </w:rPr>
            </w:pPr>
          </w:p>
        </w:tc>
        <w:tc>
          <w:tcPr>
            <w:tcW w:w="1000" w:type="dxa"/>
            <w:vAlign w:val="bottom"/>
          </w:tcPr>
          <w:p>
            <w:pPr>
              <w:jc w:val="right"/>
              <w:ind w:right="263"/>
              <w:spacing w:after="0" w:line="150" w:lineRule="exact"/>
              <w:rPr>
                <w:sz w:val="20"/>
                <w:szCs w:val="20"/>
                <w:color w:val="auto"/>
              </w:rPr>
            </w:pPr>
            <w:r>
              <w:rPr>
                <w:rFonts w:ascii="Times New Roman" w:cs="Times New Roman" w:eastAsia="Times New Roman" w:hAnsi="Times New Roman"/>
                <w:sz w:val="15"/>
                <w:szCs w:val="15"/>
                <w:b w:val="1"/>
                <w:bCs w:val="1"/>
                <w:color w:val="auto"/>
              </w:rPr>
              <w:t>Intrinsic</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02"/>
              <w:spacing w:after="0" w:line="150"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28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Contractual Life</w:t>
            </w:r>
          </w:p>
        </w:tc>
        <w:tc>
          <w:tcPr>
            <w:tcW w:w="124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5"/>
                <w:szCs w:val="15"/>
                <w:b w:val="1"/>
                <w:bCs w:val="1"/>
                <w:color w:val="auto"/>
              </w:rPr>
              <w:t>Value (dollars in</w:t>
            </w:r>
          </w:p>
        </w:tc>
        <w:tc>
          <w:tcPr>
            <w:tcW w:w="0" w:type="dxa"/>
            <w:vAlign w:val="bottom"/>
          </w:tcPr>
          <w:p>
            <w:pPr>
              <w:spacing w:after="0"/>
              <w:rPr>
                <w:sz w:val="1"/>
                <w:szCs w:val="1"/>
                <w:color w:val="auto"/>
              </w:rPr>
            </w:pPr>
          </w:p>
        </w:tc>
      </w:tr>
      <w:tr>
        <w:trPr>
          <w:trHeight w:val="202"/>
        </w:trPr>
        <w:tc>
          <w:tcPr>
            <w:tcW w:w="38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5"/>
                <w:szCs w:val="15"/>
                <w:b w:val="1"/>
                <w:bCs w:val="1"/>
                <w:color w:val="auto"/>
              </w:rPr>
              <w:t>Awards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(years)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millions)</w:t>
            </w:r>
          </w:p>
        </w:tc>
        <w:tc>
          <w:tcPr>
            <w:tcW w:w="0" w:type="dxa"/>
            <w:vAlign w:val="bottom"/>
          </w:tcPr>
          <w:p>
            <w:pPr>
              <w:spacing w:after="0"/>
              <w:rPr>
                <w:sz w:val="1"/>
                <w:szCs w:val="1"/>
                <w:color w:val="auto"/>
              </w:rPr>
            </w:pPr>
          </w:p>
        </w:tc>
      </w:tr>
      <w:tr>
        <w:trPr>
          <w:trHeight w:val="21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as of October 31, 2024</w:t>
            </w:r>
          </w:p>
        </w:tc>
        <w:tc>
          <w:tcPr>
            <w:tcW w:w="2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3,120,366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83.69</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40"/>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2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378,970</w:t>
            </w: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80.11</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(188,737)</w:t>
            </w: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47.53</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(131,096)</w:t>
            </w: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96.52</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Outstanding as of October 31, 2025</w:t>
            </w:r>
          </w:p>
        </w:tc>
        <w:tc>
          <w:tcPr>
            <w:tcW w:w="2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3,179,503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84.88</w:t>
            </w: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20"/>
        </w:trPr>
        <w:tc>
          <w:tcPr>
            <w:tcW w:w="3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Exercisable as of October 31, 2025</w:t>
            </w:r>
          </w:p>
        </w:tc>
        <w:tc>
          <w:tcPr>
            <w:tcW w:w="2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2,433,329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82.68</w:t>
            </w: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-945515</wp:posOffset>
            </wp:positionV>
            <wp:extent cx="6565900" cy="965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65900" cy="965200"/>
                    </a:xfrm>
                    <a:prstGeom prst="rect">
                      <a:avLst/>
                    </a:prstGeom>
                    <a:noFill/>
                  </pic:spPr>
                </pic:pic>
              </a:graphicData>
            </a:graphic>
          </wp:anchor>
        </w:drawing>
      </w:r>
    </w:p>
    <w:p>
      <w:pPr>
        <w:spacing w:after="0" w:line="12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As of October 31, 2025, there was $4.1 million of total unrecognized compensation cost related to unvested stock options that is expected to be recognized over a weighted-average period of 1.80 years.</w:t>
      </w:r>
    </w:p>
    <w:p>
      <w:pPr>
        <w:spacing w:after="0" w:line="6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presents the total market value of stock options exercised and the total intrinsic value of options exercised during the following fiscal years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6515100"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 value of stock options exercised</w:t>
            </w:r>
          </w:p>
        </w:tc>
        <w:tc>
          <w:tcPr>
            <w:tcW w:w="26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46"/>
        </w:trPr>
        <w:tc>
          <w:tcPr>
            <w:tcW w:w="4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Intrinsic value of stock options exercised</w:t>
            </w:r>
            <w:r>
              <w:rPr>
                <w:rFonts w:ascii="Times New Roman" w:cs="Times New Roman" w:eastAsia="Times New Roman" w:hAnsi="Times New Roman"/>
                <w:sz w:val="20"/>
                <w:szCs w:val="20"/>
                <w:color w:val="auto"/>
                <w:vertAlign w:val="superscript"/>
              </w:rPr>
              <w:t>1</w:t>
            </w:r>
          </w:p>
        </w:tc>
        <w:tc>
          <w:tcPr>
            <w:tcW w:w="26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6565900" cy="35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65900" cy="355600"/>
                    </a:xfrm>
                    <a:prstGeom prst="rect">
                      <a:avLst/>
                    </a:prstGeom>
                    <a:noFill/>
                  </pic:spPr>
                </pic:pic>
              </a:graphicData>
            </a:graphic>
          </wp:anchor>
        </w:drawing>
      </w:r>
    </w:p>
    <w:p>
      <w:pPr>
        <w:spacing w:after="0" w:line="114" w:lineRule="exact"/>
        <w:rPr>
          <w:sz w:val="20"/>
          <w:szCs w:val="20"/>
          <w:color w:val="auto"/>
        </w:rPr>
      </w:pPr>
    </w:p>
    <w:p>
      <w:pPr>
        <w:ind w:left="370" w:hanging="370"/>
        <w:spacing w:after="0"/>
        <w:tabs>
          <w:tab w:leader="none" w:pos="37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Intrinsic value is calculated as the amount by which the stock price at exercise date exceeded the option exercise price.</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Performance Share Awards</w:t>
      </w:r>
    </w:p>
    <w:p>
      <w:pPr>
        <w:spacing w:after="0" w:line="137"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grants performance share awards on an annual basis in the first quarter of the company's fiscal year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Compensation cost is recognized for these awards on a straight-line basis over the vesting period based on the per share fair value, which is equal to the closing price of the company's common stock on the date of grant, and the probability of achieving each performance goal.</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Factors related to the company's performance share awards are as follows (dollars in millions, except per award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515100"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fair value per award at date of grant</w:t>
            </w:r>
          </w:p>
        </w:tc>
        <w:tc>
          <w:tcPr>
            <w:tcW w:w="222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80.04</w:t>
            </w:r>
          </w:p>
        </w:tc>
        <w:tc>
          <w:tcPr>
            <w:tcW w:w="82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4"/>
              </w:rPr>
              <w:t>99.60</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112.14</w:t>
            </w:r>
          </w:p>
        </w:tc>
      </w:tr>
      <w:tr>
        <w:trPr>
          <w:trHeight w:val="246"/>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Fair value of performance share awards vested</w:t>
            </w:r>
          </w:p>
        </w:tc>
        <w:tc>
          <w:tcPr>
            <w:tcW w:w="2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6565900" cy="35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65900" cy="355600"/>
                    </a:xfrm>
                    <a:prstGeom prst="rect">
                      <a:avLst/>
                    </a:prstGeom>
                    <a:noFill/>
                  </pic:spPr>
                </pic:pic>
              </a:graphicData>
            </a:graphic>
          </wp:anchor>
        </w:drawing>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presents fiscal 2025 activity for unvested 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515100"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400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0" w:type="dxa"/>
            <w:vAlign w:val="bottom"/>
          </w:tcPr>
          <w:p>
            <w:pPr>
              <w:spacing w:after="0"/>
              <w:rPr>
                <w:sz w:val="13"/>
                <w:szCs w:val="13"/>
                <w:color w:val="auto"/>
              </w:rPr>
            </w:pPr>
          </w:p>
        </w:tc>
        <w:tc>
          <w:tcPr>
            <w:tcW w:w="108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Fair</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Value at Date</w:t>
            </w:r>
          </w:p>
        </w:tc>
        <w:tc>
          <w:tcPr>
            <w:tcW w:w="0" w:type="dxa"/>
            <w:vAlign w:val="bottom"/>
          </w:tcPr>
          <w:p>
            <w:pPr>
              <w:spacing w:after="0"/>
              <w:rPr>
                <w:sz w:val="1"/>
                <w:szCs w:val="1"/>
                <w:color w:val="auto"/>
              </w:rPr>
            </w:pPr>
          </w:p>
        </w:tc>
      </w:tr>
      <w:tr>
        <w:trPr>
          <w:trHeight w:val="214"/>
        </w:trPr>
        <w:tc>
          <w:tcPr>
            <w:tcW w:w="50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of Grant</w:t>
            </w:r>
          </w:p>
        </w:tc>
        <w:tc>
          <w:tcPr>
            <w:tcW w:w="0" w:type="dxa"/>
            <w:vAlign w:val="bottom"/>
          </w:tcPr>
          <w:p>
            <w:pPr>
              <w:spacing w:after="0"/>
              <w:rPr>
                <w:sz w:val="1"/>
                <w:szCs w:val="1"/>
                <w:color w:val="auto"/>
              </w:rPr>
            </w:pPr>
          </w:p>
        </w:tc>
      </w:tr>
      <w:tr>
        <w:trPr>
          <w:trHeight w:val="214"/>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Unvested as of October 31, 2024</w:t>
            </w:r>
          </w:p>
        </w:tc>
        <w:tc>
          <w:tcPr>
            <w:tcW w:w="4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206,672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103.26</w:t>
            </w:r>
          </w:p>
        </w:tc>
        <w:tc>
          <w:tcPr>
            <w:tcW w:w="0" w:type="dxa"/>
            <w:vAlign w:val="bottom"/>
          </w:tcPr>
          <w:p>
            <w:pPr>
              <w:spacing w:after="0"/>
              <w:rPr>
                <w:sz w:val="1"/>
                <w:szCs w:val="1"/>
                <w:color w:val="auto"/>
              </w:rPr>
            </w:pPr>
          </w:p>
        </w:tc>
      </w:tr>
      <w:tr>
        <w:trPr>
          <w:trHeight w:val="24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4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138,723</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0" w:type="dxa"/>
            <w:vAlign w:val="bottom"/>
          </w:tcPr>
          <w:p>
            <w:pPr>
              <w:spacing w:after="0"/>
              <w:rPr>
                <w:sz w:val="1"/>
                <w:szCs w:val="1"/>
                <w:color w:val="auto"/>
              </w:rPr>
            </w:pPr>
          </w:p>
        </w:tc>
      </w:tr>
      <w:tr>
        <w:trPr>
          <w:trHeight w:val="24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4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(29,836)</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0" w:type="dxa"/>
            <w:vAlign w:val="bottom"/>
          </w:tcPr>
          <w:p>
            <w:pPr>
              <w:spacing w:after="0"/>
              <w:rPr>
                <w:sz w:val="1"/>
                <w:szCs w:val="1"/>
                <w:color w:val="auto"/>
              </w:rPr>
            </w:pPr>
          </w:p>
        </w:tc>
      </w:tr>
      <w:tr>
        <w:trPr>
          <w:trHeight w:val="246"/>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(36,731)</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97.19</w:t>
            </w:r>
          </w:p>
        </w:tc>
        <w:tc>
          <w:tcPr>
            <w:tcW w:w="0" w:type="dxa"/>
            <w:vAlign w:val="bottom"/>
          </w:tcPr>
          <w:p>
            <w:pPr>
              <w:spacing w:after="0"/>
              <w:rPr>
                <w:sz w:val="1"/>
                <w:szCs w:val="1"/>
                <w:color w:val="auto"/>
              </w:rPr>
            </w:pPr>
          </w:p>
        </w:tc>
      </w:tr>
      <w:tr>
        <w:trPr>
          <w:trHeight w:val="200"/>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Unvested as of October 31, 2025</w:t>
            </w:r>
          </w:p>
        </w:tc>
        <w:tc>
          <w:tcPr>
            <w:tcW w:w="4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278,828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-805815</wp:posOffset>
            </wp:positionV>
            <wp:extent cx="6565900" cy="8255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65900" cy="825500"/>
                    </a:xfrm>
                    <a:prstGeom prst="rect">
                      <a:avLst/>
                    </a:prstGeom>
                    <a:noFill/>
                  </pic:spPr>
                </pic:pic>
              </a:graphicData>
            </a:graphic>
          </wp:anchor>
        </w:drawing>
      </w:r>
    </w:p>
    <w:p>
      <w:pPr>
        <w:sectPr>
          <w:pgSz w:w="11880" w:h="15528" w:orient="portrait"/>
          <w:cols w:equalWidth="0" w:num="1">
            <w:col w:w="10270"/>
          </w:cols>
          <w:pgMar w:left="810" w:top="658" w:right="80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86</w:t>
      </w:r>
    </w:p>
    <w:p>
      <w:pPr>
        <w:sectPr>
          <w:pgSz w:w="11880" w:h="15528" w:orient="portrait"/>
          <w:cols w:equalWidth="0" w:num="1">
            <w:col w:w="10270"/>
          </w:cols>
          <w:pgMar w:left="810" w:top="658" w:right="800" w:bottom="0" w:gutter="0" w:footer="0" w:header="0"/>
          <w:type w:val="continuous"/>
        </w:sectPr>
      </w:pPr>
    </w:p>
    <w:bookmarkStart w:id="92" w:name="page93"/>
    <w:bookmarkEnd w:id="92"/>
    <w:p>
      <w:pPr>
        <w:spacing w:after="0" w:line="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October 31, 2025, there was $6.5 million of total unrecognized compensation cost related to unvested performance share awards that is expected to be recognized over a weighted-average period of 2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 Awards</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Restricted stock unit awards are generally granted on an annual basis to certain employees that are not executive officers and occasionally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In rare circumstances, such awards may have performance-based rather than time-based vesting requirements.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related to the company's restricted stock unit awards are as follows (dollars in millions, except per award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515100"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4"/>
        </w:trPr>
        <w:tc>
          <w:tcPr>
            <w:tcW w:w="6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fair value per award at date of grant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96.58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103.40</w:t>
            </w:r>
          </w:p>
        </w:tc>
        <w:tc>
          <w:tcPr>
            <w:tcW w:w="0" w:type="dxa"/>
            <w:vAlign w:val="bottom"/>
          </w:tcPr>
          <w:p>
            <w:pPr>
              <w:spacing w:after="0"/>
              <w:rPr>
                <w:sz w:val="1"/>
                <w:szCs w:val="1"/>
                <w:color w:val="auto"/>
              </w:rPr>
            </w:pPr>
          </w:p>
        </w:tc>
      </w:tr>
      <w:tr>
        <w:trPr>
          <w:trHeight w:val="246"/>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Fair value of restricted stock units vested</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409"/>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The table below presents fiscal 2025 activity for unvested restricted stock units: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60"/>
              <w:spacing w:after="0" w:line="166"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40" w:type="dxa"/>
            <w:vAlign w:val="bottom"/>
          </w:tcPr>
          <w:p>
            <w:pPr>
              <w:spacing w:after="0"/>
              <w:rPr>
                <w:sz w:val="13"/>
                <w:szCs w:val="13"/>
                <w:color w:val="auto"/>
              </w:rPr>
            </w:pPr>
          </w:p>
        </w:tc>
        <w:tc>
          <w:tcPr>
            <w:tcW w:w="108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Fair</w:t>
            </w: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Value at Date</w:t>
            </w:r>
          </w:p>
        </w:tc>
        <w:tc>
          <w:tcPr>
            <w:tcW w:w="0" w:type="dxa"/>
            <w:vAlign w:val="bottom"/>
          </w:tcPr>
          <w:p>
            <w:pPr>
              <w:spacing w:after="0"/>
              <w:rPr>
                <w:sz w:val="1"/>
                <w:szCs w:val="1"/>
                <w:color w:val="auto"/>
              </w:rPr>
            </w:pPr>
          </w:p>
        </w:tc>
      </w:tr>
      <w:tr>
        <w:trPr>
          <w:trHeight w:val="214"/>
        </w:trPr>
        <w:tc>
          <w:tcPr>
            <w:tcW w:w="6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of Grant</w:t>
            </w:r>
          </w:p>
        </w:tc>
        <w:tc>
          <w:tcPr>
            <w:tcW w:w="0" w:type="dxa"/>
            <w:vAlign w:val="bottom"/>
          </w:tcPr>
          <w:p>
            <w:pPr>
              <w:spacing w:after="0"/>
              <w:rPr>
                <w:sz w:val="1"/>
                <w:szCs w:val="1"/>
                <w:color w:val="auto"/>
              </w:rPr>
            </w:pPr>
          </w:p>
        </w:tc>
      </w:tr>
      <w:tr>
        <w:trPr>
          <w:trHeight w:val="214"/>
        </w:trPr>
        <w:tc>
          <w:tcPr>
            <w:tcW w:w="6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Unvested as of October 31, 2024</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191,168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0" w:type="dxa"/>
            <w:vAlign w:val="bottom"/>
          </w:tcPr>
          <w:p>
            <w:pPr>
              <w:spacing w:after="0"/>
              <w:rPr>
                <w:sz w:val="1"/>
                <w:szCs w:val="1"/>
                <w:color w:val="auto"/>
              </w:rPr>
            </w:pPr>
          </w:p>
        </w:tc>
      </w:tr>
      <w:tr>
        <w:trPr>
          <w:trHeight w:val="240"/>
        </w:trPr>
        <w:tc>
          <w:tcPr>
            <w:tcW w:w="6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149,011</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0" w:type="dxa"/>
            <w:vAlign w:val="bottom"/>
          </w:tcPr>
          <w:p>
            <w:pPr>
              <w:spacing w:after="0"/>
              <w:rPr>
                <w:sz w:val="1"/>
                <w:szCs w:val="1"/>
                <w:color w:val="auto"/>
              </w:rPr>
            </w:pPr>
          </w:p>
        </w:tc>
      </w:tr>
      <w:tr>
        <w:trPr>
          <w:trHeight w:val="240"/>
        </w:trPr>
        <w:tc>
          <w:tcPr>
            <w:tcW w:w="6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(82,347)</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0" w:type="dxa"/>
            <w:vAlign w:val="bottom"/>
          </w:tcPr>
          <w:p>
            <w:pPr>
              <w:spacing w:after="0"/>
              <w:rPr>
                <w:sz w:val="1"/>
                <w:szCs w:val="1"/>
                <w:color w:val="auto"/>
              </w:rPr>
            </w:pPr>
          </w:p>
        </w:tc>
      </w:tr>
      <w:tr>
        <w:trPr>
          <w:trHeight w:val="246"/>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(16,670)</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94.90</w:t>
            </w:r>
          </w:p>
        </w:tc>
        <w:tc>
          <w:tcPr>
            <w:tcW w:w="0" w:type="dxa"/>
            <w:vAlign w:val="bottom"/>
          </w:tcPr>
          <w:p>
            <w:pPr>
              <w:spacing w:after="0"/>
              <w:rPr>
                <w:sz w:val="1"/>
                <w:szCs w:val="1"/>
                <w:color w:val="auto"/>
              </w:rPr>
            </w:pPr>
          </w:p>
        </w:tc>
      </w:tr>
      <w:tr>
        <w:trPr>
          <w:trHeight w:val="200"/>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Unvested as of October 31, 2025</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241,162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0" w:type="dxa"/>
            <w:vAlign w:val="bottom"/>
          </w:tcPr>
          <w:p>
            <w:pPr>
              <w:spacing w:after="0"/>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-1936115</wp:posOffset>
            </wp:positionV>
            <wp:extent cx="6565900" cy="35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65900" cy="3556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-805815</wp:posOffset>
            </wp:positionV>
            <wp:extent cx="6565900" cy="8255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65900" cy="825500"/>
                    </a:xfrm>
                    <a:prstGeom prst="rect">
                      <a:avLst/>
                    </a:prstGeom>
                    <a:noFill/>
                  </pic:spPr>
                </pic:pic>
              </a:graphicData>
            </a:graphic>
          </wp:anchor>
        </w:drawing>
      </w:r>
    </w:p>
    <w:p>
      <w:pPr>
        <w:spacing w:after="0" w:line="1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October 31, 2025, there was $12.6 million of total unrecognized compensation cost related to unvested restricted stock units that is expected to be recognized over a weighted-average period of 2.36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Unrestricted Common Stock Awards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fiscal 2025, 2024, and 2023, 8,808, 7,544, and 10,329 shares, respectively, of fully vested unrestricted common stock awards were granted to certain Board members as a component of their compensation for their service on the Board and were recorded within selling, general and administrative expense in the Consolidated Statements of Earnings. Additionally, our Board members may elect to convert a portion or all of their calendar year annual retainers otherwise payable in cash into shares of the company's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Compensation Plan</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maintains a deferred compensation plan that allows executive officers and certain other employees that receive performance share awards to defer receipt of shares of the company's common stock paid out under such awards to a date in the future. Participants can defer up to 100 percent of the common stock payout and are always 100 percent vested in their accounts. Common stock payout deferrals under this plan are held in a rabbi trust and treated in a manner similar to treasury shares and are recorded at cost within stockholders' equity in the Consolidated Balance Sheets as of October 31, 2025 and 2024. The total of common stock required to settle this deferred compensation obligation is included in the denominator of the calculation of both basic and diluted net earnings per share of common stock.</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8"/>
          <w:szCs w:val="48"/>
          <w:b w:val="1"/>
          <w:bCs w:val="1"/>
          <w:color w:val="auto"/>
        </w:rPr>
        <w:t xml:space="preserve">10 </w:t>
      </w:r>
      <w:r>
        <w:rPr>
          <w:rFonts w:ascii="Times New Roman" w:cs="Times New Roman" w:eastAsia="Times New Roman" w:hAnsi="Times New Roman"/>
          <w:sz w:val="22"/>
          <w:szCs w:val="22"/>
          <w:b w:val="1"/>
          <w:bCs w:val="1"/>
          <w:color w:val="auto"/>
        </w:rPr>
        <w:t>Stockholders' Equity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Repurchase Program</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fiscal 2025 and 2024, the company paid $290.0 million and $245.5 million to repurchase 3,780,167 and 2,777,534 shares of common stock under the stock repurchase program, respectively. As of October 31, 2025, 4,391,790 shares of common stock remain available for repurchase.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Treasury Shares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Treasury shares generally consist of shares of the company's common stock repurchased under the stock repurchase program. The company values treasury shares on an average cost basis. As of October 31, 2025, the company had a total of 29,918,769</w:t>
      </w:r>
    </w:p>
    <w:p>
      <w:pPr>
        <w:sectPr>
          <w:pgSz w:w="11880" w:h="15527" w:orient="portrait"/>
          <w:cols w:equalWidth="0" w:num="1">
            <w:col w:w="10260"/>
          </w:cols>
          <w:pgMar w:left="820" w:top="658" w:right="800" w:bottom="0" w:gutter="0" w:footer="0" w:header="0"/>
        </w:sect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1880" w:h="15527" w:orient="portrait"/>
          <w:cols w:equalWidth="0" w:num="1">
            <w:col w:w="10260"/>
          </w:cols>
          <w:pgMar w:left="820" w:top="658" w:right="800" w:bottom="0" w:gutter="0" w:footer="0" w:header="0"/>
          <w:type w:val="continuous"/>
        </w:sectPr>
      </w:pPr>
    </w:p>
    <w:bookmarkStart w:id="93" w:name="page94"/>
    <w:bookmarkEnd w:id="93"/>
    <w:p>
      <w:pPr>
        <w:spacing w:after="0" w:line="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treasury shares at a total average cost of $2,244.8 million. As of October 31, 2024, the company had a total of 26,319,681 treasury shares at a total average cost of $1,968.9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Accumulated Other Comprehensive Loss</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components of AOCL, net of tax, within the Consolidated Statements of Stockholders' Equity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135255</wp:posOffset>
            </wp:positionV>
            <wp:extent cx="6515100"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 of October 31</w:t>
            </w:r>
          </w:p>
        </w:tc>
        <w:tc>
          <w:tcPr>
            <w:tcW w:w="2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40"/>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benefits</w:t>
            </w:r>
          </w:p>
        </w:tc>
        <w:tc>
          <w:tcPr>
            <w:tcW w:w="27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46"/>
        </w:trPr>
        <w:tc>
          <w:tcPr>
            <w:tcW w:w="5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27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0"/>
        </w:trPr>
        <w:tc>
          <w:tcPr>
            <w:tcW w:w="5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35.1</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-653415</wp:posOffset>
            </wp:positionV>
            <wp:extent cx="6565900" cy="673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65900" cy="6731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and activity of AOCL, net of tax,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179070</wp:posOffset>
            </wp:positionV>
            <wp:extent cx="6515100"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tcPr>
          <w:p>
            <w:pPr>
              <w:spacing w:after="0"/>
              <w:rPr>
                <w:sz w:val="13"/>
                <w:szCs w:val="13"/>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80" w:type="dxa"/>
            <w:vAlign w:val="bottom"/>
          </w:tcPr>
          <w:p>
            <w:pPr>
              <w:spacing w:after="0"/>
              <w:rPr>
                <w:sz w:val="13"/>
                <w:szCs w:val="13"/>
                <w:color w:val="auto"/>
              </w:rPr>
            </w:pPr>
          </w:p>
        </w:tc>
        <w:tc>
          <w:tcPr>
            <w:tcW w:w="94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40"/>
        </w:trPr>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46"/>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0"/>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center"/>
              <w:ind w:right="120"/>
              <w:spacing w:after="0" w:line="166" w:lineRule="exact"/>
              <w:rPr>
                <w:sz w:val="20"/>
                <w:szCs w:val="20"/>
                <w:color w:val="auto"/>
              </w:rPr>
            </w:pPr>
            <w:r>
              <w:rPr>
                <w:rFonts w:ascii="Times New Roman" w:cs="Times New Roman" w:eastAsia="Times New Roman" w:hAnsi="Times New Roman"/>
                <w:sz w:val="16"/>
                <w:szCs w:val="16"/>
                <w:b w:val="1"/>
                <w:bCs w:val="1"/>
                <w:color w:val="auto"/>
              </w:rPr>
              <w:t>Foreign</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tcPr>
          <w:p>
            <w:pPr>
              <w:spacing w:after="0"/>
              <w:rPr>
                <w:sz w:val="13"/>
                <w:szCs w:val="13"/>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80" w:type="dxa"/>
            <w:vAlign w:val="bottom"/>
          </w:tcPr>
          <w:p>
            <w:pPr>
              <w:spacing w:after="0"/>
              <w:rPr>
                <w:sz w:val="13"/>
                <w:szCs w:val="13"/>
                <w:color w:val="auto"/>
              </w:rPr>
            </w:pPr>
          </w:p>
        </w:tc>
        <w:tc>
          <w:tcPr>
            <w:tcW w:w="94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40"/>
        </w:trPr>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46"/>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16.8</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0"/>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-2177415</wp:posOffset>
            </wp:positionV>
            <wp:extent cx="6565900" cy="8255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65900" cy="8255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-805815</wp:posOffset>
            </wp:positionV>
            <wp:extent cx="6565900" cy="8255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65900" cy="825500"/>
                    </a:xfrm>
                    <a:prstGeom prst="rect">
                      <a:avLst/>
                    </a:prstGeom>
                    <a:noFill/>
                  </pic:spPr>
                </pic:pic>
              </a:graphicData>
            </a:graphic>
          </wp:anchor>
        </w:drawing>
      </w:r>
    </w:p>
    <w:p>
      <w:pPr>
        <w:spacing w:after="0" w:line="1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 xml:space="preserve">For additional information on the components reclassified from AOCL to the respective line items in net earnings for derivative instruments refer to Note 13, </w:t>
      </w:r>
      <w:r>
        <w:rPr>
          <w:rFonts w:ascii="Times New Roman" w:cs="Times New Roman" w:eastAsia="Times New Roman" w:hAnsi="Times New Roman"/>
          <w:sz w:val="20"/>
          <w:szCs w:val="20"/>
          <w:b w:val="1"/>
          <w:bCs w:val="1"/>
          <w:i w:val="1"/>
          <w:iCs w:val="1"/>
          <w:color w:val="auto"/>
        </w:rPr>
        <w:t>Derivative Instruments and Hedging Activities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8"/>
          <w:szCs w:val="48"/>
          <w:b w:val="1"/>
          <w:bCs w:val="1"/>
          <w:color w:val="auto"/>
        </w:rPr>
        <w:t xml:space="preserve">11 </w:t>
      </w:r>
      <w:r>
        <w:rPr>
          <w:rFonts w:ascii="Times New Roman" w:cs="Times New Roman" w:eastAsia="Times New Roman" w:hAnsi="Times New Roman"/>
          <w:sz w:val="22"/>
          <w:szCs w:val="22"/>
          <w:b w:val="1"/>
          <w:bCs w:val="1"/>
          <w:color w:val="auto"/>
        </w:rPr>
        <w:t>Commitments and Contingencies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Financing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Financing Arrangements</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is party to inventory financing arrangements with Red Iron,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SOFR, or an alternative variable rate, plus a fixed percentage that differs based on whether the financing is for a distributor or dealer. Rates may also vary based on the product that is financed.</w:t>
      </w:r>
    </w:p>
    <w:p>
      <w:pPr>
        <w:sectPr>
          <w:pgSz w:w="11880" w:h="15528" w:orient="portrait"/>
          <w:cols w:equalWidth="0" w:num="1">
            <w:col w:w="10260"/>
          </w:cols>
          <w:pgMar w:left="820" w:top="658" w:right="800" w:bottom="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1880" w:h="15528" w:orient="portrait"/>
          <w:cols w:equalWidth="0" w:num="1">
            <w:col w:w="10260"/>
          </w:cols>
          <w:pgMar w:left="820" w:top="658" w:right="800" w:bottom="0" w:gutter="0" w:footer="0" w:header="0"/>
          <w:type w:val="continuous"/>
        </w:sectPr>
      </w:pPr>
    </w:p>
    <w:bookmarkStart w:id="94" w:name="page95"/>
    <w:bookmarkEnd w:id="94"/>
    <w:p>
      <w:pPr>
        <w:spacing w:after="0" w:line="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net amount of receivables financed for dealers and distributors under this arrangement with Red Iron during fiscal 2025, 2024, and 2023 was $2,680.9 million, $2,613.3 million, and $2,789.5 million, respectively. The total amount of net receivables outstanding under this arrangement with Red Iron as of October 31, 2025 and 2024 was $807.6 million and $979.6 million, respectively. The total amount of receivables due from Red Iron to the company as of October 31, 2025 and 2024 were $21.6 million and $26.0 million, respectively.</w:t>
      </w:r>
    </w:p>
    <w:p>
      <w:pPr>
        <w:spacing w:after="0" w:line="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net amount of receivables financed for dealers and distributors under the arrangements with HCFC and the other third-party financial institutions during fiscal 2025, 2024, and 2023 was $712.5 million, $612.1 million, and $545.4 million, respectively. As of October 31, 2025 and 2024, $308.3 million and $272.2 million, respectively, of receivables financed by HCFC and the other third-party financial institutions were outstanding.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Repurchase Agreements</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has entered into a limited inventory repurchase agreement with Red Iron and HCFC under which the company has agreed to repurchase certain repossessed products, up to a maximum aggregate amount of $7.5 million in a calendar year.</w:t>
      </w:r>
    </w:p>
    <w:p>
      <w:pPr>
        <w:spacing w:after="0" w:line="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has also entered into inventory repurchase agreements with the other third-party financial institutions under which the company has agreed to repurchase certain repossessed products. Under these agreements, for the fiscal years ended October 31, 2025 and 2024, the company was contingently liable to repurchase up to $29.0 million and $29.5 million of repossessed inventory, respectively.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during the fiscal years ended October 31, 2025, 2024, and 2023.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End-User Financing</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has agreements with third-party financing companies to provide financing options to end-customers throughout the world. The company has no material contingent liabilities for residual value or credit collection risk under these agreements with third-party financing companies. From time to time, the company enters into agreements where it provides recourse to third-party finance companies in the event of default by the end-customer for financing payments to the third-party finance company. The company's maximum exposure for credit collection for the fiscal years ended October 31, 2025 and 2024 was $4.1 million and $2.9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Commitments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As of October 31, 2025, the company had $6.9 million of noncancelable purchase commitments with certain of the company's suppliers for commodities as part of the normal course of business. As of October 31, 2025, and described in Note 16,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the company had an agreement to acquire Tornado Infrastructure Equipment Ltd. for a purchase price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Canadian Dollar ("CAD") $279.3 million in cash, representing CAD $1.92 per share. As of October 31, 2025, the company did not have material noncancelable purchase commitments related to capital expenditures for renovation and expansion efforts at the company's facilities and other property, plant, and equipment.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w:t>
      </w:r>
    </w:p>
    <w:p>
      <w:pPr>
        <w:sectPr>
          <w:pgSz w:w="11880" w:h="15527" w:orient="portrait"/>
          <w:cols w:equalWidth="0" w:num="1">
            <w:col w:w="10260"/>
          </w:cols>
          <w:pgMar w:left="820" w:top="658" w:right="800" w:bottom="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1880" w:h="15527" w:orient="portrait"/>
          <w:cols w:equalWidth="0" w:num="1">
            <w:col w:w="10260"/>
          </w:cols>
          <w:pgMar w:left="820" w:top="658" w:right="800" w:bottom="0" w:gutter="0" w:footer="0" w:header="0"/>
          <w:type w:val="continuous"/>
        </w:sectPr>
      </w:pPr>
    </w:p>
    <w:bookmarkStart w:id="95" w:name="page96"/>
    <w:bookmarkEnd w:id="95"/>
    <w:p>
      <w:pPr>
        <w:spacing w:after="0" w:line="4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matters, individually or in the aggregate, will not materially affect the company's consolidated results of operations, financial position, or cash flows. 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8"/>
          <w:szCs w:val="48"/>
          <w:b w:val="1"/>
          <w:bCs w:val="1"/>
          <w:color w:val="auto"/>
        </w:rPr>
        <w:t xml:space="preserve">12 </w:t>
      </w:r>
      <w:r>
        <w:rPr>
          <w:rFonts w:ascii="Times New Roman" w:cs="Times New Roman" w:eastAsia="Times New Roman" w:hAnsi="Times New Roman"/>
          <w:sz w:val="22"/>
          <w:szCs w:val="22"/>
          <w:b w:val="1"/>
          <w:bCs w:val="1"/>
          <w:color w:val="auto"/>
        </w:rPr>
        <w:t>Leases</w:t>
      </w:r>
    </w:p>
    <w:p>
      <w:pPr>
        <w:spacing w:after="0" w:line="23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in cost of sales or selling, general and administrative expense within the Consolidated Statements of Earnings depending on the nature and use of the identified 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9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1880" w:h="15527" w:orient="portrait"/>
          <w:cols w:equalWidth="0" w:num="1">
            <w:col w:w="10260"/>
          </w:cols>
          <w:pgMar w:left="820" w:top="658" w:right="800" w:bottom="0" w:gutter="0" w:footer="0" w:header="0"/>
          <w:type w:val="continuous"/>
        </w:sectPr>
      </w:pPr>
    </w:p>
    <w:bookmarkStart w:id="96" w:name="page97"/>
    <w:bookmarkEnd w:id="96"/>
    <w:p>
      <w:pPr>
        <w:spacing w:after="0" w:line="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agreement, adjusted for prepaid or accrued lease payments, the remaining balance of any lease incentives received, unamortized initial direct costs, and impairment of the operating lease right-of-use asset, as applicable.</w:t>
      </w:r>
    </w:p>
    <w:p>
      <w:pPr>
        <w:spacing w:after="0" w:line="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lease expense incurred on the company’s operating, short-term, and variable leases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135255</wp:posOffset>
            </wp:positionV>
            <wp:extent cx="6515100"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w:t>
            </w:r>
          </w:p>
        </w:tc>
        <w:tc>
          <w:tcPr>
            <w:tcW w:w="2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4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expense</w:t>
            </w:r>
          </w:p>
        </w:tc>
        <w:tc>
          <w:tcPr>
            <w:tcW w:w="24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40"/>
        </w:trPr>
        <w:tc>
          <w:tcPr>
            <w:tcW w:w="4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Short-term lease expense</w:t>
            </w:r>
          </w:p>
        </w:tc>
        <w:tc>
          <w:tcPr>
            <w:tcW w:w="2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3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6"/>
        </w:trPr>
        <w:tc>
          <w:tcPr>
            <w:tcW w:w="4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Variable lease expense</w:t>
            </w:r>
          </w:p>
        </w:tc>
        <w:tc>
          <w:tcPr>
            <w:tcW w:w="2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lease expense</w:t>
            </w:r>
          </w:p>
        </w:tc>
        <w:tc>
          <w:tcPr>
            <w:tcW w:w="24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-653415</wp:posOffset>
            </wp:positionV>
            <wp:extent cx="6565900" cy="673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65900" cy="6731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supplemental cash flow information related to the company's operating leases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179070</wp:posOffset>
            </wp:positionV>
            <wp:extent cx="6515100"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Ended October 31</w:t>
            </w: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46"/>
        </w:trPr>
        <w:tc>
          <w:tcPr>
            <w:tcW w:w="5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25.8</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6565900" cy="35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65900" cy="3556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other lease information related to the company's operating leases as of October 31, 2025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6515100"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180" w:type="dxa"/>
            <w:vAlign w:val="bottom"/>
          </w:tcPr>
          <w:p>
            <w:pPr>
              <w:spacing w:after="0"/>
              <w:rPr>
                <w:sz w:val="16"/>
                <w:szCs w:val="16"/>
                <w:color w:val="auto"/>
              </w:rPr>
            </w:pPr>
          </w:p>
        </w:tc>
      </w:tr>
      <w:tr>
        <w:trPr>
          <w:trHeight w:val="214"/>
        </w:trPr>
        <w:tc>
          <w:tcPr>
            <w:tcW w:w="6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r>
      <w:tr>
        <w:trPr>
          <w:trHeight w:val="214"/>
        </w:trPr>
        <w:tc>
          <w:tcPr>
            <w:tcW w:w="6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46"/>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6565900" cy="35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65900" cy="355600"/>
                    </a:xfrm>
                    <a:prstGeom prst="rect">
                      <a:avLst/>
                    </a:prstGeom>
                    <a:noFill/>
                  </pic:spPr>
                </pic:pic>
              </a:graphicData>
            </a:graphic>
          </wp:anchor>
        </w:drawing>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Consolidated Balance Sheets as of October 31, 2025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144145</wp:posOffset>
            </wp:positionV>
            <wp:extent cx="6515100"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14"/>
        </w:trPr>
        <w:tc>
          <w:tcPr>
            <w:tcW w:w="6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4"/>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3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40"/>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3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40"/>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3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40"/>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3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40"/>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3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46"/>
        </w:trPr>
        <w:tc>
          <w:tcPr>
            <w:tcW w:w="6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4"/>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r>
      <w:tr>
        <w:trPr>
          <w:trHeight w:val="246"/>
        </w:trPr>
        <w:tc>
          <w:tcPr>
            <w:tcW w:w="6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Less: imputed interest</w:t>
            </w:r>
          </w:p>
        </w:tc>
        <w:tc>
          <w:tcPr>
            <w:tcW w:w="3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00"/>
        </w:trPr>
        <w:tc>
          <w:tcPr>
            <w:tcW w:w="6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-1415415</wp:posOffset>
            </wp:positionV>
            <wp:extent cx="6565900" cy="1435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65900" cy="143510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8"/>
          <w:szCs w:val="48"/>
          <w:b w:val="1"/>
          <w:bCs w:val="1"/>
          <w:color w:val="auto"/>
        </w:rPr>
        <w:t xml:space="preserve">13 </w:t>
      </w:r>
      <w:r>
        <w:rPr>
          <w:rFonts w:ascii="Times New Roman" w:cs="Times New Roman" w:eastAsia="Times New Roman" w:hAnsi="Times New Roman"/>
          <w:sz w:val="22"/>
          <w:szCs w:val="22"/>
          <w:b w:val="1"/>
          <w:bCs w:val="1"/>
          <w:color w:val="auto"/>
        </w:rPr>
        <w:t>Derivative</w:t>
      </w:r>
      <w:r>
        <w:rPr>
          <w:rFonts w:ascii="Times New Roman" w:cs="Times New Roman" w:eastAsia="Times New Roman" w:hAnsi="Times New Roman"/>
          <w:sz w:val="48"/>
          <w:szCs w:val="48"/>
          <w:b w:val="1"/>
          <w:bCs w:val="1"/>
          <w:color w:val="auto"/>
          <w:vertAlign w:val="subscript"/>
        </w:rPr>
        <w:t>Activities</w:t>
      </w:r>
      <w:r>
        <w:rPr>
          <w:rFonts w:ascii="Times New Roman" w:cs="Times New Roman" w:eastAsia="Times New Roman" w:hAnsi="Times New Roman"/>
          <w:sz w:val="48"/>
          <w:szCs w:val="48"/>
          <w:b w:val="1"/>
          <w:bCs w:val="1"/>
          <w:color w:val="auto"/>
        </w:rPr>
        <w:t xml:space="preserve"> </w:t>
      </w:r>
      <w:r>
        <w:rPr>
          <w:rFonts w:ascii="Times New Roman" w:cs="Times New Roman" w:eastAsia="Times New Roman" w:hAnsi="Times New Roman"/>
          <w:sz w:val="22"/>
          <w:szCs w:val="22"/>
          <w:b w:val="1"/>
          <w:bCs w:val="1"/>
          <w:color w:val="auto"/>
        </w:rPr>
        <w:t>Instruments and Hedging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Objective of Using Derivatives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1880" w:h="15527" w:orient="portrait"/>
          <w:cols w:equalWidth="0" w:num="1">
            <w:col w:w="10260"/>
          </w:cols>
          <w:pgMar w:left="820" w:top="658" w:right="800" w:bottom="0" w:gutter="0" w:footer="0" w:header="0"/>
          <w:type w:val="continuous"/>
        </w:sectPr>
      </w:pPr>
    </w:p>
    <w:bookmarkStart w:id="97" w:name="page98"/>
    <w:bookmarkEnd w:id="97"/>
    <w:p>
      <w:pPr>
        <w:spacing w:after="0" w:line="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hedging activities primarily involve the use of forward currency contracts to hedge most foreign currency transactions, including projected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 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Hedging Instruments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projected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 Changes in the fair values of the spot rate component of outstanding, highly effective cash flow hedging instruments included in the assessment of hedge effectiveness are recorded in other comprehensive income within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projected trade sales and purchases is two years.</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projected transaction affects net earnings. When the company discontinues cash flow hedge accounting because it is no longer probable, but it is still reasonably possible that the projected transaction will occur by the end of the originally expected period or within an additional two-month period of time thereafter, the gain or loss on the derivative instrument remains in AOCL and is reclassified to net earnings within the same Consolidated Statements of Earnings line item as the underlying exposure when the projected transaction affects net earnings. However, if it is probable that a projected transaction will not occur by the end of the originally specified 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 As of October 31, 2025, the notional amount outstanding of forward currency contracts designated as cash flow hedging instruments was $364.4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Derivatives Not Designated as Cash Flow Hedging Instruments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1880" w:h="15527" w:orient="portrait"/>
          <w:cols w:equalWidth="0" w:num="1">
            <w:col w:w="10260"/>
          </w:cols>
          <w:pgMar w:left="820" w:top="658" w:right="800" w:bottom="0" w:gutter="0" w:footer="0" w:header="0"/>
          <w:type w:val="continuous"/>
        </w:sectPr>
      </w:pPr>
    </w:p>
    <w:bookmarkStart w:id="98" w:name="page99"/>
    <w:bookmarkEnd w:id="98"/>
    <w:p>
      <w:pPr>
        <w:spacing w:after="0" w:line="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fair value and location of the company’s derivative instruments on the Consolidated Balance Sheets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6515100"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as of October 31</w:t>
            </w:r>
          </w:p>
        </w:tc>
        <w:tc>
          <w:tcPr>
            <w:tcW w:w="20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cash flow hedging instruments:</w:t>
            </w: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0"/>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Derivatives not designated as cash flow hedging instruments:</w:t>
            </w: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5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0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0"/>
        </w:trPr>
        <w:tc>
          <w:tcPr>
            <w:tcW w:w="5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derivative assets</w:t>
            </w:r>
          </w:p>
        </w:tc>
        <w:tc>
          <w:tcPr>
            <w:tcW w:w="2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9"/>
        </w:trPr>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cash flow hedging instruments:</w:t>
            </w:r>
          </w:p>
        </w:tc>
        <w:tc>
          <w:tcPr>
            <w:tcW w:w="2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0"/>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liabilities</w:t>
            </w: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40"/>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Derivatives not designated as cash flow hedging instruments:</w:t>
            </w: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liabilities</w:t>
            </w:r>
          </w:p>
        </w:tc>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5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0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0"/>
        </w:trPr>
        <w:tc>
          <w:tcPr>
            <w:tcW w:w="5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-2482215</wp:posOffset>
            </wp:positionV>
            <wp:extent cx="6565900" cy="2501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65900" cy="2501900"/>
                    </a:xfrm>
                    <a:prstGeom prst="rect">
                      <a:avLst/>
                    </a:prstGeom>
                    <a:noFill/>
                  </pic:spPr>
                </pic:pic>
              </a:graphicData>
            </a:graphic>
          </wp:anchor>
        </w:drawing>
      </w:r>
    </w:p>
    <w:p>
      <w:pPr>
        <w:spacing w:after="0" w:line="12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Consolidated Balance Sheets.</w:t>
      </w:r>
    </w:p>
    <w:p>
      <w:pPr>
        <w:spacing w:after="0" w:line="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effects of the master netting arrangements on the fair value of the company’s derivative instruments that are recorded on the Consolidated Balance Sheets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135255</wp:posOffset>
            </wp:positionV>
            <wp:extent cx="6515100"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as of October 31</w:t>
            </w:r>
          </w:p>
        </w:tc>
        <w:tc>
          <w:tcPr>
            <w:tcW w:w="2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Forward currency contracts:</w:t>
            </w:r>
          </w:p>
        </w:tc>
        <w:tc>
          <w:tcPr>
            <w:tcW w:w="2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24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6"/>
        </w:trPr>
        <w:tc>
          <w:tcPr>
            <w:tcW w:w="5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2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0"/>
        </w:trPr>
        <w:tc>
          <w:tcPr>
            <w:tcW w:w="5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2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9"/>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Forward currency contracts:</w:t>
            </w: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0"/>
        </w:trPr>
        <w:tc>
          <w:tcPr>
            <w:tcW w:w="5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24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46"/>
        </w:trPr>
        <w:tc>
          <w:tcPr>
            <w:tcW w:w="5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2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2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-1567815</wp:posOffset>
            </wp:positionV>
            <wp:extent cx="6565900" cy="1587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65900" cy="1587500"/>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80645</wp:posOffset>
            </wp:positionV>
            <wp:extent cx="319087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90875" cy="1270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(Loss) Gain Reclassified from</w:t>
            </w:r>
          </w:p>
        </w:tc>
        <w:tc>
          <w:tcPr>
            <w:tcW w:w="25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Gain (Loss) Recognized in OCI on</w:t>
            </w:r>
          </w:p>
        </w:tc>
      </w:tr>
      <w:tr>
        <w:trPr>
          <w:trHeight w:val="214"/>
        </w:trPr>
        <w:tc>
          <w:tcPr>
            <w:tcW w:w="4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AOCL into Income</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800" w:type="dxa"/>
            <w:vAlign w:val="bottom"/>
            <w:tcBorders>
              <w:bottom w:val="single" w:sz="8" w:color="auto"/>
            </w:tcBorders>
          </w:tcPr>
          <w:p>
            <w:pPr>
              <w:spacing w:after="0"/>
              <w:rPr>
                <w:sz w:val="18"/>
                <w:szCs w:val="18"/>
                <w:color w:val="auto"/>
              </w:rPr>
            </w:pPr>
          </w:p>
        </w:tc>
      </w:tr>
      <w:tr>
        <w:trPr>
          <w:trHeight w:val="220"/>
        </w:trPr>
        <w:tc>
          <w:tcPr>
            <w:tcW w:w="4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464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cash flow hedging instruments:</w:t>
            </w: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0"/>
        </w:trPr>
        <w:tc>
          <w:tcPr>
            <w:tcW w:w="4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46"/>
        </w:trPr>
        <w:tc>
          <w:tcPr>
            <w:tcW w:w="4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Cost of sales</w:t>
            </w:r>
          </w:p>
        </w:tc>
        <w:tc>
          <w:tcPr>
            <w:tcW w:w="7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0"/>
        </w:trPr>
        <w:tc>
          <w:tcPr>
            <w:tcW w:w="4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-805815</wp:posOffset>
            </wp:positionV>
            <wp:extent cx="6556375" cy="825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56375" cy="825500"/>
                    </a:xfrm>
                    <a:prstGeom prst="rect">
                      <a:avLst/>
                    </a:prstGeom>
                    <a:noFill/>
                  </pic:spPr>
                </pic:pic>
              </a:graphicData>
            </a:graphic>
          </wp:anchor>
        </w:drawing>
      </w:r>
    </w:p>
    <w:p>
      <w:pPr>
        <w:spacing w:after="0" w:line="1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fiscal 2025 and 2024, the company recognized immaterial gains and losses, respectively, within other income, net on the Consolidated Statement of Earnings due to the discontinuance of cash flow hedge accounting on certain forward currency</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1880" w:h="15527" w:orient="portrait"/>
          <w:cols w:equalWidth="0" w:num="1">
            <w:col w:w="10260"/>
          </w:cols>
          <w:pgMar w:left="820" w:top="658" w:right="800" w:bottom="0" w:gutter="0" w:footer="0" w:header="0"/>
          <w:type w:val="continuous"/>
        </w:sectPr>
      </w:pPr>
    </w:p>
    <w:bookmarkStart w:id="99" w:name="page100"/>
    <w:bookmarkEnd w:id="99"/>
    <w:p>
      <w:pPr>
        <w:spacing w:after="0" w:line="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contracts designated as cash flow hedging instruments. As of October 31, 2025, the company expects to reclassify approximately $4.6 million of losses from AOCL to earnings during the next twelve months.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144145</wp:posOffset>
            </wp:positionV>
            <wp:extent cx="157162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71625" cy="12700"/>
                    </a:xfrm>
                    <a:prstGeom prst="rect">
                      <a:avLst/>
                    </a:prstGeom>
                    <a:noFill/>
                  </pic:spPr>
                </pic:pic>
              </a:graphicData>
            </a:graphic>
          </wp:anchor>
        </w:drawing>
      </w:r>
    </w:p>
    <w:p>
      <w:pPr>
        <w:spacing w:after="0" w:line="22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6"/>
          <w:szCs w:val="16"/>
          <w:b w:val="1"/>
          <w:bCs w:val="1"/>
          <w:color w:val="auto"/>
        </w:rPr>
        <w:t>(Loss) Gain Recognized in</w:t>
      </w:r>
    </w:p>
    <w:p>
      <w:pPr>
        <w:jc w:val="center"/>
        <w:ind w:left="7760"/>
        <w:spacing w:after="0" w:line="208" w:lineRule="auto"/>
        <w:rPr>
          <w:sz w:val="20"/>
          <w:szCs w:val="20"/>
          <w:color w:val="auto"/>
        </w:rPr>
      </w:pPr>
      <w:r>
        <w:rPr>
          <w:rFonts w:ascii="Times New Roman" w:cs="Times New Roman" w:eastAsia="Times New Roman" w:hAnsi="Times New Roman"/>
          <w:sz w:val="16"/>
          <w:szCs w:val="16"/>
          <w:b w:val="1"/>
          <w:bCs w:val="1"/>
          <w:color w:val="auto"/>
        </w:rPr>
        <w:t>Earnings on Cash Flow Hedging</w:t>
      </w:r>
    </w:p>
    <w:p>
      <w:pPr>
        <w:spacing w:after="0" w:line="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6"/>
          <w:szCs w:val="16"/>
          <w:b w:val="1"/>
          <w:bCs w:val="1"/>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650557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05575" cy="1270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Ended October 31, 2025</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Cost of Sales</w:t>
            </w:r>
          </w:p>
        </w:tc>
        <w:tc>
          <w:tcPr>
            <w:tcW w:w="0" w:type="dxa"/>
            <w:vAlign w:val="bottom"/>
          </w:tcPr>
          <w:p>
            <w:pPr>
              <w:spacing w:after="0"/>
              <w:rPr>
                <w:sz w:val="1"/>
                <w:szCs w:val="1"/>
                <w:color w:val="auto"/>
              </w:rPr>
            </w:pPr>
          </w:p>
        </w:tc>
      </w:tr>
      <w:tr>
        <w:trPr>
          <w:trHeight w:val="171"/>
        </w:trPr>
        <w:tc>
          <w:tcPr>
            <w:tcW w:w="776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Total Consolidated Statements of Earnings income (expense) amounts in which the effects of cash flow hedging</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4,510.4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(3,005.6)</w:t>
            </w:r>
          </w:p>
        </w:tc>
        <w:tc>
          <w:tcPr>
            <w:tcW w:w="0" w:type="dxa"/>
            <w:vAlign w:val="bottom"/>
          </w:tcPr>
          <w:p>
            <w:pPr>
              <w:spacing w:after="0"/>
              <w:rPr>
                <w:sz w:val="1"/>
                <w:szCs w:val="1"/>
                <w:color w:val="auto"/>
              </w:rPr>
            </w:pPr>
          </w:p>
        </w:tc>
      </w:tr>
      <w:tr>
        <w:trPr>
          <w:trHeight w:val="209"/>
        </w:trPr>
        <w:tc>
          <w:tcPr>
            <w:tcW w:w="7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instruments are recorded</w:t>
            </w:r>
          </w:p>
        </w:tc>
        <w:tc>
          <w:tcPr>
            <w:tcW w:w="2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(Loss) gain on derivatives designated as cash flow hedging instruments: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 of loss reclassified from AOCL into earnings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46"/>
        </w:trPr>
        <w:tc>
          <w:tcPr>
            <w:tcW w:w="7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Gain on components excluded from effectiveness testing recognized in earnings based on changes in fair value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20"/>
        </w:trPr>
        <w:tc>
          <w:tcPr>
            <w:tcW w:w="7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-1050290</wp:posOffset>
            </wp:positionV>
            <wp:extent cx="6556375" cy="9175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6375" cy="917575"/>
                    </a:xfrm>
                    <a:prstGeom prst="rect">
                      <a:avLst/>
                    </a:prstGeom>
                    <a:noFill/>
                  </pic:spPr>
                </pic:pic>
              </a:graphicData>
            </a:graphic>
          </wp:anchor>
        </w:drawing>
      </w:r>
    </w:p>
    <w:p>
      <w:pPr>
        <w:spacing w:after="0" w:line="134"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auto"/>
        </w:rPr>
        <w:t>Gain Recognized in Earnings on</w:t>
      </w:r>
    </w:p>
    <w:p>
      <w:pPr>
        <w:ind w:left="7900"/>
        <w:spacing w:after="0"/>
        <w:rPr>
          <w:sz w:val="20"/>
          <w:szCs w:val="20"/>
          <w:color w:val="auto"/>
        </w:rPr>
      </w:pPr>
      <w:r>
        <w:rPr>
          <w:rFonts w:ascii="Times New Roman" w:cs="Times New Roman" w:eastAsia="Times New Roman" w:hAnsi="Times New Roman"/>
          <w:sz w:val="16"/>
          <w:szCs w:val="16"/>
          <w:b w:val="1"/>
          <w:bCs w:val="1"/>
          <w:color w:val="auto"/>
        </w:rPr>
        <w:t>Cash Flow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650557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05575" cy="1270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Ended October 31, 2024</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Cost of Sales</w:t>
            </w:r>
          </w:p>
        </w:tc>
        <w:tc>
          <w:tcPr>
            <w:tcW w:w="0" w:type="dxa"/>
            <w:vAlign w:val="bottom"/>
          </w:tcPr>
          <w:p>
            <w:pPr>
              <w:spacing w:after="0"/>
              <w:rPr>
                <w:sz w:val="1"/>
                <w:szCs w:val="1"/>
                <w:color w:val="auto"/>
              </w:rPr>
            </w:pPr>
          </w:p>
        </w:tc>
      </w:tr>
      <w:tr>
        <w:trPr>
          <w:trHeight w:val="141"/>
        </w:trPr>
        <w:tc>
          <w:tcPr>
            <w:tcW w:w="7600" w:type="dxa"/>
            <w:vAlign w:val="bottom"/>
          </w:tcPr>
          <w:p>
            <w:pPr>
              <w:ind w:left="60"/>
              <w:spacing w:after="0" w:line="141" w:lineRule="exact"/>
              <w:rPr>
                <w:sz w:val="20"/>
                <w:szCs w:val="20"/>
                <w:color w:val="auto"/>
              </w:rPr>
            </w:pPr>
            <w:r>
              <w:rPr>
                <w:rFonts w:ascii="Times New Roman" w:cs="Times New Roman" w:eastAsia="Times New Roman" w:hAnsi="Times New Roman"/>
                <w:sz w:val="16"/>
                <w:szCs w:val="16"/>
                <w:color w:val="auto"/>
              </w:rPr>
              <w:t>Total Consolidated Statements of Earnings income (expense) amounts in which the effects of cash flow hedging</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4,583.8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(3,034.5)</w:t>
            </w:r>
          </w:p>
        </w:tc>
        <w:tc>
          <w:tcPr>
            <w:tcW w:w="0" w:type="dxa"/>
            <w:vAlign w:val="bottom"/>
          </w:tcPr>
          <w:p>
            <w:pPr>
              <w:spacing w:after="0"/>
              <w:rPr>
                <w:sz w:val="1"/>
                <w:szCs w:val="1"/>
                <w:color w:val="auto"/>
              </w:rPr>
            </w:pPr>
          </w:p>
        </w:tc>
      </w:tr>
      <w:tr>
        <w:trPr>
          <w:trHeight w:val="209"/>
        </w:trPr>
        <w:tc>
          <w:tcPr>
            <w:tcW w:w="7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instruments are recorded</w:t>
            </w:r>
          </w:p>
        </w:tc>
        <w:tc>
          <w:tcPr>
            <w:tcW w:w="3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Gain on derivatives designated as cash flow hedging instruments: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38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6"/>
        </w:trPr>
        <w:tc>
          <w:tcPr>
            <w:tcW w:w="7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Gain on components excluded from effectiveness testing recognized in earnings based on changes in fair value</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-878840</wp:posOffset>
            </wp:positionV>
            <wp:extent cx="6556375" cy="898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6375" cy="898525"/>
                    </a:xfrm>
                    <a:prstGeom prst="rect">
                      <a:avLst/>
                    </a:prstGeom>
                    <a:noFill/>
                  </pic:spPr>
                </pic:pic>
              </a:graphicData>
            </a:graphic>
          </wp:anchor>
        </w:drawing>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impact and location of derivative instruments on the Consolidated Statements of Earnings for the company’s derivatives not designated as cash flow hedging instruments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650557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05575" cy="1270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 Ended October 31</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6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Loss on derivative instruments not designated as cash flow hedging instruments:</w:t>
            </w: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0"/>
        </w:trPr>
        <w:tc>
          <w:tcPr>
            <w:tcW w:w="6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6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Other expense, net</w:t>
            </w:r>
          </w:p>
        </w:tc>
        <w:tc>
          <w:tcPr>
            <w:tcW w:w="20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0"/>
        </w:trPr>
        <w:tc>
          <w:tcPr>
            <w:tcW w:w="6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loss on derivatives not designated as cash flow hedging instruments</w:t>
            </w:r>
          </w:p>
        </w:tc>
        <w:tc>
          <w:tcPr>
            <w:tcW w:w="20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-653415</wp:posOffset>
            </wp:positionV>
            <wp:extent cx="6556375" cy="673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56375" cy="67310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8"/>
          <w:szCs w:val="48"/>
          <w:b w:val="1"/>
          <w:bCs w:val="1"/>
          <w:color w:val="auto"/>
        </w:rPr>
        <w:t xml:space="preserve">14 </w:t>
      </w:r>
      <w:r>
        <w:rPr>
          <w:rFonts w:ascii="Times New Roman" w:cs="Times New Roman" w:eastAsia="Times New Roman" w:hAnsi="Times New Roman"/>
          <w:sz w:val="22"/>
          <w:szCs w:val="22"/>
          <w:b w:val="1"/>
          <w:bCs w:val="1"/>
          <w:color w:val="auto"/>
        </w:rPr>
        <w:t>Fair Value Measurements</w:t>
      </w: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Unadjusted quoted prices in active markets for identical assets or liabilities.</w:t>
      </w:r>
    </w:p>
    <w:p>
      <w:pPr>
        <w:spacing w:after="0" w:line="130" w:lineRule="exact"/>
        <w:rPr>
          <w:sz w:val="20"/>
          <w:szCs w:val="20"/>
          <w:color w:val="auto"/>
        </w:rPr>
      </w:pPr>
    </w:p>
    <w:p>
      <w:pPr>
        <w:jc w:val="both"/>
        <w:ind w:left="36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in active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markets; quoted prices for identical assets or liabilities in markets that are not active; or other inputs that are observable or can be corroborated by observable market data for substantially the full term of the assets or liabilities.</w:t>
      </w:r>
    </w:p>
    <w:p>
      <w:pPr>
        <w:spacing w:after="0" w:line="70" w:lineRule="exact"/>
        <w:rPr>
          <w:sz w:val="20"/>
          <w:szCs w:val="20"/>
          <w:color w:val="auto"/>
        </w:rPr>
      </w:pPr>
    </w:p>
    <w:p>
      <w:pPr>
        <w:ind w:right="240" w:firstLine="360"/>
        <w:spacing w:after="0" w:line="377" w:lineRule="auto"/>
        <w:rPr>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reflecting management's assumptions about the inputs used in pricing the asset or liability.</w:t>
      </w:r>
      <w:r>
        <w:rPr>
          <w:rFonts w:ascii="Times New Roman" w:cs="Times New Roman" w:eastAsia="Times New Roman" w:hAnsi="Times New Roman"/>
          <w:sz w:val="20"/>
          <w:szCs w:val="20"/>
          <w:b w:val="1"/>
          <w:bCs w:val="1"/>
          <w:color w:val="auto"/>
        </w:rPr>
        <w:t xml:space="preserve"> Recurring Fair Value Measurements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ectPr>
          <w:pgSz w:w="11880" w:h="15527" w:orient="portrait"/>
          <w:cols w:equalWidth="0" w:num="1">
            <w:col w:w="10240"/>
          </w:cols>
          <w:pgMar w:left="820" w:top="658" w:right="82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527" w:orient="portrait"/>
          <w:cols w:equalWidth="0" w:num="1">
            <w:col w:w="10240"/>
          </w:cols>
          <w:pgMar w:left="820" w:top="658" w:right="820" w:bottom="0" w:gutter="0" w:footer="0" w:header="0"/>
          <w:type w:val="continuous"/>
        </w:sectPr>
      </w:pPr>
    </w:p>
    <w:bookmarkStart w:id="100" w:name="page101"/>
    <w:bookmarkEnd w:id="100"/>
    <w:p>
      <w:pPr>
        <w:spacing w:after="0" w:line="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tables present, by level within the fair value hierarchy, the company's financial assets and liabilities that are measured at fair value on a recurring basis as of October 31, 2025 and 2024,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144145</wp:posOffset>
            </wp:positionV>
            <wp:extent cx="2381250"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81250" cy="1270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w:t>
            </w:r>
          </w:p>
        </w:tc>
      </w:tr>
      <w:tr>
        <w:trPr>
          <w:trHeight w:val="214"/>
        </w:trPr>
        <w:tc>
          <w:tcPr>
            <w:tcW w:w="3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1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3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9"/>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6"/>
        </w:trPr>
        <w:tc>
          <w:tcPr>
            <w:tcW w:w="3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-1024890</wp:posOffset>
            </wp:positionV>
            <wp:extent cx="6565900" cy="1044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65900" cy="1044575"/>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127000</wp:posOffset>
            </wp:positionV>
            <wp:extent cx="2381250"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81250" cy="1270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w:t>
            </w:r>
          </w:p>
        </w:tc>
      </w:tr>
      <w:tr>
        <w:trPr>
          <w:trHeight w:val="214"/>
        </w:trPr>
        <w:tc>
          <w:tcPr>
            <w:tcW w:w="3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1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3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9"/>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6"/>
        </w:trPr>
        <w:tc>
          <w:tcPr>
            <w:tcW w:w="3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9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-1024890</wp:posOffset>
            </wp:positionV>
            <wp:extent cx="6565900" cy="10445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65900" cy="104457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Nonrecurring Fair Value Measurements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For additional information regarding impairment related fair value measurements, refer to Note 1, </w:t>
      </w:r>
      <w:r>
        <w:rPr>
          <w:rFonts w:ascii="Times New Roman" w:cs="Times New Roman" w:eastAsia="Times New Roman" w:hAnsi="Times New Roman"/>
          <w:sz w:val="20"/>
          <w:szCs w:val="20"/>
          <w:b w:val="1"/>
          <w:bCs w:val="1"/>
          <w:i w:val="1"/>
          <w:iCs w:val="1"/>
          <w:color w:val="auto"/>
        </w:rPr>
        <w:t>Summary of Significant Accounting Policies and Related Data</w:t>
      </w:r>
      <w:r>
        <w:rPr>
          <w:rFonts w:ascii="Times New Roman" w:cs="Times New Roman" w:eastAsia="Times New Roman" w:hAnsi="Times New Roman"/>
          <w:sz w:val="20"/>
          <w:szCs w:val="20"/>
          <w:color w:val="auto"/>
        </w:rPr>
        <w:t xml:space="preserv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combinations and asset acquisitions and the related non-recurring fair value measurement of the assets acquired and liabilities assumed, refer to Note 2, </w:t>
      </w:r>
      <w:r>
        <w:rPr>
          <w:rFonts w:ascii="Times New Roman" w:cs="Times New Roman" w:eastAsia="Times New Roman" w:hAnsi="Times New Roman"/>
          <w:sz w:val="20"/>
          <w:szCs w:val="20"/>
          <w:b w:val="1"/>
          <w:bCs w:val="1"/>
          <w:i w:val="1"/>
          <w:iCs w:val="1"/>
          <w:color w:val="auto"/>
        </w:rPr>
        <w:t>Acquisitions and Divestitures.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Fair Value Disclosures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As of October 31, 2025 and 2024, the company's long-term debt included $724.3 million and $524.2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October 31, 2025, the estimated gross fair value of long-term debt with fixed interest rates was $733.1 million compared to its gross carrying amount of $724.3 million. As of October 31, 2024, the estimated gross fair value of long-term debt with fixed interest rates was $520.4 million compared to its gross carrying amount of $524.2 million. For additional information regarding long-term debt with fixed interest rates, refer to Note 6, </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8"/>
          <w:szCs w:val="48"/>
          <w:b w:val="1"/>
          <w:bCs w:val="1"/>
          <w:color w:val="auto"/>
        </w:rPr>
        <w:t xml:space="preserve">15 </w:t>
      </w:r>
      <w:r>
        <w:rPr>
          <w:rFonts w:ascii="Times New Roman" w:cs="Times New Roman" w:eastAsia="Times New Roman" w:hAnsi="Times New Roman"/>
          <w:sz w:val="22"/>
          <w:szCs w:val="22"/>
          <w:b w:val="1"/>
          <w:bCs w:val="1"/>
          <w:color w:val="auto"/>
        </w:rPr>
        <w:t>Employee Retirement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Contribution Plan</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maintains The Toro Company Retirement Plan for eligible employees. The company's expenses under this plan, which include costs related to matching contributions and discretionary retirement fund contributions, as applicable, were $36.4 million, $32.0 million, and $38.1 million for the fiscal years ended October 31, 2025, 2024, and 2023, respectively.</w:t>
      </w:r>
    </w:p>
    <w:p>
      <w:pPr>
        <w:sectPr>
          <w:pgSz w:w="11880" w:h="15527" w:orient="portrait"/>
          <w:cols w:equalWidth="0" w:num="1">
            <w:col w:w="10260"/>
          </w:cols>
          <w:pgMar w:left="820" w:top="6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1880" w:h="15527" w:orient="portrait"/>
          <w:cols w:equalWidth="0" w:num="1">
            <w:col w:w="10260"/>
          </w:cols>
          <w:pgMar w:left="820" w:top="658" w:right="800" w:bottom="0" w:gutter="0" w:footer="0" w:header="0"/>
          <w:type w:val="continuous"/>
        </w:sectPr>
      </w:pPr>
    </w:p>
    <w:bookmarkStart w:id="101" w:name="page102"/>
    <w:bookmarkEnd w:id="101"/>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Benefit Plans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a defined benefit pension plan covering certain employees in the United Kingdom ("defined benefit retirement plan"). The projected and accumulated benefit obligation of the defined benefit retirement plan was $19.5 million and $19.6 million as of October 31, 2025 and 2024, respectively. The fair value of the defined benefit retirement plan assets as of October 31, 2025 and 2024 was $21.8 million and $20.7 million, respectively. The net funded status of the defined benefit retirement plan was fully funded as of October 31, 2025 and October 31, 2024.</w:t>
      </w:r>
    </w:p>
    <w:p>
      <w:pPr>
        <w:spacing w:after="0" w:line="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Service costs of the defined benefit retirement plans are presented in selling, general and administrative expense within the Consolidated Statements of Earnings. Non-service cost components of net periodic benefit cost (income), including realized gains or losses as a result of changes in actuarial valuation assumptions, are presented in other income, net within the Consolidated Statements of Earnings. The company recognized expense of $0.3 million, $0.4 million, and $0.2 million for the fiscal years ended October 31, 2025, 2024, and 2023 respectively.</w:t>
      </w:r>
    </w:p>
    <w:p>
      <w:pPr>
        <w:spacing w:after="0" w:line="8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has omitted the remaining disclosures for the defined benefit retirement plan as the company deems this defined benefit retirement plan to be immaterial to its Consolidated Financial Statements.</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8"/>
          <w:szCs w:val="48"/>
          <w:b w:val="1"/>
          <w:bCs w:val="1"/>
          <w:color w:val="auto"/>
        </w:rPr>
        <w:t xml:space="preserve">16 </w:t>
      </w:r>
      <w:r>
        <w:rPr>
          <w:rFonts w:ascii="Times New Roman" w:cs="Times New Roman" w:eastAsia="Times New Roman" w:hAnsi="Times New Roman"/>
          <w:sz w:val="22"/>
          <w:szCs w:val="22"/>
          <w:b w:val="1"/>
          <w:bCs w:val="1"/>
          <w:color w:val="auto"/>
        </w:rPr>
        <w:t>Subsequent Events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 of Tornado Infrastructure Equipment, Ltd. ("Tornado Infrastructure Equipment")</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October 6, 2025, the company entered into an Arrangement Agreement ("Purchase Agreement") to acquire Tornado Infrastructure Equipment Ltd., a publicly held Calgary, Alberta company, a manufacturer in the hydrovac excavation solutions industry, for a purchase price of CAD $279.3 million in cash, representing CAD $1.92 per share. On December 8, 2025, ("Tornado Infrastructure Equipment closing date"), pursuant to the Purchase Agreement, the company completed its acquisition of Tornado Infrastructure Equipment. Tornado Infrastructure Equipment manufactures hydrovac excavation solutions and industrial equipment solutions for the underground construction, power transmission and energy markets and provides innovative product offerings that broaden and strengthen the company's Professional segment and expands its dealer network.</w:t>
      </w:r>
    </w:p>
    <w:p>
      <w:pPr>
        <w:spacing w:after="0" w:line="9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a result of the acquisition, all of the outstanding equity securities of Tornado Infrastructure Equipment were canceled and now only represent the right to receive the applicable consideration as described in the Purchase Agreement. The company funded the acquisition with borrowings under its existing revolving credit facility and additional financial arrangements. Due to the limited time since the Tornado Infrastructure Equipment closing date, at this time it is impracticable for the company to make the additional disclosures required under the accounting standards codification guidance for business combinations as the company is still gathering information necessary to provide such disclosures.</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has evaluated all additional subsequent events and concluded that no other subsequent events have occurred that would require recognition in the Consolidated Financial Statements or disclosure in the Notes to the Consolidated Financial Statements.</w:t>
      </w:r>
    </w:p>
    <w:p>
      <w:pPr>
        <w:sectPr>
          <w:pgSz w:w="11880" w:h="15527"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1880" w:h="15527" w:orient="portrait"/>
          <w:cols w:equalWidth="0" w:num="1">
            <w:col w:w="10260"/>
          </w:cols>
          <w:pgMar w:left="820" w:top="651" w:right="800" w:bottom="0" w:gutter="0" w:footer="0" w:header="0"/>
          <w:type w:val="continuous"/>
        </w:sectPr>
      </w:pPr>
    </w:p>
    <w:bookmarkStart w:id="102" w:name="page103"/>
    <w:bookmarkEnd w:id="102"/>
    <w:p>
      <w:pPr>
        <w:spacing w:after="0" w:line="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management evaluated, with the participation of the company's Chairman of the Board and Chief Executive Officer and Vice President and Chief Financial Officer, the effectiveness of the design and operation of the company's disclosure controls and procedures as of the end of the period covered by this Annual Report on Form 10-K. Based on that evaluation, the company's Chairman of the Board and Chief Executive Officer and Vice President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and Chief Executive Officer and Vice President and Chief Financial Officer, as appropriate to allow timely decisions regarding required disclosures.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Attestation Report of the Independent Registered Public Accounting Firm</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was no change in the company's internal control over financial reporting that occurred during the fourth quarter of fiscal 2025 that has materially affected, or is reasonably likely to materially affect,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Plan and Non-Rule 10b5-1 Trading Arrangement Adoptions, Terminations, and Modifications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company’s fourth quarter ended October 31, 2025, none of its directors or “officers” (as defined in Rule 16a-1(f) under the Exchange Act) adopted or terminated a “Rule 10b5-1 trading arrangement” or “non-Rule 10b5-1 trading arrangement,” as each term is defined in Item 408(a) of SEC Regulation S-K.</w:t>
      </w:r>
    </w:p>
    <w:p>
      <w:pPr>
        <w:spacing w:after="0" w:line="68" w:lineRule="exact"/>
        <w:rPr>
          <w:sz w:val="20"/>
          <w:szCs w:val="20"/>
          <w:color w:val="auto"/>
        </w:rPr>
      </w:pPr>
    </w:p>
    <w:p>
      <w:pPr>
        <w:ind w:right="1120"/>
        <w:spacing w:after="0" w:line="414"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ectPr>
          <w:pgSz w:w="11880" w:h="15527"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1880" w:h="15527" w:orient="portrait"/>
          <w:cols w:equalWidth="0" w:num="1">
            <w:col w:w="10260"/>
          </w:cols>
          <w:pgMar w:left="820" w:top="651" w:right="800" w:bottom="0" w:gutter="0" w:footer="0" w:header="0"/>
          <w:type w:val="continuous"/>
        </w:sectPr>
      </w:pPr>
    </w:p>
    <w:bookmarkStart w:id="103" w:name="page104"/>
    <w:bookmarkEnd w:id="103"/>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Director Nominees and Continuing Directors," "Corporate Governance — Code of Conduct and Code of Ethics for our CEO and Senior Financial Personnel," "Corporate Governance — Board Committees," and “Stock Ownership — Delinquent Section 16(a) Reports” in the company's proxy statement for its 2026 Annual Meeting of Shareholders to be filed with the SEC.</w:t>
      </w:r>
    </w:p>
    <w:p>
      <w:pPr>
        <w:spacing w:after="0" w:line="9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During the fourth quarter of fiscal 2025, the company did not make any material changes to the procedures by which shareholders may recommend nominees to the Board of Directors, as described in the company's proxy statement for its 2025 Annual Meeting of Shareholders. The company has a Code of Ethics for its CEO and Senior Financial Personnel, a copy of which is posted on the company's website at </w:t>
      </w:r>
      <w:r>
        <w:rPr>
          <w:rFonts w:ascii="Times New Roman" w:cs="Times New Roman" w:eastAsia="Times New Roman" w:hAnsi="Times New Roman"/>
          <w:sz w:val="20"/>
          <w:szCs w:val="20"/>
          <w:u w:val="single" w:color="auto"/>
          <w:color w:val="auto"/>
        </w:rPr>
        <w:t>www.thetorocompany.com</w:t>
      </w:r>
      <w:r>
        <w:rPr>
          <w:rFonts w:ascii="Times New Roman" w:cs="Times New Roman" w:eastAsia="Times New Roman" w:hAnsi="Times New Roman"/>
          <w:sz w:val="20"/>
          <w:szCs w:val="20"/>
          <w:color w:val="auto"/>
        </w:rPr>
        <w:t xml:space="preserve"> (select the "Investors" link, then the "Corporate Governance" link, then the "Code of Conduct and Ethics" link). The company intends to satisfy the disclosure requirements of Item 5.05 of Form 8-K and applicable NYSE rules regarding amendments to or waivers from any provision of its Code of Ethics, as applicable, by posting such information on its website at </w:t>
      </w:r>
      <w:r>
        <w:rPr>
          <w:rFonts w:ascii="Times New Roman" w:cs="Times New Roman" w:eastAsia="Times New Roman" w:hAnsi="Times New Roman"/>
          <w:sz w:val="20"/>
          <w:szCs w:val="20"/>
          <w:u w:val="single" w:color="auto"/>
          <w:color w:val="auto"/>
        </w:rPr>
        <w:t>www.thetorocompany.com</w:t>
      </w:r>
      <w:r>
        <w:rPr>
          <w:rFonts w:ascii="Times New Roman" w:cs="Times New Roman" w:eastAsia="Times New Roman" w:hAnsi="Times New Roman"/>
          <w:sz w:val="20"/>
          <w:szCs w:val="20"/>
          <w:color w:val="auto"/>
        </w:rPr>
        <w:t xml:space="preserve"> (select the "Investors" link, then the "Corporate Governance" link, then the "Code of Conduct and Ethics" link).</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has adopted an insider trading policy governing the purchase, sale, and/or other dispositions of its securities by directors, officers and employees, among other insiders. The company believes its insider trading policy is reasonably designed to promote compliance with applicable insider trading laws, rules and regulations, and NYSE listing standards. The company’s insider trading policy is filed as Exhibit 19 to this Annual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Information required by this item is incorporated by reference to information to be contained under the captions "Director Compensation", "Compensation Discussion and Analysis" and "Executive Compensation" in the company's proxy statement for its 2026 Annual Meeting of Shareholders to be filed with the SEC.</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Information required by this item is incorporated by reference to information to be contained under the captions "Stock Ownership" and "Equity Compensation Plan Information" in the company's proxy statement for its 2026 Annual Meeting of Shareholders to be filed with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by reference to information to be contained under the caption "Corporate Governance — Director Independence," "Corporate Governance — Board Committees" and "Corporate Governance — Related Person Transactions and Policies and Procedures Regarding Related Person Transactions" in the company's proxy statement for its 2026 Annual Meeting of Shareholders to be filed with the SEC.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3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2026 Annual Meeting of Shareholders to be filed with the SEC.</w:t>
      </w:r>
    </w:p>
    <w:p>
      <w:pPr>
        <w:sectPr>
          <w:pgSz w:w="11880" w:h="15527" w:orient="portrait"/>
          <w:cols w:equalWidth="0" w:num="1">
            <w:col w:w="10260"/>
          </w:cols>
          <w:pgMar w:left="820" w:top="6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1880" w:h="15527" w:orient="portrait"/>
          <w:cols w:equalWidth="0" w:num="1">
            <w:col w:w="10260"/>
          </w:cols>
          <w:pgMar w:left="820" w:top="636" w:right="800" w:bottom="0" w:gutter="0" w:footer="0" w:header="0"/>
          <w:type w:val="continuous"/>
        </w:sectPr>
      </w:pPr>
    </w:p>
    <w:bookmarkStart w:id="104" w:name="page105"/>
    <w:bookmarkEnd w:id="104"/>
    <w:p>
      <w:pPr>
        <w:spacing w:after="0" w:line="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137" w:lineRule="exact"/>
        <w:rPr>
          <w:sz w:val="20"/>
          <w:szCs w:val="20"/>
          <w:color w:val="auto"/>
        </w:rPr>
      </w:pPr>
    </w:p>
    <w:p>
      <w:pPr>
        <w:ind w:left="270" w:hanging="270"/>
        <w:spacing w:after="0"/>
        <w:tabs>
          <w:tab w:leader="none" w:pos="27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13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30" w:lineRule="exact"/>
        <w:rPr>
          <w:rFonts w:ascii="Times New Roman" w:cs="Times New Roman" w:eastAsia="Times New Roman" w:hAnsi="Times New Roman"/>
          <w:sz w:val="20"/>
          <w:szCs w:val="20"/>
          <w:color w:val="auto"/>
        </w:rPr>
      </w:pPr>
    </w:p>
    <w:p>
      <w:pPr>
        <w:ind w:left="730" w:right="2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Consolidated Financial Statements of The Toro Company and its consolidated subsidiaries are included in Part II, Item 8, "Financial Statements and Supplementary Data," of this Annual Report on Form 10-K:</w:t>
      </w:r>
    </w:p>
    <w:p>
      <w:pPr>
        <w:spacing w:after="0" w:line="214" w:lineRule="exact"/>
        <w:rPr>
          <w:sz w:val="20"/>
          <w:szCs w:val="20"/>
          <w:color w:val="auto"/>
        </w:rPr>
      </w:pPr>
    </w:p>
    <w:tbl>
      <w:tblPr>
        <w:tblLayout w:type="fixed"/>
        <w:tblInd w:w="75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Management's Report on Internal Control over Financial Reporting</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55</w:t>
            </w:r>
          </w:p>
        </w:tc>
      </w:tr>
      <w:tr>
        <w:trPr>
          <w:trHeight w:val="265"/>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56</w:t>
            </w:r>
          </w:p>
        </w:tc>
      </w:tr>
      <w:tr>
        <w:trPr>
          <w:trHeight w:val="265"/>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Earnings for the fiscal years ended October 31, 2025, 2024, and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58</w:t>
            </w:r>
          </w:p>
        </w:tc>
      </w:tr>
      <w:tr>
        <w:trPr>
          <w:trHeight w:val="265"/>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fiscal years ended October 31, 2025, 2024, and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58</w:t>
            </w:r>
          </w:p>
        </w:tc>
      </w:tr>
      <w:tr>
        <w:trPr>
          <w:trHeight w:val="265"/>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October 31, 2025 and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59</w:t>
            </w:r>
          </w:p>
        </w:tc>
      </w:tr>
      <w:tr>
        <w:trPr>
          <w:trHeight w:val="265"/>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fiscal years ended October 31, 2025, 2024, and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60</w:t>
            </w:r>
          </w:p>
        </w:tc>
      </w:tr>
      <w:tr>
        <w:trPr>
          <w:trHeight w:val="265"/>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the fiscal years ended October 31, 2025, 2024, and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61</w:t>
            </w:r>
          </w:p>
        </w:tc>
      </w:tr>
      <w:tr>
        <w:trPr>
          <w:trHeight w:val="265"/>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62</w:t>
            </w:r>
          </w:p>
        </w:tc>
      </w:tr>
    </w:tbl>
    <w:p>
      <w:pPr>
        <w:spacing w:after="0" w:line="205"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*KPMG LLP, Minneapolis, MN, PCAOB Firm ID No. 185.</w:t>
      </w:r>
    </w:p>
    <w:p>
      <w:pPr>
        <w:spacing w:after="0" w:line="130" w:lineRule="exact"/>
        <w:rPr>
          <w:sz w:val="20"/>
          <w:szCs w:val="20"/>
          <w:color w:val="auto"/>
        </w:rPr>
      </w:pPr>
    </w:p>
    <w:p>
      <w:pPr>
        <w:ind w:left="730" w:hanging="37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Financial Statement Schedules</w:t>
      </w:r>
    </w:p>
    <w:p>
      <w:pPr>
        <w:spacing w:after="0" w:line="130" w:lineRule="exact"/>
        <w:rPr>
          <w:rFonts w:ascii="Times New Roman" w:cs="Times New Roman" w:eastAsia="Times New Roman" w:hAnsi="Times New Roman"/>
          <w:sz w:val="20"/>
          <w:szCs w:val="20"/>
          <w:color w:val="auto"/>
        </w:rPr>
      </w:pPr>
    </w:p>
    <w:p>
      <w:pPr>
        <w:jc w:val="both"/>
        <w:ind w:left="730" w:right="2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 schedules have been omitted because the required information is either inapplicable, immaterial, or the information is presented in the Consolidated Financial Statements or related Notes to Consolidated Financial Statements included in this Annual Report on Form 10-K.</w:t>
      </w:r>
    </w:p>
    <w:p>
      <w:pPr>
        <w:spacing w:after="0" w:line="75"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Exhibits</w:t>
      </w:r>
    </w:p>
    <w:p>
      <w:pPr>
        <w:spacing w:after="0" w:line="130" w:lineRule="exact"/>
        <w:rPr>
          <w:rFonts w:ascii="Times New Roman" w:cs="Times New Roman" w:eastAsia="Times New Roman" w:hAnsi="Times New Roman"/>
          <w:sz w:val="20"/>
          <w:szCs w:val="20"/>
          <w:color w:val="auto"/>
        </w:rPr>
      </w:pPr>
    </w:p>
    <w:p>
      <w:pPr>
        <w:ind w:left="73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exhibits are incorporated herein by reference or are filed or furnished with this Annual Report on Form</w:t>
      </w:r>
    </w:p>
    <w:p>
      <w:pPr>
        <w:spacing w:after="0" w:line="30" w:lineRule="exact"/>
        <w:rPr>
          <w:rFonts w:ascii="Times New Roman" w:cs="Times New Roman" w:eastAsia="Times New Roman" w:hAnsi="Times New Roman"/>
          <w:sz w:val="20"/>
          <w:szCs w:val="20"/>
          <w:color w:val="auto"/>
        </w:rPr>
      </w:pPr>
    </w:p>
    <w:p>
      <w:pPr>
        <w:ind w:left="73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10-K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165735</wp:posOffset>
            </wp:positionV>
            <wp:extent cx="604837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48375" cy="12700"/>
                    </a:xfrm>
                    <a:prstGeom prst="rect">
                      <a:avLst/>
                    </a:prstGeom>
                    <a:noFill/>
                  </pic:spPr>
                </pic:pic>
              </a:graphicData>
            </a:graphic>
          </wp:anchor>
        </w:drawing>
      </w:r>
    </w:p>
    <w:p>
      <w:pPr>
        <w:spacing w:after="0" w:line="248" w:lineRule="exact"/>
        <w:rPr>
          <w:sz w:val="20"/>
          <w:szCs w:val="20"/>
          <w:color w:val="auto"/>
        </w:rPr>
      </w:pPr>
    </w:p>
    <w:tbl>
      <w:tblPr>
        <w:tblLayout w:type="fixed"/>
        <w:tblInd w:w="730" w:type="dxa"/>
        <w:tblCellMar>
          <w:top w:w="0" w:type="dxa"/>
          <w:left w:w="0" w:type="dxa"/>
          <w:bottom w:w="0" w:type="dxa"/>
          <w:right w:w="0" w:type="dxa"/>
        </w:tblCellMar>
      </w:tblPr>
      <w:tr>
        <w:trPr>
          <w:trHeight w:val="184"/>
        </w:trPr>
        <w:tc>
          <w:tcPr>
            <w:tcW w:w="9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2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1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90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b w:val="1"/>
                <w:bCs w:val="1"/>
                <w:color w:val="auto"/>
              </w:rPr>
              <w:t>2.1 (1)</w:t>
            </w:r>
          </w:p>
        </w:tc>
        <w:tc>
          <w:tcPr>
            <w:tcW w:w="8620" w:type="dxa"/>
            <w:vAlign w:val="bottom"/>
            <w:tcBorders>
              <w:bottom w:val="single" w:sz="8" w:color="auto"/>
            </w:tcBorders>
            <w:gridSpan w:val="16"/>
          </w:tcPr>
          <w:p>
            <w:pPr>
              <w:spacing w:after="0" w:line="167" w:lineRule="exact"/>
              <w:rPr>
                <w:sz w:val="20"/>
                <w:szCs w:val="20"/>
                <w:color w:val="auto"/>
              </w:rPr>
            </w:pPr>
            <w:r>
              <w:rPr>
                <w:rFonts w:ascii="Times New Roman" w:cs="Times New Roman" w:eastAsia="Times New Roman" w:hAnsi="Times New Roman"/>
                <w:sz w:val="16"/>
                <w:szCs w:val="16"/>
                <w:color w:val="auto"/>
              </w:rPr>
              <w:t>Agreement to Form Joint Venture dated August 12, 2009 by and between The Toro Company and TCF Inventory Finance, Inc.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(incorporated by reference to Exhibit 2.1 to Registrant's Annual Report on Form 10-K for the fiscal year ended October 31,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700" w:type="dxa"/>
            <w:vAlign w:val="bottom"/>
            <w:tcBorders>
              <w:top w:val="single" w:sz="8" w:color="auto"/>
            </w:tcBorders>
            <w:gridSpan w:val="14"/>
          </w:tcPr>
          <w:p>
            <w:pPr>
              <w:spacing w:after="0" w:line="140" w:lineRule="exact"/>
              <w:rPr>
                <w:sz w:val="20"/>
                <w:szCs w:val="20"/>
                <w:color w:val="auto"/>
              </w:rPr>
            </w:pPr>
            <w:r>
              <w:rPr>
                <w:rFonts w:ascii="Times New Roman" w:cs="Times New Roman" w:eastAsia="Times New Roman" w:hAnsi="Times New Roman"/>
                <w:sz w:val="16"/>
                <w:szCs w:val="16"/>
                <w:color w:val="auto"/>
              </w:rPr>
              <w:t>Commission File No. 1-8649).**</w:t>
            </w:r>
          </w:p>
        </w:tc>
        <w:tc>
          <w:tcPr>
            <w:tcW w:w="20" w:type="dxa"/>
            <w:vAlign w:val="bottom"/>
          </w:tcPr>
          <w:p>
            <w:pPr>
              <w:spacing w:after="0"/>
              <w:rPr>
                <w:sz w:val="12"/>
                <w:szCs w:val="12"/>
                <w:color w:val="auto"/>
              </w:rPr>
            </w:pPr>
          </w:p>
        </w:tc>
        <w:tc>
          <w:tcPr>
            <w:tcW w:w="429496719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2.2 (1)</w:t>
            </w:r>
          </w:p>
        </w:tc>
        <w:tc>
          <w:tcPr>
            <w:tcW w:w="1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00" w:type="dxa"/>
            <w:vAlign w:val="bottom"/>
            <w:vMerge w:val="continue"/>
          </w:tcPr>
          <w:p>
            <w:pPr>
              <w:spacing w:after="0"/>
              <w:rPr>
                <w:sz w:val="18"/>
                <w:szCs w:val="18"/>
                <w:color w:val="auto"/>
              </w:rPr>
            </w:pPr>
          </w:p>
        </w:tc>
        <w:tc>
          <w:tcPr>
            <w:tcW w:w="86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color w:val="auto"/>
              </w:rPr>
              <w:t>First Amendment to Agreement to Form Joint Venture dated June 6, 2012 by and between The Toro Company and TCF Inventory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tcBorders>
              <w:bottom w:val="single" w:sz="8" w:color="auto"/>
            </w:tcBorders>
            <w:gridSpan w:val="16"/>
          </w:tcPr>
          <w:p>
            <w:pPr>
              <w:spacing w:after="0" w:line="140" w:lineRule="exact"/>
              <w:rPr>
                <w:sz w:val="20"/>
                <w:szCs w:val="20"/>
                <w:color w:val="auto"/>
              </w:rPr>
            </w:pPr>
            <w:r>
              <w:rPr>
                <w:rFonts w:ascii="Times New Roman" w:cs="Times New Roman" w:eastAsia="Times New Roman" w:hAnsi="Times New Roman"/>
                <w:sz w:val="16"/>
                <w:szCs w:val="16"/>
                <w:color w:val="auto"/>
              </w:rPr>
              <w:t>Finance, Inc. (incorporated by reference to Exhibit 2.2 to Registrant's Annual Report on Form 10-K for the fiscal year ended October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31, 2023, Commission File No. 1-8649).**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2.3 (1)</w:t>
            </w:r>
          </w:p>
        </w:tc>
        <w:tc>
          <w:tcPr>
            <w:tcW w:w="260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00" w:type="dxa"/>
            <w:vAlign w:val="bottom"/>
            <w:vMerge w:val="continue"/>
          </w:tcPr>
          <w:p>
            <w:pPr>
              <w:spacing w:after="0"/>
              <w:rPr>
                <w:sz w:val="18"/>
                <w:szCs w:val="18"/>
                <w:color w:val="auto"/>
              </w:rPr>
            </w:pPr>
          </w:p>
        </w:tc>
        <w:tc>
          <w:tcPr>
            <w:tcW w:w="86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color w:val="auto"/>
              </w:rPr>
              <w:t>Second Amendment to Agreement to Form Joint Venture dated November 29, 2016 by and between The Toro Company and TCF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Inventory Finance, Inc. (incorporated by reference to Exhibit 2.3 to Registrant's Annual Report on Form 10-K for the fiscal 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40" w:type="dxa"/>
            <w:vAlign w:val="bottom"/>
            <w:tcBorders>
              <w:top w:val="single" w:sz="8" w:color="auto"/>
            </w:tcBorders>
            <w:gridSpan w:val="11"/>
          </w:tcPr>
          <w:p>
            <w:pPr>
              <w:spacing w:after="0" w:line="140" w:lineRule="exact"/>
              <w:rPr>
                <w:sz w:val="20"/>
                <w:szCs w:val="20"/>
                <w:color w:val="auto"/>
              </w:rPr>
            </w:pPr>
            <w:r>
              <w:rPr>
                <w:rFonts w:ascii="Times New Roman" w:cs="Times New Roman" w:eastAsia="Times New Roman" w:hAnsi="Times New Roman"/>
                <w:sz w:val="16"/>
                <w:szCs w:val="16"/>
                <w:color w:val="auto"/>
              </w:rPr>
              <w:t>ended October 31, 2023, Commission File No. 1-8649).**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19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2.4 (1)</w:t>
            </w:r>
          </w:p>
        </w:tc>
        <w:tc>
          <w:tcPr>
            <w:tcW w:w="35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00" w:type="dxa"/>
            <w:vAlign w:val="bottom"/>
            <w:vMerge w:val="continue"/>
          </w:tcPr>
          <w:p>
            <w:pPr>
              <w:spacing w:after="0"/>
              <w:rPr>
                <w:sz w:val="18"/>
                <w:szCs w:val="18"/>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Third Amendment to Agreement to Form Joint Venture effective as of December 20, 2019 by and between The Toro Company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tcBorders>
              <w:top w:val="single" w:sz="8" w:color="auto"/>
              <w:bottom w:val="single" w:sz="8" w:color="auto"/>
            </w:tcBorders>
            <w:gridSpan w:val="10"/>
          </w:tcPr>
          <w:p>
            <w:pPr>
              <w:spacing w:after="0" w:line="140" w:lineRule="exact"/>
              <w:rPr>
                <w:sz w:val="20"/>
                <w:szCs w:val="20"/>
                <w:color w:val="auto"/>
              </w:rPr>
            </w:pPr>
            <w:r>
              <w:rPr>
                <w:rFonts w:ascii="Times New Roman" w:cs="Times New Roman" w:eastAsia="Times New Roman" w:hAnsi="Times New Roman"/>
                <w:sz w:val="16"/>
                <w:szCs w:val="16"/>
                <w:color w:val="auto"/>
              </w:rPr>
              <w:t>TCF Inventory Finance, Inc. (incorporated by reference to Exhibit 2.2 to Registrant’s Quarterly Report on Form 10-Q for the fiscal</w:t>
            </w:r>
          </w:p>
        </w:tc>
        <w:tc>
          <w:tcPr>
            <w:tcW w:w="4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gridSpan w:val="2"/>
          </w:tcPr>
          <w:p>
            <w:pPr>
              <w:spacing w:after="0"/>
              <w:rPr>
                <w:sz w:val="12"/>
                <w:szCs w:val="12"/>
                <w:color w:val="auto"/>
              </w:rPr>
            </w:pPr>
          </w:p>
        </w:tc>
        <w:tc>
          <w:tcPr>
            <w:tcW w:w="4294967197"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060" w:type="dxa"/>
            <w:vAlign w:val="bottom"/>
            <w:tcBorders>
              <w:bottom w:val="single" w:sz="8" w:color="auto"/>
            </w:tcBorders>
            <w:gridSpan w:val="5"/>
          </w:tcPr>
          <w:p>
            <w:pPr>
              <w:spacing w:after="0" w:line="140" w:lineRule="exact"/>
              <w:rPr>
                <w:sz w:val="20"/>
                <w:szCs w:val="20"/>
                <w:color w:val="auto"/>
              </w:rPr>
            </w:pPr>
            <w:r>
              <w:rPr>
                <w:rFonts w:ascii="Times New Roman" w:cs="Times New Roman" w:eastAsia="Times New Roman" w:hAnsi="Times New Roman"/>
                <w:sz w:val="16"/>
                <w:szCs w:val="16"/>
                <w:color w:val="auto"/>
                <w:w w:val="99"/>
              </w:rPr>
              <w:t>quarter ended January 31, 2020, Commission File No. 1-8649).</w:t>
            </w:r>
          </w:p>
        </w:tc>
        <w:tc>
          <w:tcPr>
            <w:tcW w:w="456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2.5 (1)</w:t>
            </w:r>
          </w:p>
        </w:tc>
        <w:tc>
          <w:tcPr>
            <w:tcW w:w="86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Fourth Amendment to Agreement to Form Joint Venture dated as of March 26, 2021 and effective as of March 2, 2020 by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60" w:type="dxa"/>
            <w:vAlign w:val="bottom"/>
            <w:tcBorders>
              <w:top w:val="single" w:sz="8" w:color="auto"/>
            </w:tcBorders>
            <w:gridSpan w:val="12"/>
          </w:tcPr>
          <w:p>
            <w:pPr>
              <w:spacing w:after="0" w:line="140" w:lineRule="exact"/>
              <w:rPr>
                <w:sz w:val="20"/>
                <w:szCs w:val="20"/>
                <w:color w:val="auto"/>
              </w:rPr>
            </w:pPr>
            <w:r>
              <w:rPr>
                <w:rFonts w:ascii="Times New Roman" w:cs="Times New Roman" w:eastAsia="Times New Roman" w:hAnsi="Times New Roman"/>
                <w:sz w:val="16"/>
                <w:szCs w:val="16"/>
                <w:color w:val="auto"/>
              </w:rPr>
              <w:t>between The Toro Company and TCF Inventory Finance, Inc. (incorporated by reference to Exhibit 2.2 to Registrant's Quarterly</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19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6180" w:type="dxa"/>
            <w:vAlign w:val="bottom"/>
            <w:tcBorders>
              <w:top w:val="single" w:sz="8" w:color="auto"/>
              <w:bottom w:val="single" w:sz="8" w:color="auto"/>
            </w:tcBorders>
            <w:gridSpan w:val="8"/>
          </w:tcPr>
          <w:p>
            <w:pPr>
              <w:spacing w:after="0" w:line="140" w:lineRule="exact"/>
              <w:rPr>
                <w:sz w:val="20"/>
                <w:szCs w:val="20"/>
                <w:color w:val="auto"/>
              </w:rPr>
            </w:pPr>
            <w:r>
              <w:rPr>
                <w:rFonts w:ascii="Times New Roman" w:cs="Times New Roman" w:eastAsia="Times New Roman" w:hAnsi="Times New Roman"/>
                <w:sz w:val="16"/>
                <w:szCs w:val="16"/>
                <w:color w:val="auto"/>
                <w:w w:val="99"/>
              </w:rPr>
              <w:t>Report on Form 10-Q for the fiscal quarter ended April 30, 2021, Commission File No. 1-8649).</w:t>
            </w:r>
          </w:p>
        </w:tc>
        <w:tc>
          <w:tcPr>
            <w:tcW w:w="2520" w:type="dxa"/>
            <w:vAlign w:val="bottom"/>
            <w:tcBorders>
              <w:top w:val="single" w:sz="8" w:color="auto"/>
            </w:tcBorders>
            <w:gridSpan w:val="6"/>
          </w:tcPr>
          <w:p>
            <w:pPr>
              <w:spacing w:after="0"/>
              <w:rPr>
                <w:sz w:val="12"/>
                <w:szCs w:val="12"/>
                <w:color w:val="auto"/>
              </w:rPr>
            </w:pPr>
          </w:p>
        </w:tc>
        <w:tc>
          <w:tcPr>
            <w:tcW w:w="20" w:type="dxa"/>
            <w:vAlign w:val="bottom"/>
          </w:tcPr>
          <w:p>
            <w:pPr>
              <w:spacing w:after="0"/>
              <w:rPr>
                <w:sz w:val="12"/>
                <w:szCs w:val="12"/>
                <w:color w:val="auto"/>
              </w:rPr>
            </w:pPr>
          </w:p>
        </w:tc>
        <w:tc>
          <w:tcPr>
            <w:tcW w:w="429496719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2.6 (1)</w:t>
            </w:r>
          </w:p>
        </w:tc>
        <w:tc>
          <w:tcPr>
            <w:tcW w:w="86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color w:val="auto"/>
              </w:rPr>
              <w:t>Fifth Amendment to Agreement to Form Joint Venture dated and effective as of June 10, 2022 by and between The Toro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and TCF Inventory Finance, Inc. (incorporated by reference to Exhibit 2.6 to Registrant's Annual Report on Form 10-K for the fiscal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3900" w:type="dxa"/>
            <w:vAlign w:val="bottom"/>
            <w:tcBorders>
              <w:top w:val="single" w:sz="8" w:color="auto"/>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6"/>
                <w:szCs w:val="16"/>
                <w:color w:val="auto"/>
                <w:w w:val="99"/>
              </w:rPr>
              <w:t>year ended October 31, 2022, Commission File No. 1-8649).</w:t>
            </w:r>
          </w:p>
        </w:tc>
        <w:tc>
          <w:tcPr>
            <w:tcW w:w="4800" w:type="dxa"/>
            <w:vAlign w:val="bottom"/>
            <w:tcBorders>
              <w:top w:val="single" w:sz="8" w:color="auto"/>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29496719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2.7 (1)</w:t>
            </w:r>
          </w:p>
        </w:tc>
        <w:tc>
          <w:tcPr>
            <w:tcW w:w="86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color w:val="auto"/>
              </w:rPr>
              <w:t>Limited Liability Company Agreement of Red Iron Acceptance, LLC dated August 12, 2009 by and between Red Iron Holding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tcBorders>
              <w:bottom w:val="single" w:sz="8" w:color="auto"/>
            </w:tcBorders>
            <w:gridSpan w:val="16"/>
          </w:tcPr>
          <w:p>
            <w:pPr>
              <w:spacing w:after="0" w:line="140" w:lineRule="exact"/>
              <w:rPr>
                <w:sz w:val="20"/>
                <w:szCs w:val="20"/>
                <w:color w:val="auto"/>
              </w:rPr>
            </w:pPr>
            <w:r>
              <w:rPr>
                <w:rFonts w:ascii="Times New Roman" w:cs="Times New Roman" w:eastAsia="Times New Roman" w:hAnsi="Times New Roman"/>
                <w:sz w:val="16"/>
                <w:szCs w:val="16"/>
                <w:color w:val="auto"/>
              </w:rPr>
              <w:t>Corporation and TCFIF Joint Venture I, LLC (incorporated by reference to Exhibit 2.7 to Registrant's Annual Report on Form 10-K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for the fiscal year ended October 31, 2023, Commission File No. 1-8649).**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2.8</w:t>
            </w:r>
          </w:p>
        </w:tc>
        <w:tc>
          <w:tcPr>
            <w:tcW w:w="4740" w:type="dxa"/>
            <w:vAlign w:val="bottom"/>
            <w:gridSpan w:val="6"/>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00" w:type="dxa"/>
            <w:vAlign w:val="bottom"/>
            <w:vMerge w:val="continue"/>
          </w:tcPr>
          <w:p>
            <w:pPr>
              <w:spacing w:after="0"/>
              <w:rPr>
                <w:sz w:val="18"/>
                <w:szCs w:val="18"/>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Amendment No. 1 to Limited Liability Company Agreement of Red Iron Acceptance, LLC dated May 31, 2011 by and between Red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720" w:type="dxa"/>
            <w:vAlign w:val="bottom"/>
            <w:tcBorders>
              <w:top w:val="single" w:sz="8" w:color="auto"/>
              <w:bottom w:val="single" w:sz="8" w:color="auto"/>
            </w:tcBorders>
            <w:gridSpan w:val="15"/>
          </w:tcPr>
          <w:p>
            <w:pPr>
              <w:spacing w:after="0" w:line="140" w:lineRule="exact"/>
              <w:rPr>
                <w:sz w:val="20"/>
                <w:szCs w:val="20"/>
                <w:color w:val="auto"/>
              </w:rPr>
            </w:pPr>
            <w:r>
              <w:rPr>
                <w:rFonts w:ascii="Times New Roman" w:cs="Times New Roman" w:eastAsia="Times New Roman" w:hAnsi="Times New Roman"/>
                <w:sz w:val="16"/>
                <w:szCs w:val="16"/>
                <w:color w:val="auto"/>
              </w:rPr>
              <w:t>Iron Holding Corporation and TCFIF Joint Venture I, LLC (incorporated by reference to Exhibit 2.4 to Registrant's Annual Report on</w:t>
            </w:r>
          </w:p>
        </w:tc>
        <w:tc>
          <w:tcPr>
            <w:tcW w:w="4294967197"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Form 10-K for the fiscal year ended October 31, 2012, Commission File No. 1-8649).**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2.9 (1)</w:t>
            </w:r>
          </w:p>
        </w:tc>
        <w:tc>
          <w:tcPr>
            <w:tcW w:w="5500" w:type="dxa"/>
            <w:vAlign w:val="bottom"/>
            <w:gridSpan w:val="7"/>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29496723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00" w:type="dxa"/>
            <w:vAlign w:val="bottom"/>
            <w:vMerge w:val="continue"/>
          </w:tcPr>
          <w:p>
            <w:pPr>
              <w:spacing w:after="0"/>
              <w:rPr>
                <w:sz w:val="18"/>
                <w:szCs w:val="18"/>
                <w:color w:val="auto"/>
              </w:rPr>
            </w:pPr>
          </w:p>
        </w:tc>
        <w:tc>
          <w:tcPr>
            <w:tcW w:w="86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color w:val="auto"/>
              </w:rPr>
              <w:t>Second Amendment to Limited Liability Company Agreement of Red Iron Acceptance, LLC dated June 6, 2012 by and between Red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tcBorders>
              <w:bottom w:val="single" w:sz="8" w:color="auto"/>
            </w:tcBorders>
            <w:gridSpan w:val="16"/>
          </w:tcPr>
          <w:p>
            <w:pPr>
              <w:spacing w:after="0" w:line="140" w:lineRule="exact"/>
              <w:rPr>
                <w:sz w:val="20"/>
                <w:szCs w:val="20"/>
                <w:color w:val="auto"/>
              </w:rPr>
            </w:pPr>
            <w:r>
              <w:rPr>
                <w:rFonts w:ascii="Times New Roman" w:cs="Times New Roman" w:eastAsia="Times New Roman" w:hAnsi="Times New Roman"/>
                <w:sz w:val="16"/>
                <w:szCs w:val="16"/>
                <w:color w:val="auto"/>
              </w:rPr>
              <w:t>Iron Holding Corporation and TCFIF Joint Venture I, LLC (incorporated by reference to Exhibit 2.9 to Registrant's Annual Report 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Form 10-K for the fiscal year ended October 31, 2023, Commission File No. 1-8649).**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2.10 (1)</w:t>
            </w:r>
          </w:p>
        </w:tc>
        <w:tc>
          <w:tcPr>
            <w:tcW w:w="5500" w:type="dxa"/>
            <w:vAlign w:val="bottom"/>
            <w:gridSpan w:val="7"/>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29496723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00" w:type="dxa"/>
            <w:vAlign w:val="bottom"/>
            <w:vMerge w:val="continue"/>
          </w:tcPr>
          <w:p>
            <w:pPr>
              <w:spacing w:after="0"/>
              <w:rPr>
                <w:sz w:val="18"/>
                <w:szCs w:val="18"/>
                <w:color w:val="auto"/>
              </w:rPr>
            </w:pPr>
          </w:p>
        </w:tc>
        <w:tc>
          <w:tcPr>
            <w:tcW w:w="86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color w:val="auto"/>
              </w:rPr>
              <w:t>Third Amendment to Limited Liability Company Agreement of Red Iron Acceptance, LLC dated November 29, 2016 by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between Red Iron Holding Corporation and TCFIF Joint Venture I, LLC (incorporated by reference to Exhibit 2.10 to Registrant's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60" w:type="dxa"/>
            <w:vAlign w:val="bottom"/>
            <w:tcBorders>
              <w:top w:val="single" w:sz="8" w:color="auto"/>
            </w:tcBorders>
            <w:gridSpan w:val="12"/>
          </w:tcPr>
          <w:p>
            <w:pPr>
              <w:spacing w:after="0" w:line="140" w:lineRule="exact"/>
              <w:rPr>
                <w:sz w:val="20"/>
                <w:szCs w:val="20"/>
                <w:color w:val="auto"/>
              </w:rPr>
            </w:pPr>
            <w:r>
              <w:rPr>
                <w:rFonts w:ascii="Times New Roman" w:cs="Times New Roman" w:eastAsia="Times New Roman" w:hAnsi="Times New Roman"/>
                <w:sz w:val="16"/>
                <w:szCs w:val="16"/>
                <w:color w:val="auto"/>
              </w:rPr>
              <w:t>Annual Report on Form 10-K for the fiscal year ended October 31, 2023, Commission File No. 1-8649).**</w:t>
            </w:r>
          </w:p>
        </w:tc>
        <w:tc>
          <w:tcPr>
            <w:tcW w:w="20" w:type="dxa"/>
            <w:vAlign w:val="bottom"/>
          </w:tcPr>
          <w:p>
            <w:pPr>
              <w:spacing w:after="0"/>
              <w:rPr>
                <w:sz w:val="12"/>
                <w:szCs w:val="12"/>
                <w:color w:val="auto"/>
              </w:rPr>
            </w:pPr>
          </w:p>
        </w:tc>
        <w:tc>
          <w:tcPr>
            <w:tcW w:w="4294967237"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2.11</w:t>
            </w:r>
          </w:p>
        </w:tc>
        <w:tc>
          <w:tcPr>
            <w:tcW w:w="6680" w:type="dxa"/>
            <w:vAlign w:val="bottom"/>
            <w:gridSpan w:val="9"/>
            <w:shd w:val="clear" w:color="auto" w:fill="000000"/>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29496723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00" w:type="dxa"/>
            <w:vAlign w:val="bottom"/>
            <w:vMerge w:val="continue"/>
          </w:tcPr>
          <w:p>
            <w:pPr>
              <w:spacing w:after="0"/>
              <w:rPr>
                <w:sz w:val="18"/>
                <w:szCs w:val="18"/>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Fourth Amendment to Limited Liability Company Agreement of Red Iron Acceptance, LLC dated as of July 17, 2019 by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80" w:type="dxa"/>
            <w:vAlign w:val="bottom"/>
            <w:tcBorders>
              <w:top w:val="single" w:sz="8" w:color="auto"/>
              <w:bottom w:val="single" w:sz="8" w:color="auto"/>
            </w:tcBorders>
            <w:gridSpan w:val="13"/>
          </w:tcPr>
          <w:p>
            <w:pPr>
              <w:spacing w:after="0" w:line="140" w:lineRule="exact"/>
              <w:rPr>
                <w:sz w:val="20"/>
                <w:szCs w:val="20"/>
                <w:color w:val="auto"/>
              </w:rPr>
            </w:pPr>
            <w:r>
              <w:rPr>
                <w:rFonts w:ascii="Times New Roman" w:cs="Times New Roman" w:eastAsia="Times New Roman" w:hAnsi="Times New Roman"/>
                <w:sz w:val="16"/>
                <w:szCs w:val="16"/>
                <w:color w:val="auto"/>
              </w:rPr>
              <w:t>between Red Iron Holding Corporation and TCFIF Joint Venture I, LLC (incorporated by reference to Exhibit 2.9 to Registrant's</w:t>
            </w:r>
          </w:p>
        </w:tc>
        <w:tc>
          <w:tcPr>
            <w:tcW w:w="4294967237" w:type="dxa"/>
            <w:vAlign w:val="bottom"/>
            <w:tcBorders>
              <w:bottom w:val="single" w:sz="8" w:color="auto"/>
            </w:tcBorders>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20" w:type="dxa"/>
            <w:vAlign w:val="bottom"/>
            <w:gridSpan w:val="16"/>
          </w:tcPr>
          <w:p>
            <w:pPr>
              <w:spacing w:after="0" w:line="140" w:lineRule="exact"/>
              <w:rPr>
                <w:sz w:val="20"/>
                <w:szCs w:val="20"/>
                <w:color w:val="auto"/>
              </w:rPr>
            </w:pPr>
            <w:r>
              <w:rPr>
                <w:rFonts w:ascii="Times New Roman" w:cs="Times New Roman" w:eastAsia="Times New Roman" w:hAnsi="Times New Roman"/>
                <w:sz w:val="16"/>
                <w:szCs w:val="16"/>
                <w:color w:val="auto"/>
              </w:rPr>
              <w:t>Annual Report on Form 10-K for the fiscal year ended October 31, 2020, Commission File No. 1-8649).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527" w:orient="portrait"/>
          <w:cols w:equalWidth="0" w:num="1">
            <w:col w:w="10270"/>
          </w:cols>
          <w:pgMar w:left="810" w:top="636" w:right="80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99</w:t>
      </w:r>
    </w:p>
    <w:p>
      <w:pPr>
        <w:sectPr>
          <w:pgSz w:w="11880" w:h="15527" w:orient="portrait"/>
          <w:cols w:equalWidth="0" w:num="1">
            <w:col w:w="10270"/>
          </w:cols>
          <w:pgMar w:left="810" w:top="636" w:right="800" w:bottom="0" w:gutter="0" w:footer="0" w:header="0"/>
          <w:type w:val="continuous"/>
        </w:sectPr>
      </w:pPr>
    </w:p>
    <w:bookmarkStart w:id="105" w:name="page106"/>
    <w:bookmarkEnd w:id="105"/>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2.12</w:t>
            </w: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Fifth Amendment to Limited Liability Company Agreement of Red Iron Acceptance, LLC effective as of December 20, 2019 by and</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between Red Iron Holding Corporation and TCFIF Joint Venture I, LLC (incorporated by reference to Exhibit 2.3 to Registrant’s</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Quarterly Report on Form 10-Q for the fiscal quarter ended January 31, 2020,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2.13</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Sixth Amendment to Limited Liability Company Agreement of Red Iron Acceptance, LLC effective as of March 10, 2022 by and</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between Red Iron Holding Corporation and TCFIF Joint Venture I, LLC (incorporated by reference to Exhibit 2.13 to Registrant's</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80" w:type="dxa"/>
            <w:vAlign w:val="bottom"/>
            <w:tcBorders>
              <w:top w:val="single" w:sz="8" w:color="auto"/>
            </w:tcBorders>
            <w:gridSpan w:val="22"/>
          </w:tcPr>
          <w:p>
            <w:pPr>
              <w:spacing w:after="0" w:line="140" w:lineRule="exact"/>
              <w:rPr>
                <w:sz w:val="20"/>
                <w:szCs w:val="20"/>
                <w:color w:val="auto"/>
              </w:rPr>
            </w:pPr>
            <w:r>
              <w:rPr>
                <w:rFonts w:ascii="Times New Roman" w:cs="Times New Roman" w:eastAsia="Times New Roman" w:hAnsi="Times New Roman"/>
                <w:sz w:val="16"/>
                <w:szCs w:val="16"/>
                <w:color w:val="auto"/>
              </w:rPr>
              <w:t>Annual Report on Form 10-K for the fiscal year ended October 31, 2023, Commission File No. 1-8649).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3.1 and</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Restated Certificate of Incorporation of The Toro Company (incorporated by reference to Exhibit 3.1 to Registrant’s Current Report</w:t>
            </w:r>
          </w:p>
        </w:tc>
        <w:tc>
          <w:tcPr>
            <w:tcW w:w="0" w:type="dxa"/>
            <w:vAlign w:val="bottom"/>
          </w:tcPr>
          <w:p>
            <w:pPr>
              <w:spacing w:after="0"/>
              <w:rPr>
                <w:sz w:val="1"/>
                <w:szCs w:val="1"/>
                <w:color w:val="auto"/>
              </w:rPr>
            </w:pPr>
          </w:p>
        </w:tc>
      </w:tr>
      <w:tr>
        <w:trPr>
          <w:trHeight w:val="140"/>
        </w:trPr>
        <w:tc>
          <w:tcPr>
            <w:tcW w:w="8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4.1</w:t>
            </w:r>
          </w:p>
        </w:tc>
        <w:tc>
          <w:tcPr>
            <w:tcW w:w="7540" w:type="dxa"/>
            <w:vAlign w:val="bottom"/>
            <w:tcBorders>
              <w:bottom w:val="single" w:sz="8" w:color="auto"/>
            </w:tcBorders>
            <w:gridSpan w:val="13"/>
          </w:tcPr>
          <w:p>
            <w:pPr>
              <w:spacing w:after="0" w:line="140" w:lineRule="exact"/>
              <w:rPr>
                <w:sz w:val="20"/>
                <w:szCs w:val="20"/>
                <w:color w:val="auto"/>
              </w:rPr>
            </w:pPr>
            <w:r>
              <w:rPr>
                <w:rFonts w:ascii="Times New Roman" w:cs="Times New Roman" w:eastAsia="Times New Roman" w:hAnsi="Times New Roman"/>
                <w:sz w:val="16"/>
                <w:szCs w:val="16"/>
                <w:color w:val="auto"/>
                <w:w w:val="99"/>
              </w:rPr>
              <w:t>on Form 8-K as filed with the Securities and Exchange Commission on June 18, 2008, Commission File No. 1-8649).</w:t>
            </w:r>
          </w:p>
        </w:tc>
        <w:tc>
          <w:tcPr>
            <w:tcW w:w="10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3.2 and</w:t>
            </w: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Certificate of Amendment to Restated Certificate of Incorporation of The Toro Company (incorporated by reference to Exhibit 3.1 to</w:t>
            </w:r>
          </w:p>
        </w:tc>
        <w:tc>
          <w:tcPr>
            <w:tcW w:w="0" w:type="dxa"/>
            <w:vAlign w:val="bottom"/>
          </w:tcPr>
          <w:p>
            <w:pPr>
              <w:spacing w:after="0"/>
              <w:rPr>
                <w:sz w:val="1"/>
                <w:szCs w:val="1"/>
                <w:color w:val="auto"/>
              </w:rPr>
            </w:pPr>
          </w:p>
        </w:tc>
      </w:tr>
      <w:tr>
        <w:trPr>
          <w:trHeight w:val="140"/>
        </w:trPr>
        <w:tc>
          <w:tcPr>
            <w:tcW w:w="8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4.2</w:t>
            </w: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Registrant’s Current Report on Form 8-K as filed with the Securities and Exchange Commission on March 13, 2013, Commission</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3.3 and</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Amended and Restated Bylaws of The Toro Company (incorporated by reference to Exhibit 3.1 to Registrant’s Current Report on</w:t>
            </w:r>
          </w:p>
        </w:tc>
        <w:tc>
          <w:tcPr>
            <w:tcW w:w="0" w:type="dxa"/>
            <w:vAlign w:val="bottom"/>
          </w:tcPr>
          <w:p>
            <w:pPr>
              <w:spacing w:after="0"/>
              <w:rPr>
                <w:sz w:val="1"/>
                <w:szCs w:val="1"/>
                <w:color w:val="auto"/>
              </w:rPr>
            </w:pPr>
          </w:p>
        </w:tc>
      </w:tr>
      <w:tr>
        <w:trPr>
          <w:trHeight w:val="140"/>
        </w:trPr>
        <w:tc>
          <w:tcPr>
            <w:tcW w:w="8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4.3</w:t>
            </w:r>
          </w:p>
        </w:tc>
        <w:tc>
          <w:tcPr>
            <w:tcW w:w="7340" w:type="dxa"/>
            <w:vAlign w:val="bottom"/>
            <w:tcBorders>
              <w:bottom w:val="single" w:sz="8" w:color="auto"/>
            </w:tcBorders>
            <w:gridSpan w:val="11"/>
          </w:tcPr>
          <w:p>
            <w:pPr>
              <w:spacing w:after="0" w:line="140" w:lineRule="exact"/>
              <w:rPr>
                <w:sz w:val="20"/>
                <w:szCs w:val="20"/>
                <w:color w:val="auto"/>
              </w:rPr>
            </w:pPr>
            <w:r>
              <w:rPr>
                <w:rFonts w:ascii="Times New Roman" w:cs="Times New Roman" w:eastAsia="Times New Roman" w:hAnsi="Times New Roman"/>
                <w:sz w:val="16"/>
                <w:szCs w:val="16"/>
                <w:color w:val="auto"/>
                <w:w w:val="99"/>
              </w:rPr>
              <w:t>Form 8-K as filed with the Securities and Exchange Commission on May 30, 2023, Commission File No. 1-8649).</w:t>
            </w:r>
          </w:p>
        </w:tc>
        <w:tc>
          <w:tcPr>
            <w:tcW w:w="128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4.4</w:t>
            </w: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Specimen Form of Common Stock Certificate (incorporated by reference to Exhibit 4(c) to Registrant's Quarterly Report on Form 10-</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4940" w:type="dxa"/>
            <w:vAlign w:val="bottom"/>
            <w:tcBorders>
              <w:top w:val="single" w:sz="8" w:color="auto"/>
              <w:bottom w:val="single" w:sz="8" w:color="auto"/>
            </w:tcBorders>
            <w:gridSpan w:val="7"/>
          </w:tcPr>
          <w:p>
            <w:pPr>
              <w:spacing w:after="0" w:line="140" w:lineRule="exact"/>
              <w:rPr>
                <w:sz w:val="20"/>
                <w:szCs w:val="20"/>
                <w:color w:val="auto"/>
              </w:rPr>
            </w:pPr>
            <w:r>
              <w:rPr>
                <w:rFonts w:ascii="Times New Roman" w:cs="Times New Roman" w:eastAsia="Times New Roman" w:hAnsi="Times New Roman"/>
                <w:sz w:val="16"/>
                <w:szCs w:val="16"/>
                <w:color w:val="auto"/>
                <w:w w:val="99"/>
              </w:rPr>
              <w:t>Q for the fiscal quarter ended August 1, 2008, Commission File No. 1-8649).</w:t>
            </w:r>
          </w:p>
        </w:tc>
        <w:tc>
          <w:tcPr>
            <w:tcW w:w="3640" w:type="dxa"/>
            <w:vAlign w:val="bottom"/>
            <w:tcBorders>
              <w:top w:val="single" w:sz="8" w:color="auto"/>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4.5</w:t>
            </w: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Description of Common Stock of The Toro Company (incorporated by reference to Exhibit 4.5 to Registrant's Annual Report on</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5500" w:type="dxa"/>
            <w:vAlign w:val="bottom"/>
            <w:tcBorders>
              <w:bottom w:val="single" w:sz="8" w:color="auto"/>
            </w:tcBorders>
            <w:gridSpan w:val="8"/>
          </w:tcPr>
          <w:p>
            <w:pPr>
              <w:spacing w:after="0" w:line="140" w:lineRule="exact"/>
              <w:rPr>
                <w:sz w:val="20"/>
                <w:szCs w:val="20"/>
                <w:color w:val="auto"/>
              </w:rPr>
            </w:pPr>
            <w:r>
              <w:rPr>
                <w:rFonts w:ascii="Times New Roman" w:cs="Times New Roman" w:eastAsia="Times New Roman" w:hAnsi="Times New Roman"/>
                <w:sz w:val="16"/>
                <w:szCs w:val="16"/>
                <w:color w:val="auto"/>
                <w:w w:val="99"/>
              </w:rPr>
              <w:t>Form 10-K for the fiscal year ended October 31, 2023, Commission File No. 1-8649).</w:t>
            </w:r>
          </w:p>
        </w:tc>
        <w:tc>
          <w:tcPr>
            <w:tcW w:w="312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4.6</w:t>
            </w: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8620" w:type="dxa"/>
            <w:vAlign w:val="bottom"/>
            <w:gridSpan w:val="27"/>
          </w:tcPr>
          <w:p>
            <w:pPr>
              <w:spacing w:after="0" w:line="160"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w:t>
            </w: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8620" w:type="dxa"/>
            <w:vAlign w:val="bottom"/>
            <w:gridSpan w:val="27"/>
          </w:tcPr>
          <w:p>
            <w:pPr>
              <w:spacing w:after="0" w:line="160" w:lineRule="exact"/>
              <w:rPr>
                <w:sz w:val="20"/>
                <w:szCs w:val="20"/>
                <w:color w:val="auto"/>
              </w:rPr>
            </w:pPr>
            <w:r>
              <w:rPr>
                <w:rFonts w:ascii="Times New Roman" w:cs="Times New Roman" w:eastAsia="Times New Roman" w:hAnsi="Times New Roman"/>
                <w:sz w:val="16"/>
                <w:szCs w:val="16"/>
                <w:color w:val="auto"/>
              </w:rPr>
              <w:t>K as filed with the Securities and Exchange Commission on June 27, 1997, Commission File No. 1-8649). (Filed on paper - hyperlink</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not required pursuant to Rule 105 of Regulation S-T)</w:t>
            </w:r>
          </w:p>
        </w:tc>
        <w:tc>
          <w:tcPr>
            <w:tcW w:w="0" w:type="dxa"/>
            <w:vAlign w:val="bottom"/>
          </w:tcPr>
          <w:p>
            <w:pPr>
              <w:spacing w:after="0"/>
              <w:rPr>
                <w:sz w:val="1"/>
                <w:szCs w:val="1"/>
                <w:color w:val="auto"/>
              </w:rPr>
            </w:pPr>
          </w:p>
        </w:tc>
      </w:tr>
      <w:tr>
        <w:trPr>
          <w:trHeight w:val="205"/>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4.7</w:t>
            </w: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Indenture dated as of April 20, 2007, between Registrant and The Bank of New York Trust Company, N.A., as Trustee, relating to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40" w:type="dxa"/>
            <w:vAlign w:val="bottom"/>
            <w:tcBorders>
              <w:top w:val="single" w:sz="8" w:color="auto"/>
              <w:bottom w:val="single" w:sz="8" w:color="auto"/>
            </w:tcBorders>
            <w:gridSpan w:val="20"/>
          </w:tcPr>
          <w:p>
            <w:pPr>
              <w:spacing w:after="0" w:line="140" w:lineRule="exact"/>
              <w:rPr>
                <w:sz w:val="20"/>
                <w:szCs w:val="20"/>
                <w:color w:val="auto"/>
              </w:rPr>
            </w:pPr>
            <w:r>
              <w:rPr>
                <w:rFonts w:ascii="Times New Roman" w:cs="Times New Roman" w:eastAsia="Times New Roman" w:hAnsi="Times New Roman"/>
                <w:sz w:val="16"/>
                <w:szCs w:val="16"/>
                <w:color w:val="auto"/>
              </w:rPr>
              <w:t>The Toro Company’s 6.625% Notes due May 1, 2037 (incorporated by reference to Exhibit 4.3 to Registrant’s Registration Statement</w:t>
            </w:r>
          </w:p>
        </w:tc>
        <w:tc>
          <w:tcPr>
            <w:tcW w:w="20" w:type="dxa"/>
            <w:vAlign w:val="bottom"/>
            <w:tcBorders>
              <w:bottom w:val="single" w:sz="8" w:color="auto"/>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7560" w:type="dxa"/>
            <w:vAlign w:val="bottom"/>
            <w:tcBorders>
              <w:bottom w:val="single" w:sz="8" w:color="auto"/>
            </w:tcBorders>
            <w:gridSpan w:val="14"/>
          </w:tcPr>
          <w:p>
            <w:pPr>
              <w:spacing w:after="0" w:line="140" w:lineRule="exact"/>
              <w:rPr>
                <w:sz w:val="20"/>
                <w:szCs w:val="20"/>
                <w:color w:val="auto"/>
              </w:rPr>
            </w:pPr>
            <w:r>
              <w:rPr>
                <w:rFonts w:ascii="Times New Roman" w:cs="Times New Roman" w:eastAsia="Times New Roman" w:hAnsi="Times New Roman"/>
                <w:sz w:val="16"/>
                <w:szCs w:val="16"/>
                <w:color w:val="auto"/>
                <w:w w:val="99"/>
              </w:rPr>
              <w:t>on Form S-3 as filed with the Securities and Exchange Commission on April 23, 2007, Registration No. 333-142282).</w:t>
            </w:r>
          </w:p>
        </w:tc>
        <w:tc>
          <w:tcPr>
            <w:tcW w:w="110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4.8</w:t>
            </w: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First Supplemental Indenture dated as of April 26, 2007, between Registrant and The Bank of New York Trust Company, N.A., as</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Trustee, relating to The Toro Company’s 6.625% Notes due May 1, 2037 (incorporated by reference to Exhibit 4.1 to Registrant’s</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Current Report on Form 8-K as filed with the Securities and Exchange Commission on April 26, 2007, Commission File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6"/>
                <w:szCs w:val="16"/>
                <w:color w:val="auto"/>
                <w:w w:val="97"/>
              </w:rPr>
              <w:t>No. 1-8649).</w:t>
            </w:r>
          </w:p>
        </w:tc>
        <w:tc>
          <w:tcPr>
            <w:tcW w:w="7840" w:type="dxa"/>
            <w:vAlign w:val="bottom"/>
            <w:tcBorders>
              <w:top w:val="single" w:sz="8" w:color="auto"/>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4.9</w:t>
            </w: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Form of The Toro Company 6.625% Note due May 1, 2037 (incorporated by reference to Exhibit 4.2 to Registrant’s Current Report</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7580" w:type="dxa"/>
            <w:vAlign w:val="bottom"/>
            <w:tcBorders>
              <w:top w:val="single" w:sz="8" w:color="auto"/>
              <w:bottom w:val="single" w:sz="8" w:color="auto"/>
            </w:tcBorders>
            <w:gridSpan w:val="15"/>
          </w:tcPr>
          <w:p>
            <w:pPr>
              <w:spacing w:after="0" w:line="140" w:lineRule="exact"/>
              <w:rPr>
                <w:sz w:val="20"/>
                <w:szCs w:val="20"/>
                <w:color w:val="auto"/>
              </w:rPr>
            </w:pPr>
            <w:r>
              <w:rPr>
                <w:rFonts w:ascii="Times New Roman" w:cs="Times New Roman" w:eastAsia="Times New Roman" w:hAnsi="Times New Roman"/>
                <w:sz w:val="16"/>
                <w:szCs w:val="16"/>
                <w:color w:val="auto"/>
                <w:w w:val="99"/>
              </w:rPr>
              <w:t>on Form 8-K as filed with the Securities and Exchange Commission on April 26, 2007, Commission File No. 1-8649).</w:t>
            </w:r>
          </w:p>
        </w:tc>
        <w:tc>
          <w:tcPr>
            <w:tcW w:w="1140" w:type="dxa"/>
            <w:vAlign w:val="bottom"/>
            <w:tcBorders>
              <w:top w:val="single" w:sz="8" w:color="auto"/>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10.1</w:t>
            </w: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The Toro Company 2022 Equity and Incentive Plan (incorporated by reference to Exhibit 10.1 to Registrant’s Current Report on</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Form 8-K as filed with the Securities and Exchange Commission on March 16, 2022,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3360" w:type="dxa"/>
            <w:vAlign w:val="bottom"/>
            <w:gridSpan w:val="6"/>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40" w:type="dxa"/>
            <w:vAlign w:val="bottom"/>
            <w:vMerge w:val="continue"/>
          </w:tcPr>
          <w:p>
            <w:pPr>
              <w:spacing w:after="0"/>
              <w:rPr>
                <w:sz w:val="19"/>
                <w:szCs w:val="19"/>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The Toro Company Amended and Restated 2010 Equity and Incentive Plan, as amended and restated (incorporated by reference to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Exhibit 10.1 to Registrant’s Annual Report on Form 10-K for the fiscal year ended October 31, 2016,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10.3</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3960" w:type="dxa"/>
            <w:vAlign w:val="bottom"/>
            <w:gridSpan w:val="10"/>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40" w:type="dxa"/>
            <w:vAlign w:val="bottom"/>
            <w:vMerge w:val="continue"/>
          </w:tcPr>
          <w:p>
            <w:pPr>
              <w:spacing w:after="0"/>
              <w:rPr>
                <w:sz w:val="19"/>
                <w:szCs w:val="19"/>
                <w:color w:val="auto"/>
              </w:rPr>
            </w:pP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Amendment No. 1 to The Toro Company Amended and Restated 2010 Equity and Incentive Plan, as Amended and Restated, dated as</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top w:val="single" w:sz="8" w:color="auto"/>
            </w:tcBorders>
            <w:gridSpan w:val="19"/>
          </w:tcPr>
          <w:p>
            <w:pPr>
              <w:spacing w:after="0" w:line="140" w:lineRule="exact"/>
              <w:rPr>
                <w:sz w:val="20"/>
                <w:szCs w:val="20"/>
                <w:color w:val="auto"/>
              </w:rPr>
            </w:pPr>
            <w:r>
              <w:rPr>
                <w:rFonts w:ascii="Times New Roman" w:cs="Times New Roman" w:eastAsia="Times New Roman" w:hAnsi="Times New Roman"/>
                <w:sz w:val="16"/>
                <w:szCs w:val="16"/>
                <w:color w:val="auto"/>
              </w:rPr>
              <w:t>of December 3, 2019 (incorporated by reference to Exhibit 10.2 to Registrant's Annual Report on Form 10-K for the fiscal year ended</w:t>
            </w: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720" w:type="dxa"/>
            <w:vAlign w:val="bottom"/>
            <w:tcBorders>
              <w:top w:val="single" w:sz="8" w:color="auto"/>
            </w:tcBorders>
            <w:gridSpan w:val="24"/>
          </w:tcPr>
          <w:p>
            <w:pPr>
              <w:spacing w:after="0" w:line="140" w:lineRule="exact"/>
              <w:rPr>
                <w:sz w:val="20"/>
                <w:szCs w:val="20"/>
                <w:color w:val="auto"/>
              </w:rPr>
            </w:pPr>
            <w:r>
              <w:rPr>
                <w:rFonts w:ascii="Times New Roman" w:cs="Times New Roman" w:eastAsia="Times New Roman" w:hAnsi="Times New Roman"/>
                <w:sz w:val="16"/>
                <w:szCs w:val="16"/>
                <w:color w:val="auto"/>
              </w:rPr>
              <w:t>October 31, 2019, Commission File No. 1-8649).*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10.4</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The Toro Company Supplemental Benefit Plan, Amended and Restated Effective January 1, 2017 (incorporated by reference to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Exhibit 10.8 to Registrant's Quarterly Report on Form 10-Q for the fiscal quarter ended February 3, 2017, Commission File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80" w:type="dxa"/>
            <w:vAlign w:val="bottom"/>
            <w:tcBorders>
              <w:top w:val="single" w:sz="8" w:color="auto"/>
            </w:tcBorders>
            <w:gridSpan w:val="22"/>
          </w:tcPr>
          <w:p>
            <w:pPr>
              <w:spacing w:after="0" w:line="140" w:lineRule="exact"/>
              <w:rPr>
                <w:sz w:val="20"/>
                <w:szCs w:val="20"/>
                <w:color w:val="auto"/>
              </w:rPr>
            </w:pPr>
            <w:r>
              <w:rPr>
                <w:rFonts w:ascii="Times New Roman" w:cs="Times New Roman" w:eastAsia="Times New Roman" w:hAnsi="Times New Roman"/>
                <w:sz w:val="16"/>
                <w:szCs w:val="16"/>
                <w:color w:val="auto"/>
              </w:rPr>
              <w:t>No. 1-8649).*</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10.5</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The Toro Company Deferred Compensation Plan, Amended and Restated Effective January 1, 2017 (incorporated by reference to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Exhibit 10.9 to Registrant's Quarterly Report on Form 10-Q for the fiscal quarter ended February 3, 2017, Commission File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80" w:type="dxa"/>
            <w:vAlign w:val="bottom"/>
            <w:tcBorders>
              <w:top w:val="single" w:sz="8" w:color="auto"/>
            </w:tcBorders>
            <w:gridSpan w:val="22"/>
          </w:tcPr>
          <w:p>
            <w:pPr>
              <w:spacing w:after="0" w:line="140" w:lineRule="exact"/>
              <w:rPr>
                <w:sz w:val="20"/>
                <w:szCs w:val="20"/>
                <w:color w:val="auto"/>
              </w:rPr>
            </w:pPr>
            <w:r>
              <w:rPr>
                <w:rFonts w:ascii="Times New Roman" w:cs="Times New Roman" w:eastAsia="Times New Roman" w:hAnsi="Times New Roman"/>
                <w:sz w:val="16"/>
                <w:szCs w:val="16"/>
                <w:color w:val="auto"/>
              </w:rPr>
              <w:t>No. 1-8649).*</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10.6</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The Toro Company Deferred Compensation Plan for Officers, Amended and Restated Effective January 1, 2017 (incorporated by</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740" w:type="dxa"/>
            <w:vAlign w:val="bottom"/>
            <w:tcBorders>
              <w:top w:val="single" w:sz="8" w:color="auto"/>
              <w:bottom w:val="single" w:sz="8" w:color="auto"/>
            </w:tcBorders>
            <w:gridSpan w:val="25"/>
          </w:tcPr>
          <w:p>
            <w:pPr>
              <w:spacing w:after="0" w:line="140" w:lineRule="exact"/>
              <w:rPr>
                <w:sz w:val="20"/>
                <w:szCs w:val="20"/>
                <w:color w:val="auto"/>
              </w:rPr>
            </w:pPr>
            <w:r>
              <w:rPr>
                <w:rFonts w:ascii="Times New Roman" w:cs="Times New Roman" w:eastAsia="Times New Roman" w:hAnsi="Times New Roman"/>
                <w:sz w:val="16"/>
                <w:szCs w:val="16"/>
                <w:color w:val="auto"/>
              </w:rPr>
              <w:t>reference to Exhibit 10.10 to Registrant's Quarterly Report on Form 10-Q for the fiscal quarter ended February 3, 2017, Commission</w:t>
            </w:r>
          </w:p>
        </w:tc>
        <w:tc>
          <w:tcPr>
            <w:tcW w:w="20" w:type="dxa"/>
            <w:vAlign w:val="bottom"/>
            <w:tcBorders>
              <w:bottom w:val="single" w:sz="8" w:color="auto"/>
            </w:tcBorders>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760" w:type="dxa"/>
            <w:vAlign w:val="bottom"/>
            <w:gridSpan w:val="26"/>
          </w:tcPr>
          <w:p>
            <w:pPr>
              <w:spacing w:after="0" w:line="140" w:lineRule="exact"/>
              <w:rPr>
                <w:sz w:val="20"/>
                <w:szCs w:val="20"/>
                <w:color w:val="auto"/>
              </w:rPr>
            </w:pPr>
            <w:r>
              <w:rPr>
                <w:rFonts w:ascii="Times New Roman" w:cs="Times New Roman" w:eastAsia="Times New Roman" w:hAnsi="Times New Roman"/>
                <w:sz w:val="16"/>
                <w:szCs w:val="16"/>
                <w:color w:val="auto"/>
              </w:rPr>
              <w:t>File No. 1-8649).*</w:t>
            </w: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10.7</w:t>
            </w:r>
          </w:p>
        </w:tc>
        <w:tc>
          <w:tcPr>
            <w:tcW w:w="5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29496721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The Toro Company Deferred Compensation Plan for Non-Employee Directors, Amended and Restated Effective January 1, 2017</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(incorporated by reference to Exhibit 10.11 to Registrant's Quarterly Report on Form 10-Q for the fiscal quarter ended February 3,</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2017,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10.8</w:t>
            </w:r>
          </w:p>
        </w:tc>
        <w:tc>
          <w:tcPr>
            <w:tcW w:w="540" w:type="dxa"/>
            <w:vAlign w:val="bottom"/>
            <w:shd w:val="clear" w:color="auto" w:fill="000000"/>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29496721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Form of Nonqualified Stock Option Agreement for use with The Toro Company 2022 Equity and Incentive Plan (incorporated by</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reference to Exhibit 10.2 to Registrant’s Current Report on Form 8-K as filed with the Securities and Exchange Commission on</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March 16, 2022,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10.9</w:t>
            </w:r>
          </w:p>
        </w:tc>
        <w:tc>
          <w:tcPr>
            <w:tcW w:w="540" w:type="dxa"/>
            <w:vAlign w:val="bottom"/>
            <w:shd w:val="clear" w:color="auto" w:fill="000000"/>
          </w:tcPr>
          <w:p>
            <w:pPr>
              <w:spacing w:after="0" w:line="20" w:lineRule="exact"/>
              <w:rPr>
                <w:sz w:val="1"/>
                <w:szCs w:val="1"/>
                <w:color w:val="auto"/>
              </w:rPr>
            </w:pPr>
          </w:p>
        </w:tc>
        <w:tc>
          <w:tcPr>
            <w:tcW w:w="2520" w:type="dxa"/>
            <w:vAlign w:val="bottom"/>
            <w:gridSpan w:val="4"/>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29496721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Form of Nonemployee Director Stock Option Agreement for use with The Toro Company 2022 Equity and Incentive Plan</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(incorporated by reference to Exhibit 10.3 to Registrant’s Current Report on Form 8-K as filed with the Securities and Exchange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Commission on March 16, 2022,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10.10</w:t>
            </w:r>
          </w:p>
        </w:tc>
        <w:tc>
          <w:tcPr>
            <w:tcW w:w="540" w:type="dxa"/>
            <w:vAlign w:val="bottom"/>
            <w:shd w:val="clear" w:color="auto" w:fill="000000"/>
          </w:tcPr>
          <w:p>
            <w:pPr>
              <w:spacing w:after="0" w:line="20" w:lineRule="exact"/>
              <w:rPr>
                <w:sz w:val="1"/>
                <w:szCs w:val="1"/>
                <w:color w:val="auto"/>
              </w:rPr>
            </w:pPr>
          </w:p>
        </w:tc>
        <w:tc>
          <w:tcPr>
            <w:tcW w:w="3560" w:type="dxa"/>
            <w:vAlign w:val="bottom"/>
            <w:gridSpan w:val="5"/>
            <w:shd w:val="clear" w:color="auto" w:fill="000000"/>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429496721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Form of Restricted Stock Unit Award Agreement for use with The Toro Company 2022 Equity and Incentive Plan (incorporated by</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700" w:type="dxa"/>
            <w:vAlign w:val="bottom"/>
            <w:tcBorders>
              <w:top w:val="single" w:sz="8" w:color="auto"/>
              <w:bottom w:val="single" w:sz="8" w:color="auto"/>
            </w:tcBorders>
            <w:gridSpan w:val="23"/>
          </w:tcPr>
          <w:p>
            <w:pPr>
              <w:spacing w:after="0" w:line="140" w:lineRule="exact"/>
              <w:rPr>
                <w:sz w:val="20"/>
                <w:szCs w:val="20"/>
                <w:color w:val="auto"/>
              </w:rPr>
            </w:pPr>
            <w:r>
              <w:rPr>
                <w:rFonts w:ascii="Times New Roman" w:cs="Times New Roman" w:eastAsia="Times New Roman" w:hAnsi="Times New Roman"/>
                <w:sz w:val="16"/>
                <w:szCs w:val="16"/>
                <w:color w:val="auto"/>
              </w:rPr>
              <w:t>reference to Exhibit 10.4 to Registrant’s Current Report on Form 8-K as filed with the Securities and Exchange Commission on</w:t>
            </w:r>
          </w:p>
        </w:tc>
        <w:tc>
          <w:tcPr>
            <w:tcW w:w="4294967217"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March 16, 2022,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10.11</w:t>
            </w:r>
          </w:p>
        </w:tc>
        <w:tc>
          <w:tcPr>
            <w:tcW w:w="540" w:type="dxa"/>
            <w:vAlign w:val="bottom"/>
            <w:shd w:val="clear" w:color="auto" w:fill="000000"/>
          </w:tcPr>
          <w:p>
            <w:pPr>
              <w:spacing w:after="0" w:line="20" w:lineRule="exact"/>
              <w:rPr>
                <w:sz w:val="1"/>
                <w:szCs w:val="1"/>
                <w:color w:val="auto"/>
              </w:rPr>
            </w:pPr>
          </w:p>
        </w:tc>
        <w:tc>
          <w:tcPr>
            <w:tcW w:w="2520" w:type="dxa"/>
            <w:vAlign w:val="bottom"/>
            <w:gridSpan w:val="4"/>
            <w:shd w:val="clear" w:color="auto" w:fill="000000"/>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Form of Performance Share Award Agreement for use with The Toro Company 2022 Equity and Incentive Plan (incorporated by</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reference to Exhibit 10.5 to Registrant’s Current Report on Form 8-K as filed with the Securities and Exchange Commission on</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March 16, 2022,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10.12</w:t>
            </w:r>
          </w:p>
        </w:tc>
        <w:tc>
          <w:tcPr>
            <w:tcW w:w="540" w:type="dxa"/>
            <w:vAlign w:val="bottom"/>
            <w:shd w:val="clear" w:color="auto" w:fill="000000"/>
          </w:tcPr>
          <w:p>
            <w:pPr>
              <w:spacing w:after="0" w:line="20" w:lineRule="exact"/>
              <w:rPr>
                <w:sz w:val="1"/>
                <w:szCs w:val="1"/>
                <w:color w:val="auto"/>
              </w:rPr>
            </w:pPr>
          </w:p>
        </w:tc>
        <w:tc>
          <w:tcPr>
            <w:tcW w:w="2520" w:type="dxa"/>
            <w:vAlign w:val="bottom"/>
            <w:gridSpan w:val="4"/>
            <w:shd w:val="clear" w:color="auto" w:fill="000000"/>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Form of Annual Performance Award Agreement for use with The Toro Company 2022 Equity and Incentive Plan (incorporated by</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760" w:type="dxa"/>
            <w:vAlign w:val="bottom"/>
            <w:tcBorders>
              <w:top w:val="single" w:sz="8" w:color="auto"/>
              <w:bottom w:val="single" w:sz="8" w:color="auto"/>
            </w:tcBorders>
            <w:gridSpan w:val="26"/>
          </w:tcPr>
          <w:p>
            <w:pPr>
              <w:spacing w:after="0" w:line="140" w:lineRule="exact"/>
              <w:rPr>
                <w:sz w:val="20"/>
                <w:szCs w:val="20"/>
                <w:color w:val="auto"/>
              </w:rPr>
            </w:pPr>
            <w:r>
              <w:rPr>
                <w:rFonts w:ascii="Times New Roman" w:cs="Times New Roman" w:eastAsia="Times New Roman" w:hAnsi="Times New Roman"/>
                <w:sz w:val="16"/>
                <w:szCs w:val="16"/>
                <w:color w:val="auto"/>
              </w:rPr>
              <w:t>reference to Exhibit 10.6 to Registrant’s Current Report on Form 8-K as filed with the Securities and Exchange Commission on</w:t>
            </w:r>
          </w:p>
        </w:tc>
        <w:tc>
          <w:tcPr>
            <w:tcW w:w="4294967157"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March 16, 2022,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10.13</w:t>
            </w:r>
          </w:p>
        </w:tc>
        <w:tc>
          <w:tcPr>
            <w:tcW w:w="540" w:type="dxa"/>
            <w:vAlign w:val="bottom"/>
            <w:shd w:val="clear" w:color="auto" w:fill="000000"/>
          </w:tcPr>
          <w:p>
            <w:pPr>
              <w:spacing w:after="0" w:line="20" w:lineRule="exact"/>
              <w:rPr>
                <w:sz w:val="1"/>
                <w:szCs w:val="1"/>
                <w:color w:val="auto"/>
              </w:rPr>
            </w:pPr>
          </w:p>
        </w:tc>
        <w:tc>
          <w:tcPr>
            <w:tcW w:w="2520" w:type="dxa"/>
            <w:vAlign w:val="bottom"/>
            <w:gridSpan w:val="4"/>
            <w:shd w:val="clear" w:color="auto" w:fill="000000"/>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Form of Nonemployee Director Stock Option Agreement between The Toro Company and its Non-Employee Directors under The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Toro Company Amended and Restated 2010 Equity and Incentive Plan, as amended and restated (incorporated by reference to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Exhibit 10.11 to Registrant’s Annual Report on Form 10-K for the fiscal year ended October 31, 2016, Commission File No.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color w:val="auto"/>
              </w:rPr>
              <w:t>1-8649).*</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5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10.14</w:t>
            </w:r>
          </w:p>
        </w:tc>
        <w:tc>
          <w:tcPr>
            <w:tcW w:w="540" w:type="dxa"/>
            <w:vAlign w:val="bottom"/>
            <w:shd w:val="clear" w:color="auto" w:fill="000000"/>
          </w:tcPr>
          <w:p>
            <w:pPr>
              <w:spacing w:after="0" w:line="20" w:lineRule="exact"/>
              <w:rPr>
                <w:sz w:val="1"/>
                <w:szCs w:val="1"/>
                <w:color w:val="auto"/>
              </w:rPr>
            </w:pPr>
          </w:p>
        </w:tc>
        <w:tc>
          <w:tcPr>
            <w:tcW w:w="7520" w:type="dxa"/>
            <w:vAlign w:val="bottom"/>
            <w:gridSpan w:val="15"/>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40" w:type="dxa"/>
            <w:vAlign w:val="bottom"/>
            <w:vMerge w:val="continue"/>
          </w:tcPr>
          <w:p>
            <w:pPr>
              <w:spacing w:after="0"/>
              <w:rPr>
                <w:sz w:val="19"/>
                <w:szCs w:val="19"/>
                <w:color w:val="auto"/>
              </w:rPr>
            </w:pPr>
          </w:p>
        </w:tc>
        <w:tc>
          <w:tcPr>
            <w:tcW w:w="862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Form of Nonqualified Stock Option Agreement between The Toro Company and its officers and other employees under The Toro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80" w:type="dxa"/>
            <w:vAlign w:val="bottom"/>
            <w:tcBorders>
              <w:top w:val="single" w:sz="8" w:color="auto"/>
              <w:bottom w:val="single" w:sz="8" w:color="auto"/>
            </w:tcBorders>
            <w:gridSpan w:val="22"/>
          </w:tcPr>
          <w:p>
            <w:pPr>
              <w:spacing w:after="0" w:line="140" w:lineRule="exact"/>
              <w:rPr>
                <w:sz w:val="20"/>
                <w:szCs w:val="20"/>
                <w:color w:val="auto"/>
              </w:rPr>
            </w:pPr>
            <w:r>
              <w:rPr>
                <w:rFonts w:ascii="Times New Roman" w:cs="Times New Roman" w:eastAsia="Times New Roman" w:hAnsi="Times New Roman"/>
                <w:sz w:val="16"/>
                <w:szCs w:val="16"/>
                <w:color w:val="auto"/>
              </w:rPr>
              <w:t>Company Amended and Restated 2010 Equity and Incentive Plan, as amended and restated (incorporated by reference to Exhibit</w:t>
            </w:r>
          </w:p>
        </w:tc>
        <w:tc>
          <w:tcPr>
            <w:tcW w:w="4294967237"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16"/>
                <w:szCs w:val="16"/>
                <w:u w:val="single" w:color="auto"/>
                <w:color w:val="auto"/>
              </w:rPr>
              <w:t>14</w:t>
            </w:r>
            <w:r>
              <w:rPr>
                <w:rFonts w:ascii="Times New Roman" w:cs="Times New Roman" w:eastAsia="Times New Roman" w:hAnsi="Times New Roman"/>
                <w:sz w:val="16"/>
                <w:szCs w:val="16"/>
                <w:color w:val="auto"/>
              </w:rPr>
              <w:t xml:space="preserve"> to Registrant’s Annual Report on Form 10-K for the fiscal year ended October 31, 2016, Commission File No. 1-8649).*</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10.15</w:t>
            </w:r>
          </w:p>
        </w:tc>
        <w:tc>
          <w:tcPr>
            <w:tcW w:w="8060" w:type="dxa"/>
            <w:vAlign w:val="bottom"/>
            <w:gridSpan w:val="16"/>
            <w:shd w:val="clear" w:color="auto" w:fill="000000"/>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0" w:type="dxa"/>
            <w:vAlign w:val="bottom"/>
            <w:vMerge w:val="continue"/>
          </w:tcPr>
          <w:p>
            <w:pPr>
              <w:spacing w:after="0"/>
              <w:rPr>
                <w:sz w:val="18"/>
                <w:szCs w:val="18"/>
                <w:color w:val="auto"/>
              </w:rPr>
            </w:pPr>
          </w:p>
        </w:tc>
        <w:tc>
          <w:tcPr>
            <w:tcW w:w="86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color w:val="auto"/>
              </w:rPr>
              <w:t>Form of Performance Share Award Agreement between The Toro Company and its officers and other employees under The Toro</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tcBorders>
              <w:bottom w:val="single" w:sz="8" w:color="auto"/>
            </w:tcBorders>
            <w:gridSpan w:val="27"/>
          </w:tcPr>
          <w:p>
            <w:pPr>
              <w:spacing w:after="0" w:line="140" w:lineRule="exact"/>
              <w:rPr>
                <w:sz w:val="20"/>
                <w:szCs w:val="20"/>
                <w:color w:val="auto"/>
              </w:rPr>
            </w:pPr>
            <w:r>
              <w:rPr>
                <w:rFonts w:ascii="Times New Roman" w:cs="Times New Roman" w:eastAsia="Times New Roman" w:hAnsi="Times New Roman"/>
                <w:sz w:val="16"/>
                <w:szCs w:val="16"/>
                <w:color w:val="auto"/>
              </w:rPr>
              <w:t>Company Amended and Restated 2010 Equity and Incentive Plan, as amended and restated (incorporated by reference to Exhibit</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620" w:type="dxa"/>
            <w:vAlign w:val="bottom"/>
            <w:gridSpan w:val="27"/>
          </w:tcPr>
          <w:p>
            <w:pPr>
              <w:spacing w:after="0" w:line="140" w:lineRule="exact"/>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16"/>
                <w:szCs w:val="16"/>
                <w:u w:val="single" w:color="auto"/>
                <w:color w:val="auto"/>
              </w:rPr>
              <w:t>17</w:t>
            </w:r>
            <w:r>
              <w:rPr>
                <w:rFonts w:ascii="Times New Roman" w:cs="Times New Roman" w:eastAsia="Times New Roman" w:hAnsi="Times New Roman"/>
                <w:sz w:val="16"/>
                <w:szCs w:val="16"/>
                <w:color w:val="auto"/>
              </w:rPr>
              <w:t xml:space="preserve"> to Registrant’s Annual Report on Form 10-K for the fiscal year ended October 31, 2016, Commission File No. 1-8649).*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528" w:orient="portrait"/>
          <w:cols w:equalWidth="0" w:num="1">
            <w:col w:w="9620"/>
          </w:cols>
          <w:pgMar w:left="1440" w:top="712" w:right="820" w:bottom="0" w:gutter="0" w:footer="0" w:header="0"/>
        </w:sectPr>
      </w:pPr>
    </w:p>
    <w:p>
      <w:pPr>
        <w:spacing w:after="0" w:line="3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100</w:t>
      </w:r>
    </w:p>
    <w:p>
      <w:pPr>
        <w:sectPr>
          <w:pgSz w:w="11880" w:h="15528" w:orient="portrait"/>
          <w:cols w:equalWidth="0" w:num="1">
            <w:col w:w="9620"/>
          </w:cols>
          <w:pgMar w:left="1440" w:top="712" w:right="820" w:bottom="0" w:gutter="0" w:footer="0" w:header="0"/>
          <w:type w:val="continuous"/>
        </w:sectPr>
      </w:pPr>
    </w:p>
    <w:bookmarkStart w:id="106" w:name="page107"/>
    <w:bookmarkEnd w:id="106"/>
    <w:p>
      <w:pPr>
        <w:spacing w:after="0" w:line="4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10.16</w:t>
      </w:r>
      <w:r>
        <w:rPr>
          <w:sz w:val="20"/>
          <w:szCs w:val="20"/>
          <w:color w:val="auto"/>
        </w:rPr>
        <w:tab/>
      </w:r>
      <w:r>
        <w:rPr>
          <w:rFonts w:ascii="Times New Roman" w:cs="Times New Roman" w:eastAsia="Times New Roman" w:hAnsi="Times New Roman"/>
          <w:sz w:val="16"/>
          <w:szCs w:val="16"/>
          <w:u w:val="single" w:color="auto"/>
          <w:color w:val="auto"/>
        </w:rPr>
        <w:t>Form of Annual Performance Award Agreement between The Toro Company and its officers and other employees under The Toro Company Amended and Restated 2010 Equity and Incentive Plan, as amended and restated (incorporated by reference to Exhibit 10.18 to Registrant’s Annual Report on Form 10-K for the fiscal year ended October 31, 2016, Commission File No. 1-8649).</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10.17</w:t>
      </w:r>
      <w:r>
        <w:rPr>
          <w:sz w:val="20"/>
          <w:szCs w:val="20"/>
          <w:color w:val="auto"/>
        </w:rPr>
        <w:tab/>
      </w:r>
      <w:r>
        <w:rPr>
          <w:rFonts w:ascii="Times New Roman" w:cs="Times New Roman" w:eastAsia="Times New Roman" w:hAnsi="Times New Roman"/>
          <w:sz w:val="16"/>
          <w:szCs w:val="16"/>
          <w:u w:val="single" w:color="auto"/>
          <w:color w:val="auto"/>
        </w:rPr>
        <w:t>Form of Restricted Stock Award Agreement between The Toro Company and its officers and other employees under The Toro Company Amended and Restated 2010 Equity and Incentive Plan, as amended and restated (incorporated by reference to Exhibit 10.19 to Registrant’s Annual Report on Form 10-K for the fiscal year ended October 31, 2016, Commission File No. 1-8649).</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10.18</w:t>
      </w:r>
      <w:r>
        <w:rPr>
          <w:sz w:val="20"/>
          <w:szCs w:val="20"/>
          <w:color w:val="auto"/>
        </w:rPr>
        <w:tab/>
      </w:r>
      <w:r>
        <w:rPr>
          <w:rFonts w:ascii="Times New Roman" w:cs="Times New Roman" w:eastAsia="Times New Roman" w:hAnsi="Times New Roman"/>
          <w:sz w:val="16"/>
          <w:szCs w:val="16"/>
          <w:u w:val="single" w:color="auto"/>
          <w:color w:val="auto"/>
        </w:rPr>
        <w:t>Form of Restricted Stock Unit Award Agreement between The Toro Company and its officers and other employees under The Toro Company Amended and Restated 2010 Equity and Incentive Plan, as amended and restated (incorporated by reference to Exhibit 10.21 to Registrant’s Annual Report on Form 10-K for the fiscal year ended October 31, 2016, Commission File No. 1-8649).</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both"/>
        <w:ind w:left="1000" w:hanging="839"/>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10.19</w:t>
      </w:r>
      <w:r>
        <w:rPr>
          <w:sz w:val="20"/>
          <w:szCs w:val="20"/>
          <w:color w:val="auto"/>
        </w:rPr>
        <w:tab/>
      </w:r>
      <w:r>
        <w:rPr>
          <w:rFonts w:ascii="Times New Roman" w:cs="Times New Roman" w:eastAsia="Times New Roman" w:hAnsi="Times New Roman"/>
          <w:sz w:val="16"/>
          <w:szCs w:val="16"/>
          <w:u w:val="single" w:color="auto"/>
          <w:color w:val="auto"/>
        </w:rPr>
        <w:t>Form of Indemnification Agreement with the members of the Board of Directors (incorporated by reference to Exhibit 10(u) to Registrant's Annual Report on Form 10-K for the fiscal year ended October 31, 2006, Commission File No. 1-8649).</w:t>
      </w:r>
      <w:r>
        <w:rPr>
          <w:rFonts w:ascii="Times New Roman" w:cs="Times New Roman" w:eastAsia="Times New Roman" w:hAnsi="Times New Roman"/>
          <w:sz w:val="16"/>
          <w:szCs w:val="16"/>
          <w:color w:val="auto"/>
        </w:rPr>
        <w:t>*</w:t>
      </w:r>
    </w:p>
    <w:p>
      <w:pPr>
        <w:spacing w:after="0" w:line="37"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10.20</w:t>
      </w:r>
      <w:r>
        <w:rPr>
          <w:sz w:val="20"/>
          <w:szCs w:val="20"/>
          <w:color w:val="auto"/>
        </w:rPr>
        <w:tab/>
      </w:r>
      <w:r>
        <w:rPr>
          <w:rFonts w:ascii="Times New Roman" w:cs="Times New Roman" w:eastAsia="Times New Roman" w:hAnsi="Times New Roman"/>
          <w:sz w:val="16"/>
          <w:szCs w:val="16"/>
          <w:u w:val="single" w:color="auto"/>
          <w:color w:val="auto"/>
        </w:rPr>
        <w:t>The Toro Company Change in Control Severance Compensation Policy and attached Form of Release (incorporated by reference to Exhibit 10.1 to Registrant's Current Report on Form 8-K as filed with the Securities and Exchange Commission on January 21, 2011, Commission File No. 1-8649).</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10.21</w:t>
      </w:r>
      <w:r>
        <w:rPr>
          <w:sz w:val="20"/>
          <w:szCs w:val="20"/>
          <w:color w:val="auto"/>
        </w:rPr>
        <w:tab/>
      </w:r>
      <w:r>
        <w:rPr>
          <w:rFonts w:ascii="Times New Roman" w:cs="Times New Roman" w:eastAsia="Times New Roman" w:hAnsi="Times New Roman"/>
          <w:sz w:val="16"/>
          <w:szCs w:val="16"/>
          <w:u w:val="single" w:color="auto"/>
          <w:color w:val="auto"/>
        </w:rPr>
        <w:t>Offer Letter dated August 18, 2015 between The Toro Company and Richard M. Olson (incorporated by reference to Exhibit 10.1 to Registrant's Current Report on Form 8-K as filed with the Securities and Exchange Commission on August 19, 2015, Commission File No. 1-8649).</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10.22</w:t>
      </w:r>
      <w:r>
        <w:rPr>
          <w:sz w:val="20"/>
          <w:szCs w:val="20"/>
          <w:color w:val="auto"/>
        </w:rPr>
        <w:tab/>
      </w:r>
      <w:r>
        <w:rPr>
          <w:rFonts w:ascii="Times New Roman" w:cs="Times New Roman" w:eastAsia="Times New Roman" w:hAnsi="Times New Roman"/>
          <w:sz w:val="16"/>
          <w:szCs w:val="16"/>
          <w:u w:val="single" w:color="auto"/>
          <w:color w:val="auto"/>
        </w:rPr>
        <w:t>Offer Letter dated July 19, 2016 between The Toro Company and Richard M. Olson (incorporated by reference to Exhibit 10.1 to Registrant's Current Report on Form 8-K as filed with the Securities and Exchange Commission on July 19, 2016, Commission File No. 1-8649).</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10.23</w:t>
      </w:r>
      <w:r>
        <w:rPr>
          <w:sz w:val="20"/>
          <w:szCs w:val="20"/>
          <w:color w:val="auto"/>
        </w:rPr>
        <w:tab/>
      </w:r>
      <w:r>
        <w:rPr>
          <w:rFonts w:ascii="Times New Roman" w:cs="Times New Roman" w:eastAsia="Times New Roman" w:hAnsi="Times New Roman"/>
          <w:sz w:val="16"/>
          <w:szCs w:val="16"/>
          <w:u w:val="single" w:color="auto"/>
          <w:color w:val="auto"/>
        </w:rPr>
        <w:t>Offer Letter dated February 13, 2023 between The Toro Company and Angela C. Drake (incorporated by reference to Exhibit 10.1 to Registrant’s Current Report on Form 8-K as filed with the Securities and Exchange Commission on February 14, 2023, Commission File No. 1-8649).</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jc w:val="both"/>
        <w:ind w:left="1000" w:hanging="839"/>
        <w:spacing w:after="0" w:line="21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10.24</w:t>
      </w:r>
      <w:r>
        <w:rPr>
          <w:sz w:val="20"/>
          <w:szCs w:val="20"/>
          <w:color w:val="auto"/>
        </w:rPr>
        <w:tab/>
      </w:r>
      <w:r>
        <w:rPr>
          <w:rFonts w:ascii="Times New Roman" w:cs="Times New Roman" w:eastAsia="Times New Roman" w:hAnsi="Times New Roman"/>
          <w:sz w:val="16"/>
          <w:szCs w:val="16"/>
          <w:u w:val="single" w:color="auto"/>
          <w:color w:val="auto"/>
        </w:rPr>
        <w:t>Second Amended and Restated Credit Agreement dated as of October 2, 2024, by and among The Toro Company, Toro Luxembourg S.A.R.L., and Certain Other Subsidiaries, as Borrowers, Bank of America, N.A., as Administrative Agent, Swing Line Lender and L/ C Issuer, U.S. Bank National Association and Wells Fargo Bank, National Association, as Co-Syndication Agents, and BMO Bank, N.A., HSBC Bank USA, National Association, and PNC Bank, National Association, as Co-Documentation Agents, and The Other Lenders Party Thereto (incorporated by reference to Exhibit 10.1 to Registrant’s Current Report on Form 8-K as filed with the Securities and Exchange Commission on October 3, 2024, Commission File No. 1-8649).</w:t>
      </w:r>
    </w:p>
    <w:p>
      <w:pPr>
        <w:spacing w:after="0" w:line="28" w:lineRule="exact"/>
        <w:rPr>
          <w:sz w:val="20"/>
          <w:szCs w:val="20"/>
          <w:color w:val="auto"/>
        </w:rPr>
      </w:pPr>
    </w:p>
    <w:p>
      <w:pPr>
        <w:jc w:val="both"/>
        <w:ind w:left="1000" w:hanging="839"/>
        <w:spacing w:after="0" w:line="224"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10.25</w:t>
      </w:r>
      <w:r>
        <w:rPr>
          <w:sz w:val="20"/>
          <w:szCs w:val="20"/>
          <w:color w:val="auto"/>
        </w:rPr>
        <w:tab/>
      </w:r>
      <w:r>
        <w:rPr>
          <w:rFonts w:ascii="Times New Roman" w:cs="Times New Roman" w:eastAsia="Times New Roman" w:hAnsi="Times New Roman"/>
          <w:sz w:val="16"/>
          <w:szCs w:val="16"/>
          <w:u w:val="single" w:color="auto"/>
          <w:color w:val="auto"/>
        </w:rPr>
        <w:t>Term Loan Credit Agreement dated as of April 27, 2022, by and among The Toro Company, as Borrower, Bank of America, N.A., as Administrative Agent, Wells Fargo Bank, National Association and U.S. Bank National Association, as Co-Syndication Agents and the Other Lenders Party Thereto (incorporated by reference to Exhibit 10.1 to Registrant’s Current Report on Form 8-K as filed with the Securities and Exchange Commission on April 28, 2022, Commission File No. 1-8649).</w:t>
      </w:r>
    </w:p>
    <w:p>
      <w:pPr>
        <w:spacing w:after="0" w:line="33"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10.26</w:t>
      </w:r>
      <w:r>
        <w:rPr>
          <w:sz w:val="20"/>
          <w:szCs w:val="20"/>
          <w:color w:val="auto"/>
        </w:rPr>
        <w:tab/>
      </w:r>
      <w:r>
        <w:rPr>
          <w:rFonts w:ascii="Times New Roman" w:cs="Times New Roman" w:eastAsia="Times New Roman" w:hAnsi="Times New Roman"/>
          <w:sz w:val="16"/>
          <w:szCs w:val="16"/>
          <w:u w:val="single" w:color="auto"/>
          <w:color w:val="auto"/>
        </w:rPr>
        <w:t>Amendment No. 1 to Term Loan Credit Agreement dated as of September 22, 2023, by and among The Toro Company, each of the Lenders Party Thereto, and Bank of America, N.A., as Administrative Agent (incorporated by reference to Exhibit 10.29 to Registrant's Annual Report on Form 10-K for the fiscal year ended October 31, 2023,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10.27</w:t>
      </w:r>
      <w:r>
        <w:rPr>
          <w:sz w:val="20"/>
          <w:szCs w:val="20"/>
          <w:color w:val="auto"/>
        </w:rPr>
        <w:tab/>
      </w:r>
      <w:r>
        <w:rPr>
          <w:rFonts w:ascii="Times New Roman" w:cs="Times New Roman" w:eastAsia="Times New Roman" w:hAnsi="Times New Roman"/>
          <w:sz w:val="16"/>
          <w:szCs w:val="16"/>
          <w:u w:val="single" w:color="auto"/>
          <w:color w:val="auto"/>
        </w:rPr>
        <w:t>Note Purchase Agreement, dated as of April 30, 2019, by and among The Toro Company and the Purchasers listed on the Purchaser Schedule Thereto (incorporated by reference to Exhibit 10.1 to the Registrant’s Current Report on Form 8-K as filed with the Securities and Exchange Commission on April 30, 2019,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10.28</w:t>
      </w:r>
      <w:r>
        <w:rPr>
          <w:sz w:val="20"/>
          <w:szCs w:val="20"/>
          <w:color w:val="auto"/>
        </w:rPr>
        <w:tab/>
      </w:r>
      <w:r>
        <w:rPr>
          <w:rFonts w:ascii="Times New Roman" w:cs="Times New Roman" w:eastAsia="Times New Roman" w:hAnsi="Times New Roman"/>
          <w:sz w:val="16"/>
          <w:szCs w:val="16"/>
          <w:u w:val="single" w:color="auto"/>
          <w:color w:val="auto"/>
        </w:rPr>
        <w:t>Second Amendment, dated as of June 30, 2022, to Note Purchase Agreement, dated as of April 30, 2019, by and among The Toro Company and each of the Institutions a Signatory Thereto (incorporated by reference to Exhibit 10.3 to Registrant’s Current Report on Form 8-K as filed with the Securities and Exchange Commission on June 30, 2022,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10.29</w:t>
      </w:r>
      <w:r>
        <w:rPr>
          <w:sz w:val="20"/>
          <w:szCs w:val="20"/>
          <w:color w:val="auto"/>
        </w:rPr>
        <w:tab/>
      </w:r>
      <w:r>
        <w:rPr>
          <w:rFonts w:ascii="Times New Roman" w:cs="Times New Roman" w:eastAsia="Times New Roman" w:hAnsi="Times New Roman"/>
          <w:sz w:val="16"/>
          <w:szCs w:val="16"/>
          <w:u w:val="single" w:color="auto"/>
          <w:color w:val="auto"/>
        </w:rPr>
        <w:t>Note Purchase Agreement, dated as of June 30, 2022, by and among The Toro Company and the Purchasers Listed on the Purchaser Schedule Thereto and Form of 3.97% Senior Note due June 30, 2032 (incorporated by reference to Exhibit 10.1 to Registrant’s Current Report on Form 8-K as filed with the Securities and Exchange Commission on June 30, 2022,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10.30 (1)</w:t>
      </w:r>
      <w:r>
        <w:rPr>
          <w:sz w:val="20"/>
          <w:szCs w:val="20"/>
          <w:color w:val="auto"/>
        </w:rPr>
        <w:tab/>
      </w:r>
      <w:r>
        <w:rPr>
          <w:rFonts w:ascii="Times New Roman" w:cs="Times New Roman" w:eastAsia="Times New Roman" w:hAnsi="Times New Roman"/>
          <w:sz w:val="16"/>
          <w:szCs w:val="16"/>
          <w:u w:val="single" w:color="auto"/>
          <w:color w:val="auto"/>
        </w:rPr>
        <w:t>Credit and Security Agreement dated as of August 12, 2009 by and between Red Iron Acceptance, LLC and TCF Inventory Finance, Inc. (incorporated by reference to Exhibit 10.33 to Registrant's Annual Report on Form 10-K for the fiscal year ended October 31, 2023,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10.31 (1)</w:t>
      </w:r>
      <w:r>
        <w:rPr>
          <w:sz w:val="20"/>
          <w:szCs w:val="20"/>
          <w:color w:val="auto"/>
        </w:rPr>
        <w:tab/>
      </w:r>
      <w:r>
        <w:rPr>
          <w:rFonts w:ascii="Times New Roman" w:cs="Times New Roman" w:eastAsia="Times New Roman" w:hAnsi="Times New Roman"/>
          <w:sz w:val="16"/>
          <w:szCs w:val="16"/>
          <w:u w:val="single" w:color="auto"/>
          <w:color w:val="auto"/>
        </w:rPr>
        <w:t>First Amendment to Credit and Security Agreement dated as of June 6, 2012 by and between Red Iron Acceptance, LLC and TCF Inventory Finance, Inc. (incorporated by reference to Exhibit 10.34 to Registrant's Annual Report on Form 10-K for the fiscal year ended October 31, 2023,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10.32</w:t>
      </w:r>
      <w:r>
        <w:rPr>
          <w:sz w:val="20"/>
          <w:szCs w:val="20"/>
          <w:color w:val="auto"/>
        </w:rPr>
        <w:tab/>
      </w:r>
      <w:r>
        <w:rPr>
          <w:rFonts w:ascii="Times New Roman" w:cs="Times New Roman" w:eastAsia="Times New Roman" w:hAnsi="Times New Roman"/>
          <w:sz w:val="16"/>
          <w:szCs w:val="16"/>
          <w:u w:val="single" w:color="auto"/>
          <w:color w:val="auto"/>
        </w:rPr>
        <w:t>Second Amendment to Credit and Security Agreement dated as of November 29, 2016 by and between Red Iron Acceptance, LLC and TCF Inventory Finance, Inc. (incorporated by reference to Exhibit 10.1 to Registrant's Current Report on Form 8-K as filed with the Securities and Exchange Commission on December 2, 2016,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10.33</w:t>
      </w:r>
      <w:r>
        <w:rPr>
          <w:sz w:val="20"/>
          <w:szCs w:val="20"/>
          <w:color w:val="auto"/>
        </w:rPr>
        <w:tab/>
      </w:r>
      <w:r>
        <w:rPr>
          <w:rFonts w:ascii="Times New Roman" w:cs="Times New Roman" w:eastAsia="Times New Roman" w:hAnsi="Times New Roman"/>
          <w:sz w:val="16"/>
          <w:szCs w:val="16"/>
          <w:u w:val="single" w:color="auto"/>
          <w:color w:val="auto"/>
        </w:rPr>
        <w:t>Third Amendment to Credit and Security Agreement effective as of December 20, 2019 by and between Red Iron Acceptance, LLC and TCF Inventory Finance, Inc. (incorporated by reference to Exhibit 10.1 to Registrant’s Quarterly Report on Form 10-Q for the fiscal quarter ended January 31, 2020,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10.34</w:t>
      </w:r>
      <w:r>
        <w:rPr>
          <w:sz w:val="20"/>
          <w:szCs w:val="20"/>
          <w:color w:val="auto"/>
        </w:rPr>
        <w:tab/>
      </w:r>
      <w:r>
        <w:rPr>
          <w:rFonts w:ascii="Times New Roman" w:cs="Times New Roman" w:eastAsia="Times New Roman" w:hAnsi="Times New Roman"/>
          <w:sz w:val="16"/>
          <w:szCs w:val="16"/>
          <w:u w:val="single" w:color="auto"/>
          <w:color w:val="auto"/>
        </w:rPr>
        <w:t>Fourth Amendment to Credit and Security Agreement effective as of November 1, 2021 by and between Red Iron Acceptance, LLC and TCF Inventory Finance, Inc. (incorporated by reference to Exhibit 10.24 to Registrant's Annual Report on Form 10-K for the fiscal year ended October 31, 2021,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10.35</w:t>
      </w:r>
      <w:r>
        <w:rPr>
          <w:sz w:val="20"/>
          <w:szCs w:val="20"/>
          <w:color w:val="auto"/>
        </w:rPr>
        <w:tab/>
      </w:r>
      <w:r>
        <w:rPr>
          <w:rFonts w:ascii="Times New Roman" w:cs="Times New Roman" w:eastAsia="Times New Roman" w:hAnsi="Times New Roman"/>
          <w:sz w:val="16"/>
          <w:szCs w:val="16"/>
          <w:u w:val="single" w:color="auto"/>
          <w:color w:val="auto"/>
        </w:rPr>
        <w:t>Fifth Amendment to Credit and Security Agreement effective as of October 25, 2022 by and between Red Iron Acceptance, LLC and Huntington Distribution Finance, Inc. (previously known as TCF Inventory Finance, Inc.) (incorporated by reference to Exhibit 10.35 to Registrant's Annual Report on Form 10-K for the fiscal year ended October 31, 2022, Commission File No. 1-8649).</w:t>
      </w:r>
    </w:p>
    <w:p>
      <w:pPr>
        <w:spacing w:after="0" w:line="2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10.36</w:t>
      </w:r>
      <w:r>
        <w:rPr>
          <w:sz w:val="20"/>
          <w:szCs w:val="20"/>
          <w:color w:val="auto"/>
        </w:rPr>
        <w:tab/>
      </w:r>
      <w:r>
        <w:rPr>
          <w:rFonts w:ascii="Times New Roman" w:cs="Times New Roman" w:eastAsia="Times New Roman" w:hAnsi="Times New Roman"/>
          <w:sz w:val="16"/>
          <w:szCs w:val="16"/>
          <w:u w:val="single" w:color="auto"/>
          <w:color w:val="auto"/>
        </w:rPr>
        <w:t>Sixth Amendment to Credit and Security Agreement effective as of August 31, 2023 by and between Red Iron Acceptance, LLC and Huntington Distribution Finance, Inc. (previously known as TCF Inventory Finance, Inc.) (incorporated by reference to Exhibit 10.39 to Registrant's Annual Report on Form 10-K for the fiscal year ended October 31, 2023, Commission File No. 1-8649).</w:t>
      </w:r>
    </w:p>
    <w:p>
      <w:pPr>
        <w:spacing w:after="0" w:line="133" w:lineRule="exact"/>
        <w:rPr>
          <w:sz w:val="20"/>
          <w:szCs w:val="20"/>
          <w:color w:val="auto"/>
        </w:rPr>
      </w:pPr>
    </w:p>
    <w:p>
      <w:pPr>
        <w:jc w:val="both"/>
        <w:ind w:left="1000" w:hanging="839"/>
        <w:spacing w:after="0" w:line="224"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10.37</w:t>
      </w:r>
      <w:r>
        <w:rPr>
          <w:sz w:val="20"/>
          <w:szCs w:val="20"/>
          <w:color w:val="auto"/>
        </w:rPr>
        <w:tab/>
      </w:r>
      <w:r>
        <w:rPr>
          <w:rFonts w:ascii="Times New Roman" w:cs="Times New Roman" w:eastAsia="Times New Roman" w:hAnsi="Times New Roman"/>
          <w:sz w:val="16"/>
          <w:szCs w:val="16"/>
          <w:u w:val="single" w:color="auto"/>
          <w:color w:val="auto"/>
        </w:rPr>
        <w:t>Note Purchase Agreement, dated as of September 30, 2025, by and among The Toro Company and the Purchasers Listed on the Purchaser Schedule Thereto and Form of 5.27% Senior Note due September 30, 2032 (incorporated by reference to Exhibit 10.1 to Registrant’s Current Report on Form 8-K as filed with the Securities and Exchange Commission on September 30, 2025, Commission File No. 1-8649).</w:t>
      </w:r>
    </w:p>
    <w:p>
      <w:pPr>
        <w:spacing w:after="0" w:line="138" w:lineRule="exact"/>
        <w:rPr>
          <w:sz w:val="20"/>
          <w:szCs w:val="20"/>
          <w:color w:val="auto"/>
        </w:rPr>
      </w:pPr>
    </w:p>
    <w:p>
      <w:pPr>
        <w:jc w:val="both"/>
        <w:ind w:left="1000" w:hanging="839"/>
        <w:spacing w:after="0" w:line="229"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10.38</w:t>
      </w:r>
      <w:r>
        <w:rPr>
          <w:sz w:val="20"/>
          <w:szCs w:val="20"/>
          <w:color w:val="auto"/>
        </w:rPr>
        <w:tab/>
      </w:r>
      <w:r>
        <w:rPr>
          <w:rFonts w:ascii="Times New Roman" w:cs="Times New Roman" w:eastAsia="Times New Roman" w:hAnsi="Times New Roman"/>
          <w:sz w:val="16"/>
          <w:szCs w:val="16"/>
          <w:u w:val="single" w:color="auto"/>
          <w:color w:val="auto"/>
        </w:rPr>
        <w:t>Arrangement Agreement, dated as of October 6, 2025, among The Toro Company, Tornado Acquisition Company ULC, and Tornado Infrastructure Equipment Ltd. (incorporated by reference to Exhibit 2.1 to Registrant’s Current Report on Form 8-K as filed with the Securities and Exchange Commission on October 8, 2025, Commission File No. 1-8649).</w:t>
      </w:r>
    </w:p>
    <w:p>
      <w:pPr>
        <w:sectPr>
          <w:pgSz w:w="11880" w:h="15528" w:orient="portrait"/>
          <w:cols w:equalWidth="0" w:num="1">
            <w:col w:w="9580"/>
          </w:cols>
          <w:pgMar w:left="1440" w:top="71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101</w:t>
      </w:r>
    </w:p>
    <w:p>
      <w:pPr>
        <w:sectPr>
          <w:pgSz w:w="11880" w:h="15528" w:orient="portrait"/>
          <w:cols w:equalWidth="0" w:num="1">
            <w:col w:w="9580"/>
          </w:cols>
          <w:pgMar w:left="1440" w:top="718" w:right="860" w:bottom="0" w:gutter="0" w:footer="0" w:header="0"/>
          <w:type w:val="continuous"/>
        </w:sectPr>
      </w:pPr>
    </w:p>
    <w:bookmarkStart w:id="107" w:name="page108"/>
    <w:bookmarkEnd w:id="107"/>
    <w:p>
      <w:pPr>
        <w:spacing w:after="0" w:line="48" w:lineRule="exact"/>
        <w:rPr>
          <w:sz w:val="20"/>
          <w:szCs w:val="20"/>
          <w:color w:val="auto"/>
        </w:rPr>
      </w:pPr>
    </w:p>
    <w:p>
      <w:pPr>
        <w:jc w:val="both"/>
        <w:ind w:left="1630" w:right="40" w:hanging="839"/>
        <w:spacing w:after="0" w:line="229" w:lineRule="auto"/>
        <w:tabs>
          <w:tab w:leader="none" w:pos="1610" w:val="left"/>
        </w:tabs>
        <w:rPr>
          <w:sz w:val="20"/>
          <w:szCs w:val="20"/>
          <w:color w:val="auto"/>
        </w:rPr>
      </w:pPr>
      <w:r>
        <w:rPr>
          <w:rFonts w:ascii="Times New Roman" w:cs="Times New Roman" w:eastAsia="Times New Roman" w:hAnsi="Times New Roman"/>
          <w:sz w:val="16"/>
          <w:szCs w:val="16"/>
          <w:b w:val="1"/>
          <w:bCs w:val="1"/>
          <w:color w:val="auto"/>
        </w:rPr>
        <w:t>10.39</w:t>
      </w:r>
      <w:r>
        <w:rPr>
          <w:sz w:val="20"/>
          <w:szCs w:val="20"/>
          <w:color w:val="auto"/>
        </w:rPr>
        <w:tab/>
      </w:r>
      <w:r>
        <w:rPr>
          <w:rFonts w:ascii="Times New Roman" w:cs="Times New Roman" w:eastAsia="Times New Roman" w:hAnsi="Times New Roman"/>
          <w:sz w:val="16"/>
          <w:szCs w:val="16"/>
          <w:u w:val="single" w:color="auto"/>
          <w:color w:val="auto"/>
        </w:rPr>
        <w:t>Offer Letter dated August 7, 2025 between The Toro Company and Edric C. Funk (incorporated by reference to Exhibit 10.1 to Registrant’s Current Report on Form 8-K as filed with the Securities and Exchange Commission on August 12, 2025, Commission File No. 1-8649).*</w:t>
      </w:r>
    </w:p>
    <w:p>
      <w:pPr>
        <w:spacing w:after="0" w:line="138" w:lineRule="exact"/>
        <w:rPr>
          <w:sz w:val="20"/>
          <w:szCs w:val="20"/>
          <w:color w:val="auto"/>
        </w:rPr>
      </w:pPr>
    </w:p>
    <w:p>
      <w:pPr>
        <w:ind w:left="1630" w:right="40" w:hanging="842"/>
        <w:spacing w:after="0"/>
        <w:tabs>
          <w:tab w:leader="none" w:pos="163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Insider Trading Policy (incorporated by reference to Exhibit 19 to Registrant's Annual Report on Form 10-K for the fiscal year ended October 31, 2024, Commission File No. 1-8649).</w:t>
      </w:r>
    </w:p>
    <w:p>
      <w:pPr>
        <w:spacing w:after="0" w:line="97" w:lineRule="exact"/>
        <w:rPr>
          <w:sz w:val="20"/>
          <w:szCs w:val="20"/>
          <w:color w:val="auto"/>
        </w:rPr>
      </w:pPr>
    </w:p>
    <w:p>
      <w:pPr>
        <w:ind w:left="1630" w:hanging="842"/>
        <w:spacing w:after="0"/>
        <w:tabs>
          <w:tab w:leader="none" w:pos="163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Subsidiaries of Registrant (filed herewith).</w:t>
      </w:r>
    </w:p>
    <w:p>
      <w:pPr>
        <w:spacing w:after="0" w:line="46" w:lineRule="exact"/>
        <w:rPr>
          <w:sz w:val="20"/>
          <w:szCs w:val="20"/>
          <w:color w:val="auto"/>
        </w:rPr>
      </w:pPr>
    </w:p>
    <w:tbl>
      <w:tblPr>
        <w:tblLayout w:type="fixed"/>
        <w:tblInd w:w="790" w:type="dxa"/>
        <w:tblCellMar>
          <w:top w:w="0" w:type="dxa"/>
          <w:left w:w="0" w:type="dxa"/>
          <w:bottom w:w="0" w:type="dxa"/>
          <w:right w:w="0" w:type="dxa"/>
        </w:tblCellMar>
      </w:tblPr>
      <w:tr>
        <w:trPr>
          <w:trHeight w:val="184"/>
        </w:trPr>
        <w:tc>
          <w:tcPr>
            <w:tcW w:w="84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2"/>
              </w:rPr>
              <w:t>23.1</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9"/>
              </w:rPr>
              <w:t>Consent of Independent Registered Public Accounting Firm (filed herewith).</w:t>
            </w:r>
          </w:p>
        </w:tc>
        <w:tc>
          <w:tcPr>
            <w:tcW w:w="37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4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2"/>
              </w:rPr>
              <w:t>24.1</w:t>
            </w:r>
          </w:p>
        </w:tc>
        <w:tc>
          <w:tcPr>
            <w:tcW w:w="86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Power of Attorney (filed herewith).</w:t>
            </w: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2"/>
              </w:rPr>
              <w:t>31.1</w:t>
            </w:r>
          </w:p>
        </w:tc>
        <w:tc>
          <w:tcPr>
            <w:tcW w:w="6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40" w:type="dxa"/>
            <w:vAlign w:val="bottom"/>
            <w:vMerge w:val="continue"/>
          </w:tcPr>
          <w:p>
            <w:pPr>
              <w:spacing w:after="0"/>
              <w:rPr>
                <w:sz w:val="19"/>
                <w:szCs w:val="19"/>
                <w:color w:val="auto"/>
              </w:rPr>
            </w:pPr>
          </w:p>
        </w:tc>
        <w:tc>
          <w:tcPr>
            <w:tcW w:w="8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 13a-14(a) (Section 302 of the Sarbanes-Oxley Act of 2002) (filed</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66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6"/>
                <w:szCs w:val="16"/>
                <w:color w:val="auto"/>
                <w:w w:val="97"/>
              </w:rPr>
              <w:t>herewith).</w:t>
            </w:r>
          </w:p>
        </w:tc>
        <w:tc>
          <w:tcPr>
            <w:tcW w:w="79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2"/>
              </w:rPr>
              <w:t>31.2</w:t>
            </w:r>
          </w:p>
        </w:tc>
        <w:tc>
          <w:tcPr>
            <w:tcW w:w="86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Certification of Chief Financial Officer Pursuant to Rule 13a-14(a) (Section 302 of the Sarbanes-Oxley Act of 2002) (filed herewith).</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630" w:right="40" w:hanging="842"/>
        <w:spacing w:after="0"/>
        <w:tabs>
          <w:tab w:leader="none" w:pos="163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Certification of Chief Executive Officer and Chief Financial Officer Pursuant to 18 U.S.C. Section 1350, as Adopted Pursuant to Section 906 of the Sarbanes-Oxley Act of 2002 (furnished herewith).</w:t>
      </w:r>
    </w:p>
    <w:p>
      <w:pPr>
        <w:spacing w:after="0" w:line="37" w:lineRule="exact"/>
        <w:rPr>
          <w:sz w:val="20"/>
          <w:szCs w:val="20"/>
          <w:color w:val="auto"/>
        </w:rPr>
      </w:pPr>
    </w:p>
    <w:p>
      <w:pPr>
        <w:ind w:left="1630" w:hanging="842"/>
        <w:spacing w:after="0"/>
        <w:tabs>
          <w:tab w:leader="none" w:pos="163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Clawback Policy (filed herewith)*.</w:t>
      </w:r>
    </w:p>
    <w:p>
      <w:pPr>
        <w:spacing w:after="0" w:line="221" w:lineRule="exact"/>
        <w:rPr>
          <w:sz w:val="20"/>
          <w:szCs w:val="20"/>
          <w:color w:val="auto"/>
        </w:rPr>
      </w:pPr>
    </w:p>
    <w:p>
      <w:pPr>
        <w:jc w:val="both"/>
        <w:ind w:left="1630" w:right="40" w:hanging="842"/>
        <w:spacing w:after="0" w:line="220" w:lineRule="auto"/>
        <w:tabs>
          <w:tab w:leader="none" w:pos="163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financial information from The Toro Company's Annual Report on Form 10-K for the fiscal year ended October 31, 2025, filed with the SEC on December 17, 2025, formatted in Inline eXtensible Business Reporting Language (Inline XBRL):</w:t>
      </w:r>
    </w:p>
    <w:p>
      <w:pPr>
        <w:jc w:val="both"/>
        <w:ind w:left="1630" w:right="40"/>
        <w:spacing w:after="0" w:line="21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 Consolidated Statements of Earnings for each of the fiscal years in the three-year period ended October 31, 2025, (ii) Consolidated Statements of Comprehensive Income for each of the fiscal years in the three-year period ended October 31, 2025, (iii) Consolidated Balance Sheets as of October 31, 2025 and 2024, (iv) Consolidated Statements of Cash Flows for each of the fiscal years in the three-year period ended October 31, 2025, (v) Consolidated Statements of Stockholders' Equity each of the fiscal years in the three-year period ended October 31, 2025, and (vi) Notes to Consolidated Financial Statements (filed herewith).</w:t>
      </w:r>
    </w:p>
    <w:p>
      <w:pPr>
        <w:spacing w:after="0" w:line="34" w:lineRule="exact"/>
        <w:rPr>
          <w:sz w:val="20"/>
          <w:szCs w:val="20"/>
          <w:color w:val="auto"/>
        </w:rPr>
      </w:pPr>
    </w:p>
    <w:p>
      <w:pPr>
        <w:ind w:left="1630" w:hanging="842"/>
        <w:spacing w:after="0"/>
        <w:tabs>
          <w:tab w:leader="none" w:pos="163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23" w:lineRule="exact"/>
        <w:rPr>
          <w:rFonts w:ascii="Times New Roman" w:cs="Times New Roman" w:eastAsia="Times New Roman" w:hAnsi="Times New Roman"/>
          <w:sz w:val="16"/>
          <w:szCs w:val="16"/>
          <w:b w:val="1"/>
          <w:bCs w:val="1"/>
          <w:color w:val="auto"/>
        </w:rPr>
      </w:pPr>
    </w:p>
    <w:p>
      <w:pPr>
        <w:ind w:left="1430" w:hanging="350"/>
        <w:spacing w:after="0"/>
        <w:tabs>
          <w:tab w:leader="none" w:pos="143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portions of this exhibit have been redacted in compliance with Item 601(b)(10) of Regulation S-K.</w:t>
      </w:r>
    </w:p>
    <w:p>
      <w:pPr>
        <w:spacing w:after="0" w:line="128" w:lineRule="exact"/>
        <w:rPr>
          <w:sz w:val="20"/>
          <w:szCs w:val="20"/>
          <w:color w:val="auto"/>
        </w:rPr>
      </w:pPr>
    </w:p>
    <w:p>
      <w:pPr>
        <w:ind w:left="1450" w:hanging="370"/>
        <w:spacing w:after="0"/>
        <w:tabs>
          <w:tab w:leader="none" w:pos="145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128" w:lineRule="exact"/>
        <w:rPr>
          <w:sz w:val="20"/>
          <w:szCs w:val="20"/>
          <w:color w:val="auto"/>
        </w:rPr>
      </w:pPr>
    </w:p>
    <w:p>
      <w:pPr>
        <w:jc w:val="both"/>
        <w:ind w:left="1450" w:right="180" w:hanging="370"/>
        <w:spacing w:after="0" w:line="317" w:lineRule="auto"/>
        <w:tabs>
          <w:tab w:leader="none" w:pos="1494"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exhibits and schedules to this exhibit have been omitted pursuant to Item 601(b)(2) of Regulation S-K. TTC will furnish the omitted exhibits and schedules to the Securities and Exchange Commission upon request by the Securities and Exchange Commission.</w:t>
      </w:r>
    </w:p>
    <w:p>
      <w:pPr>
        <w:spacing w:after="0" w:line="1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 Exhibits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See Item 15(a)(3) above.</w:t>
      </w:r>
    </w:p>
    <w:p>
      <w:pPr>
        <w:spacing w:after="0" w:line="130" w:lineRule="exact"/>
        <w:rPr>
          <w:sz w:val="20"/>
          <w:szCs w:val="20"/>
          <w:color w:val="auto"/>
        </w:rPr>
      </w:pPr>
    </w:p>
    <w:p>
      <w:pPr>
        <w:ind w:left="10" w:right="7520" w:hanging="10"/>
        <w:spacing w:after="0" w:line="395" w:lineRule="auto"/>
        <w:tabs>
          <w:tab w:leader="none" w:pos="28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 Schedules See Item 15(a)(2) above.</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ITEM 16. FORM 10-K SUMMARY</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ectPr>
          <w:pgSz w:w="11880" w:h="15528" w:orient="portrait"/>
          <w:cols w:equalWidth="0" w:num="1">
            <w:col w:w="10250"/>
          </w:cols>
          <w:pgMar w:left="810" w:top="7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102</w:t>
      </w:r>
    </w:p>
    <w:p>
      <w:pPr>
        <w:sectPr>
          <w:pgSz w:w="11880" w:h="15528" w:orient="portrait"/>
          <w:cols w:equalWidth="0" w:num="1">
            <w:col w:w="10250"/>
          </w:cols>
          <w:pgMar w:left="810" w:top="718" w:right="820" w:bottom="0" w:gutter="0" w:footer="0" w:header="0"/>
          <w:type w:val="continuous"/>
        </w:sectPr>
      </w:pPr>
    </w:p>
    <w:bookmarkStart w:id="108" w:name="page109"/>
    <w:bookmarkEnd w:id="108"/>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SIGNATURES</w:t>
      </w:r>
    </w:p>
    <w:p>
      <w:pPr>
        <w:spacing w:after="0" w:line="1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34290</wp:posOffset>
            </wp:positionV>
            <wp:extent cx="2400300"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00300" cy="12700"/>
                    </a:xfrm>
                    <a:prstGeom prst="rect">
                      <a:avLst/>
                    </a:prstGeom>
                    <a:noFill/>
                  </pic:spPr>
                </pic:pic>
              </a:graphicData>
            </a:graphic>
          </wp:anchor>
        </w:drawing>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(Registrant)</w:t>
      </w:r>
    </w:p>
    <w:p>
      <w:pPr>
        <w:spacing w:after="0" w:line="340" w:lineRule="exact"/>
        <w:rPr>
          <w:sz w:val="20"/>
          <w:szCs w:val="20"/>
          <w:color w:val="auto"/>
        </w:rPr>
      </w:pPr>
    </w:p>
    <w:p>
      <w:pPr>
        <w:ind w:left="40"/>
        <w:spacing w:after="0"/>
        <w:tabs>
          <w:tab w:leader="none" w:pos="600" w:val="left"/>
          <w:tab w:leader="none" w:pos="7600" w:val="left"/>
        </w:tabs>
        <w:rPr>
          <w:sz w:val="20"/>
          <w:szCs w:val="20"/>
          <w:color w:val="auto"/>
        </w:rPr>
      </w:pPr>
      <w:r>
        <w:rPr>
          <w:rFonts w:ascii="Times New Roman" w:cs="Times New Roman" w:eastAsia="Times New Roman" w:hAnsi="Times New Roman"/>
          <w:sz w:val="20"/>
          <w:szCs w:val="20"/>
          <w:color w:val="auto"/>
        </w:rPr>
        <w:t>By:</w:t>
        <w:tab/>
        <w:t>/s/ Angela C. Drake</w:t>
      </w:r>
      <w:r>
        <w:rPr>
          <w:sz w:val="20"/>
          <w:szCs w:val="20"/>
          <w:color w:val="auto"/>
        </w:rPr>
        <w:tab/>
      </w:r>
      <w:r>
        <w:rPr>
          <w:rFonts w:ascii="Times New Roman" w:cs="Times New Roman" w:eastAsia="Times New Roman" w:hAnsi="Times New Roman"/>
          <w:sz w:val="20"/>
          <w:szCs w:val="20"/>
          <w:color w:val="auto"/>
        </w:rPr>
        <w:t>Dated: 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34290</wp:posOffset>
            </wp:positionV>
            <wp:extent cx="2400300"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00300" cy="12700"/>
                    </a:xfrm>
                    <a:prstGeom prst="rect">
                      <a:avLst/>
                    </a:prstGeom>
                    <a:noFill/>
                  </pic:spPr>
                </pic:pic>
              </a:graphicData>
            </a:graphic>
          </wp:anchor>
        </w:drawing>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Angela C. Drake</w:t>
      </w:r>
    </w:p>
    <w:p>
      <w:pPr>
        <w:ind w:left="620"/>
        <w:spacing w:after="0" w:line="208" w:lineRule="auto"/>
        <w:rPr>
          <w:sz w:val="20"/>
          <w:szCs w:val="20"/>
          <w:color w:val="auto"/>
        </w:rPr>
      </w:pPr>
      <w:r>
        <w:rPr>
          <w:rFonts w:ascii="Times New Roman" w:cs="Times New Roman" w:eastAsia="Times New Roman" w:hAnsi="Times New Roman"/>
          <w:sz w:val="20"/>
          <w:szCs w:val="20"/>
          <w:color w:val="auto"/>
        </w:rPr>
        <w:t>Vice President and Chief Financial Officer</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*Attorney-in-Fact</w:t>
      </w:r>
    </w:p>
    <w:p>
      <w:pPr>
        <w:spacing w:after="0" w:line="19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135255</wp:posOffset>
            </wp:positionV>
            <wp:extent cx="6515100"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11" w:lineRule="exact"/>
        <w:rPr>
          <w:sz w:val="20"/>
          <w:szCs w:val="20"/>
          <w:color w:val="auto"/>
        </w:rPr>
      </w:pPr>
    </w:p>
    <w:p>
      <w:pPr>
        <w:ind w:left="40"/>
        <w:spacing w:after="0"/>
        <w:tabs>
          <w:tab w:leader="none" w:pos="2300" w:val="left"/>
          <w:tab w:leader="none" w:pos="8220" w:val="left"/>
        </w:tabs>
        <w:rPr>
          <w:sz w:val="20"/>
          <w:szCs w:val="20"/>
          <w:color w:val="auto"/>
        </w:rPr>
      </w:pPr>
      <w:r>
        <w:rPr>
          <w:rFonts w:ascii="Times New Roman" w:cs="Times New Roman" w:eastAsia="Times New Roman" w:hAnsi="Times New Roman"/>
          <w:sz w:val="20"/>
          <w:szCs w:val="20"/>
          <w:b w:val="1"/>
          <w:bCs w:val="1"/>
          <w:color w:val="auto"/>
        </w:rPr>
        <w:t>Signature</w:t>
      </w:r>
      <w:r>
        <w:rPr>
          <w:sz w:val="20"/>
          <w:szCs w:val="20"/>
          <w:color w:val="auto"/>
        </w:rPr>
        <w:tab/>
      </w:r>
      <w:r>
        <w:rPr>
          <w:rFonts w:ascii="Times New Roman" w:cs="Times New Roman" w:eastAsia="Times New Roman" w:hAnsi="Times New Roman"/>
          <w:sz w:val="20"/>
          <w:szCs w:val="20"/>
          <w:b w:val="1"/>
          <w:bCs w:val="1"/>
          <w:color w:val="auto"/>
        </w:rPr>
        <w:t>Title</w:t>
      </w:r>
      <w:r>
        <w:rPr>
          <w:sz w:val="20"/>
          <w:szCs w:val="20"/>
          <w:color w:val="auto"/>
        </w:rPr>
        <w:tab/>
      </w: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6515100"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ectPr>
          <w:pgSz w:w="11880" w:h="15528" w:orient="portrait"/>
          <w:cols w:equalWidth="0" w:num="1">
            <w:col w:w="10240"/>
          </w:cols>
          <w:pgMar w:left="820" w:top="636" w:right="820" w:bottom="0" w:gutter="0" w:footer="0" w:header="0"/>
        </w:sectPr>
      </w:pPr>
    </w:p>
    <w:p>
      <w:pPr>
        <w:spacing w:after="0" w:line="224" w:lineRule="exact"/>
        <w:rPr>
          <w:sz w:val="20"/>
          <w:szCs w:val="20"/>
          <w:color w:val="auto"/>
        </w:rPr>
      </w:pPr>
    </w:p>
    <w:p>
      <w:pPr>
        <w:jc w:val="right"/>
        <w:ind w:left="40" w:right="280"/>
        <w:spacing w:after="0" w:line="328" w:lineRule="auto"/>
        <w:rPr>
          <w:sz w:val="20"/>
          <w:szCs w:val="20"/>
          <w:color w:val="auto"/>
        </w:rPr>
      </w:pPr>
      <w:r>
        <w:rPr>
          <w:rFonts w:ascii="Times New Roman" w:cs="Times New Roman" w:eastAsia="Times New Roman" w:hAnsi="Times New Roman"/>
          <w:sz w:val="20"/>
          <w:szCs w:val="20"/>
          <w:color w:val="auto"/>
        </w:rPr>
        <w:t>/s/ Richard M. Olson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140017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86" w:lineRule="exact"/>
        <w:rPr>
          <w:sz w:val="20"/>
          <w:szCs w:val="20"/>
          <w:color w:val="auto"/>
        </w:rPr>
      </w:pPr>
    </w:p>
    <w:p>
      <w:pPr>
        <w:jc w:val="right"/>
        <w:ind w:left="40" w:right="380"/>
        <w:spacing w:after="0" w:line="358" w:lineRule="auto"/>
        <w:rPr>
          <w:sz w:val="20"/>
          <w:szCs w:val="20"/>
          <w:color w:val="auto"/>
        </w:rPr>
      </w:pPr>
      <w:r>
        <w:rPr>
          <w:rFonts w:ascii="Times New Roman" w:cs="Times New Roman" w:eastAsia="Times New Roman" w:hAnsi="Times New Roman"/>
          <w:sz w:val="19"/>
          <w:szCs w:val="19"/>
          <w:color w:val="auto"/>
        </w:rPr>
        <w:t>/s/ Angela C. Drake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-246380</wp:posOffset>
            </wp:positionV>
            <wp:extent cx="140017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Dianne C. Craig</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Gary L. Ellis</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Eric P. Hansotia</w:t>
      </w:r>
    </w:p>
    <w:p>
      <w:pPr>
        <w:spacing w:after="0" w:line="22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Jeffrey L. Harmening</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D. Christian Koch</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Joyce A. Mullen</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James C. O'Rourke</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40017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00175" cy="1270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Jill M. Pemberton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20"/>
          <w:szCs w:val="20"/>
          <w:color w:val="auto"/>
        </w:rPr>
        <w:t>Chairman of the Board and Chief Executive Officer and Director</w:t>
      </w:r>
      <w:r>
        <w:rPr>
          <w:sz w:val="20"/>
          <w:szCs w:val="20"/>
          <w:color w:val="auto"/>
        </w:rPr>
        <w:tab/>
      </w:r>
      <w:r>
        <w:rPr>
          <w:rFonts w:ascii="Times New Roman" w:cs="Times New Roman" w:eastAsia="Times New Roman" w:hAnsi="Times New Roman"/>
          <w:sz w:val="20"/>
          <w:szCs w:val="20"/>
          <w:color w:val="auto"/>
        </w:rPr>
        <w:t>December 17, 2025</w:t>
      </w:r>
    </w:p>
    <w:p>
      <w:pPr>
        <w:spacing w:after="0"/>
        <w:rPr>
          <w:sz w:val="20"/>
          <w:szCs w:val="20"/>
          <w:color w:val="auto"/>
        </w:rPr>
      </w:pPr>
      <w:r>
        <w:rPr>
          <w:rFonts w:ascii="Times New Roman" w:cs="Times New Roman" w:eastAsia="Times New Roman" w:hAnsi="Times New Roman"/>
          <w:sz w:val="20"/>
          <w:szCs w:val="20"/>
          <w:color w:val="auto"/>
        </w:rPr>
        <w:t>(principal executive officer), *Attorney-in-Fact</w:t>
      </w:r>
    </w:p>
    <w:p>
      <w:pPr>
        <w:spacing w:after="0" w:line="27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20"/>
          <w:szCs w:val="20"/>
          <w:color w:val="auto"/>
        </w:rPr>
        <w:t>Vice President and Chief Financial Officer (principal financial and</w:t>
      </w:r>
      <w:r>
        <w:rPr>
          <w:sz w:val="20"/>
          <w:szCs w:val="20"/>
          <w:color w:val="auto"/>
        </w:rPr>
        <w:tab/>
      </w:r>
      <w:r>
        <w:rPr>
          <w:rFonts w:ascii="Times New Roman" w:cs="Times New Roman" w:eastAsia="Times New Roman" w:hAnsi="Times New Roman"/>
          <w:sz w:val="20"/>
          <w:szCs w:val="20"/>
          <w:color w:val="auto"/>
        </w:rPr>
        <w:t>December 17, 2025</w:t>
      </w:r>
    </w:p>
    <w:p>
      <w:pPr>
        <w:spacing w:after="0"/>
        <w:rPr>
          <w:sz w:val="20"/>
          <w:szCs w:val="20"/>
          <w:color w:val="auto"/>
        </w:rPr>
      </w:pPr>
      <w:r>
        <w:rPr>
          <w:rFonts w:ascii="Times New Roman" w:cs="Times New Roman" w:eastAsia="Times New Roman" w:hAnsi="Times New Roman"/>
          <w:sz w:val="20"/>
          <w:szCs w:val="20"/>
          <w:color w:val="auto"/>
        </w:rPr>
        <w:t>accounting officer), *Attorney-in-Fact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505" w:lineRule="exact"/>
        <w:rPr>
          <w:sz w:val="20"/>
          <w:szCs w:val="20"/>
          <w:color w:val="auto"/>
        </w:rPr>
      </w:pPr>
    </w:p>
    <w:p>
      <w:pPr>
        <w:sectPr>
          <w:pgSz w:w="11880" w:h="15528" w:orient="portrait"/>
          <w:cols w:equalWidth="0" w:num="2">
            <w:col w:w="2000" w:space="320"/>
            <w:col w:w="7920"/>
          </w:cols>
          <w:pgMar w:left="820" w:top="636"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528" w:orient="portrait"/>
          <w:cols w:equalWidth="0" w:num="1">
            <w:col w:w="10240"/>
          </w:cols>
          <w:pgMar w:left="820" w:top="636" w:right="820" w:bottom="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Arial" w:cs="Arial" w:eastAsia="Arial" w:hAnsi="Arial"/>
                <w:sz w:val="22"/>
                <w:szCs w:val="22"/>
                <w:b w:val="1"/>
                <w:bCs w:val="1"/>
                <w:color w:val="auto"/>
                <w:w w:val="93"/>
              </w:rPr>
              <w:t>EXECUTIVE OFFICERS</w:t>
            </w:r>
          </w:p>
        </w:tc>
        <w:tc>
          <w:tcPr>
            <w:tcW w:w="2700" w:type="dxa"/>
            <w:vAlign w:val="bottom"/>
          </w:tcPr>
          <w:p>
            <w:pPr>
              <w:spacing w:after="0"/>
              <w:rPr>
                <w:sz w:val="24"/>
                <w:szCs w:val="24"/>
                <w:color w:val="auto"/>
              </w:rPr>
            </w:pPr>
          </w:p>
        </w:tc>
        <w:tc>
          <w:tcPr>
            <w:tcW w:w="2700" w:type="dxa"/>
            <w:vAlign w:val="bottom"/>
          </w:tcPr>
          <w:p>
            <w:pPr>
              <w:ind w:left="240"/>
              <w:spacing w:after="0"/>
              <w:rPr>
                <w:sz w:val="20"/>
                <w:szCs w:val="20"/>
                <w:color w:val="auto"/>
              </w:rPr>
            </w:pPr>
            <w:r>
              <w:rPr>
                <w:rFonts w:ascii="Arial" w:cs="Arial" w:eastAsia="Arial" w:hAnsi="Arial"/>
                <w:sz w:val="22"/>
                <w:szCs w:val="22"/>
                <w:b w:val="1"/>
                <w:bCs w:val="1"/>
                <w:color w:val="auto"/>
                <w:w w:val="96"/>
              </w:rPr>
              <w:t>BOARD OF DIRECTORS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280" w:type="dxa"/>
            <w:vAlign w:val="bottom"/>
          </w:tcPr>
          <w:p>
            <w:pPr>
              <w:spacing w:after="0"/>
              <w:rPr>
                <w:sz w:val="20"/>
                <w:szCs w:val="20"/>
                <w:color w:val="auto"/>
              </w:rPr>
            </w:pPr>
            <w:r>
              <w:rPr>
                <w:rFonts w:ascii="Arial" w:cs="Arial" w:eastAsia="Arial" w:hAnsi="Arial"/>
                <w:sz w:val="19"/>
                <w:szCs w:val="19"/>
                <w:b w:val="1"/>
                <w:bCs w:val="1"/>
                <w:color w:val="auto"/>
              </w:rPr>
              <w:t>Richard M. Olson</w:t>
            </w:r>
          </w:p>
        </w:tc>
        <w:tc>
          <w:tcPr>
            <w:tcW w:w="2700" w:type="dxa"/>
            <w:vAlign w:val="bottom"/>
          </w:tcPr>
          <w:p>
            <w:pPr>
              <w:ind w:left="280"/>
              <w:spacing w:after="0"/>
              <w:rPr>
                <w:sz w:val="20"/>
                <w:szCs w:val="20"/>
                <w:color w:val="auto"/>
              </w:rPr>
            </w:pPr>
            <w:r>
              <w:rPr>
                <w:rFonts w:ascii="Arial" w:cs="Arial" w:eastAsia="Arial" w:hAnsi="Arial"/>
                <w:sz w:val="19"/>
                <w:szCs w:val="19"/>
                <w:b w:val="1"/>
                <w:bCs w:val="1"/>
                <w:color w:val="auto"/>
              </w:rPr>
              <w:t>Peter D. Moeller</w:t>
            </w:r>
          </w:p>
        </w:tc>
        <w:tc>
          <w:tcPr>
            <w:tcW w:w="2700" w:type="dxa"/>
            <w:vAlign w:val="bottom"/>
          </w:tcPr>
          <w:p>
            <w:pPr>
              <w:ind w:left="240"/>
              <w:spacing w:after="0"/>
              <w:rPr>
                <w:sz w:val="20"/>
                <w:szCs w:val="20"/>
                <w:color w:val="auto"/>
              </w:rPr>
            </w:pPr>
            <w:r>
              <w:rPr>
                <w:rFonts w:ascii="Arial" w:cs="Arial" w:eastAsia="Arial" w:hAnsi="Arial"/>
                <w:sz w:val="19"/>
                <w:szCs w:val="19"/>
                <w:b w:val="1"/>
                <w:bCs w:val="1"/>
                <w:color w:val="auto"/>
              </w:rPr>
              <w:t>Dianne C. Craig</w:t>
            </w:r>
          </w:p>
        </w:tc>
        <w:tc>
          <w:tcPr>
            <w:tcW w:w="2100" w:type="dxa"/>
            <w:vAlign w:val="bottom"/>
          </w:tcPr>
          <w:p>
            <w:pPr>
              <w:ind w:left="100"/>
              <w:spacing w:after="0"/>
              <w:rPr>
                <w:sz w:val="20"/>
                <w:szCs w:val="20"/>
                <w:color w:val="auto"/>
              </w:rPr>
            </w:pPr>
            <w:r>
              <w:rPr>
                <w:rFonts w:ascii="Arial" w:cs="Arial" w:eastAsia="Arial" w:hAnsi="Arial"/>
                <w:sz w:val="19"/>
                <w:szCs w:val="19"/>
                <w:b w:val="1"/>
                <w:bCs w:val="1"/>
                <w:color w:val="auto"/>
              </w:rPr>
              <w:t>Joyce A. Mullen</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Chairman of the Board</w:t>
            </w:r>
          </w:p>
        </w:tc>
        <w:tc>
          <w:tcPr>
            <w:tcW w:w="2700" w:type="dxa"/>
            <w:vAlign w:val="bottom"/>
          </w:tcPr>
          <w:p>
            <w:pPr>
              <w:ind w:left="280"/>
              <w:spacing w:after="0"/>
              <w:rPr>
                <w:sz w:val="20"/>
                <w:szCs w:val="20"/>
                <w:color w:val="auto"/>
              </w:rPr>
            </w:pPr>
            <w:r>
              <w:rPr>
                <w:rFonts w:ascii="Arial" w:cs="Arial" w:eastAsia="Arial" w:hAnsi="Arial"/>
                <w:sz w:val="16"/>
                <w:szCs w:val="16"/>
                <w:color w:val="auto"/>
              </w:rPr>
              <w:t>Group Vice President,</w:t>
            </w:r>
          </w:p>
        </w:tc>
        <w:tc>
          <w:tcPr>
            <w:tcW w:w="2700" w:type="dxa"/>
            <w:vAlign w:val="bottom"/>
          </w:tcPr>
          <w:p>
            <w:pPr>
              <w:ind w:left="240"/>
              <w:spacing w:after="0"/>
              <w:rPr>
                <w:sz w:val="20"/>
                <w:szCs w:val="20"/>
                <w:color w:val="auto"/>
              </w:rPr>
            </w:pPr>
            <w:r>
              <w:rPr>
                <w:rFonts w:ascii="Arial" w:cs="Arial" w:eastAsia="Arial" w:hAnsi="Arial"/>
                <w:sz w:val="16"/>
                <w:szCs w:val="16"/>
                <w:color w:val="auto"/>
              </w:rPr>
              <w:t>Retired, President</w:t>
            </w:r>
          </w:p>
        </w:tc>
        <w:tc>
          <w:tcPr>
            <w:tcW w:w="2100" w:type="dxa"/>
            <w:vAlign w:val="bottom"/>
          </w:tcPr>
          <w:p>
            <w:pPr>
              <w:ind w:left="100"/>
              <w:spacing w:after="0"/>
              <w:rPr>
                <w:sz w:val="20"/>
                <w:szCs w:val="20"/>
                <w:color w:val="auto"/>
              </w:rPr>
            </w:pPr>
            <w:r>
              <w:rPr>
                <w:rFonts w:ascii="Arial" w:cs="Arial" w:eastAsia="Arial" w:hAnsi="Arial"/>
                <w:sz w:val="16"/>
                <w:szCs w:val="16"/>
                <w:color w:val="auto"/>
              </w:rPr>
              <w:t>President and</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and Chief Executive Officer</w:t>
            </w:r>
          </w:p>
        </w:tc>
        <w:tc>
          <w:tcPr>
            <w:tcW w:w="2700" w:type="dxa"/>
            <w:vAlign w:val="bottom"/>
          </w:tcPr>
          <w:p>
            <w:pPr>
              <w:ind w:left="280"/>
              <w:spacing w:after="0"/>
              <w:rPr>
                <w:sz w:val="20"/>
                <w:szCs w:val="20"/>
                <w:color w:val="auto"/>
              </w:rPr>
            </w:pPr>
            <w:r>
              <w:rPr>
                <w:rFonts w:ascii="Arial" w:cs="Arial" w:eastAsia="Arial" w:hAnsi="Arial"/>
                <w:sz w:val="16"/>
                <w:szCs w:val="16"/>
                <w:color w:val="auto"/>
              </w:rPr>
              <w:t>Underground, Specialty</w:t>
            </w:r>
          </w:p>
        </w:tc>
        <w:tc>
          <w:tcPr>
            <w:tcW w:w="2700" w:type="dxa"/>
            <w:vAlign w:val="bottom"/>
          </w:tcPr>
          <w:p>
            <w:pPr>
              <w:ind w:left="240"/>
              <w:spacing w:after="0"/>
              <w:rPr>
                <w:sz w:val="20"/>
                <w:szCs w:val="20"/>
                <w:color w:val="auto"/>
              </w:rPr>
            </w:pPr>
            <w:r>
              <w:rPr>
                <w:rFonts w:ascii="Arial" w:cs="Arial" w:eastAsia="Arial" w:hAnsi="Arial"/>
                <w:sz w:val="16"/>
                <w:szCs w:val="16"/>
                <w:color w:val="auto"/>
              </w:rPr>
              <w:t>Lincoln | Ford Motor Company</w:t>
            </w:r>
          </w:p>
        </w:tc>
        <w:tc>
          <w:tcPr>
            <w:tcW w:w="210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199"/>
        </w:trPr>
        <w:tc>
          <w:tcPr>
            <w:tcW w:w="2280" w:type="dxa"/>
            <w:vAlign w:val="bottom"/>
            <w:vMerge w:val="restart"/>
          </w:tcPr>
          <w:p>
            <w:pPr>
              <w:spacing w:after="0"/>
              <w:rPr>
                <w:sz w:val="20"/>
                <w:szCs w:val="20"/>
                <w:color w:val="auto"/>
              </w:rPr>
            </w:pPr>
            <w:r>
              <w:rPr>
                <w:rFonts w:ascii="Arial" w:cs="Arial" w:eastAsia="Arial" w:hAnsi="Arial"/>
                <w:sz w:val="19"/>
                <w:szCs w:val="19"/>
                <w:b w:val="1"/>
                <w:bCs w:val="1"/>
                <w:color w:val="auto"/>
              </w:rPr>
              <w:t>Kevin N. Carpenter</w:t>
            </w:r>
          </w:p>
        </w:tc>
        <w:tc>
          <w:tcPr>
            <w:tcW w:w="2700" w:type="dxa"/>
            <w:vAlign w:val="bottom"/>
          </w:tcPr>
          <w:p>
            <w:pPr>
              <w:ind w:left="280"/>
              <w:spacing w:after="0"/>
              <w:rPr>
                <w:sz w:val="20"/>
                <w:szCs w:val="20"/>
                <w:color w:val="auto"/>
              </w:rPr>
            </w:pPr>
            <w:r>
              <w:rPr>
                <w:rFonts w:ascii="Arial" w:cs="Arial" w:eastAsia="Arial" w:hAnsi="Arial"/>
                <w:sz w:val="16"/>
                <w:szCs w:val="16"/>
                <w:color w:val="auto"/>
              </w:rPr>
              <w:t>Construction and International</w:t>
            </w:r>
          </w:p>
        </w:tc>
        <w:tc>
          <w:tcPr>
            <w:tcW w:w="2700" w:type="dxa"/>
            <w:vAlign w:val="bottom"/>
            <w:vMerge w:val="restart"/>
          </w:tcPr>
          <w:p>
            <w:pPr>
              <w:ind w:left="240"/>
              <w:spacing w:after="0"/>
              <w:rPr>
                <w:sz w:val="20"/>
                <w:szCs w:val="20"/>
                <w:color w:val="auto"/>
              </w:rPr>
            </w:pPr>
            <w:r>
              <w:rPr>
                <w:rFonts w:ascii="Arial" w:cs="Arial" w:eastAsia="Arial" w:hAnsi="Arial"/>
                <w:sz w:val="19"/>
                <w:szCs w:val="19"/>
                <w:b w:val="1"/>
                <w:bCs w:val="1"/>
                <w:color w:val="auto"/>
              </w:rPr>
              <w:t>Gary L. Ellis</w:t>
            </w:r>
            <w:r>
              <w:rPr>
                <w:rFonts w:ascii="Arial" w:cs="Arial" w:eastAsia="Arial" w:hAnsi="Arial"/>
                <w:sz w:val="11"/>
                <w:szCs w:val="11"/>
                <w:b w:val="1"/>
                <w:bCs w:val="1"/>
                <w:color w:val="auto"/>
              </w:rPr>
              <w:t>*</w:t>
            </w:r>
          </w:p>
        </w:tc>
        <w:tc>
          <w:tcPr>
            <w:tcW w:w="2100" w:type="dxa"/>
            <w:vAlign w:val="bottom"/>
          </w:tcPr>
          <w:p>
            <w:pPr>
              <w:ind w:left="100"/>
              <w:spacing w:after="0"/>
              <w:rPr>
                <w:sz w:val="20"/>
                <w:szCs w:val="20"/>
                <w:color w:val="auto"/>
              </w:rPr>
            </w:pPr>
            <w:r>
              <w:rPr>
                <w:rFonts w:ascii="Arial" w:cs="Arial" w:eastAsia="Arial" w:hAnsi="Arial"/>
                <w:sz w:val="16"/>
                <w:szCs w:val="16"/>
                <w:color w:val="auto"/>
              </w:rPr>
              <w:t>Insight Enterprises, Inc.</w:t>
            </w:r>
          </w:p>
        </w:tc>
        <w:tc>
          <w:tcPr>
            <w:tcW w:w="0" w:type="dxa"/>
            <w:vAlign w:val="bottom"/>
          </w:tcPr>
          <w:p>
            <w:pPr>
              <w:spacing w:after="0"/>
              <w:rPr>
                <w:sz w:val="1"/>
                <w:szCs w:val="1"/>
                <w:color w:val="auto"/>
              </w:rPr>
            </w:pPr>
          </w:p>
        </w:tc>
      </w:tr>
      <w:tr>
        <w:trPr>
          <w:trHeight w:val="213"/>
        </w:trPr>
        <w:tc>
          <w:tcPr>
            <w:tcW w:w="2280" w:type="dxa"/>
            <w:vAlign w:val="bottom"/>
            <w:vMerge w:val="continue"/>
          </w:tcPr>
          <w:p>
            <w:pPr>
              <w:spacing w:after="0"/>
              <w:rPr>
                <w:sz w:val="18"/>
                <w:szCs w:val="18"/>
                <w:color w:val="auto"/>
              </w:rPr>
            </w:pPr>
          </w:p>
        </w:tc>
        <w:tc>
          <w:tcPr>
            <w:tcW w:w="2700" w:type="dxa"/>
            <w:vAlign w:val="bottom"/>
            <w:vMerge w:val="restart"/>
          </w:tcPr>
          <w:p>
            <w:pPr>
              <w:ind w:left="280"/>
              <w:spacing w:after="0"/>
              <w:rPr>
                <w:sz w:val="20"/>
                <w:szCs w:val="20"/>
                <w:color w:val="auto"/>
              </w:rPr>
            </w:pPr>
            <w:r>
              <w:rPr>
                <w:rFonts w:ascii="Arial" w:cs="Arial" w:eastAsia="Arial" w:hAnsi="Arial"/>
                <w:sz w:val="19"/>
                <w:szCs w:val="19"/>
                <w:b w:val="1"/>
                <w:bCs w:val="1"/>
                <w:color w:val="auto"/>
              </w:rPr>
              <w:t>Lori A. Riley</w:t>
            </w:r>
          </w:p>
        </w:tc>
        <w:tc>
          <w:tcPr>
            <w:tcW w:w="2700" w:type="dxa"/>
            <w:vAlign w:val="bottom"/>
            <w:vMerge w:val="continue"/>
          </w:tcPr>
          <w:p>
            <w:pPr>
              <w:spacing w:after="0"/>
              <w:rPr>
                <w:sz w:val="18"/>
                <w:szCs w:val="18"/>
                <w:color w:val="auto"/>
              </w:rPr>
            </w:pPr>
          </w:p>
        </w:tc>
        <w:tc>
          <w:tcPr>
            <w:tcW w:w="210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Richard M. Olson</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Vice President,</w:t>
            </w:r>
          </w:p>
        </w:tc>
        <w:tc>
          <w:tcPr>
            <w:tcW w:w="2700" w:type="dxa"/>
            <w:vAlign w:val="bottom"/>
            <w:vMerge w:val="continue"/>
          </w:tcPr>
          <w:p>
            <w:pPr>
              <w:spacing w:after="0"/>
              <w:rPr>
                <w:sz w:val="16"/>
                <w:szCs w:val="16"/>
                <w:color w:val="auto"/>
              </w:rPr>
            </w:pPr>
          </w:p>
        </w:tc>
        <w:tc>
          <w:tcPr>
            <w:tcW w:w="2700" w:type="dxa"/>
            <w:vAlign w:val="bottom"/>
          </w:tcPr>
          <w:p>
            <w:pPr>
              <w:ind w:left="240"/>
              <w:spacing w:after="0"/>
              <w:rPr>
                <w:sz w:val="20"/>
                <w:szCs w:val="20"/>
                <w:color w:val="auto"/>
              </w:rPr>
            </w:pPr>
            <w:r>
              <w:rPr>
                <w:rFonts w:ascii="Arial" w:cs="Arial" w:eastAsia="Arial" w:hAnsi="Arial"/>
                <w:sz w:val="16"/>
                <w:szCs w:val="16"/>
                <w:color w:val="auto"/>
              </w:rPr>
              <w:t>Retired, Executive Vice President</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Global Operations and</w:t>
            </w:r>
          </w:p>
        </w:tc>
        <w:tc>
          <w:tcPr>
            <w:tcW w:w="2700" w:type="dxa"/>
            <w:vAlign w:val="bottom"/>
          </w:tcPr>
          <w:p>
            <w:pPr>
              <w:ind w:left="280"/>
              <w:spacing w:after="0"/>
              <w:rPr>
                <w:sz w:val="20"/>
                <w:szCs w:val="20"/>
                <w:color w:val="auto"/>
              </w:rPr>
            </w:pPr>
            <w:r>
              <w:rPr>
                <w:rFonts w:ascii="Arial" w:cs="Arial" w:eastAsia="Arial" w:hAnsi="Arial"/>
                <w:sz w:val="16"/>
                <w:szCs w:val="16"/>
                <w:color w:val="auto"/>
              </w:rPr>
              <w:t>Vice President,</w:t>
            </w:r>
          </w:p>
        </w:tc>
        <w:tc>
          <w:tcPr>
            <w:tcW w:w="2700" w:type="dxa"/>
            <w:vAlign w:val="bottom"/>
          </w:tcPr>
          <w:p>
            <w:pPr>
              <w:ind w:left="240"/>
              <w:spacing w:after="0"/>
              <w:rPr>
                <w:sz w:val="20"/>
                <w:szCs w:val="20"/>
                <w:color w:val="auto"/>
              </w:rPr>
            </w:pPr>
            <w:r>
              <w:rPr>
                <w:rFonts w:ascii="Arial" w:cs="Arial" w:eastAsia="Arial" w:hAnsi="Arial"/>
                <w:sz w:val="16"/>
                <w:szCs w:val="16"/>
                <w:color w:val="auto"/>
              </w:rPr>
              <w:t>Medtronic plc</w:t>
            </w:r>
          </w:p>
        </w:tc>
        <w:tc>
          <w:tcPr>
            <w:tcW w:w="2100" w:type="dxa"/>
            <w:vAlign w:val="bottom"/>
          </w:tcPr>
          <w:p>
            <w:pPr>
              <w:ind w:left="100"/>
              <w:spacing w:after="0"/>
              <w:rPr>
                <w:sz w:val="20"/>
                <w:szCs w:val="20"/>
                <w:color w:val="auto"/>
              </w:rPr>
            </w:pPr>
            <w:r>
              <w:rPr>
                <w:rFonts w:ascii="Arial" w:cs="Arial" w:eastAsia="Arial" w:hAnsi="Arial"/>
                <w:sz w:val="16"/>
                <w:szCs w:val="16"/>
                <w:color w:val="auto"/>
              </w:rPr>
              <w:t>Chairman of the Board</w:t>
            </w:r>
          </w:p>
        </w:tc>
        <w:tc>
          <w:tcPr>
            <w:tcW w:w="0" w:type="dxa"/>
            <w:vAlign w:val="bottom"/>
          </w:tcPr>
          <w:p>
            <w:pPr>
              <w:spacing w:after="0"/>
              <w:rPr>
                <w:sz w:val="1"/>
                <w:szCs w:val="1"/>
                <w:color w:val="auto"/>
              </w:rPr>
            </w:pPr>
          </w:p>
        </w:tc>
      </w:tr>
      <w:tr>
        <w:trPr>
          <w:trHeight w:val="199"/>
        </w:trPr>
        <w:tc>
          <w:tcPr>
            <w:tcW w:w="2280" w:type="dxa"/>
            <w:vAlign w:val="bottom"/>
          </w:tcPr>
          <w:p>
            <w:pPr>
              <w:spacing w:after="0"/>
              <w:rPr>
                <w:sz w:val="20"/>
                <w:szCs w:val="20"/>
                <w:color w:val="auto"/>
              </w:rPr>
            </w:pPr>
            <w:r>
              <w:rPr>
                <w:rFonts w:ascii="Arial" w:cs="Arial" w:eastAsia="Arial" w:hAnsi="Arial"/>
                <w:sz w:val="16"/>
                <w:szCs w:val="16"/>
                <w:color w:val="auto"/>
              </w:rPr>
              <w:t>Integrated Supply Chain</w:t>
            </w:r>
          </w:p>
        </w:tc>
        <w:tc>
          <w:tcPr>
            <w:tcW w:w="2700" w:type="dxa"/>
            <w:vAlign w:val="bottom"/>
          </w:tcPr>
          <w:p>
            <w:pPr>
              <w:ind w:left="280"/>
              <w:spacing w:after="0"/>
              <w:rPr>
                <w:sz w:val="20"/>
                <w:szCs w:val="20"/>
                <w:color w:val="auto"/>
              </w:rPr>
            </w:pPr>
            <w:r>
              <w:rPr>
                <w:rFonts w:ascii="Arial" w:cs="Arial" w:eastAsia="Arial" w:hAnsi="Arial"/>
                <w:sz w:val="16"/>
                <w:szCs w:val="16"/>
                <w:color w:val="auto"/>
              </w:rPr>
              <w:t>Human Resources</w:t>
            </w:r>
          </w:p>
        </w:tc>
        <w:tc>
          <w:tcPr>
            <w:tcW w:w="2700" w:type="dxa"/>
            <w:vAlign w:val="bottom"/>
            <w:vMerge w:val="restart"/>
          </w:tcPr>
          <w:p>
            <w:pPr>
              <w:ind w:left="240"/>
              <w:spacing w:after="0"/>
              <w:rPr>
                <w:sz w:val="20"/>
                <w:szCs w:val="20"/>
                <w:color w:val="auto"/>
              </w:rPr>
            </w:pPr>
            <w:r>
              <w:rPr>
                <w:rFonts w:ascii="Arial" w:cs="Arial" w:eastAsia="Arial" w:hAnsi="Arial"/>
                <w:sz w:val="19"/>
                <w:szCs w:val="19"/>
                <w:b w:val="1"/>
                <w:bCs w:val="1"/>
                <w:color w:val="auto"/>
              </w:rPr>
              <w:t>Eric P. Hansotia</w:t>
            </w:r>
          </w:p>
        </w:tc>
        <w:tc>
          <w:tcPr>
            <w:tcW w:w="2100" w:type="dxa"/>
            <w:vAlign w:val="bottom"/>
          </w:tcPr>
          <w:p>
            <w:pPr>
              <w:ind w:left="100"/>
              <w:spacing w:after="0"/>
              <w:rPr>
                <w:sz w:val="20"/>
                <w:szCs w:val="20"/>
                <w:color w:val="auto"/>
              </w:rPr>
            </w:pPr>
            <w:r>
              <w:rPr>
                <w:rFonts w:ascii="Arial" w:cs="Arial" w:eastAsia="Arial" w:hAnsi="Arial"/>
                <w:sz w:val="16"/>
                <w:szCs w:val="16"/>
                <w:color w:val="auto"/>
              </w:rPr>
              <w:t>and Chief Executive Officer</w:t>
            </w:r>
          </w:p>
        </w:tc>
        <w:tc>
          <w:tcPr>
            <w:tcW w:w="0" w:type="dxa"/>
            <w:vAlign w:val="bottom"/>
          </w:tcPr>
          <w:p>
            <w:pPr>
              <w:spacing w:after="0"/>
              <w:rPr>
                <w:sz w:val="1"/>
                <w:szCs w:val="1"/>
                <w:color w:val="auto"/>
              </w:rPr>
            </w:pPr>
          </w:p>
        </w:tc>
      </w:tr>
      <w:tr>
        <w:trPr>
          <w:trHeight w:val="215"/>
        </w:trPr>
        <w:tc>
          <w:tcPr>
            <w:tcW w:w="2280" w:type="dxa"/>
            <w:vAlign w:val="bottom"/>
            <w:vMerge w:val="restart"/>
          </w:tcPr>
          <w:p>
            <w:pPr>
              <w:spacing w:after="0"/>
              <w:rPr>
                <w:sz w:val="20"/>
                <w:szCs w:val="20"/>
                <w:color w:val="auto"/>
              </w:rPr>
            </w:pPr>
            <w:r>
              <w:rPr>
                <w:rFonts w:ascii="Arial" w:cs="Arial" w:eastAsia="Arial" w:hAnsi="Arial"/>
                <w:sz w:val="19"/>
                <w:szCs w:val="19"/>
                <w:b w:val="1"/>
                <w:bCs w:val="1"/>
                <w:color w:val="auto"/>
              </w:rPr>
              <w:t>Angela C. Drake</w:t>
            </w:r>
          </w:p>
        </w:tc>
        <w:tc>
          <w:tcPr>
            <w:tcW w:w="2700" w:type="dxa"/>
            <w:vAlign w:val="bottom"/>
            <w:vMerge w:val="restart"/>
          </w:tcPr>
          <w:p>
            <w:pPr>
              <w:ind w:left="280"/>
              <w:spacing w:after="0"/>
              <w:rPr>
                <w:sz w:val="20"/>
                <w:szCs w:val="20"/>
                <w:color w:val="auto"/>
              </w:rPr>
            </w:pPr>
            <w:r>
              <w:rPr>
                <w:rFonts w:ascii="Arial" w:cs="Arial" w:eastAsia="Arial" w:hAnsi="Arial"/>
                <w:sz w:val="19"/>
                <w:szCs w:val="19"/>
                <w:b w:val="1"/>
                <w:bCs w:val="1"/>
                <w:color w:val="auto"/>
              </w:rPr>
              <w:t>Kurt D. Svendsen</w:t>
            </w:r>
          </w:p>
        </w:tc>
        <w:tc>
          <w:tcPr>
            <w:tcW w:w="2700" w:type="dxa"/>
            <w:vAlign w:val="bottom"/>
            <w:vMerge w:val="continue"/>
          </w:tcPr>
          <w:p>
            <w:pPr>
              <w:spacing w:after="0"/>
              <w:rPr>
                <w:sz w:val="18"/>
                <w:szCs w:val="18"/>
                <w:color w:val="auto"/>
              </w:rPr>
            </w:pPr>
          </w:p>
        </w:tc>
        <w:tc>
          <w:tcPr>
            <w:tcW w:w="210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James C. O’Rourke</w:t>
            </w:r>
          </w:p>
        </w:tc>
        <w:tc>
          <w:tcPr>
            <w:tcW w:w="0" w:type="dxa"/>
            <w:vAlign w:val="bottom"/>
          </w:tcPr>
          <w:p>
            <w:pPr>
              <w:spacing w:after="0"/>
              <w:rPr>
                <w:sz w:val="1"/>
                <w:szCs w:val="1"/>
                <w:color w:val="auto"/>
              </w:rPr>
            </w:pPr>
          </w:p>
        </w:tc>
      </w:tr>
      <w:tr>
        <w:trPr>
          <w:trHeight w:val="191"/>
        </w:trPr>
        <w:tc>
          <w:tcPr>
            <w:tcW w:w="2280" w:type="dxa"/>
            <w:vAlign w:val="bottom"/>
            <w:vMerge w:val="continue"/>
          </w:tcPr>
          <w:p>
            <w:pPr>
              <w:spacing w:after="0"/>
              <w:rPr>
                <w:sz w:val="16"/>
                <w:szCs w:val="16"/>
                <w:color w:val="auto"/>
              </w:rPr>
            </w:pPr>
          </w:p>
        </w:tc>
        <w:tc>
          <w:tcPr>
            <w:tcW w:w="2700" w:type="dxa"/>
            <w:vAlign w:val="bottom"/>
            <w:vMerge w:val="continue"/>
          </w:tcPr>
          <w:p>
            <w:pPr>
              <w:spacing w:after="0"/>
              <w:rPr>
                <w:sz w:val="16"/>
                <w:szCs w:val="16"/>
                <w:color w:val="auto"/>
              </w:rPr>
            </w:pPr>
          </w:p>
        </w:tc>
        <w:tc>
          <w:tcPr>
            <w:tcW w:w="2700" w:type="dxa"/>
            <w:vAlign w:val="bottom"/>
          </w:tcPr>
          <w:p>
            <w:pPr>
              <w:ind w:left="240"/>
              <w:spacing w:after="0"/>
              <w:rPr>
                <w:sz w:val="20"/>
                <w:szCs w:val="20"/>
                <w:color w:val="auto"/>
              </w:rPr>
            </w:pPr>
            <w:r>
              <w:rPr>
                <w:rFonts w:ascii="Arial" w:cs="Arial" w:eastAsia="Arial" w:hAnsi="Arial"/>
                <w:sz w:val="16"/>
                <w:szCs w:val="16"/>
                <w:color w:val="auto"/>
              </w:rPr>
              <w:t>Chairman, President and</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Vice President and</w:t>
            </w:r>
          </w:p>
        </w:tc>
        <w:tc>
          <w:tcPr>
            <w:tcW w:w="2700" w:type="dxa"/>
            <w:vAlign w:val="bottom"/>
          </w:tcPr>
          <w:p>
            <w:pPr>
              <w:ind w:left="280"/>
              <w:spacing w:after="0"/>
              <w:rPr>
                <w:sz w:val="20"/>
                <w:szCs w:val="20"/>
                <w:color w:val="auto"/>
              </w:rPr>
            </w:pPr>
            <w:r>
              <w:rPr>
                <w:rFonts w:ascii="Arial" w:cs="Arial" w:eastAsia="Arial" w:hAnsi="Arial"/>
                <w:sz w:val="16"/>
                <w:szCs w:val="16"/>
                <w:color w:val="auto"/>
              </w:rPr>
              <w:t>Vice President,</w:t>
            </w:r>
          </w:p>
        </w:tc>
        <w:tc>
          <w:tcPr>
            <w:tcW w:w="270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2100" w:type="dxa"/>
            <w:vAlign w:val="bottom"/>
          </w:tcPr>
          <w:p>
            <w:pPr>
              <w:ind w:left="100"/>
              <w:spacing w:after="0"/>
              <w:rPr>
                <w:sz w:val="20"/>
                <w:szCs w:val="20"/>
                <w:color w:val="auto"/>
              </w:rPr>
            </w:pPr>
            <w:r>
              <w:rPr>
                <w:rFonts w:ascii="Arial" w:cs="Arial" w:eastAsia="Arial" w:hAnsi="Arial"/>
                <w:sz w:val="16"/>
                <w:szCs w:val="16"/>
                <w:color w:val="auto"/>
              </w:rPr>
              <w:t>Retired, President and</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700" w:type="dxa"/>
            <w:vAlign w:val="bottom"/>
          </w:tcPr>
          <w:p>
            <w:pPr>
              <w:ind w:left="280"/>
              <w:spacing w:after="0"/>
              <w:rPr>
                <w:sz w:val="20"/>
                <w:szCs w:val="20"/>
                <w:color w:val="auto"/>
              </w:rPr>
            </w:pPr>
            <w:r>
              <w:rPr>
                <w:rFonts w:ascii="Arial" w:cs="Arial" w:eastAsia="Arial" w:hAnsi="Arial"/>
                <w:sz w:val="16"/>
                <w:szCs w:val="16"/>
                <w:color w:val="auto"/>
              </w:rPr>
              <w:t>Technology</w:t>
            </w:r>
          </w:p>
        </w:tc>
        <w:tc>
          <w:tcPr>
            <w:tcW w:w="2700" w:type="dxa"/>
            <w:vAlign w:val="bottom"/>
          </w:tcPr>
          <w:p>
            <w:pPr>
              <w:ind w:left="240"/>
              <w:spacing w:after="0"/>
              <w:rPr>
                <w:sz w:val="20"/>
                <w:szCs w:val="20"/>
                <w:color w:val="auto"/>
              </w:rPr>
            </w:pPr>
            <w:r>
              <w:rPr>
                <w:rFonts w:ascii="Arial" w:cs="Arial" w:eastAsia="Arial" w:hAnsi="Arial"/>
                <w:sz w:val="16"/>
                <w:szCs w:val="16"/>
                <w:color w:val="auto"/>
              </w:rPr>
              <w:t>AGCO Corporation</w:t>
            </w:r>
          </w:p>
        </w:tc>
        <w:tc>
          <w:tcPr>
            <w:tcW w:w="210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197"/>
        </w:trPr>
        <w:tc>
          <w:tcPr>
            <w:tcW w:w="2280" w:type="dxa"/>
            <w:vAlign w:val="bottom"/>
            <w:vMerge w:val="restart"/>
          </w:tcPr>
          <w:p>
            <w:pPr>
              <w:spacing w:after="0"/>
              <w:rPr>
                <w:sz w:val="20"/>
                <w:szCs w:val="20"/>
                <w:color w:val="auto"/>
              </w:rPr>
            </w:pPr>
            <w:r>
              <w:rPr>
                <w:rFonts w:ascii="Arial" w:cs="Arial" w:eastAsia="Arial" w:hAnsi="Arial"/>
                <w:sz w:val="19"/>
                <w:szCs w:val="19"/>
                <w:b w:val="1"/>
                <w:bCs w:val="1"/>
                <w:color w:val="auto"/>
              </w:rPr>
              <w:t>Edric C. Funk</w:t>
            </w:r>
          </w:p>
        </w:tc>
        <w:tc>
          <w:tcPr>
            <w:tcW w:w="2700" w:type="dxa"/>
            <w:vAlign w:val="bottom"/>
            <w:vMerge w:val="restart"/>
          </w:tcPr>
          <w:p>
            <w:pPr>
              <w:ind w:left="280"/>
              <w:spacing w:after="0"/>
              <w:rPr>
                <w:sz w:val="20"/>
                <w:szCs w:val="20"/>
                <w:color w:val="auto"/>
              </w:rPr>
            </w:pPr>
            <w:r>
              <w:rPr>
                <w:rFonts w:ascii="Arial" w:cs="Arial" w:eastAsia="Arial" w:hAnsi="Arial"/>
                <w:sz w:val="19"/>
                <w:szCs w:val="19"/>
                <w:b w:val="1"/>
                <w:bCs w:val="1"/>
                <w:color w:val="auto"/>
              </w:rPr>
              <w:t>Joanna M. Totsky</w:t>
            </w:r>
          </w:p>
        </w:tc>
        <w:tc>
          <w:tcPr>
            <w:tcW w:w="2700" w:type="dxa"/>
            <w:vAlign w:val="bottom"/>
            <w:vMerge w:val="restart"/>
          </w:tcPr>
          <w:p>
            <w:pPr>
              <w:ind w:left="240"/>
              <w:spacing w:after="0"/>
              <w:rPr>
                <w:sz w:val="20"/>
                <w:szCs w:val="20"/>
                <w:color w:val="auto"/>
              </w:rPr>
            </w:pPr>
            <w:r>
              <w:rPr>
                <w:rFonts w:ascii="Arial" w:cs="Arial" w:eastAsia="Arial" w:hAnsi="Arial"/>
                <w:sz w:val="19"/>
                <w:szCs w:val="19"/>
                <w:b w:val="1"/>
                <w:bCs w:val="1"/>
                <w:color w:val="auto"/>
              </w:rPr>
              <w:t>Jeffrey L. Harmening</w:t>
            </w:r>
          </w:p>
        </w:tc>
        <w:tc>
          <w:tcPr>
            <w:tcW w:w="2100" w:type="dxa"/>
            <w:vAlign w:val="bottom"/>
          </w:tcPr>
          <w:p>
            <w:pPr>
              <w:ind w:left="100"/>
              <w:spacing w:after="0"/>
              <w:rPr>
                <w:sz w:val="20"/>
                <w:szCs w:val="20"/>
                <w:color w:val="auto"/>
              </w:rPr>
            </w:pPr>
            <w:r>
              <w:rPr>
                <w:rFonts w:ascii="Arial" w:cs="Arial" w:eastAsia="Arial" w:hAnsi="Arial"/>
                <w:sz w:val="16"/>
                <w:szCs w:val="16"/>
                <w:color w:val="auto"/>
              </w:rPr>
              <w:t>The Mosaic Company</w:t>
            </w:r>
          </w:p>
        </w:tc>
        <w:tc>
          <w:tcPr>
            <w:tcW w:w="0" w:type="dxa"/>
            <w:vAlign w:val="bottom"/>
          </w:tcPr>
          <w:p>
            <w:pPr>
              <w:spacing w:after="0"/>
              <w:rPr>
                <w:sz w:val="1"/>
                <w:szCs w:val="1"/>
                <w:color w:val="auto"/>
              </w:rPr>
            </w:pPr>
          </w:p>
        </w:tc>
      </w:tr>
      <w:tr>
        <w:trPr>
          <w:trHeight w:val="213"/>
        </w:trPr>
        <w:tc>
          <w:tcPr>
            <w:tcW w:w="228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210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Jill M. Pemberton</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President and</w:t>
            </w:r>
          </w:p>
        </w:tc>
        <w:tc>
          <w:tcPr>
            <w:tcW w:w="2700" w:type="dxa"/>
            <w:vAlign w:val="bottom"/>
          </w:tcPr>
          <w:p>
            <w:pPr>
              <w:ind w:left="280"/>
              <w:spacing w:after="0"/>
              <w:rPr>
                <w:sz w:val="20"/>
                <w:szCs w:val="20"/>
                <w:color w:val="auto"/>
              </w:rPr>
            </w:pPr>
            <w:r>
              <w:rPr>
                <w:rFonts w:ascii="Arial" w:cs="Arial" w:eastAsia="Arial" w:hAnsi="Arial"/>
                <w:sz w:val="16"/>
                <w:szCs w:val="16"/>
                <w:color w:val="auto"/>
              </w:rPr>
              <w:t>Vice President,</w:t>
            </w:r>
          </w:p>
        </w:tc>
        <w:tc>
          <w:tcPr>
            <w:tcW w:w="2700" w:type="dxa"/>
            <w:vAlign w:val="bottom"/>
          </w:tcPr>
          <w:p>
            <w:pPr>
              <w:ind w:left="240"/>
              <w:spacing w:after="0"/>
              <w:rPr>
                <w:sz w:val="20"/>
                <w:szCs w:val="20"/>
                <w:color w:val="auto"/>
              </w:rPr>
            </w:pPr>
            <w:r>
              <w:rPr>
                <w:rFonts w:ascii="Arial" w:cs="Arial" w:eastAsia="Arial" w:hAnsi="Arial"/>
                <w:sz w:val="16"/>
                <w:szCs w:val="16"/>
                <w:color w:val="auto"/>
              </w:rPr>
              <w:t>Chairman and Chief</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Chief Operating Officer</w:t>
            </w:r>
          </w:p>
        </w:tc>
        <w:tc>
          <w:tcPr>
            <w:tcW w:w="2700" w:type="dxa"/>
            <w:vAlign w:val="bottom"/>
          </w:tcPr>
          <w:p>
            <w:pPr>
              <w:ind w:left="280"/>
              <w:spacing w:after="0"/>
              <w:rPr>
                <w:sz w:val="20"/>
                <w:szCs w:val="20"/>
                <w:color w:val="auto"/>
              </w:rPr>
            </w:pPr>
            <w:r>
              <w:rPr>
                <w:rFonts w:ascii="Arial" w:cs="Arial" w:eastAsia="Arial" w:hAnsi="Arial"/>
                <w:sz w:val="16"/>
                <w:szCs w:val="16"/>
                <w:color w:val="auto"/>
              </w:rPr>
              <w:t>General Counsel and</w:t>
            </w:r>
          </w:p>
        </w:tc>
        <w:tc>
          <w:tcPr>
            <w:tcW w:w="2700" w:type="dxa"/>
            <w:vAlign w:val="bottom"/>
          </w:tcPr>
          <w:p>
            <w:pPr>
              <w:ind w:left="240"/>
              <w:spacing w:after="0"/>
              <w:rPr>
                <w:sz w:val="20"/>
                <w:szCs w:val="20"/>
                <w:color w:val="auto"/>
              </w:rPr>
            </w:pPr>
            <w:r>
              <w:rPr>
                <w:rFonts w:ascii="Arial" w:cs="Arial" w:eastAsia="Arial" w:hAnsi="Arial"/>
                <w:sz w:val="16"/>
                <w:szCs w:val="16"/>
                <w:color w:val="auto"/>
              </w:rPr>
              <w:t>Executive Officer</w:t>
            </w:r>
          </w:p>
        </w:tc>
        <w:tc>
          <w:tcPr>
            <w:tcW w:w="210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93"/>
        </w:trPr>
        <w:tc>
          <w:tcPr>
            <w:tcW w:w="2280" w:type="dxa"/>
            <w:vAlign w:val="bottom"/>
            <w:vMerge w:val="restart"/>
          </w:tcPr>
          <w:p>
            <w:pPr>
              <w:spacing w:after="0"/>
              <w:rPr>
                <w:sz w:val="20"/>
                <w:szCs w:val="20"/>
                <w:color w:val="auto"/>
              </w:rPr>
            </w:pPr>
            <w:r>
              <w:rPr>
                <w:rFonts w:ascii="Arial" w:cs="Arial" w:eastAsia="Arial" w:hAnsi="Arial"/>
                <w:sz w:val="19"/>
                <w:szCs w:val="19"/>
                <w:b w:val="1"/>
                <w:bCs w:val="1"/>
                <w:color w:val="auto"/>
              </w:rPr>
              <w:t>Gregory S. Janey</w:t>
            </w:r>
          </w:p>
        </w:tc>
        <w:tc>
          <w:tcPr>
            <w:tcW w:w="2700" w:type="dxa"/>
            <w:vAlign w:val="bottom"/>
          </w:tcPr>
          <w:p>
            <w:pPr>
              <w:ind w:left="280"/>
              <w:spacing w:after="0"/>
              <w:rPr>
                <w:sz w:val="20"/>
                <w:szCs w:val="20"/>
                <w:color w:val="auto"/>
              </w:rPr>
            </w:pPr>
            <w:r>
              <w:rPr>
                <w:rFonts w:ascii="Arial" w:cs="Arial" w:eastAsia="Arial" w:hAnsi="Arial"/>
                <w:sz w:val="16"/>
                <w:szCs w:val="16"/>
                <w:color w:val="auto"/>
              </w:rPr>
              <w:t>Corporate Secretary</w:t>
            </w:r>
          </w:p>
        </w:tc>
        <w:tc>
          <w:tcPr>
            <w:tcW w:w="2700" w:type="dxa"/>
            <w:vAlign w:val="bottom"/>
          </w:tcPr>
          <w:p>
            <w:pPr>
              <w:ind w:left="240"/>
              <w:spacing w:after="0"/>
              <w:rPr>
                <w:sz w:val="20"/>
                <w:szCs w:val="20"/>
                <w:color w:val="auto"/>
              </w:rPr>
            </w:pPr>
            <w:r>
              <w:rPr>
                <w:rFonts w:ascii="Arial" w:cs="Arial" w:eastAsia="Arial" w:hAnsi="Arial"/>
                <w:sz w:val="16"/>
                <w:szCs w:val="16"/>
                <w:color w:val="auto"/>
              </w:rPr>
              <w:t>General Mills, Inc.</w:t>
            </w:r>
          </w:p>
        </w:tc>
        <w:tc>
          <w:tcPr>
            <w:tcW w:w="2100" w:type="dxa"/>
            <w:vAlign w:val="bottom"/>
          </w:tcPr>
          <w:p>
            <w:pPr>
              <w:ind w:left="100"/>
              <w:spacing w:after="0"/>
              <w:rPr>
                <w:sz w:val="20"/>
                <w:szCs w:val="20"/>
                <w:color w:val="auto"/>
              </w:rPr>
            </w:pPr>
            <w:r>
              <w:rPr>
                <w:rFonts w:ascii="Arial" w:cs="Arial" w:eastAsia="Arial" w:hAnsi="Arial"/>
                <w:sz w:val="16"/>
                <w:szCs w:val="16"/>
                <w:color w:val="auto"/>
              </w:rPr>
              <w:t>North America</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2700" w:type="dxa"/>
            <w:vAlign w:val="bottom"/>
            <w:vMerge w:val="restart"/>
          </w:tcPr>
          <w:p>
            <w:pPr>
              <w:ind w:left="280"/>
              <w:spacing w:after="0"/>
              <w:rPr>
                <w:sz w:val="20"/>
                <w:szCs w:val="20"/>
                <w:color w:val="auto"/>
              </w:rPr>
            </w:pPr>
            <w:r>
              <w:rPr>
                <w:rFonts w:ascii="Arial" w:cs="Arial" w:eastAsia="Arial" w:hAnsi="Arial"/>
                <w:sz w:val="19"/>
                <w:szCs w:val="19"/>
                <w:b w:val="1"/>
                <w:bCs w:val="1"/>
                <w:color w:val="auto"/>
              </w:rPr>
              <w:t>Grant M. Young</w:t>
            </w:r>
          </w:p>
        </w:tc>
        <w:tc>
          <w:tcPr>
            <w:tcW w:w="2700" w:type="dxa"/>
            <w:vAlign w:val="bottom"/>
            <w:vMerge w:val="restart"/>
          </w:tcPr>
          <w:p>
            <w:pPr>
              <w:ind w:left="240"/>
              <w:spacing w:after="0"/>
              <w:rPr>
                <w:sz w:val="20"/>
                <w:szCs w:val="20"/>
                <w:color w:val="auto"/>
              </w:rPr>
            </w:pPr>
            <w:r>
              <w:rPr>
                <w:rFonts w:ascii="Arial" w:cs="Arial" w:eastAsia="Arial" w:hAnsi="Arial"/>
                <w:sz w:val="19"/>
                <w:szCs w:val="19"/>
                <w:b w:val="1"/>
                <w:bCs w:val="1"/>
                <w:color w:val="auto"/>
              </w:rPr>
              <w:t>D. Christian Koch</w:t>
            </w:r>
          </w:p>
        </w:tc>
        <w:tc>
          <w:tcPr>
            <w:tcW w:w="2100" w:type="dxa"/>
            <w:vAlign w:val="bottom"/>
          </w:tcPr>
          <w:p>
            <w:pPr>
              <w:ind w:left="100"/>
              <w:spacing w:after="0"/>
              <w:rPr>
                <w:sz w:val="20"/>
                <w:szCs w:val="20"/>
                <w:color w:val="auto"/>
              </w:rPr>
            </w:pPr>
            <w:r>
              <w:rPr>
                <w:rFonts w:ascii="Arial" w:cs="Arial" w:eastAsia="Arial" w:hAnsi="Arial"/>
                <w:sz w:val="16"/>
                <w:szCs w:val="16"/>
                <w:color w:val="auto"/>
              </w:rPr>
              <w:t>LVMH Moët Hennessy</w:t>
            </w:r>
          </w:p>
        </w:tc>
        <w:tc>
          <w:tcPr>
            <w:tcW w:w="0" w:type="dxa"/>
            <w:vAlign w:val="bottom"/>
          </w:tcPr>
          <w:p>
            <w:pPr>
              <w:spacing w:after="0"/>
              <w:rPr>
                <w:sz w:val="1"/>
                <w:szCs w:val="1"/>
                <w:color w:val="auto"/>
              </w:rPr>
            </w:pPr>
          </w:p>
        </w:tc>
      </w:tr>
      <w:tr>
        <w:trPr>
          <w:trHeight w:val="219"/>
        </w:trPr>
        <w:tc>
          <w:tcPr>
            <w:tcW w:w="2280" w:type="dxa"/>
            <w:vAlign w:val="bottom"/>
          </w:tcPr>
          <w:p>
            <w:pPr>
              <w:spacing w:after="0"/>
              <w:rPr>
                <w:sz w:val="20"/>
                <w:szCs w:val="20"/>
                <w:color w:val="auto"/>
              </w:rPr>
            </w:pPr>
            <w:r>
              <w:rPr>
                <w:rFonts w:ascii="Arial" w:cs="Arial" w:eastAsia="Arial" w:hAnsi="Arial"/>
                <w:sz w:val="16"/>
                <w:szCs w:val="16"/>
                <w:color w:val="auto"/>
              </w:rPr>
              <w:t>Group Vice President,</w:t>
            </w:r>
          </w:p>
        </w:tc>
        <w:tc>
          <w:tcPr>
            <w:tcW w:w="270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Louis Vuitton</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Arial" w:cs="Arial" w:eastAsia="Arial" w:hAnsi="Arial"/>
                <w:sz w:val="16"/>
                <w:szCs w:val="16"/>
                <w:color w:val="auto"/>
              </w:rPr>
              <w:t>Landscapes and Contractor</w:t>
            </w:r>
          </w:p>
        </w:tc>
        <w:tc>
          <w:tcPr>
            <w:tcW w:w="2700" w:type="dxa"/>
            <w:vAlign w:val="bottom"/>
          </w:tcPr>
          <w:p>
            <w:pPr>
              <w:ind w:left="280"/>
              <w:spacing w:after="0"/>
              <w:rPr>
                <w:sz w:val="20"/>
                <w:szCs w:val="20"/>
                <w:color w:val="auto"/>
              </w:rPr>
            </w:pPr>
            <w:r>
              <w:rPr>
                <w:rFonts w:ascii="Arial" w:cs="Arial" w:eastAsia="Arial" w:hAnsi="Arial"/>
                <w:sz w:val="16"/>
                <w:szCs w:val="16"/>
                <w:color w:val="auto"/>
              </w:rPr>
              <w:t>Group Vice President,</w:t>
            </w:r>
          </w:p>
        </w:tc>
        <w:tc>
          <w:tcPr>
            <w:tcW w:w="2700" w:type="dxa"/>
            <w:vAlign w:val="bottom"/>
          </w:tcPr>
          <w:p>
            <w:pPr>
              <w:ind w:left="240"/>
              <w:spacing w:after="0"/>
              <w:rPr>
                <w:sz w:val="20"/>
                <w:szCs w:val="20"/>
                <w:color w:val="auto"/>
              </w:rPr>
            </w:pPr>
            <w:r>
              <w:rPr>
                <w:rFonts w:ascii="Arial" w:cs="Arial" w:eastAsia="Arial" w:hAnsi="Arial"/>
                <w:sz w:val="16"/>
                <w:szCs w:val="16"/>
                <w:color w:val="auto"/>
              </w:rPr>
              <w:t>Chairman, President and</w:t>
            </w:r>
          </w:p>
        </w:tc>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*Lead Independent Director</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2700" w:type="dxa"/>
            <w:vAlign w:val="bottom"/>
          </w:tcPr>
          <w:p>
            <w:pPr>
              <w:ind w:left="280"/>
              <w:spacing w:after="0"/>
              <w:rPr>
                <w:sz w:val="20"/>
                <w:szCs w:val="20"/>
                <w:color w:val="auto"/>
              </w:rPr>
            </w:pPr>
            <w:r>
              <w:rPr>
                <w:rFonts w:ascii="Arial" w:cs="Arial" w:eastAsia="Arial" w:hAnsi="Arial"/>
                <w:sz w:val="16"/>
                <w:szCs w:val="16"/>
                <w:color w:val="auto"/>
              </w:rPr>
              <w:t>Golf, Grounds and Irrigation</w:t>
            </w:r>
          </w:p>
        </w:tc>
        <w:tc>
          <w:tcPr>
            <w:tcW w:w="270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700" w:type="dxa"/>
            <w:vAlign w:val="bottom"/>
          </w:tcPr>
          <w:p>
            <w:pPr>
              <w:ind w:left="240"/>
              <w:spacing w:after="0"/>
              <w:rPr>
                <w:sz w:val="20"/>
                <w:szCs w:val="20"/>
                <w:color w:val="auto"/>
              </w:rPr>
            </w:pPr>
            <w:r>
              <w:rPr>
                <w:rFonts w:ascii="Arial" w:cs="Arial" w:eastAsia="Arial" w:hAnsi="Arial"/>
                <w:sz w:val="16"/>
                <w:szCs w:val="16"/>
                <w:color w:val="auto"/>
              </w:rPr>
              <w:t>Carlisle Companies Incorporated</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Assistance</w:t>
      </w:r>
    </w:p>
    <w:p>
      <w:pPr>
        <w:spacing w:after="0" w:line="22" w:lineRule="exact"/>
        <w:rPr>
          <w:sz w:val="20"/>
          <w:szCs w:val="20"/>
          <w:color w:val="auto"/>
        </w:rPr>
      </w:pPr>
    </w:p>
    <w:p>
      <w:pPr>
        <w:ind w:right="540"/>
        <w:spacing w:after="0" w:line="272" w:lineRule="auto"/>
        <w:rPr>
          <w:sz w:val="20"/>
          <w:szCs w:val="20"/>
          <w:color w:val="auto"/>
        </w:rPr>
      </w:pPr>
      <w:r>
        <w:rPr>
          <w:rFonts w:ascii="Arial" w:cs="Arial" w:eastAsia="Arial" w:hAnsi="Arial"/>
          <w:sz w:val="19"/>
          <w:szCs w:val="19"/>
          <w:color w:val="auto"/>
        </w:rPr>
        <w:t>Communications concerning The Toro Company stock, including shareholder change of address, certificate replacement, share transfer requirements, the direct stock purchase plan, dividends, the dividend reinvestment plan and similar matters should be directed to our transfer agent at:</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19"/>
          <w:szCs w:val="19"/>
          <w:color w:val="auto"/>
        </w:rPr>
        <w:t>Broadridge Shareholder Services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c/o Broadridge Corporate Issuer Solutions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P.O. Box 1342</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Brentwood, NY 11717-0718</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1-844-956-0809 or 1-303-562-9697</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shareholder@broadridge.com</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www.shareholder.broadridge.com/TTC</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Inquiries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Individual shareholders may direct any questions to </w:t>
      </w:r>
      <w:r>
        <w:rPr>
          <w:rFonts w:ascii="Arial" w:cs="Arial" w:eastAsia="Arial" w:hAnsi="Arial"/>
          <w:sz w:val="19"/>
          <w:szCs w:val="19"/>
          <w:b w:val="1"/>
          <w:bCs w:val="1"/>
          <w:color w:val="auto"/>
        </w:rPr>
        <w:t>invest@thetorocompany.com</w:t>
      </w:r>
      <w:r>
        <w:rPr>
          <w:rFonts w:ascii="Arial" w:cs="Arial" w:eastAsia="Arial" w:hAnsi="Arial"/>
          <w:sz w:val="19"/>
          <w:szCs w:val="19"/>
          <w:color w:val="auto"/>
        </w:rPr>
        <w:t>.</w:t>
      </w:r>
    </w:p>
    <w:p>
      <w:pPr>
        <w:spacing w:after="0" w:line="20" w:lineRule="exact"/>
        <w:rPr>
          <w:sz w:val="20"/>
          <w:szCs w:val="20"/>
          <w:color w:val="auto"/>
        </w:rPr>
      </w:pPr>
    </w:p>
    <w:p>
      <w:pPr>
        <w:sectPr>
          <w:pgSz w:w="11880" w:h="15480" w:orient="portrait"/>
          <w:cols w:equalWidth="0" w:num="1">
            <w:col w:w="9780"/>
          </w:cols>
          <w:pgMar w:left="900" w:top="668" w:right="120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3291840</wp:posOffset>
            </wp:positionH>
            <wp:positionV relativeFrom="page">
              <wp:posOffset>2046605</wp:posOffset>
            </wp:positionV>
            <wp:extent cx="4251960" cy="7113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1960" cy="711390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Toro Company</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8111 Lyndale Avenue South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55420-1196</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952-888-8801</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C50013"/>
        </w:rPr>
        <w:t>www.thetorocompany.com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951230" cy="4451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51230" cy="44513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1029970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1029970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sectPr>
      <w:pgSz w:w="11880" w:h="15480" w:orient="portrait"/>
      <w:cols w:equalWidth="0" w:num="1">
        <w:col w:w="9720"/>
      </w:cols>
      <w:pgMar w:left="720" w:top="1440" w:right="1440" w:bottom="10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Black">
    <w:panose1 w:val="020B0A04020102020204"/>
    <w:charset w:val="00"/>
    <w:family w:val="swiss"/>
    <w:pitch w:val="variable"/>
    <w:sig w:usb0="A00002AF" w:usb1="400078FB" w:usb2="00000000" w:usb3="00000000" w:csb0="6000009F" w:csb1="DFD70000"/>
  </w:font>
  <w:font w:name="Wingdings 2">
    <w:panose1 w:val="05020102010507070707"/>
    <w:charset w:val="00"/>
    <w:family w:val="auto"/>
    <w:pitch w:val="variable"/>
    <w:sig w:usb0="00000000" w:usb1="00000000" w:usb2="00000000" w:usb3="00000000" w:csb0="80000000"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lvl w:ilvl="1">
      <w:lvlJc w:val="left"/>
      <w:lvlText w:val="(%2)"/>
      <w:numFmt w:val="lowerRoman"/>
      <w:start w:val="5"/>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bullet"/>
      <w:start w:val="1"/>
    </w:lvl>
  </w:abstractNum>
  <w:abstractNum w:abstractNumId="17">
    <w:nsid w:val="77465F01"/>
    <w:multiLevelType w:val="hybridMultilevel"/>
    <w:lvl w:ilvl="0">
      <w:lvlJc w:val="left"/>
      <w:lvlText w:val="2"/>
      <w:numFmt w:val="bullet"/>
      <w:start w:val="1"/>
    </w:lvl>
  </w:abstractNum>
  <w:abstractNum w:abstractNumId="18">
    <w:nsid w:val="7724C67E"/>
    <w:multiLevelType w:val="hybridMultilevel"/>
    <w:lvl w:ilvl="0">
      <w:lvlJc w:val="left"/>
      <w:lvlText w:val="3"/>
      <w:numFmt w:val="bullet"/>
      <w:start w:val="1"/>
    </w:lvl>
  </w:abstractNum>
  <w:abstractNum w:abstractNumId="19">
    <w:nsid w:val="5C482A97"/>
    <w:multiLevelType w:val="hybridMultilevel"/>
    <w:lvl w:ilvl="0">
      <w:lvlJc w:val="left"/>
      <w:lvlText w:val="4"/>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bullet"/>
      <w:start w:val="1"/>
    </w:lvl>
  </w:abstractNum>
  <w:abstractNum w:abstractNumId="25">
    <w:nsid w:val="153EA438"/>
    <w:multiLevelType w:val="hybridMultilevel"/>
    <w:lvl w:ilvl="0">
      <w:lvlJc w:val="left"/>
      <w:lvlText w:val="2"/>
      <w:numFmt w:val="bullet"/>
      <w:start w:val="1"/>
    </w:lvl>
  </w:abstractNum>
  <w:abstractNum w:abstractNumId="26">
    <w:nsid w:val="3855585C"/>
    <w:multiLevelType w:val="hybridMultilevel"/>
    <w:lvl w:ilvl="0">
      <w:lvlJc w:val="left"/>
      <w:lvlText w:val="3"/>
      <w:numFmt w:val="bullet"/>
      <w:start w:val="1"/>
    </w:lvl>
  </w:abstractNum>
  <w:abstractNum w:abstractNumId="27">
    <w:nsid w:val="70A64E2A"/>
    <w:multiLevelType w:val="hybridMultilevel"/>
    <w:lvl w:ilvl="0">
      <w:lvlJc w:val="left"/>
      <w:lvlText w:val="(%1)"/>
      <w:numFmt w:val="lowerRoman"/>
      <w:start w:val="2"/>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lowerRoman"/>
      <w:start w:val="3"/>
    </w:lvl>
  </w:abstractNum>
  <w:abstractNum w:abstractNumId="31">
    <w:nsid w:val="725A06FB"/>
    <w:multiLevelType w:val="hybridMultilevel"/>
    <w:lvl w:ilvl="0">
      <w:lvlJc w:val="left"/>
      <w:lvlText w:val="1"/>
      <w:numFmt w:val="bullet"/>
      <w:start w:val="1"/>
    </w:lvl>
  </w:abstractNum>
  <w:abstractNum w:abstractNumId="32">
    <w:nsid w:val="2CD89A32"/>
    <w:multiLevelType w:val="hybridMultilevel"/>
    <w:lvl w:ilvl="0">
      <w:lvlJc w:val="left"/>
      <w:lvlText w:val="1"/>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2"/>
      <w:numFmt w:val="bullet"/>
      <w:start w:val="1"/>
    </w:lvl>
  </w:abstractNum>
  <w:abstractNum w:abstractNumId="36">
    <w:nsid w:val="542289EC"/>
    <w:multiLevelType w:val="hybridMultilevel"/>
    <w:lvl w:ilvl="0">
      <w:lvlJc w:val="left"/>
      <w:lvlText w:val="3"/>
      <w:numFmt w:val="bullet"/>
      <w:start w:val="1"/>
    </w:lvl>
  </w:abstractNum>
  <w:abstractNum w:abstractNumId="37">
    <w:nsid w:val="6DE91B18"/>
    <w:multiLevelType w:val="hybridMultilevel"/>
    <w:lvl w:ilvl="0">
      <w:lvlJc w:val="left"/>
      <w:lvlText w:val="1"/>
      <w:numFmt w:val="bullet"/>
      <w:start w:val="1"/>
    </w:lvl>
  </w:abstractNum>
  <w:abstractNum w:abstractNumId="38">
    <w:nsid w:val="38437FDB"/>
    <w:multiLevelType w:val="hybridMultilevel"/>
    <w:lvl w:ilvl="0">
      <w:lvlJc w:val="left"/>
      <w:lvlText w:val="2"/>
      <w:numFmt w:val="bullet"/>
      <w:start w:val="1"/>
    </w:lvl>
  </w:abstractNum>
  <w:abstractNum w:abstractNumId="39">
    <w:nsid w:val="7644A45C"/>
    <w:multiLevelType w:val="hybridMultilevel"/>
    <w:lvl w:ilvl="0">
      <w:lvlJc w:val="left"/>
      <w:lvlText w:val="1"/>
      <w:numFmt w:val="bullet"/>
      <w:start w:val="1"/>
    </w:lvl>
  </w:abstractNum>
  <w:abstractNum w:abstractNumId="40">
    <w:nsid w:val="32FFF902"/>
    <w:multiLevelType w:val="hybridMultilevel"/>
    <w:lvl w:ilvl="0">
      <w:lvlJc w:val="left"/>
      <w:lvlText w:val="4"/>
      <w:numFmt w:val="bullet"/>
      <w:start w:val="1"/>
    </w:lvl>
  </w:abstractNum>
  <w:abstractNum w:abstractNumId="41">
    <w:nsid w:val="684A481A"/>
    <w:multiLevelType w:val="hybridMultilevel"/>
    <w:lvl w:ilvl="0">
      <w:lvlJc w:val="left"/>
      <w:lvlText w:val="5"/>
      <w:numFmt w:val="bullet"/>
      <w:start w:val="1"/>
    </w:lvl>
  </w:abstractNum>
  <w:abstractNum w:abstractNumId="42">
    <w:nsid w:val="579478FE"/>
    <w:multiLevelType w:val="hybridMultilevel"/>
    <w:lvl w:ilvl="0">
      <w:lvlJc w:val="left"/>
      <w:lvlText w:val="7"/>
      <w:numFmt w:val="bullet"/>
      <w:start w:val="1"/>
    </w:lvl>
  </w:abstractNum>
  <w:abstractNum w:abstractNumId="43">
    <w:nsid w:val="749ABB43"/>
    <w:multiLevelType w:val="hybridMultilevel"/>
    <w:lvl w:ilvl="0">
      <w:lvlJc w:val="left"/>
      <w:lvlText w:val="9"/>
      <w:numFmt w:val="bullet"/>
      <w:start w:val="1"/>
    </w:lvl>
  </w:abstractNum>
  <w:abstractNum w:abstractNumId="44">
    <w:nsid w:val="3DC240FB"/>
    <w:multiLevelType w:val="hybridMultilevel"/>
    <w:lvl w:ilvl="0">
      <w:lvlJc w:val="left"/>
      <w:lvlText w:val="1"/>
      <w:numFmt w:val="bullet"/>
      <w:start w:val="1"/>
    </w:lvl>
  </w:abstractNum>
  <w:abstractNum w:abstractNumId="45">
    <w:nsid w:val="1BA026FA"/>
    <w:multiLevelType w:val="hybridMultilevel"/>
    <w:lvl w:ilvl="0">
      <w:lvlJc w:val="left"/>
      <w:lvlText w:val="(%1)"/>
      <w:numFmt w:val="lowerLetter"/>
      <w:start w:val="1"/>
    </w:lvl>
    <w:lvl w:ilvl="1">
      <w:lvlJc w:val="left"/>
      <w:lvlText w:val="%2."/>
      <w:numFmt w:val="decimal"/>
      <w:start w:val="1"/>
    </w:lvl>
  </w:abstractNum>
  <w:abstractNum w:abstractNumId="46">
    <w:nsid w:val="79A1DEAA"/>
    <w:multiLevelType w:val="hybridMultilevel"/>
    <w:lvl w:ilvl="0">
      <w:lvlJc w:val="left"/>
      <w:lvlText w:val="%1."/>
      <w:numFmt w:val="decimal"/>
      <w:start w:val="2"/>
    </w:lvl>
  </w:abstractNum>
  <w:abstractNum w:abstractNumId="47">
    <w:nsid w:val="75C6C33A"/>
    <w:multiLevelType w:val="hybridMultilevel"/>
    <w:lvl w:ilvl="0">
      <w:lvlJc w:val="left"/>
      <w:lvlText w:val="%1"/>
      <w:numFmt w:val="decimal"/>
      <w:start w:val="19"/>
    </w:lvl>
  </w:abstractNum>
  <w:abstractNum w:abstractNumId="48">
    <w:nsid w:val="12E685FB"/>
    <w:multiLevelType w:val="hybridMultilevel"/>
    <w:lvl w:ilvl="0">
      <w:lvlJc w:val="left"/>
      <w:lvlText w:val="%1"/>
      <w:numFmt w:val="decimal"/>
      <w:start w:val="21"/>
    </w:lvl>
  </w:abstractNum>
  <w:abstractNum w:abstractNumId="49">
    <w:nsid w:val="70C6A529"/>
    <w:multiLevelType w:val="hybridMultilevel"/>
    <w:lvl w:ilvl="0">
      <w:lvlJc w:val="left"/>
      <w:lvlText w:val="%1"/>
      <w:numFmt w:val="decimal"/>
      <w:start w:val="32"/>
    </w:lvl>
  </w:abstractNum>
  <w:abstractNum w:abstractNumId="50">
    <w:nsid w:val="520EEDD1"/>
    <w:multiLevelType w:val="hybridMultilevel"/>
    <w:lvl w:ilvl="0">
      <w:lvlJc w:val="left"/>
      <w:lvlText w:val="%1"/>
      <w:numFmt w:val="decimal"/>
      <w:start w:val="97"/>
    </w:lvl>
  </w:abstractNum>
  <w:abstractNum w:abstractNumId="51">
    <w:nsid w:val="374A3FE6"/>
    <w:multiLevelType w:val="hybridMultilevel"/>
    <w:lvl w:ilvl="0">
      <w:lvlJc w:val="left"/>
      <w:lvlText w:val="%1"/>
      <w:numFmt w:val="decimal"/>
      <w:start w:val="101"/>
    </w:lvl>
  </w:abstractNum>
  <w:abstractNum w:abstractNumId="52">
    <w:nsid w:val="4F4EF005"/>
    <w:multiLevelType w:val="hybridMultilevel"/>
    <w:lvl w:ilvl="0">
      <w:lvlJc w:val="left"/>
      <w:lvlText w:val="%1"/>
      <w:numFmt w:val="decimal"/>
      <w:start w:val="104"/>
    </w:lvl>
    <w:lvl w:ilvl="1">
      <w:lvlJc w:val="left"/>
      <w:lvlText w:val="(%2)"/>
      <w:numFmt w:val="decimal"/>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2026-02-10T02:58:36Z</dcterms:created>
  <dcterms:modified xsi:type="dcterms:W3CDTF">2026-02-10T02:58:36Z</dcterms:modified>
</cp:coreProperties>
</file>