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March 19, 2010</w:t>
      </w:r>
    </w:p>
    <w:p>
      <w:pPr>
        <w:spacing w:after="0" w:line="50" w:lineRule="exact"/>
        <w:rPr>
          <w:sz w:val="24"/>
          <w:szCs w:val="24"/>
          <w:color w:val="auto"/>
        </w:rPr>
      </w:pPr>
    </w:p>
    <w:p>
      <w:pPr>
        <w:ind w:left="9160"/>
        <w:spacing w:after="0"/>
        <w:rPr>
          <w:sz w:val="20"/>
          <w:szCs w:val="20"/>
          <w:color w:val="auto"/>
        </w:rPr>
      </w:pPr>
      <w:r>
        <w:rPr>
          <w:rFonts w:ascii="Arial" w:cs="Arial" w:eastAsia="Arial" w:hAnsi="Arial"/>
          <w:sz w:val="16"/>
          <w:szCs w:val="16"/>
          <w:b w:val="1"/>
          <w:bCs w:val="1"/>
          <w:color w:val="auto"/>
        </w:rPr>
        <w:t>Registration No. 333-_______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 UNDER THE SECURITIES ACT OF 1933</w:t>
      </w:r>
    </w:p>
    <w:p>
      <w:pPr>
        <w:spacing w:after="0" w:line="19"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TORO COMPANY</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232"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60"/>
          </w:cols>
          <w:pgMar w:left="240" w:top="229" w:right="239" w:bottom="1440" w:gutter="0" w:footer="0" w:header="0"/>
          <w:type w:val="continuous"/>
        </w:sectPr>
      </w:pP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55420-1196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___________________________</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 2010 Equity and Incentive Plan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Timothy P. Dordell,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Secretary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55420-1196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including Zip Code, and Telephone Number, including Area Code, of Agent for Service)</w:t>
      </w:r>
    </w:p>
    <w:p>
      <w:pPr>
        <w:spacing w:after="0" w:line="234"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Copies requested to:</w:t>
      </w:r>
    </w:p>
    <w:p>
      <w:pPr>
        <w:spacing w:after="0" w:line="27"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Amy E. Culbert,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Oppenheimer Wolff &amp; Donnelly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 South Seventh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55402-1509</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607-7287</w:t>
      </w:r>
    </w:p>
    <w:p>
      <w:pPr>
        <w:spacing w:after="0" w:line="9" w:lineRule="exact"/>
        <w:rPr>
          <w:rFonts w:ascii="Arial" w:cs="Arial" w:eastAsia="Arial" w:hAnsi="Arial"/>
          <w:sz w:val="18"/>
          <w:szCs w:val="18"/>
          <w:b w:val="1"/>
          <w:bCs w:val="1"/>
          <w:color w:val="auto"/>
        </w:rPr>
      </w:pPr>
    </w:p>
    <w:p>
      <w:pPr>
        <w:ind w:left="4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w:t>
      </w:r>
    </w:p>
    <w:p>
      <w:pPr>
        <w:spacing w:after="0" w:line="238" w:lineRule="exact"/>
        <w:rPr>
          <w:sz w:val="24"/>
          <w:szCs w:val="24"/>
          <w:color w:val="auto"/>
        </w:rPr>
      </w:pPr>
    </w:p>
    <w:p>
      <w:pPr>
        <w:ind w:right="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ind w:left="380"/>
              <w:spacing w:after="0"/>
              <w:rPr>
                <w:sz w:val="20"/>
                <w:szCs w:val="20"/>
                <w:color w:val="auto"/>
              </w:rPr>
            </w:pPr>
            <w:r>
              <w:rPr>
                <w:rFonts w:ascii="Arial" w:cs="Arial" w:eastAsia="Arial" w:hAnsi="Arial"/>
                <w:sz w:val="18"/>
                <w:szCs w:val="18"/>
                <w:color w:val="auto"/>
              </w:rPr>
              <w:t>Large accelerated filer x</w:t>
            </w:r>
          </w:p>
        </w:tc>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00" w:type="dxa"/>
            <w:vAlign w:val="bottom"/>
          </w:tcPr>
          <w:p>
            <w:pPr>
              <w:ind w:left="460"/>
              <w:spacing w:after="0"/>
              <w:rPr>
                <w:sz w:val="20"/>
                <w:szCs w:val="20"/>
                <w:color w:val="auto"/>
              </w:rPr>
            </w:pPr>
            <w:r>
              <w:rPr>
                <w:rFonts w:ascii="Arial" w:cs="Arial" w:eastAsia="Arial" w:hAnsi="Arial"/>
                <w:sz w:val="18"/>
                <w:szCs w:val="18"/>
                <w:color w:val="auto"/>
                <w:w w:val="94"/>
              </w:rPr>
              <w:t>Accelerated filer</w:t>
            </w:r>
          </w:p>
        </w:tc>
        <w:tc>
          <w:tcPr>
            <w:tcW w:w="2480" w:type="dxa"/>
            <w:vAlign w:val="bottom"/>
          </w:tcPr>
          <w:p>
            <w:pPr>
              <w:ind w:left="60"/>
              <w:spacing w:after="0"/>
              <w:rPr>
                <w:sz w:val="20"/>
                <w:szCs w:val="20"/>
                <w:color w:val="auto"/>
              </w:rPr>
            </w:pPr>
            <w:r>
              <w:rPr>
                <w:rFonts w:ascii="Arial" w:cs="Arial" w:eastAsia="Arial" w:hAnsi="Arial"/>
                <w:sz w:val="18"/>
                <w:szCs w:val="18"/>
                <w:color w:val="auto"/>
              </w:rPr>
              <w:t>o</w:t>
            </w:r>
          </w:p>
        </w:tc>
        <w:tc>
          <w:tcPr>
            <w:tcW w:w="1620" w:type="dxa"/>
            <w:vAlign w:val="bottom"/>
          </w:tcPr>
          <w:p>
            <w:pPr>
              <w:spacing w:after="0"/>
              <w:rPr>
                <w:sz w:val="18"/>
                <w:szCs w:val="18"/>
                <w:color w:val="auto"/>
              </w:rPr>
            </w:pPr>
          </w:p>
        </w:tc>
      </w:tr>
      <w:tr>
        <w:trPr>
          <w:trHeight w:val="230"/>
        </w:trPr>
        <w:tc>
          <w:tcPr>
            <w:tcW w:w="5620" w:type="dxa"/>
            <w:vAlign w:val="bottom"/>
            <w:gridSpan w:val="3"/>
          </w:tcPr>
          <w:p>
            <w:pPr>
              <w:ind w:left="380"/>
              <w:spacing w:after="0"/>
              <w:rPr>
                <w:sz w:val="20"/>
                <w:szCs w:val="20"/>
                <w:color w:val="auto"/>
              </w:rPr>
            </w:pPr>
            <w:r>
              <w:rPr>
                <w:rFonts w:ascii="Arial" w:cs="Arial" w:eastAsia="Arial" w:hAnsi="Arial"/>
                <w:sz w:val="18"/>
                <w:szCs w:val="18"/>
                <w:color w:val="auto"/>
                <w:w w:val="95"/>
              </w:rPr>
              <w:t>Non-accelerated filer (Do not check if a smaller reporting company) o</w:t>
            </w:r>
          </w:p>
        </w:tc>
        <w:tc>
          <w:tcPr>
            <w:tcW w:w="4180" w:type="dxa"/>
            <w:vAlign w:val="bottom"/>
            <w:gridSpan w:val="2"/>
          </w:tcPr>
          <w:p>
            <w:pPr>
              <w:ind w:left="460"/>
              <w:spacing w:after="0"/>
              <w:rPr>
                <w:sz w:val="20"/>
                <w:szCs w:val="20"/>
                <w:color w:val="auto"/>
              </w:rPr>
            </w:pPr>
            <w:r>
              <w:rPr>
                <w:rFonts w:ascii="Arial" w:cs="Arial" w:eastAsia="Arial" w:hAnsi="Arial"/>
                <w:sz w:val="18"/>
                <w:szCs w:val="18"/>
                <w:color w:val="auto"/>
              </w:rPr>
              <w:t>Smaller reporting company o</w:t>
            </w:r>
          </w:p>
        </w:tc>
        <w:tc>
          <w:tcPr>
            <w:tcW w:w="1620" w:type="dxa"/>
            <w:vAlign w:val="bottom"/>
          </w:tcPr>
          <w:p>
            <w:pPr>
              <w:spacing w:after="0"/>
              <w:rPr>
                <w:sz w:val="20"/>
                <w:szCs w:val="20"/>
                <w:color w:val="auto"/>
              </w:rPr>
            </w:pPr>
          </w:p>
        </w:tc>
      </w:tr>
      <w:tr>
        <w:trPr>
          <w:trHeight w:val="432"/>
        </w:trPr>
        <w:tc>
          <w:tcPr>
            <w:tcW w:w="3180" w:type="dxa"/>
            <w:vAlign w:val="bottom"/>
          </w:tcPr>
          <w:p>
            <w:pPr>
              <w:spacing w:after="0"/>
              <w:rPr>
                <w:sz w:val="24"/>
                <w:szCs w:val="24"/>
                <w:color w:val="auto"/>
              </w:rPr>
            </w:pPr>
          </w:p>
        </w:tc>
        <w:tc>
          <w:tcPr>
            <w:tcW w:w="6620" w:type="dxa"/>
            <w:vAlign w:val="bottom"/>
            <w:gridSpan w:val="4"/>
          </w:tcPr>
          <w:p>
            <w:pPr>
              <w:ind w:left="800"/>
              <w:spacing w:after="0"/>
              <w:rPr>
                <w:sz w:val="20"/>
                <w:szCs w:val="20"/>
                <w:color w:val="auto"/>
              </w:rPr>
            </w:pPr>
            <w:r>
              <w:rPr>
                <w:rFonts w:ascii="Arial" w:cs="Arial" w:eastAsia="Arial" w:hAnsi="Arial"/>
                <w:sz w:val="18"/>
                <w:szCs w:val="18"/>
                <w:b w:val="1"/>
                <w:bCs w:val="1"/>
                <w:color w:val="auto"/>
              </w:rPr>
              <w:t>CALCULATION OF REGISTRATION FEE</w:t>
            </w:r>
          </w:p>
        </w:tc>
        <w:tc>
          <w:tcPr>
            <w:tcW w:w="1620" w:type="dxa"/>
            <w:vAlign w:val="bottom"/>
          </w:tcPr>
          <w:p>
            <w:pPr>
              <w:spacing w:after="0"/>
              <w:rPr>
                <w:sz w:val="24"/>
                <w:szCs w:val="24"/>
                <w:color w:val="auto"/>
              </w:rPr>
            </w:pPr>
          </w:p>
        </w:tc>
      </w:tr>
      <w:tr>
        <w:trPr>
          <w:trHeight w:val="243"/>
        </w:trPr>
        <w:tc>
          <w:tcPr>
            <w:tcW w:w="3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2"/>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r>
      <w:tr>
        <w:trPr>
          <w:trHeight w:val="191"/>
        </w:trPr>
        <w:tc>
          <w:tcPr>
            <w:tcW w:w="3180" w:type="dxa"/>
            <w:vAlign w:val="bottom"/>
          </w:tcPr>
          <w:p>
            <w:pPr>
              <w:ind w:left="920"/>
              <w:spacing w:after="0" w:line="191" w:lineRule="exact"/>
              <w:rPr>
                <w:sz w:val="20"/>
                <w:szCs w:val="20"/>
                <w:color w:val="auto"/>
              </w:rPr>
            </w:pPr>
            <w:r>
              <w:rPr>
                <w:rFonts w:ascii="Arial" w:cs="Arial" w:eastAsia="Arial" w:hAnsi="Arial"/>
                <w:sz w:val="18"/>
                <w:szCs w:val="18"/>
                <w:b w:val="1"/>
                <w:bCs w:val="1"/>
                <w:color w:val="auto"/>
              </w:rPr>
              <w:t>Title of Securities</w:t>
            </w:r>
          </w:p>
        </w:tc>
        <w:tc>
          <w:tcPr>
            <w:tcW w:w="15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Amount to be</w:t>
            </w:r>
          </w:p>
        </w:tc>
        <w:tc>
          <w:tcPr>
            <w:tcW w:w="25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Proposed Maximum</w:t>
            </w:r>
          </w:p>
        </w:tc>
        <w:tc>
          <w:tcPr>
            <w:tcW w:w="2480" w:type="dxa"/>
            <w:vAlign w:val="bottom"/>
          </w:tcPr>
          <w:p>
            <w:pPr>
              <w:jc w:val="center"/>
              <w:ind w:left="30"/>
              <w:spacing w:after="0" w:line="191" w:lineRule="exact"/>
              <w:rPr>
                <w:sz w:val="20"/>
                <w:szCs w:val="20"/>
                <w:color w:val="auto"/>
              </w:rPr>
            </w:pPr>
            <w:r>
              <w:rPr>
                <w:rFonts w:ascii="Arial" w:cs="Arial" w:eastAsia="Arial" w:hAnsi="Arial"/>
                <w:sz w:val="18"/>
                <w:szCs w:val="18"/>
                <w:b w:val="1"/>
                <w:bCs w:val="1"/>
                <w:color w:val="auto"/>
                <w:w w:val="91"/>
              </w:rPr>
              <w:t>Proposed Maximum</w:t>
            </w:r>
          </w:p>
        </w:tc>
        <w:tc>
          <w:tcPr>
            <w:tcW w:w="1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Amount of</w:t>
            </w:r>
          </w:p>
        </w:tc>
      </w:tr>
      <w:tr>
        <w:trPr>
          <w:trHeight w:val="220"/>
        </w:trPr>
        <w:tc>
          <w:tcPr>
            <w:tcW w:w="3180" w:type="dxa"/>
            <w:vAlign w:val="bottom"/>
          </w:tcPr>
          <w:p>
            <w:pPr>
              <w:ind w:left="980"/>
              <w:spacing w:after="0"/>
              <w:rPr>
                <w:sz w:val="20"/>
                <w:szCs w:val="20"/>
                <w:color w:val="auto"/>
              </w:rPr>
            </w:pPr>
            <w:r>
              <w:rPr>
                <w:rFonts w:ascii="Arial" w:cs="Arial" w:eastAsia="Arial" w:hAnsi="Arial"/>
                <w:sz w:val="18"/>
                <w:szCs w:val="18"/>
                <w:b w:val="1"/>
                <w:bCs w:val="1"/>
                <w:color w:val="auto"/>
              </w:rPr>
              <w:t>to be Registered</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Registered(1)</w:t>
            </w:r>
          </w:p>
        </w:tc>
        <w:tc>
          <w:tcPr>
            <w:tcW w:w="25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2"/>
              </w:rPr>
              <w:t>Offering Price Per Share(2)</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Aggregate Offering Price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 Fee</w:t>
            </w:r>
          </w:p>
        </w:tc>
      </w:tr>
      <w:tr>
        <w:trPr>
          <w:trHeight w:val="237"/>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Common Stock, par value $1.00 per share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2,750,000 shares</w:t>
            </w:r>
          </w:p>
        </w:tc>
        <w:tc>
          <w:tcPr>
            <w:tcW w:w="8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830"/>
              <w:spacing w:after="0"/>
              <w:rPr>
                <w:sz w:val="20"/>
                <w:szCs w:val="20"/>
                <w:color w:val="auto"/>
              </w:rPr>
            </w:pPr>
            <w:r>
              <w:rPr>
                <w:rFonts w:ascii="Arial" w:cs="Arial" w:eastAsia="Arial" w:hAnsi="Arial"/>
                <w:sz w:val="18"/>
                <w:szCs w:val="18"/>
                <w:color w:val="auto"/>
                <w:w w:val="90"/>
              </w:rPr>
              <w:t>$47.56</w:t>
            </w:r>
          </w:p>
        </w:tc>
        <w:tc>
          <w:tcPr>
            <w:tcW w:w="2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$130,776,250</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$9,324</w:t>
            </w:r>
          </w:p>
        </w:tc>
      </w:tr>
      <w:tr>
        <w:trPr>
          <w:trHeight w:val="218"/>
        </w:trPr>
        <w:tc>
          <w:tcPr>
            <w:tcW w:w="3180" w:type="dxa"/>
            <w:vAlign w:val="bottom"/>
          </w:tcPr>
          <w:p>
            <w:pPr>
              <w:spacing w:after="0"/>
              <w:rPr>
                <w:sz w:val="20"/>
                <w:szCs w:val="20"/>
                <w:color w:val="auto"/>
              </w:rPr>
            </w:pPr>
            <w:r>
              <w:rPr>
                <w:rFonts w:ascii="Arial" w:cs="Arial" w:eastAsia="Arial" w:hAnsi="Arial"/>
                <w:sz w:val="18"/>
                <w:szCs w:val="18"/>
                <w:color w:val="auto"/>
              </w:rPr>
              <w:t>_________________</w:t>
            </w:r>
          </w:p>
        </w:tc>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20" w:type="dxa"/>
            <w:vAlign w:val="bottom"/>
          </w:tcPr>
          <w:p>
            <w:pPr>
              <w:spacing w:after="0"/>
              <w:rPr>
                <w:sz w:val="18"/>
                <w:szCs w:val="18"/>
                <w:color w:val="auto"/>
              </w:rPr>
            </w:pPr>
          </w:p>
        </w:tc>
      </w:tr>
    </w:tbl>
    <w:p>
      <w:pPr>
        <w:ind w:left="340" w:hanging="332"/>
        <w:spacing w:after="0" w:line="252"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shares of common stock, par value $1.00 per share, of The Toro Company (“Common Stock”), consists of the aggregate number of shares which may be issued under The Toro Company 2010 Equity and Incentive Plan (the “Plan”). The maximum number of shares of Common Stock that may be issued under the Plan is subject to adjustment in accordance with certain provisions of the Plan. Accordingly, pursuant to Rule 416 under the Securities Act of 1933, as amended (the “Securities Act”), to the extent additional shares of Common Stock may be issued or issuable as a result of a stock split, stock dividend or other similar transaction while this Registration Statement is in effect, this Registration Statement is hereby deemed to cover all such additional shares of Common Stock.</w:t>
      </w:r>
    </w:p>
    <w:p>
      <w:pPr>
        <w:spacing w:after="0" w:line="219"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and calculated pursuant to Rule 457(c) and Rule 457(h) under the Securities Act on the basis of the average of the high and low sales prices of the Common Stock, as reported by the New York Stock Exchange on March 12,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Annual Information.*</w:t>
      </w:r>
    </w:p>
    <w:p>
      <w:pPr>
        <w:spacing w:after="0" w:line="256" w:lineRule="exact"/>
        <w:rPr>
          <w:sz w:val="20"/>
          <w:szCs w:val="20"/>
          <w:color w:val="auto"/>
        </w:rPr>
      </w:pPr>
    </w:p>
    <w:p>
      <w:pPr>
        <w:ind w:left="660" w:right="88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permitted under Rule 428 under the Securities Act of 1933, as amended (the “Securities Act”) and the Note to Part I of Form S-8, this Registration Statement omits the information specified in Part I of this Registration Statement on Form S-8.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5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rules of the Securities and Exchange Commission (the “Commission”) allow The Toro Company (the “Registrant”) to incorporate by reference information into this Registration Statement. This means that the Registrant may disclose important information to you by referring you to another document.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documents previously filed by the Registrant with the Commission are incorporated by reference into this Registration Statement:</w:t>
      </w:r>
    </w:p>
    <w:p>
      <w:pPr>
        <w:spacing w:after="0" w:line="264"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October 31, 2009 (File No. 1-8649);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fiscal quarter ended January 29, 2010 (File No. 1-8649);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Current Reports on Form 8-K filed on December 4, 2009 (File No. 1-8649) and March 19, 2010 (File No. 1-8649); and</w:t>
      </w:r>
    </w:p>
    <w:p>
      <w:pPr>
        <w:spacing w:after="0" w:line="275" w:lineRule="exact"/>
        <w:rPr>
          <w:rFonts w:ascii="Arial" w:cs="Arial" w:eastAsia="Arial" w:hAnsi="Arial"/>
          <w:sz w:val="16"/>
          <w:szCs w:val="16"/>
          <w:color w:val="auto"/>
        </w:rPr>
      </w:pPr>
    </w:p>
    <w:p>
      <w:pPr>
        <w:ind w:left="1300" w:right="340" w:hanging="644"/>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Statements filed with the Commission pursuant to Section 12 of the Securities Exchange Act of 1934 (the “Exchange Act”), including any amendments or reports filed for the purpose of updating such descriptions.</w:t>
      </w:r>
    </w:p>
    <w:p>
      <w:pPr>
        <w:spacing w:after="0" w:line="20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addition, all documents filed with the Commission by the Registrant (other than portions of such documents which are furnished and not filed) pursuant to Sections 13(a), 13(c), 14 and 15(d) of the Exchange Act subsequent to the date of this Registration Statement and prior to the filing of a post-effective amendment which indicates that all securities offered hereby have been sold or which deregisters all such securities then remaining unsold, shall be deemed to be incorporated by reference in this Registration Statement and to be a part hereof from the time of filing of such documents.</w:t>
      </w:r>
    </w:p>
    <w:p>
      <w:pPr>
        <w:spacing w:after="0" w:line="18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Any statement contained in the documents incorporated or deemed to be incorporated by reference in this Registration Statement shall be deemed to be modified or superseded for purposes of this Registration Statement to the extent that a statement contained herein or in any other subsequently filed document which also is incorporated or deemed to be incorporated by reference in this Registration Statement modifies or supersedes such statement. Any such statement so modified or superseded shall not be deemed, except as so modified or superseded, to constitute a part of this Registration Statement.</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4. Description of Securities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56"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opinion of counsel as to the legality of the securities being registered, which is Exhibit 5.1 to this Registration Statement, is rendered by Timothy P. Dordell, Vice President, Secretary and General Counsel of the Registrant. Mr. Dordell owns or has rights to acquire an aggregate of less than 0.01% of the Registrant’s outstanding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56"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Subsection (a) of Section 145 of the General Corporation Law of the State of Delaware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or enterprise, against expenses (including attorneys’ fees), judgments, fines and amounts paid in settlement actually and reasonably incurred by such person in connection with such action, suit or proceeding if the person acted in good faith and in a manner such person reasonably believed to be in or not opposed to the best interests of the corporation, and with respect to any criminal action or proceeding, had no reasonable cause to believe such person’s conduct was unlawful.</w:t>
      </w:r>
    </w:p>
    <w:p>
      <w:pPr>
        <w:spacing w:after="0" w:line="21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Subsection (b) of Section 145 of the DGCL empowers a corporation to indemnify any person who was or is a party or threatened to be made a party to any threatened, pending or completed action or suit by or in the right of the corporation to procure a judgment in its favor by reason of the fact that the person acted in any of the capacities set forth above, against expenses actually and reasonably incurred by the person in connection with the defense or settlement of such action or suit if such person acted under similar standards, except that no indemnification may be made in respect of any claim, issue or matter as to which such person has been adjudged to be liable to the corporation unless and only to the extent that the Court of Chancery or the court in which such action or suit was brought determines that, despite the adjudication of liability, such person is fairly and reasonably entitled to indemnity for such expenses which the court deems proper.</w:t>
      </w:r>
    </w:p>
    <w:p>
      <w:pPr>
        <w:spacing w:after="0" w:line="21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Section 145 of the DGCL further provides that, to the extent that a present or former director or officer of a corporation has been successful on the merits or otherwise in defense of any action, suit or proceeding referred to in subsections (a) and (b) or in defense of any claim, issue or matter therein, such person will be indemnified against expenses (including attorneys’ fees) actually and reasonably incurred in connection therewith; that indemnification provided for by Section 145 of the DGCL will not be deemed exclusive of any other rights to which the indemnified party may be entitled; and that the scope of such mandatory indemnification extends to directors, officers, employees or agents of a constituent corporation absorbed in a consolidation or merger and persons serving in that capacity at the request of the constituent corporation for another. Section 145 of the DGCL also empowers the corporation to purchase and maintain insurance on behalf of any person who is or was a director, officer, employee or agent of the corporation against any liability asserted against and incurred by such person in any such capacity or arising out of such person’s status as such, whether or not the corporation would have the power to indemnify such person against such liability under Section 145, including liability under the Securities Act.</w:t>
      </w:r>
    </w:p>
    <w:p>
      <w:pPr>
        <w:spacing w:after="0" w:line="19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Article X of the Registrant’s Restated Certificate of Incorporation mandates indemnification of a director or officer of the Registrant or a person serving at the request of the Registrant as a director, officer,</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3" w:name="page4"/>
    <w:bookmarkEnd w:id="3"/>
    <w:p>
      <w:pPr>
        <w:ind w:right="80"/>
        <w:spacing w:after="0" w:line="277" w:lineRule="auto"/>
        <w:rPr>
          <w:sz w:val="20"/>
          <w:szCs w:val="20"/>
          <w:color w:val="auto"/>
        </w:rPr>
      </w:pPr>
      <w:r>
        <w:rPr>
          <w:rFonts w:ascii="Arial" w:cs="Arial" w:eastAsia="Arial" w:hAnsi="Arial"/>
          <w:sz w:val="18"/>
          <w:szCs w:val="18"/>
          <w:color w:val="auto"/>
        </w:rPr>
        <w:t>employee or agent of another entity to the fullest extent authorized by the DGCL against expenses, liability and loss and authorizes the Board to express such rights in written contracts.</w:t>
      </w:r>
    </w:p>
    <w:p>
      <w:pPr>
        <w:spacing w:after="0" w:line="19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Article X of the Registrant’s Restated Certificate of Incorporation provides, in accordance with Section 102(b)(7) of the DGCL, for the elimination of the personal liability of a director to the Registrant or its shareholders for monetary damages for breach of fiduciary duty as a director under certain circumstances.</w:t>
      </w:r>
    </w:p>
    <w:p>
      <w:pPr>
        <w:spacing w:after="0" w:line="20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above discussion of the Registrant’s Restated Certificate of Incorporation and of Sections 102(b)(7) and 145 of the DGCL is not intended to be exhaustive and is qualified in its entirety by the Restated Certificate of Incorporation and the DGCL.</w:t>
      </w:r>
    </w:p>
    <w:p>
      <w:pPr>
        <w:spacing w:after="0" w:line="19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Registrant has entered into indemnification agreements with each of its directors pursuant to which the Registrant has agreed to indemnify each director to the fullest extent permitted by law against any expenses, judgments, fines, penalties and amounts paid or owing that arise out of events or occurrences related to such director’s status, capacities and activities with the Registrant.</w:t>
      </w:r>
    </w:p>
    <w:p>
      <w:pPr>
        <w:spacing w:after="0" w:line="208"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Registrant also maintains liability insurance policies which provide for indemnification of a director or officer of the Registrant or a person serving at the request of the Registrant as a director, officer, employee or agent of another entity against certain liabilities under certain circumstances.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with or incorporated by reference into this Registration Statement: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540" w:type="dxa"/>
            <w:vAlign w:val="bottom"/>
          </w:tcPr>
          <w:p>
            <w:pPr>
              <w:spacing w:after="0" w:line="201" w:lineRule="exact"/>
              <w:rPr>
                <w:sz w:val="20"/>
                <w:szCs w:val="20"/>
                <w:color w:val="auto"/>
              </w:rPr>
            </w:pPr>
            <w:r>
              <w:rPr>
                <w:rFonts w:ascii="Arial" w:cs="Arial" w:eastAsia="Arial" w:hAnsi="Arial"/>
                <w:sz w:val="18"/>
                <w:szCs w:val="18"/>
                <w:color w:val="auto"/>
              </w:rPr>
              <w:t>4.1</w:t>
            </w:r>
          </w:p>
        </w:tc>
        <w:tc>
          <w:tcPr>
            <w:tcW w:w="9880" w:type="dxa"/>
            <w:vAlign w:val="bottom"/>
          </w:tcPr>
          <w:p>
            <w:pPr>
              <w:ind w:left="640"/>
              <w:spacing w:after="0" w:line="201" w:lineRule="exact"/>
              <w:rPr>
                <w:sz w:val="20"/>
                <w:szCs w:val="20"/>
                <w:color w:val="auto"/>
              </w:rPr>
            </w:pPr>
            <w:r>
              <w:rPr>
                <w:rFonts w:ascii="Arial" w:cs="Arial" w:eastAsia="Arial" w:hAnsi="Arial"/>
                <w:sz w:val="18"/>
                <w:szCs w:val="18"/>
                <w:color w:val="auto"/>
                <w:w w:val="94"/>
              </w:rPr>
              <w:t>Restated Certificate of Incorporation of The Toro Company (incorporated by reference to Exhibit 3.1 to Registrant’s Current</w:t>
            </w:r>
          </w:p>
        </w:tc>
      </w:tr>
      <w:tr>
        <w:trPr>
          <w:trHeight w:val="216"/>
        </w:trPr>
        <w:tc>
          <w:tcPr>
            <w:tcW w:w="1540" w:type="dxa"/>
            <w:vAlign w:val="bottom"/>
          </w:tcPr>
          <w:p>
            <w:pPr>
              <w:spacing w:after="0"/>
              <w:rPr>
                <w:sz w:val="18"/>
                <w:szCs w:val="18"/>
                <w:color w:val="auto"/>
              </w:rPr>
            </w:pPr>
          </w:p>
        </w:tc>
        <w:tc>
          <w:tcPr>
            <w:tcW w:w="9880" w:type="dxa"/>
            <w:vAlign w:val="bottom"/>
          </w:tcPr>
          <w:p>
            <w:pPr>
              <w:ind w:left="640"/>
              <w:spacing w:after="0"/>
              <w:rPr>
                <w:sz w:val="20"/>
                <w:szCs w:val="20"/>
                <w:color w:val="auto"/>
              </w:rPr>
            </w:pPr>
            <w:r>
              <w:rPr>
                <w:rFonts w:ascii="Arial" w:cs="Arial" w:eastAsia="Arial" w:hAnsi="Arial"/>
                <w:sz w:val="18"/>
                <w:szCs w:val="18"/>
                <w:color w:val="auto"/>
              </w:rPr>
              <w:t>Report on Form 8-K dated June 17, 2008, File No. 1-8649)</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4.2</w:t>
            </w:r>
          </w:p>
        </w:tc>
        <w:tc>
          <w:tcPr>
            <w:tcW w:w="9880" w:type="dxa"/>
            <w:vAlign w:val="bottom"/>
          </w:tcPr>
          <w:p>
            <w:pPr>
              <w:ind w:left="640"/>
              <w:spacing w:after="0"/>
              <w:rPr>
                <w:sz w:val="20"/>
                <w:szCs w:val="20"/>
                <w:color w:val="auto"/>
              </w:rPr>
            </w:pPr>
            <w:r>
              <w:rPr>
                <w:rFonts w:ascii="Arial" w:cs="Arial" w:eastAsia="Arial" w:hAnsi="Arial"/>
                <w:sz w:val="18"/>
                <w:szCs w:val="18"/>
                <w:color w:val="auto"/>
                <w:w w:val="92"/>
              </w:rPr>
              <w:t>Amended and Restated Bylaws of The Toro Company (incorporated by reference to Exhibit 3.2 to Registrant’s Current Report</w:t>
            </w:r>
          </w:p>
        </w:tc>
      </w:tr>
      <w:tr>
        <w:trPr>
          <w:trHeight w:val="216"/>
        </w:trPr>
        <w:tc>
          <w:tcPr>
            <w:tcW w:w="1540" w:type="dxa"/>
            <w:vAlign w:val="bottom"/>
          </w:tcPr>
          <w:p>
            <w:pPr>
              <w:spacing w:after="0"/>
              <w:rPr>
                <w:sz w:val="18"/>
                <w:szCs w:val="18"/>
                <w:color w:val="auto"/>
              </w:rPr>
            </w:pPr>
          </w:p>
        </w:tc>
        <w:tc>
          <w:tcPr>
            <w:tcW w:w="9880" w:type="dxa"/>
            <w:vAlign w:val="bottom"/>
          </w:tcPr>
          <w:p>
            <w:pPr>
              <w:ind w:left="640"/>
              <w:spacing w:after="0"/>
              <w:rPr>
                <w:sz w:val="20"/>
                <w:szCs w:val="20"/>
                <w:color w:val="auto"/>
              </w:rPr>
            </w:pPr>
            <w:r>
              <w:rPr>
                <w:rFonts w:ascii="Arial" w:cs="Arial" w:eastAsia="Arial" w:hAnsi="Arial"/>
                <w:sz w:val="18"/>
                <w:szCs w:val="18"/>
                <w:color w:val="auto"/>
              </w:rPr>
              <w:t>on Form 8-K dated June 17, 2008, File No. 1-8649).</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4.3</w:t>
            </w:r>
          </w:p>
        </w:tc>
        <w:tc>
          <w:tcPr>
            <w:tcW w:w="9880" w:type="dxa"/>
            <w:vAlign w:val="bottom"/>
          </w:tcPr>
          <w:p>
            <w:pPr>
              <w:ind w:left="640"/>
              <w:spacing w:after="0"/>
              <w:rPr>
                <w:sz w:val="20"/>
                <w:szCs w:val="20"/>
                <w:color w:val="auto"/>
              </w:rPr>
            </w:pPr>
            <w:r>
              <w:rPr>
                <w:rFonts w:ascii="Arial" w:cs="Arial" w:eastAsia="Arial" w:hAnsi="Arial"/>
                <w:sz w:val="18"/>
                <w:szCs w:val="18"/>
                <w:color w:val="auto"/>
                <w:w w:val="94"/>
              </w:rPr>
              <w:t>Specimen Form of Common Stock Certificate (incorporated by reference to Exhibit 4(c) to Registrant’s Quarterly Report on</w:t>
            </w:r>
          </w:p>
        </w:tc>
      </w:tr>
      <w:tr>
        <w:trPr>
          <w:trHeight w:val="216"/>
        </w:trPr>
        <w:tc>
          <w:tcPr>
            <w:tcW w:w="1540" w:type="dxa"/>
            <w:vAlign w:val="bottom"/>
          </w:tcPr>
          <w:p>
            <w:pPr>
              <w:spacing w:after="0"/>
              <w:rPr>
                <w:sz w:val="18"/>
                <w:szCs w:val="18"/>
                <w:color w:val="auto"/>
              </w:rPr>
            </w:pPr>
          </w:p>
        </w:tc>
        <w:tc>
          <w:tcPr>
            <w:tcW w:w="9880" w:type="dxa"/>
            <w:vAlign w:val="bottom"/>
          </w:tcPr>
          <w:p>
            <w:pPr>
              <w:ind w:left="640"/>
              <w:spacing w:after="0"/>
              <w:rPr>
                <w:sz w:val="20"/>
                <w:szCs w:val="20"/>
                <w:color w:val="auto"/>
              </w:rPr>
            </w:pPr>
            <w:r>
              <w:rPr>
                <w:rFonts w:ascii="Arial" w:cs="Arial" w:eastAsia="Arial" w:hAnsi="Arial"/>
                <w:sz w:val="18"/>
                <w:szCs w:val="18"/>
                <w:color w:val="auto"/>
              </w:rPr>
              <w:t>Form 10-Q for the quarter ended August 1, 2008, File No. 1-8649).</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4.4</w:t>
            </w:r>
          </w:p>
        </w:tc>
        <w:tc>
          <w:tcPr>
            <w:tcW w:w="9880" w:type="dxa"/>
            <w:vAlign w:val="bottom"/>
          </w:tcPr>
          <w:p>
            <w:pPr>
              <w:ind w:left="640"/>
              <w:spacing w:after="0"/>
              <w:rPr>
                <w:sz w:val="20"/>
                <w:szCs w:val="20"/>
                <w:color w:val="auto"/>
              </w:rPr>
            </w:pPr>
            <w:r>
              <w:rPr>
                <w:rFonts w:ascii="Arial" w:cs="Arial" w:eastAsia="Arial" w:hAnsi="Arial"/>
                <w:sz w:val="18"/>
                <w:szCs w:val="18"/>
                <w:color w:val="auto"/>
                <w:w w:val="89"/>
              </w:rPr>
              <w:t>Indenture dated as of January 31, 1997, between The Toro Company and First National Trust Association, as Trustee, relating to</w:t>
            </w:r>
          </w:p>
        </w:tc>
      </w:tr>
      <w:tr>
        <w:trPr>
          <w:trHeight w:val="216"/>
        </w:trPr>
        <w:tc>
          <w:tcPr>
            <w:tcW w:w="1540" w:type="dxa"/>
            <w:vAlign w:val="bottom"/>
          </w:tcPr>
          <w:p>
            <w:pPr>
              <w:spacing w:after="0"/>
              <w:rPr>
                <w:sz w:val="18"/>
                <w:szCs w:val="18"/>
                <w:color w:val="auto"/>
              </w:rPr>
            </w:pPr>
          </w:p>
        </w:tc>
        <w:tc>
          <w:tcPr>
            <w:tcW w:w="9880" w:type="dxa"/>
            <w:vAlign w:val="bottom"/>
          </w:tcPr>
          <w:p>
            <w:pPr>
              <w:ind w:left="640"/>
              <w:spacing w:after="0"/>
              <w:rPr>
                <w:sz w:val="20"/>
                <w:szCs w:val="20"/>
                <w:color w:val="auto"/>
              </w:rPr>
            </w:pPr>
            <w:r>
              <w:rPr>
                <w:rFonts w:ascii="Arial" w:cs="Arial" w:eastAsia="Arial" w:hAnsi="Arial"/>
                <w:sz w:val="18"/>
                <w:szCs w:val="18"/>
                <w:color w:val="auto"/>
                <w:w w:val="92"/>
              </w:rPr>
              <w:t>The Toro Company’s 7.80% Debentures due June 15, 2027 (incorporated by reference to Exhibit 4(a) to Registrant’s Current</w:t>
            </w:r>
          </w:p>
        </w:tc>
      </w:tr>
      <w:tr>
        <w:trPr>
          <w:trHeight w:val="216"/>
        </w:trPr>
        <w:tc>
          <w:tcPr>
            <w:tcW w:w="1540" w:type="dxa"/>
            <w:vAlign w:val="bottom"/>
          </w:tcPr>
          <w:p>
            <w:pPr>
              <w:spacing w:after="0"/>
              <w:rPr>
                <w:sz w:val="18"/>
                <w:szCs w:val="18"/>
                <w:color w:val="auto"/>
              </w:rPr>
            </w:pPr>
          </w:p>
        </w:tc>
        <w:tc>
          <w:tcPr>
            <w:tcW w:w="9880" w:type="dxa"/>
            <w:vAlign w:val="bottom"/>
          </w:tcPr>
          <w:p>
            <w:pPr>
              <w:ind w:left="640"/>
              <w:spacing w:after="0"/>
              <w:rPr>
                <w:sz w:val="20"/>
                <w:szCs w:val="20"/>
                <w:color w:val="auto"/>
              </w:rPr>
            </w:pPr>
            <w:r>
              <w:rPr>
                <w:rFonts w:ascii="Arial" w:cs="Arial" w:eastAsia="Arial" w:hAnsi="Arial"/>
                <w:sz w:val="18"/>
                <w:szCs w:val="18"/>
                <w:color w:val="auto"/>
              </w:rPr>
              <w:t>Report on Form 8-K dated June 24, 1997, File No. 1-8649).</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4.5</w:t>
            </w:r>
          </w:p>
        </w:tc>
        <w:tc>
          <w:tcPr>
            <w:tcW w:w="9880" w:type="dxa"/>
            <w:vAlign w:val="bottom"/>
          </w:tcPr>
          <w:p>
            <w:pPr>
              <w:ind w:left="640"/>
              <w:spacing w:after="0"/>
              <w:rPr>
                <w:sz w:val="20"/>
                <w:szCs w:val="20"/>
                <w:color w:val="auto"/>
              </w:rPr>
            </w:pPr>
            <w:r>
              <w:rPr>
                <w:rFonts w:ascii="Arial" w:cs="Arial" w:eastAsia="Arial" w:hAnsi="Arial"/>
                <w:sz w:val="18"/>
                <w:szCs w:val="18"/>
                <w:color w:val="auto"/>
                <w:w w:val="91"/>
              </w:rPr>
              <w:t>Indenture dated as of April 20, 2007, between The Toro Company, as issuer, and The Bank of New York Trust Company, N.A.,</w:t>
            </w:r>
          </w:p>
        </w:tc>
      </w:tr>
      <w:tr>
        <w:trPr>
          <w:trHeight w:val="216"/>
        </w:trPr>
        <w:tc>
          <w:tcPr>
            <w:tcW w:w="1540" w:type="dxa"/>
            <w:vAlign w:val="bottom"/>
          </w:tcPr>
          <w:p>
            <w:pPr>
              <w:spacing w:after="0"/>
              <w:rPr>
                <w:sz w:val="18"/>
                <w:szCs w:val="18"/>
                <w:color w:val="auto"/>
              </w:rPr>
            </w:pPr>
          </w:p>
        </w:tc>
        <w:tc>
          <w:tcPr>
            <w:tcW w:w="9880" w:type="dxa"/>
            <w:vAlign w:val="bottom"/>
          </w:tcPr>
          <w:p>
            <w:pPr>
              <w:ind w:left="640"/>
              <w:spacing w:after="0"/>
              <w:rPr>
                <w:sz w:val="20"/>
                <w:szCs w:val="20"/>
                <w:color w:val="auto"/>
              </w:rPr>
            </w:pPr>
            <w:r>
              <w:rPr>
                <w:rFonts w:ascii="Arial" w:cs="Arial" w:eastAsia="Arial" w:hAnsi="Arial"/>
                <w:sz w:val="18"/>
                <w:szCs w:val="18"/>
                <w:color w:val="auto"/>
                <w:w w:val="97"/>
              </w:rPr>
              <w:t>as Trustee, relating to The Toro Company’s 6.625% Notes due May 1, 2037 (incorporated by reference to Exhibit 4.3 to</w:t>
            </w:r>
          </w:p>
        </w:tc>
      </w:tr>
      <w:tr>
        <w:trPr>
          <w:trHeight w:val="216"/>
        </w:trPr>
        <w:tc>
          <w:tcPr>
            <w:tcW w:w="1540" w:type="dxa"/>
            <w:vAlign w:val="bottom"/>
          </w:tcPr>
          <w:p>
            <w:pPr>
              <w:spacing w:after="0"/>
              <w:rPr>
                <w:sz w:val="18"/>
                <w:szCs w:val="18"/>
                <w:color w:val="auto"/>
              </w:rPr>
            </w:pPr>
          </w:p>
        </w:tc>
        <w:tc>
          <w:tcPr>
            <w:tcW w:w="9880" w:type="dxa"/>
            <w:vAlign w:val="bottom"/>
          </w:tcPr>
          <w:p>
            <w:pPr>
              <w:ind w:left="640"/>
              <w:spacing w:after="0"/>
              <w:rPr>
                <w:sz w:val="20"/>
                <w:szCs w:val="20"/>
                <w:color w:val="auto"/>
              </w:rPr>
            </w:pPr>
            <w:r>
              <w:rPr>
                <w:rFonts w:ascii="Arial" w:cs="Arial" w:eastAsia="Arial" w:hAnsi="Arial"/>
                <w:sz w:val="18"/>
                <w:szCs w:val="18"/>
                <w:color w:val="auto"/>
                <w:w w:val="97"/>
              </w:rPr>
              <w:t>Registrant’s Registration Statement on Form S-3 as filed with the Commission on April 23, 2007, Registration No. 333-</w:t>
            </w:r>
          </w:p>
        </w:tc>
      </w:tr>
      <w:tr>
        <w:trPr>
          <w:trHeight w:val="216"/>
        </w:trPr>
        <w:tc>
          <w:tcPr>
            <w:tcW w:w="1540" w:type="dxa"/>
            <w:vAlign w:val="bottom"/>
          </w:tcPr>
          <w:p>
            <w:pPr>
              <w:spacing w:after="0"/>
              <w:rPr>
                <w:sz w:val="18"/>
                <w:szCs w:val="18"/>
                <w:color w:val="auto"/>
              </w:rPr>
            </w:pPr>
          </w:p>
        </w:tc>
        <w:tc>
          <w:tcPr>
            <w:tcW w:w="9880" w:type="dxa"/>
            <w:vAlign w:val="bottom"/>
          </w:tcPr>
          <w:p>
            <w:pPr>
              <w:ind w:left="640"/>
              <w:spacing w:after="0"/>
              <w:rPr>
                <w:sz w:val="20"/>
                <w:szCs w:val="20"/>
                <w:color w:val="auto"/>
              </w:rPr>
            </w:pPr>
            <w:r>
              <w:rPr>
                <w:rFonts w:ascii="Arial" w:cs="Arial" w:eastAsia="Arial" w:hAnsi="Arial"/>
                <w:sz w:val="18"/>
                <w:szCs w:val="18"/>
                <w:color w:val="auto"/>
              </w:rPr>
              <w:t>142282).</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4.6</w:t>
            </w:r>
          </w:p>
        </w:tc>
        <w:tc>
          <w:tcPr>
            <w:tcW w:w="9880" w:type="dxa"/>
            <w:vAlign w:val="bottom"/>
          </w:tcPr>
          <w:p>
            <w:pPr>
              <w:ind w:left="640"/>
              <w:spacing w:after="0"/>
              <w:rPr>
                <w:sz w:val="20"/>
                <w:szCs w:val="20"/>
                <w:color w:val="auto"/>
              </w:rPr>
            </w:pPr>
            <w:r>
              <w:rPr>
                <w:rFonts w:ascii="Arial" w:cs="Arial" w:eastAsia="Arial" w:hAnsi="Arial"/>
                <w:sz w:val="18"/>
                <w:szCs w:val="18"/>
                <w:color w:val="auto"/>
                <w:w w:val="93"/>
              </w:rPr>
              <w:t>First Supplemental Indenture dated as of April 26, 2007, between The Toro Company, as issuer, and The Bank of New York</w:t>
            </w:r>
          </w:p>
        </w:tc>
      </w:tr>
      <w:tr>
        <w:trPr>
          <w:trHeight w:val="216"/>
        </w:trPr>
        <w:tc>
          <w:tcPr>
            <w:tcW w:w="1540" w:type="dxa"/>
            <w:vAlign w:val="bottom"/>
          </w:tcPr>
          <w:p>
            <w:pPr>
              <w:spacing w:after="0"/>
              <w:rPr>
                <w:sz w:val="18"/>
                <w:szCs w:val="18"/>
                <w:color w:val="auto"/>
              </w:rPr>
            </w:pPr>
          </w:p>
        </w:tc>
        <w:tc>
          <w:tcPr>
            <w:tcW w:w="9880" w:type="dxa"/>
            <w:vAlign w:val="bottom"/>
          </w:tcPr>
          <w:p>
            <w:pPr>
              <w:ind w:left="640"/>
              <w:spacing w:after="0"/>
              <w:rPr>
                <w:sz w:val="20"/>
                <w:szCs w:val="20"/>
                <w:color w:val="auto"/>
              </w:rPr>
            </w:pPr>
            <w:r>
              <w:rPr>
                <w:rFonts w:ascii="Arial" w:cs="Arial" w:eastAsia="Arial" w:hAnsi="Arial"/>
                <w:sz w:val="18"/>
                <w:szCs w:val="18"/>
                <w:color w:val="auto"/>
                <w:w w:val="90"/>
              </w:rPr>
              <w:t>Trust Company, N.A., as Trustee, relating to The Toro Company’s 6.625% Notes due May 1, 2037 (incorporated by reference to</w:t>
            </w:r>
          </w:p>
        </w:tc>
      </w:tr>
      <w:tr>
        <w:trPr>
          <w:trHeight w:val="216"/>
        </w:trPr>
        <w:tc>
          <w:tcPr>
            <w:tcW w:w="1540" w:type="dxa"/>
            <w:vAlign w:val="bottom"/>
          </w:tcPr>
          <w:p>
            <w:pPr>
              <w:spacing w:after="0"/>
              <w:rPr>
                <w:sz w:val="18"/>
                <w:szCs w:val="18"/>
                <w:color w:val="auto"/>
              </w:rPr>
            </w:pPr>
          </w:p>
        </w:tc>
        <w:tc>
          <w:tcPr>
            <w:tcW w:w="9880" w:type="dxa"/>
            <w:vAlign w:val="bottom"/>
          </w:tcPr>
          <w:p>
            <w:pPr>
              <w:ind w:left="640"/>
              <w:spacing w:after="0"/>
              <w:rPr>
                <w:sz w:val="20"/>
                <w:szCs w:val="20"/>
                <w:color w:val="auto"/>
              </w:rPr>
            </w:pPr>
            <w:r>
              <w:rPr>
                <w:rFonts w:ascii="Arial" w:cs="Arial" w:eastAsia="Arial" w:hAnsi="Arial"/>
                <w:sz w:val="18"/>
                <w:szCs w:val="18"/>
                <w:color w:val="auto"/>
              </w:rPr>
              <w:t>Exhibit 4.1 to Registrant’s Current Report on Form 8-K dated April 23, 2007, File No. 1-8649).</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4.7</w:t>
            </w:r>
          </w:p>
        </w:tc>
        <w:tc>
          <w:tcPr>
            <w:tcW w:w="9880" w:type="dxa"/>
            <w:vAlign w:val="bottom"/>
          </w:tcPr>
          <w:p>
            <w:pPr>
              <w:ind w:left="640"/>
              <w:spacing w:after="0"/>
              <w:rPr>
                <w:sz w:val="20"/>
                <w:szCs w:val="20"/>
                <w:color w:val="auto"/>
              </w:rPr>
            </w:pPr>
            <w:r>
              <w:rPr>
                <w:rFonts w:ascii="Arial" w:cs="Arial" w:eastAsia="Arial" w:hAnsi="Arial"/>
                <w:sz w:val="18"/>
                <w:szCs w:val="18"/>
                <w:color w:val="auto"/>
                <w:w w:val="94"/>
              </w:rPr>
              <w:t>Form of The Toro Company 6.625% Note due May 1, 2037 (incorporated by reference to Exhibit 4.2 to Registrant’s Current</w:t>
            </w:r>
          </w:p>
        </w:tc>
      </w:tr>
      <w:tr>
        <w:trPr>
          <w:trHeight w:val="216"/>
        </w:trPr>
        <w:tc>
          <w:tcPr>
            <w:tcW w:w="1540" w:type="dxa"/>
            <w:vAlign w:val="bottom"/>
          </w:tcPr>
          <w:p>
            <w:pPr>
              <w:spacing w:after="0"/>
              <w:rPr>
                <w:sz w:val="18"/>
                <w:szCs w:val="18"/>
                <w:color w:val="auto"/>
              </w:rPr>
            </w:pPr>
          </w:p>
        </w:tc>
        <w:tc>
          <w:tcPr>
            <w:tcW w:w="9880" w:type="dxa"/>
            <w:vAlign w:val="bottom"/>
          </w:tcPr>
          <w:p>
            <w:pPr>
              <w:ind w:left="640"/>
              <w:spacing w:after="0"/>
              <w:rPr>
                <w:sz w:val="20"/>
                <w:szCs w:val="20"/>
                <w:color w:val="auto"/>
              </w:rPr>
            </w:pPr>
            <w:r>
              <w:rPr>
                <w:rFonts w:ascii="Arial" w:cs="Arial" w:eastAsia="Arial" w:hAnsi="Arial"/>
                <w:sz w:val="18"/>
                <w:szCs w:val="18"/>
                <w:color w:val="auto"/>
              </w:rPr>
              <w:t>Report on Form 8-K dated April 23, 2007, File No. 1-8649).</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5.1</w:t>
            </w:r>
          </w:p>
        </w:tc>
        <w:tc>
          <w:tcPr>
            <w:tcW w:w="9880" w:type="dxa"/>
            <w:vAlign w:val="bottom"/>
          </w:tcPr>
          <w:p>
            <w:pPr>
              <w:ind w:left="640"/>
              <w:spacing w:after="0"/>
              <w:rPr>
                <w:sz w:val="20"/>
                <w:szCs w:val="20"/>
                <w:color w:val="auto"/>
              </w:rPr>
            </w:pPr>
            <w:r>
              <w:rPr>
                <w:rFonts w:ascii="Arial" w:cs="Arial" w:eastAsia="Arial" w:hAnsi="Arial"/>
                <w:sz w:val="18"/>
                <w:szCs w:val="18"/>
                <w:color w:val="auto"/>
              </w:rPr>
              <w:t>Opinion of Counsel Regarding Legality (filed herewith)</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23.1</w:t>
            </w:r>
          </w:p>
        </w:tc>
        <w:tc>
          <w:tcPr>
            <w:tcW w:w="9880" w:type="dxa"/>
            <w:vAlign w:val="bottom"/>
          </w:tcPr>
          <w:p>
            <w:pPr>
              <w:ind w:left="640"/>
              <w:spacing w:after="0"/>
              <w:rPr>
                <w:sz w:val="20"/>
                <w:szCs w:val="20"/>
                <w:color w:val="auto"/>
              </w:rPr>
            </w:pPr>
            <w:r>
              <w:rPr>
                <w:rFonts w:ascii="Arial" w:cs="Arial" w:eastAsia="Arial" w:hAnsi="Arial"/>
                <w:sz w:val="18"/>
                <w:szCs w:val="18"/>
                <w:color w:val="auto"/>
              </w:rPr>
              <w:t>Consent of Counsel (included as part of Exhibit 5.1)</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23.2</w:t>
            </w:r>
          </w:p>
        </w:tc>
        <w:tc>
          <w:tcPr>
            <w:tcW w:w="9880" w:type="dxa"/>
            <w:vAlign w:val="bottom"/>
          </w:tcPr>
          <w:p>
            <w:pPr>
              <w:ind w:left="640"/>
              <w:spacing w:after="0"/>
              <w:rPr>
                <w:sz w:val="20"/>
                <w:szCs w:val="20"/>
                <w:color w:val="auto"/>
              </w:rPr>
            </w:pPr>
            <w:r>
              <w:rPr>
                <w:rFonts w:ascii="Arial" w:cs="Arial" w:eastAsia="Arial" w:hAnsi="Arial"/>
                <w:sz w:val="18"/>
                <w:szCs w:val="18"/>
                <w:color w:val="auto"/>
              </w:rPr>
              <w:t>Consent of KPMG LLP (filed herewith)</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24.1</w:t>
            </w:r>
          </w:p>
        </w:tc>
        <w:tc>
          <w:tcPr>
            <w:tcW w:w="9880" w:type="dxa"/>
            <w:vAlign w:val="bottom"/>
          </w:tcPr>
          <w:p>
            <w:pPr>
              <w:ind w:left="640"/>
              <w:spacing w:after="0"/>
              <w:rPr>
                <w:sz w:val="20"/>
                <w:szCs w:val="20"/>
                <w:color w:val="auto"/>
              </w:rPr>
            </w:pPr>
            <w:r>
              <w:rPr>
                <w:rFonts w:ascii="Arial" w:cs="Arial" w:eastAsia="Arial" w:hAnsi="Arial"/>
                <w:sz w:val="18"/>
                <w:szCs w:val="18"/>
                <w:color w:val="auto"/>
              </w:rPr>
              <w:t>Power of Attorney (filed herewith)</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99.1</w:t>
            </w:r>
          </w:p>
        </w:tc>
        <w:tc>
          <w:tcPr>
            <w:tcW w:w="9880" w:type="dxa"/>
            <w:vAlign w:val="bottom"/>
          </w:tcPr>
          <w:p>
            <w:pPr>
              <w:ind w:left="640"/>
              <w:spacing w:after="0"/>
              <w:rPr>
                <w:sz w:val="20"/>
                <w:szCs w:val="20"/>
                <w:color w:val="auto"/>
              </w:rPr>
            </w:pPr>
            <w:r>
              <w:rPr>
                <w:rFonts w:ascii="Arial" w:cs="Arial" w:eastAsia="Arial" w:hAnsi="Arial"/>
                <w:sz w:val="18"/>
                <w:szCs w:val="18"/>
                <w:color w:val="auto"/>
                <w:w w:val="93"/>
              </w:rPr>
              <w:t>The Toro Company 2010 Equity and Incentive Plan (incorporated by reference to Exhibit 10.1 to Registrant’s Current Report</w:t>
            </w:r>
          </w:p>
        </w:tc>
      </w:tr>
      <w:tr>
        <w:trPr>
          <w:trHeight w:val="230"/>
        </w:trPr>
        <w:tc>
          <w:tcPr>
            <w:tcW w:w="1540" w:type="dxa"/>
            <w:vAlign w:val="bottom"/>
          </w:tcPr>
          <w:p>
            <w:pPr>
              <w:spacing w:after="0"/>
              <w:rPr>
                <w:sz w:val="20"/>
                <w:szCs w:val="20"/>
                <w:color w:val="auto"/>
              </w:rPr>
            </w:pPr>
          </w:p>
        </w:tc>
        <w:tc>
          <w:tcPr>
            <w:tcW w:w="9880" w:type="dxa"/>
            <w:vAlign w:val="bottom"/>
          </w:tcPr>
          <w:p>
            <w:pPr>
              <w:ind w:left="640"/>
              <w:spacing w:after="0"/>
              <w:rPr>
                <w:sz w:val="20"/>
                <w:szCs w:val="20"/>
                <w:color w:val="auto"/>
              </w:rPr>
            </w:pPr>
            <w:r>
              <w:rPr>
                <w:rFonts w:ascii="Arial" w:cs="Arial" w:eastAsia="Arial" w:hAnsi="Arial"/>
                <w:sz w:val="18"/>
                <w:szCs w:val="18"/>
                <w:color w:val="auto"/>
              </w:rPr>
              <w:t>on Form 8-K dated March 19, 2010, File No. 1-8649)</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56" w:lineRule="exact"/>
        <w:rPr>
          <w:sz w:val="20"/>
          <w:szCs w:val="20"/>
          <w:color w:val="auto"/>
        </w:rPr>
      </w:pPr>
    </w:p>
    <w:p>
      <w:pPr>
        <w:ind w:left="1340" w:hanging="684"/>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63" w:lineRule="exact"/>
        <w:rPr>
          <w:rFonts w:ascii="Arial" w:cs="Arial" w:eastAsia="Arial" w:hAnsi="Arial"/>
          <w:sz w:val="17"/>
          <w:szCs w:val="17"/>
          <w:color w:val="auto"/>
        </w:rPr>
      </w:pPr>
    </w:p>
    <w:p>
      <w:pPr>
        <w:ind w:left="2620" w:hanging="667"/>
        <w:spacing w:after="0"/>
        <w:tabs>
          <w:tab w:leader="none" w:pos="26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 w:name="page5"/>
    <w:bookmarkEnd w:id="4"/>
    <w:p>
      <w:pPr>
        <w:ind w:left="1300" w:right="60" w:firstLine="653"/>
        <w:spacing w:after="0" w:line="272" w:lineRule="auto"/>
        <w:tabs>
          <w:tab w:leader="none" w:pos="2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204" w:lineRule="exact"/>
        <w:rPr>
          <w:rFonts w:ascii="Arial" w:cs="Arial" w:eastAsia="Arial" w:hAnsi="Arial"/>
          <w:sz w:val="17"/>
          <w:szCs w:val="17"/>
          <w:color w:val="auto"/>
        </w:rPr>
      </w:pPr>
    </w:p>
    <w:p>
      <w:pPr>
        <w:ind w:left="1300" w:right="140" w:firstLine="653"/>
        <w:spacing w:after="0" w:line="277" w:lineRule="auto"/>
        <w:tabs>
          <w:tab w:leader="none" w:pos="271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sz w:val="20"/>
          <w:szCs w:val="20"/>
          <w:color w:val="auto"/>
        </w:rPr>
      </w:pPr>
    </w:p>
    <w:p>
      <w:pPr>
        <w:ind w:left="660" w:right="100"/>
        <w:spacing w:after="0" w:line="312"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do not apply if the Registration Statement is on Form S-8, and the information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174" w:lineRule="exact"/>
        <w:rPr>
          <w:sz w:val="20"/>
          <w:szCs w:val="20"/>
          <w:color w:val="auto"/>
        </w:rPr>
      </w:pPr>
    </w:p>
    <w:p>
      <w:pPr>
        <w:ind w:left="660" w:firstLine="645"/>
        <w:spacing w:after="0" w:line="258" w:lineRule="auto"/>
        <w:tabs>
          <w:tab w:leader="none" w:pos="201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38" w:lineRule="exact"/>
        <w:rPr>
          <w:sz w:val="20"/>
          <w:szCs w:val="20"/>
          <w:color w:val="auto"/>
        </w:rPr>
      </w:pPr>
    </w:p>
    <w:p>
      <w:pPr>
        <w:ind w:left="660" w:right="20" w:firstLine="645"/>
        <w:spacing w:after="0" w:line="277" w:lineRule="auto"/>
        <w:tabs>
          <w:tab w:leader="none" w:pos="2071"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jc w:val="both"/>
        <w:ind w:right="20" w:firstLine="656"/>
        <w:spacing w:after="0" w:line="302" w:lineRule="auto"/>
        <w:tabs>
          <w:tab w:leader="none" w:pos="135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81" w:lineRule="exact"/>
        <w:rPr>
          <w:rFonts w:ascii="Arial" w:cs="Arial" w:eastAsia="Arial" w:hAnsi="Arial"/>
          <w:sz w:val="16"/>
          <w:szCs w:val="16"/>
          <w:color w:val="auto"/>
        </w:rPr>
      </w:pPr>
    </w:p>
    <w:p>
      <w:pPr>
        <w:ind w:right="40" w:firstLine="656"/>
        <w:spacing w:after="0" w:line="271" w:lineRule="auto"/>
        <w:tabs>
          <w:tab w:leader="none" w:pos="1343" w:val="left"/>
        </w:tabs>
        <w:numPr>
          <w:ilvl w:val="0"/>
          <w:numId w:val="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 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Bloomington, State of Minnesota, on March 19, 2010.</w:t>
      </w:r>
    </w:p>
    <w:p>
      <w:pPr>
        <w:spacing w:after="0" w:line="20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Timothy P. Dordell</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Timothy P. Dordell</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Vice President, Secretary and General Counsel</w:t>
      </w:r>
    </w:p>
    <w:p>
      <w:pPr>
        <w:spacing w:after="0" w:line="200" w:lineRule="exact"/>
        <w:rPr>
          <w:sz w:val="20"/>
          <w:szCs w:val="20"/>
          <w:color w:val="auto"/>
        </w:rPr>
      </w:pPr>
    </w:p>
    <w:p>
      <w:pPr>
        <w:spacing w:after="0" w:line="2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gridSpan w:val="4"/>
          </w:tcPr>
          <w:p>
            <w:pPr>
              <w:jc w:val="center"/>
              <w:ind w:right="1760"/>
              <w:spacing w:after="0"/>
              <w:rPr>
                <w:sz w:val="20"/>
                <w:szCs w:val="20"/>
                <w:color w:val="auto"/>
              </w:rPr>
            </w:pPr>
            <w:r>
              <w:rPr>
                <w:rFonts w:ascii="Arial" w:cs="Arial" w:eastAsia="Arial" w:hAnsi="Arial"/>
                <w:sz w:val="18"/>
                <w:szCs w:val="18"/>
                <w:b w:val="1"/>
                <w:bCs w:val="1"/>
                <w:color w:val="auto"/>
                <w:w w:val="91"/>
              </w:rPr>
              <w:t>Signature</w:t>
            </w:r>
          </w:p>
        </w:tc>
        <w:tc>
          <w:tcPr>
            <w:tcW w:w="450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Title</w:t>
            </w:r>
          </w:p>
        </w:tc>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Date</w:t>
            </w:r>
          </w:p>
        </w:tc>
      </w:tr>
      <w:tr>
        <w:trPr>
          <w:trHeight w:val="392"/>
        </w:trPr>
        <w:tc>
          <w:tcPr>
            <w:tcW w:w="1520" w:type="dxa"/>
            <w:vAlign w:val="bottom"/>
          </w:tcPr>
          <w:p>
            <w:pPr>
              <w:spacing w:after="0"/>
              <w:rPr>
                <w:sz w:val="24"/>
                <w:szCs w:val="24"/>
                <w:color w:val="auto"/>
              </w:rPr>
            </w:pPr>
          </w:p>
        </w:tc>
        <w:tc>
          <w:tcPr>
            <w:tcW w:w="3280" w:type="dxa"/>
            <w:vAlign w:val="bottom"/>
            <w:gridSpan w:val="7"/>
          </w:tcPr>
          <w:p>
            <w:pPr>
              <w:jc w:val="center"/>
              <w:ind w:right="1620"/>
              <w:spacing w:after="0"/>
              <w:rPr>
                <w:sz w:val="20"/>
                <w:szCs w:val="20"/>
                <w:color w:val="auto"/>
              </w:rPr>
            </w:pPr>
            <w:r>
              <w:rPr>
                <w:rFonts w:ascii="Arial" w:cs="Arial" w:eastAsia="Arial" w:hAnsi="Arial"/>
                <w:sz w:val="18"/>
                <w:szCs w:val="18"/>
                <w:color w:val="auto"/>
                <w:w w:val="93"/>
              </w:rPr>
              <w:t>/s/ Michael J. Hoffman</w:t>
            </w:r>
          </w:p>
        </w:tc>
        <w:tc>
          <w:tcPr>
            <w:tcW w:w="4500" w:type="dxa"/>
            <w:vAlign w:val="bottom"/>
          </w:tcPr>
          <w:p>
            <w:pPr>
              <w:jc w:val="center"/>
              <w:ind w:right="170"/>
              <w:spacing w:after="0"/>
              <w:rPr>
                <w:sz w:val="20"/>
                <w:szCs w:val="20"/>
                <w:color w:val="auto"/>
              </w:rPr>
            </w:pPr>
            <w:r>
              <w:rPr>
                <w:rFonts w:ascii="Arial" w:cs="Arial" w:eastAsia="Arial" w:hAnsi="Arial"/>
                <w:sz w:val="18"/>
                <w:szCs w:val="18"/>
                <w:color w:val="auto"/>
                <w:w w:val="90"/>
              </w:rPr>
              <w:t>Chairman of the Board, President and Chief Executive</w:t>
            </w:r>
          </w:p>
        </w:tc>
        <w:tc>
          <w:tcPr>
            <w:tcW w:w="2120" w:type="dxa"/>
            <w:vAlign w:val="bottom"/>
          </w:tcPr>
          <w:p>
            <w:pPr>
              <w:jc w:val="center"/>
              <w:ind w:right="90"/>
              <w:spacing w:after="0"/>
              <w:rPr>
                <w:sz w:val="20"/>
                <w:szCs w:val="20"/>
                <w:color w:val="auto"/>
              </w:rPr>
            </w:pPr>
            <w:r>
              <w:rPr>
                <w:rFonts w:ascii="Arial" w:cs="Arial" w:eastAsia="Arial" w:hAnsi="Arial"/>
                <w:sz w:val="18"/>
                <w:szCs w:val="18"/>
                <w:color w:val="auto"/>
                <w:w w:val="91"/>
              </w:rPr>
              <w:t>March 19, 2010</w:t>
            </w:r>
          </w:p>
        </w:tc>
      </w:tr>
      <w:tr>
        <w:trPr>
          <w:trHeight w:val="222"/>
        </w:trPr>
        <w:tc>
          <w:tcPr>
            <w:tcW w:w="1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4"/>
          </w:tcPr>
          <w:p>
            <w:pPr>
              <w:jc w:val="center"/>
              <w:ind w:right="100"/>
              <w:spacing w:after="0"/>
              <w:rPr>
                <w:sz w:val="20"/>
                <w:szCs w:val="20"/>
                <w:color w:val="auto"/>
              </w:rPr>
            </w:pPr>
            <w:r>
              <w:rPr>
                <w:rFonts w:ascii="Arial" w:cs="Arial" w:eastAsia="Arial" w:hAnsi="Arial"/>
                <w:sz w:val="18"/>
                <w:szCs w:val="18"/>
                <w:color w:val="auto"/>
                <w:w w:val="93"/>
              </w:rPr>
              <w:t>Michael J. Hoffman</w:t>
            </w:r>
          </w:p>
        </w:tc>
        <w:tc>
          <w:tcPr>
            <w:tcW w:w="1620" w:type="dxa"/>
            <w:vAlign w:val="bottom"/>
            <w:gridSpan w:val="2"/>
          </w:tcPr>
          <w:p>
            <w:pPr>
              <w:spacing w:after="0"/>
              <w:rPr>
                <w:sz w:val="19"/>
                <w:szCs w:val="19"/>
                <w:color w:val="auto"/>
              </w:rPr>
            </w:pPr>
          </w:p>
        </w:tc>
        <w:tc>
          <w:tcPr>
            <w:tcW w:w="4500" w:type="dxa"/>
            <w:vAlign w:val="bottom"/>
          </w:tcPr>
          <w:p>
            <w:pPr>
              <w:jc w:val="center"/>
              <w:ind w:right="190"/>
              <w:spacing w:after="0"/>
              <w:rPr>
                <w:sz w:val="20"/>
                <w:szCs w:val="20"/>
                <w:color w:val="auto"/>
              </w:rPr>
            </w:pPr>
            <w:r>
              <w:rPr>
                <w:rFonts w:ascii="Arial" w:cs="Arial" w:eastAsia="Arial" w:hAnsi="Arial"/>
                <w:sz w:val="18"/>
                <w:szCs w:val="18"/>
                <w:color w:val="auto"/>
                <w:w w:val="93"/>
              </w:rPr>
              <w:t>Officer and Director</w:t>
            </w:r>
          </w:p>
        </w:tc>
        <w:tc>
          <w:tcPr>
            <w:tcW w:w="2120" w:type="dxa"/>
            <w:vAlign w:val="bottom"/>
          </w:tcPr>
          <w:p>
            <w:pPr>
              <w:spacing w:after="0"/>
              <w:rPr>
                <w:sz w:val="19"/>
                <w:szCs w:val="19"/>
                <w:color w:val="auto"/>
              </w:rPr>
            </w:pPr>
          </w:p>
        </w:tc>
      </w:tr>
      <w:tr>
        <w:trPr>
          <w:trHeight w:val="230"/>
        </w:trPr>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500" w:type="dxa"/>
            <w:vAlign w:val="bottom"/>
          </w:tcPr>
          <w:p>
            <w:pPr>
              <w:jc w:val="center"/>
              <w:ind w:right="190"/>
              <w:spacing w:after="0"/>
              <w:rPr>
                <w:sz w:val="20"/>
                <w:szCs w:val="20"/>
                <w:color w:val="auto"/>
              </w:rPr>
            </w:pPr>
            <w:r>
              <w:rPr>
                <w:rFonts w:ascii="Arial" w:cs="Arial" w:eastAsia="Arial" w:hAnsi="Arial"/>
                <w:sz w:val="18"/>
                <w:szCs w:val="18"/>
                <w:color w:val="auto"/>
                <w:w w:val="94"/>
              </w:rPr>
              <w:t>(principal executive officer)</w:t>
            </w:r>
          </w:p>
        </w:tc>
        <w:tc>
          <w:tcPr>
            <w:tcW w:w="2120" w:type="dxa"/>
            <w:vAlign w:val="bottom"/>
          </w:tcPr>
          <w:p>
            <w:pPr>
              <w:spacing w:after="0"/>
              <w:rPr>
                <w:sz w:val="20"/>
                <w:szCs w:val="20"/>
                <w:color w:val="auto"/>
              </w:rPr>
            </w:pPr>
          </w:p>
        </w:tc>
      </w:tr>
      <w:tr>
        <w:trPr>
          <w:trHeight w:val="392"/>
        </w:trPr>
        <w:tc>
          <w:tcPr>
            <w:tcW w:w="1520" w:type="dxa"/>
            <w:vAlign w:val="bottom"/>
          </w:tcPr>
          <w:p>
            <w:pPr>
              <w:spacing w:after="0"/>
              <w:rPr>
                <w:sz w:val="24"/>
                <w:szCs w:val="24"/>
                <w:color w:val="auto"/>
              </w:rPr>
            </w:pPr>
          </w:p>
        </w:tc>
        <w:tc>
          <w:tcPr>
            <w:tcW w:w="3280" w:type="dxa"/>
            <w:vAlign w:val="bottom"/>
            <w:gridSpan w:val="7"/>
          </w:tcPr>
          <w:p>
            <w:pPr>
              <w:jc w:val="center"/>
              <w:ind w:right="1600"/>
              <w:spacing w:after="0"/>
              <w:rPr>
                <w:sz w:val="20"/>
                <w:szCs w:val="20"/>
                <w:color w:val="auto"/>
              </w:rPr>
            </w:pPr>
            <w:r>
              <w:rPr>
                <w:rFonts w:ascii="Arial" w:cs="Arial" w:eastAsia="Arial" w:hAnsi="Arial"/>
                <w:sz w:val="18"/>
                <w:szCs w:val="18"/>
                <w:color w:val="auto"/>
                <w:w w:val="87"/>
              </w:rPr>
              <w:t>/s/ Stephen P. Wolfe</w:t>
            </w:r>
          </w:p>
        </w:tc>
        <w:tc>
          <w:tcPr>
            <w:tcW w:w="4500" w:type="dxa"/>
            <w:vAlign w:val="bottom"/>
          </w:tcPr>
          <w:p>
            <w:pPr>
              <w:jc w:val="center"/>
              <w:ind w:right="170"/>
              <w:spacing w:after="0"/>
              <w:rPr>
                <w:sz w:val="20"/>
                <w:szCs w:val="20"/>
                <w:color w:val="auto"/>
              </w:rPr>
            </w:pPr>
            <w:r>
              <w:rPr>
                <w:rFonts w:ascii="Arial" w:cs="Arial" w:eastAsia="Arial" w:hAnsi="Arial"/>
                <w:sz w:val="18"/>
                <w:szCs w:val="18"/>
                <w:color w:val="auto"/>
                <w:w w:val="88"/>
              </w:rPr>
              <w:t>Vice President, Finance and</w:t>
            </w:r>
          </w:p>
        </w:tc>
        <w:tc>
          <w:tcPr>
            <w:tcW w:w="2120" w:type="dxa"/>
            <w:vAlign w:val="bottom"/>
          </w:tcPr>
          <w:p>
            <w:pPr>
              <w:jc w:val="center"/>
              <w:ind w:right="90"/>
              <w:spacing w:after="0"/>
              <w:rPr>
                <w:sz w:val="20"/>
                <w:szCs w:val="20"/>
                <w:color w:val="auto"/>
              </w:rPr>
            </w:pPr>
            <w:r>
              <w:rPr>
                <w:rFonts w:ascii="Arial" w:cs="Arial" w:eastAsia="Arial" w:hAnsi="Arial"/>
                <w:sz w:val="18"/>
                <w:szCs w:val="18"/>
                <w:color w:val="auto"/>
                <w:w w:val="91"/>
              </w:rPr>
              <w:t>March 19, 2010</w:t>
            </w:r>
          </w:p>
        </w:tc>
      </w:tr>
      <w:tr>
        <w:trPr>
          <w:trHeight w:val="222"/>
        </w:trPr>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Stephen P. Wolfe</w:t>
            </w:r>
          </w:p>
        </w:tc>
        <w:tc>
          <w:tcPr>
            <w:tcW w:w="1720" w:type="dxa"/>
            <w:vAlign w:val="bottom"/>
            <w:gridSpan w:val="3"/>
          </w:tcPr>
          <w:p>
            <w:pPr>
              <w:spacing w:after="0"/>
              <w:rPr>
                <w:sz w:val="19"/>
                <w:szCs w:val="19"/>
                <w:color w:val="auto"/>
              </w:rPr>
            </w:pPr>
          </w:p>
        </w:tc>
        <w:tc>
          <w:tcPr>
            <w:tcW w:w="4500" w:type="dxa"/>
            <w:vAlign w:val="bottom"/>
          </w:tcPr>
          <w:p>
            <w:pPr>
              <w:jc w:val="center"/>
              <w:ind w:right="170"/>
              <w:spacing w:after="0"/>
              <w:rPr>
                <w:sz w:val="20"/>
                <w:szCs w:val="20"/>
                <w:color w:val="auto"/>
              </w:rPr>
            </w:pPr>
            <w:r>
              <w:rPr>
                <w:rFonts w:ascii="Arial" w:cs="Arial" w:eastAsia="Arial" w:hAnsi="Arial"/>
                <w:sz w:val="18"/>
                <w:szCs w:val="18"/>
                <w:color w:val="auto"/>
                <w:w w:val="94"/>
              </w:rPr>
              <w:t>Chief Financial Officer</w:t>
            </w:r>
          </w:p>
        </w:tc>
        <w:tc>
          <w:tcPr>
            <w:tcW w:w="2120" w:type="dxa"/>
            <w:vAlign w:val="bottom"/>
          </w:tcPr>
          <w:p>
            <w:pPr>
              <w:spacing w:after="0"/>
              <w:rPr>
                <w:sz w:val="19"/>
                <w:szCs w:val="19"/>
                <w:color w:val="auto"/>
              </w:rPr>
            </w:pPr>
          </w:p>
        </w:tc>
      </w:tr>
      <w:tr>
        <w:trPr>
          <w:trHeight w:val="230"/>
        </w:trPr>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500" w:type="dxa"/>
            <w:vAlign w:val="bottom"/>
          </w:tcPr>
          <w:p>
            <w:pPr>
              <w:jc w:val="center"/>
              <w:ind w:right="170"/>
              <w:spacing w:after="0"/>
              <w:rPr>
                <w:sz w:val="20"/>
                <w:szCs w:val="20"/>
                <w:color w:val="auto"/>
              </w:rPr>
            </w:pPr>
            <w:r>
              <w:rPr>
                <w:rFonts w:ascii="Arial" w:cs="Arial" w:eastAsia="Arial" w:hAnsi="Arial"/>
                <w:sz w:val="18"/>
                <w:szCs w:val="18"/>
                <w:color w:val="auto"/>
                <w:w w:val="96"/>
              </w:rPr>
              <w:t>(principal financial officer)</w:t>
            </w:r>
          </w:p>
        </w:tc>
        <w:tc>
          <w:tcPr>
            <w:tcW w:w="2120" w:type="dxa"/>
            <w:vAlign w:val="bottom"/>
          </w:tcPr>
          <w:p>
            <w:pPr>
              <w:spacing w:after="0"/>
              <w:rPr>
                <w:sz w:val="20"/>
                <w:szCs w:val="20"/>
                <w:color w:val="auto"/>
              </w:rPr>
            </w:pPr>
          </w:p>
        </w:tc>
      </w:tr>
      <w:tr>
        <w:trPr>
          <w:trHeight w:val="392"/>
        </w:trPr>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gridSpan w:val="4"/>
          </w:tcPr>
          <w:p>
            <w:pPr>
              <w:spacing w:after="0"/>
              <w:rPr>
                <w:sz w:val="20"/>
                <w:szCs w:val="20"/>
                <w:color w:val="auto"/>
              </w:rPr>
            </w:pPr>
            <w:r>
              <w:rPr>
                <w:rFonts w:ascii="Arial" w:cs="Arial" w:eastAsia="Arial" w:hAnsi="Arial"/>
                <w:sz w:val="18"/>
                <w:szCs w:val="18"/>
                <w:color w:val="auto"/>
              </w:rPr>
              <w:t>/s/ Blake M. Grams</w:t>
            </w:r>
          </w:p>
        </w:tc>
        <w:tc>
          <w:tcPr>
            <w:tcW w:w="4500" w:type="dxa"/>
            <w:vAlign w:val="bottom"/>
          </w:tcPr>
          <w:p>
            <w:pPr>
              <w:jc w:val="center"/>
              <w:ind w:right="170"/>
              <w:spacing w:after="0"/>
              <w:rPr>
                <w:sz w:val="20"/>
                <w:szCs w:val="20"/>
                <w:color w:val="auto"/>
              </w:rPr>
            </w:pPr>
            <w:r>
              <w:rPr>
                <w:rFonts w:ascii="Arial" w:cs="Arial" w:eastAsia="Arial" w:hAnsi="Arial"/>
                <w:sz w:val="18"/>
                <w:szCs w:val="18"/>
                <w:color w:val="auto"/>
                <w:w w:val="89"/>
              </w:rPr>
              <w:t>Vice President,</w:t>
            </w:r>
          </w:p>
        </w:tc>
        <w:tc>
          <w:tcPr>
            <w:tcW w:w="2120" w:type="dxa"/>
            <w:vAlign w:val="bottom"/>
          </w:tcPr>
          <w:p>
            <w:pPr>
              <w:jc w:val="center"/>
              <w:ind w:right="90"/>
              <w:spacing w:after="0"/>
              <w:rPr>
                <w:sz w:val="20"/>
                <w:szCs w:val="20"/>
                <w:color w:val="auto"/>
              </w:rPr>
            </w:pPr>
            <w:r>
              <w:rPr>
                <w:rFonts w:ascii="Arial" w:cs="Arial" w:eastAsia="Arial" w:hAnsi="Arial"/>
                <w:sz w:val="18"/>
                <w:szCs w:val="18"/>
                <w:color w:val="auto"/>
                <w:w w:val="91"/>
              </w:rPr>
              <w:t>March 19, 2010</w:t>
            </w:r>
          </w:p>
        </w:tc>
      </w:tr>
      <w:tr>
        <w:trPr>
          <w:trHeight w:val="222"/>
        </w:trPr>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Blake M. Grams</w:t>
            </w:r>
          </w:p>
        </w:tc>
        <w:tc>
          <w:tcPr>
            <w:tcW w:w="1720" w:type="dxa"/>
            <w:vAlign w:val="bottom"/>
            <w:gridSpan w:val="3"/>
          </w:tcPr>
          <w:p>
            <w:pPr>
              <w:spacing w:after="0"/>
              <w:rPr>
                <w:sz w:val="19"/>
                <w:szCs w:val="19"/>
                <w:color w:val="auto"/>
              </w:rPr>
            </w:pPr>
          </w:p>
        </w:tc>
        <w:tc>
          <w:tcPr>
            <w:tcW w:w="4500" w:type="dxa"/>
            <w:vAlign w:val="bottom"/>
          </w:tcPr>
          <w:p>
            <w:pPr>
              <w:jc w:val="center"/>
              <w:ind w:right="190"/>
              <w:spacing w:after="0"/>
              <w:rPr>
                <w:sz w:val="20"/>
                <w:szCs w:val="20"/>
                <w:color w:val="auto"/>
              </w:rPr>
            </w:pPr>
            <w:r>
              <w:rPr>
                <w:rFonts w:ascii="Arial" w:cs="Arial" w:eastAsia="Arial" w:hAnsi="Arial"/>
                <w:sz w:val="18"/>
                <w:szCs w:val="18"/>
                <w:color w:val="auto"/>
                <w:w w:val="91"/>
              </w:rPr>
              <w:t>Corporate Controller</w:t>
            </w:r>
          </w:p>
        </w:tc>
        <w:tc>
          <w:tcPr>
            <w:tcW w:w="2120" w:type="dxa"/>
            <w:vAlign w:val="bottom"/>
          </w:tcPr>
          <w:p>
            <w:pPr>
              <w:spacing w:after="0"/>
              <w:rPr>
                <w:sz w:val="19"/>
                <w:szCs w:val="19"/>
                <w:color w:val="auto"/>
              </w:rPr>
            </w:pPr>
          </w:p>
        </w:tc>
      </w:tr>
      <w:tr>
        <w:trPr>
          <w:trHeight w:val="230"/>
        </w:trPr>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500" w:type="dxa"/>
            <w:vAlign w:val="bottom"/>
          </w:tcPr>
          <w:p>
            <w:pPr>
              <w:jc w:val="center"/>
              <w:ind w:right="170"/>
              <w:spacing w:after="0"/>
              <w:rPr>
                <w:sz w:val="20"/>
                <w:szCs w:val="20"/>
                <w:color w:val="auto"/>
              </w:rPr>
            </w:pPr>
            <w:r>
              <w:rPr>
                <w:rFonts w:ascii="Arial" w:cs="Arial" w:eastAsia="Arial" w:hAnsi="Arial"/>
                <w:sz w:val="18"/>
                <w:szCs w:val="18"/>
                <w:color w:val="auto"/>
                <w:w w:val="94"/>
              </w:rPr>
              <w:t>(principal accounting officer)</w:t>
            </w:r>
          </w:p>
        </w:tc>
        <w:tc>
          <w:tcPr>
            <w:tcW w:w="2120" w:type="dxa"/>
            <w:vAlign w:val="bottom"/>
          </w:tcPr>
          <w:p>
            <w:pPr>
              <w:spacing w:after="0"/>
              <w:rPr>
                <w:sz w:val="20"/>
                <w:szCs w:val="20"/>
                <w:color w:val="auto"/>
              </w:rPr>
            </w:pPr>
          </w:p>
        </w:tc>
      </w:tr>
      <w:tr>
        <w:trPr>
          <w:trHeight w:val="392"/>
        </w:trPr>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/s/ Timothy P. Dordell</w:t>
            </w:r>
          </w:p>
        </w:tc>
        <w:tc>
          <w:tcPr>
            <w:tcW w:w="1540" w:type="dxa"/>
            <w:vAlign w:val="bottom"/>
          </w:tcPr>
          <w:p>
            <w:pPr>
              <w:spacing w:after="0"/>
              <w:rPr>
                <w:sz w:val="24"/>
                <w:szCs w:val="24"/>
                <w:color w:val="auto"/>
              </w:rPr>
            </w:pPr>
          </w:p>
        </w:tc>
        <w:tc>
          <w:tcPr>
            <w:tcW w:w="4500" w:type="dxa"/>
            <w:vAlign w:val="bottom"/>
          </w:tcPr>
          <w:p>
            <w:pPr>
              <w:jc w:val="center"/>
              <w:ind w:right="170"/>
              <w:spacing w:after="0"/>
              <w:rPr>
                <w:sz w:val="20"/>
                <w:szCs w:val="20"/>
                <w:color w:val="auto"/>
              </w:rPr>
            </w:pPr>
            <w:r>
              <w:rPr>
                <w:rFonts w:ascii="Arial" w:cs="Arial" w:eastAsia="Arial" w:hAnsi="Arial"/>
                <w:sz w:val="18"/>
                <w:szCs w:val="18"/>
                <w:color w:val="auto"/>
                <w:w w:val="94"/>
              </w:rPr>
              <w:t>Directors</w:t>
            </w:r>
          </w:p>
        </w:tc>
        <w:tc>
          <w:tcPr>
            <w:tcW w:w="2120" w:type="dxa"/>
            <w:vAlign w:val="bottom"/>
          </w:tcPr>
          <w:p>
            <w:pPr>
              <w:jc w:val="center"/>
              <w:ind w:right="90"/>
              <w:spacing w:after="0"/>
              <w:rPr>
                <w:sz w:val="20"/>
                <w:szCs w:val="20"/>
                <w:color w:val="auto"/>
              </w:rPr>
            </w:pPr>
            <w:r>
              <w:rPr>
                <w:rFonts w:ascii="Arial" w:cs="Arial" w:eastAsia="Arial" w:hAnsi="Arial"/>
                <w:sz w:val="18"/>
                <w:szCs w:val="18"/>
                <w:color w:val="auto"/>
                <w:w w:val="91"/>
              </w:rPr>
              <w:t>March 19, 2010</w:t>
            </w:r>
          </w:p>
        </w:tc>
      </w:tr>
      <w:tr>
        <w:trPr>
          <w:trHeight w:val="222"/>
        </w:trPr>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5"/>
          </w:tcPr>
          <w:p>
            <w:pPr>
              <w:jc w:val="center"/>
              <w:ind w:right="1760"/>
              <w:spacing w:after="0"/>
              <w:rPr>
                <w:sz w:val="20"/>
                <w:szCs w:val="20"/>
                <w:color w:val="auto"/>
              </w:rPr>
            </w:pPr>
            <w:r>
              <w:rPr>
                <w:rFonts w:ascii="Arial" w:cs="Arial" w:eastAsia="Arial" w:hAnsi="Arial"/>
                <w:sz w:val="18"/>
                <w:szCs w:val="18"/>
                <w:color w:val="auto"/>
                <w:w w:val="93"/>
              </w:rPr>
              <w:t>Timothy P. Dordell</w:t>
            </w:r>
          </w:p>
        </w:tc>
        <w:tc>
          <w:tcPr>
            <w:tcW w:w="45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6"/>
        </w:trPr>
        <w:tc>
          <w:tcPr>
            <w:tcW w:w="4800" w:type="dxa"/>
            <w:vAlign w:val="bottom"/>
            <w:gridSpan w:val="8"/>
          </w:tcPr>
          <w:p>
            <w:pPr>
              <w:spacing w:after="0"/>
              <w:rPr>
                <w:sz w:val="20"/>
                <w:szCs w:val="20"/>
                <w:color w:val="auto"/>
              </w:rPr>
            </w:pPr>
            <w:r>
              <w:rPr>
                <w:rFonts w:ascii="Arial" w:cs="Arial" w:eastAsia="Arial" w:hAnsi="Arial"/>
                <w:sz w:val="18"/>
                <w:szCs w:val="18"/>
                <w:color w:val="auto"/>
                <w:w w:val="96"/>
              </w:rPr>
              <w:t>As attorney in fact for Robert C. Buhrmaster, Janet K. Cooper,</w:t>
            </w:r>
          </w:p>
        </w:tc>
        <w:tc>
          <w:tcPr>
            <w:tcW w:w="45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4800" w:type="dxa"/>
            <w:vAlign w:val="bottom"/>
            <w:gridSpan w:val="8"/>
          </w:tcPr>
          <w:p>
            <w:pPr>
              <w:spacing w:after="0"/>
              <w:rPr>
                <w:sz w:val="20"/>
                <w:szCs w:val="20"/>
                <w:color w:val="auto"/>
              </w:rPr>
            </w:pPr>
            <w:r>
              <w:rPr>
                <w:rFonts w:ascii="Arial" w:cs="Arial" w:eastAsia="Arial" w:hAnsi="Arial"/>
                <w:sz w:val="18"/>
                <w:szCs w:val="18"/>
                <w:color w:val="auto"/>
                <w:w w:val="93"/>
              </w:rPr>
              <w:t>Gary L. Ellis, Katherine J. Harless, Robert H. Nassau, Gregg W.</w:t>
            </w:r>
          </w:p>
        </w:tc>
        <w:tc>
          <w:tcPr>
            <w:tcW w:w="45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30"/>
        </w:trPr>
        <w:tc>
          <w:tcPr>
            <w:tcW w:w="4800" w:type="dxa"/>
            <w:vAlign w:val="bottom"/>
            <w:gridSpan w:val="8"/>
          </w:tcPr>
          <w:p>
            <w:pPr>
              <w:spacing w:after="0"/>
              <w:rPr>
                <w:sz w:val="20"/>
                <w:szCs w:val="20"/>
                <w:color w:val="auto"/>
              </w:rPr>
            </w:pPr>
            <w:r>
              <w:rPr>
                <w:rFonts w:ascii="Arial" w:cs="Arial" w:eastAsia="Arial" w:hAnsi="Arial"/>
                <w:sz w:val="18"/>
                <w:szCs w:val="18"/>
                <w:color w:val="auto"/>
              </w:rPr>
              <w:t>Steinhafel, Inge G. Thulin and Christopher A. Twomey</w:t>
            </w:r>
          </w:p>
        </w:tc>
        <w:tc>
          <w:tcPr>
            <w:tcW w:w="45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824"/>
        </w:trPr>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500" w:type="dxa"/>
            <w:vAlign w:val="bottom"/>
          </w:tcPr>
          <w:p>
            <w:pPr>
              <w:jc w:val="right"/>
              <w:ind w:right="3450"/>
              <w:spacing w:after="0"/>
              <w:rPr>
                <w:sz w:val="20"/>
                <w:szCs w:val="20"/>
                <w:color w:val="auto"/>
              </w:rPr>
            </w:pPr>
            <w:r>
              <w:rPr>
                <w:rFonts w:ascii="Arial" w:cs="Arial" w:eastAsia="Arial" w:hAnsi="Arial"/>
                <w:sz w:val="18"/>
                <w:szCs w:val="18"/>
                <w:color w:val="auto"/>
              </w:rPr>
              <w:t>6</w:t>
            </w:r>
          </w:p>
        </w:tc>
        <w:tc>
          <w:tcPr>
            <w:tcW w:w="2120" w:type="dxa"/>
            <w:vAlign w:val="bottom"/>
          </w:tcPr>
          <w:p>
            <w:pPr>
              <w:spacing w:after="0"/>
              <w:rPr>
                <w:sz w:val="24"/>
                <w:szCs w:val="24"/>
                <w:color w:val="auto"/>
              </w:rPr>
            </w:pPr>
          </w:p>
        </w:tc>
      </w:tr>
      <w:tr>
        <w:trPr>
          <w:trHeight w:val="118"/>
        </w:trPr>
        <w:tc>
          <w:tcPr>
            <w:tcW w:w="1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360" w:type="dxa"/>
            <w:vAlign w:val="bottom"/>
            <w:gridSpan w:val="2"/>
          </w:tcPr>
          <w:p>
            <w:pPr>
              <w:ind w:left="404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5240" w:type="dxa"/>
            <w:vAlign w:val="bottom"/>
          </w:tcPr>
          <w:p>
            <w:pPr>
              <w:ind w:left="2120"/>
              <w:spacing w:after="0"/>
              <w:rPr>
                <w:sz w:val="20"/>
                <w:szCs w:val="20"/>
                <w:color w:val="auto"/>
              </w:rPr>
            </w:pPr>
            <w:r>
              <w:rPr>
                <w:rFonts w:ascii="Arial" w:cs="Arial" w:eastAsia="Arial" w:hAnsi="Arial"/>
                <w:sz w:val="18"/>
                <w:szCs w:val="18"/>
                <w:b w:val="1"/>
                <w:bCs w:val="1"/>
                <w:color w:val="auto"/>
              </w:rPr>
              <w:t>Description</w:t>
            </w:r>
          </w:p>
        </w:tc>
        <w:tc>
          <w:tcPr>
            <w:tcW w:w="512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Method of Filing</w:t>
            </w:r>
          </w:p>
        </w:tc>
      </w:tr>
      <w:tr>
        <w:trPr>
          <w:trHeight w:val="229"/>
        </w:trPr>
        <w:tc>
          <w:tcPr>
            <w:tcW w:w="9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240" w:type="dxa"/>
            <w:vAlign w:val="bottom"/>
          </w:tcPr>
          <w:p>
            <w:pPr>
              <w:ind w:left="20"/>
              <w:spacing w:after="0"/>
              <w:rPr>
                <w:sz w:val="20"/>
                <w:szCs w:val="20"/>
                <w:color w:val="auto"/>
              </w:rPr>
            </w:pPr>
            <w:r>
              <w:rPr>
                <w:rFonts w:ascii="Arial" w:cs="Arial" w:eastAsia="Arial" w:hAnsi="Arial"/>
                <w:sz w:val="18"/>
                <w:szCs w:val="18"/>
                <w:color w:val="auto"/>
              </w:rPr>
              <w:t>Restated Certificate of Incorporation of The Toro Company.</w:t>
            </w:r>
          </w:p>
        </w:tc>
        <w:tc>
          <w:tcPr>
            <w:tcW w:w="5120" w:type="dxa"/>
            <w:vAlign w:val="bottom"/>
          </w:tcPr>
          <w:p>
            <w:pPr>
              <w:jc w:val="center"/>
              <w:ind w:left="90"/>
              <w:spacing w:after="0"/>
              <w:rPr>
                <w:sz w:val="20"/>
                <w:szCs w:val="20"/>
                <w:color w:val="auto"/>
              </w:rPr>
            </w:pPr>
            <w:r>
              <w:rPr>
                <w:rFonts w:ascii="Arial" w:cs="Arial" w:eastAsia="Arial" w:hAnsi="Arial"/>
                <w:sz w:val="18"/>
                <w:szCs w:val="18"/>
                <w:color w:val="auto"/>
                <w:w w:val="91"/>
              </w:rPr>
              <w:t>Incorporated by reference to Exhibit 3.1 to Registrant’s Current</w:t>
            </w:r>
          </w:p>
        </w:tc>
      </w:tr>
      <w:tr>
        <w:trPr>
          <w:trHeight w:val="230"/>
        </w:trPr>
        <w:tc>
          <w:tcPr>
            <w:tcW w:w="9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120" w:type="dxa"/>
            <w:vAlign w:val="bottom"/>
          </w:tcPr>
          <w:p>
            <w:pPr>
              <w:jc w:val="center"/>
              <w:ind w:left="70"/>
              <w:spacing w:after="0"/>
              <w:rPr>
                <w:sz w:val="20"/>
                <w:szCs w:val="20"/>
                <w:color w:val="auto"/>
              </w:rPr>
            </w:pPr>
            <w:r>
              <w:rPr>
                <w:rFonts w:ascii="Arial" w:cs="Arial" w:eastAsia="Arial" w:hAnsi="Arial"/>
                <w:sz w:val="18"/>
                <w:szCs w:val="18"/>
                <w:color w:val="auto"/>
                <w:w w:val="90"/>
              </w:rPr>
              <w:t>Report on Form 8-K dated June 17, 2008, File No. 1-8649.</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240" w:type="dxa"/>
            <w:vAlign w:val="bottom"/>
          </w:tcPr>
          <w:p>
            <w:pPr>
              <w:ind w:left="20"/>
              <w:spacing w:after="0"/>
              <w:rPr>
                <w:sz w:val="20"/>
                <w:szCs w:val="20"/>
                <w:color w:val="auto"/>
              </w:rPr>
            </w:pPr>
            <w:r>
              <w:rPr>
                <w:rFonts w:ascii="Arial" w:cs="Arial" w:eastAsia="Arial" w:hAnsi="Arial"/>
                <w:sz w:val="18"/>
                <w:szCs w:val="18"/>
                <w:color w:val="auto"/>
              </w:rPr>
              <w:t>Amended and Restated Bylaws of The Toro Company.</w:t>
            </w:r>
          </w:p>
        </w:tc>
        <w:tc>
          <w:tcPr>
            <w:tcW w:w="5120" w:type="dxa"/>
            <w:vAlign w:val="bottom"/>
          </w:tcPr>
          <w:p>
            <w:pPr>
              <w:jc w:val="center"/>
              <w:ind w:left="90"/>
              <w:spacing w:after="0"/>
              <w:rPr>
                <w:sz w:val="20"/>
                <w:szCs w:val="20"/>
                <w:color w:val="auto"/>
              </w:rPr>
            </w:pPr>
            <w:r>
              <w:rPr>
                <w:rFonts w:ascii="Arial" w:cs="Arial" w:eastAsia="Arial" w:hAnsi="Arial"/>
                <w:sz w:val="18"/>
                <w:szCs w:val="18"/>
                <w:color w:val="auto"/>
                <w:w w:val="91"/>
              </w:rPr>
              <w:t>Incorporated by reference to Exhibit 3.2 to Registrant’s Current</w:t>
            </w:r>
          </w:p>
        </w:tc>
      </w:tr>
      <w:tr>
        <w:trPr>
          <w:trHeight w:val="230"/>
        </w:trPr>
        <w:tc>
          <w:tcPr>
            <w:tcW w:w="9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120" w:type="dxa"/>
            <w:vAlign w:val="bottom"/>
          </w:tcPr>
          <w:p>
            <w:pPr>
              <w:jc w:val="center"/>
              <w:ind w:left="70"/>
              <w:spacing w:after="0"/>
              <w:rPr>
                <w:sz w:val="20"/>
                <w:szCs w:val="20"/>
                <w:color w:val="auto"/>
              </w:rPr>
            </w:pPr>
            <w:r>
              <w:rPr>
                <w:rFonts w:ascii="Arial" w:cs="Arial" w:eastAsia="Arial" w:hAnsi="Arial"/>
                <w:sz w:val="18"/>
                <w:szCs w:val="18"/>
                <w:color w:val="auto"/>
                <w:w w:val="90"/>
              </w:rPr>
              <w:t>Report on Form 8-K dated June 17, 2008, File No. 1-8649.</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5240" w:type="dxa"/>
            <w:vAlign w:val="bottom"/>
          </w:tcPr>
          <w:p>
            <w:pPr>
              <w:ind w:left="20"/>
              <w:spacing w:after="0"/>
              <w:rPr>
                <w:sz w:val="20"/>
                <w:szCs w:val="20"/>
                <w:color w:val="auto"/>
              </w:rPr>
            </w:pPr>
            <w:r>
              <w:rPr>
                <w:rFonts w:ascii="Arial" w:cs="Arial" w:eastAsia="Arial" w:hAnsi="Arial"/>
                <w:sz w:val="18"/>
                <w:szCs w:val="18"/>
                <w:color w:val="auto"/>
              </w:rPr>
              <w:t>Specimen Form of Common Stock Certificate.</w:t>
            </w:r>
          </w:p>
        </w:tc>
        <w:tc>
          <w:tcPr>
            <w:tcW w:w="5120" w:type="dxa"/>
            <w:vAlign w:val="bottom"/>
          </w:tcPr>
          <w:p>
            <w:pPr>
              <w:jc w:val="center"/>
              <w:ind w:left="90"/>
              <w:spacing w:after="0"/>
              <w:rPr>
                <w:sz w:val="20"/>
                <w:szCs w:val="20"/>
                <w:color w:val="auto"/>
              </w:rPr>
            </w:pPr>
            <w:r>
              <w:rPr>
                <w:rFonts w:ascii="Arial" w:cs="Arial" w:eastAsia="Arial" w:hAnsi="Arial"/>
                <w:sz w:val="18"/>
                <w:szCs w:val="18"/>
                <w:color w:val="auto"/>
                <w:w w:val="91"/>
              </w:rPr>
              <w:t>Incorporated by reference to Exhibit 4(c) to Registrant’s Quarterly</w:t>
            </w:r>
          </w:p>
        </w:tc>
      </w:tr>
      <w:tr>
        <w:trPr>
          <w:trHeight w:val="216"/>
        </w:trPr>
        <w:tc>
          <w:tcPr>
            <w:tcW w:w="9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5120" w:type="dxa"/>
            <w:vAlign w:val="bottom"/>
          </w:tcPr>
          <w:p>
            <w:pPr>
              <w:jc w:val="center"/>
              <w:ind w:left="90"/>
              <w:spacing w:after="0"/>
              <w:rPr>
                <w:sz w:val="20"/>
                <w:szCs w:val="20"/>
                <w:color w:val="auto"/>
              </w:rPr>
            </w:pPr>
            <w:r>
              <w:rPr>
                <w:rFonts w:ascii="Arial" w:cs="Arial" w:eastAsia="Arial" w:hAnsi="Arial"/>
                <w:sz w:val="18"/>
                <w:szCs w:val="18"/>
                <w:color w:val="auto"/>
                <w:w w:val="91"/>
              </w:rPr>
              <w:t>Report on Form 10-Q for the quarter ended August 1, 2008, File No.</w:t>
            </w:r>
          </w:p>
        </w:tc>
      </w:tr>
      <w:tr>
        <w:trPr>
          <w:trHeight w:val="230"/>
        </w:trPr>
        <w:tc>
          <w:tcPr>
            <w:tcW w:w="9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120" w:type="dxa"/>
            <w:vAlign w:val="bottom"/>
          </w:tcPr>
          <w:p>
            <w:pPr>
              <w:jc w:val="center"/>
              <w:ind w:left="90"/>
              <w:spacing w:after="0"/>
              <w:rPr>
                <w:sz w:val="20"/>
                <w:szCs w:val="20"/>
                <w:color w:val="auto"/>
              </w:rPr>
            </w:pPr>
            <w:r>
              <w:rPr>
                <w:rFonts w:ascii="Arial" w:cs="Arial" w:eastAsia="Arial" w:hAnsi="Arial"/>
                <w:sz w:val="18"/>
                <w:szCs w:val="18"/>
                <w:color w:val="auto"/>
                <w:w w:val="88"/>
              </w:rPr>
              <w:t>1-8649.</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5240" w:type="dxa"/>
            <w:vAlign w:val="bottom"/>
          </w:tcPr>
          <w:p>
            <w:pPr>
              <w:ind w:left="20"/>
              <w:spacing w:after="0"/>
              <w:rPr>
                <w:sz w:val="20"/>
                <w:szCs w:val="20"/>
                <w:color w:val="auto"/>
              </w:rPr>
            </w:pPr>
            <w:r>
              <w:rPr>
                <w:rFonts w:ascii="Arial" w:cs="Arial" w:eastAsia="Arial" w:hAnsi="Arial"/>
                <w:sz w:val="18"/>
                <w:szCs w:val="18"/>
                <w:color w:val="auto"/>
                <w:w w:val="94"/>
              </w:rPr>
              <w:t>Indenture dated as of January 31, 1997, between The Toro Company</w:t>
            </w:r>
          </w:p>
        </w:tc>
        <w:tc>
          <w:tcPr>
            <w:tcW w:w="5120" w:type="dxa"/>
            <w:vAlign w:val="bottom"/>
          </w:tcPr>
          <w:p>
            <w:pPr>
              <w:jc w:val="center"/>
              <w:ind w:left="70"/>
              <w:spacing w:after="0"/>
              <w:rPr>
                <w:sz w:val="20"/>
                <w:szCs w:val="20"/>
                <w:color w:val="auto"/>
              </w:rPr>
            </w:pPr>
            <w:r>
              <w:rPr>
                <w:rFonts w:ascii="Arial" w:cs="Arial" w:eastAsia="Arial" w:hAnsi="Arial"/>
                <w:sz w:val="18"/>
                <w:szCs w:val="18"/>
                <w:color w:val="auto"/>
                <w:w w:val="91"/>
              </w:rPr>
              <w:t>Incorporated by reference to Exhibit 4(a) to Registrant’s Current</w:t>
            </w:r>
          </w:p>
        </w:tc>
      </w:tr>
      <w:tr>
        <w:trPr>
          <w:trHeight w:val="216"/>
        </w:trPr>
        <w:tc>
          <w:tcPr>
            <w:tcW w:w="9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w w:val="95"/>
              </w:rPr>
              <w:t>and First National Trust Association, as Trustee, relating to The Toro</w:t>
            </w:r>
          </w:p>
        </w:tc>
        <w:tc>
          <w:tcPr>
            <w:tcW w:w="5120" w:type="dxa"/>
            <w:vAlign w:val="bottom"/>
          </w:tcPr>
          <w:p>
            <w:pPr>
              <w:jc w:val="center"/>
              <w:ind w:left="70"/>
              <w:spacing w:after="0"/>
              <w:rPr>
                <w:sz w:val="20"/>
                <w:szCs w:val="20"/>
                <w:color w:val="auto"/>
              </w:rPr>
            </w:pPr>
            <w:r>
              <w:rPr>
                <w:rFonts w:ascii="Arial" w:cs="Arial" w:eastAsia="Arial" w:hAnsi="Arial"/>
                <w:sz w:val="18"/>
                <w:szCs w:val="18"/>
                <w:color w:val="auto"/>
                <w:w w:val="90"/>
              </w:rPr>
              <w:t>Report on Form 8-K dated June 24, 1997, File No. 1-8649.</w:t>
            </w:r>
          </w:p>
        </w:tc>
      </w:tr>
      <w:tr>
        <w:trPr>
          <w:trHeight w:val="230"/>
        </w:trPr>
        <w:tc>
          <w:tcPr>
            <w:tcW w:w="9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Company’s 7.80% Debentures due June 15, 2027.</w:t>
            </w:r>
          </w:p>
        </w:tc>
        <w:tc>
          <w:tcPr>
            <w:tcW w:w="5120" w:type="dxa"/>
            <w:vAlign w:val="bottom"/>
          </w:tcPr>
          <w:p>
            <w:pPr>
              <w:spacing w:after="0"/>
              <w:rPr>
                <w:sz w:val="20"/>
                <w:szCs w:val="20"/>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5240" w:type="dxa"/>
            <w:vAlign w:val="bottom"/>
          </w:tcPr>
          <w:p>
            <w:pPr>
              <w:ind w:left="20"/>
              <w:spacing w:after="0"/>
              <w:rPr>
                <w:sz w:val="20"/>
                <w:szCs w:val="20"/>
                <w:color w:val="auto"/>
              </w:rPr>
            </w:pPr>
            <w:r>
              <w:rPr>
                <w:rFonts w:ascii="Arial" w:cs="Arial" w:eastAsia="Arial" w:hAnsi="Arial"/>
                <w:sz w:val="18"/>
                <w:szCs w:val="18"/>
                <w:color w:val="auto"/>
                <w:w w:val="93"/>
              </w:rPr>
              <w:t>Indenture dated as of April 20, 2007, between The Toro Company, as</w:t>
            </w:r>
          </w:p>
        </w:tc>
        <w:tc>
          <w:tcPr>
            <w:tcW w:w="5120" w:type="dxa"/>
            <w:vAlign w:val="bottom"/>
          </w:tcPr>
          <w:p>
            <w:pPr>
              <w:jc w:val="center"/>
              <w:ind w:left="90"/>
              <w:spacing w:after="0"/>
              <w:rPr>
                <w:sz w:val="20"/>
                <w:szCs w:val="20"/>
                <w:color w:val="auto"/>
              </w:rPr>
            </w:pPr>
            <w:r>
              <w:rPr>
                <w:rFonts w:ascii="Arial" w:cs="Arial" w:eastAsia="Arial" w:hAnsi="Arial"/>
                <w:sz w:val="18"/>
                <w:szCs w:val="18"/>
                <w:color w:val="auto"/>
                <w:w w:val="91"/>
              </w:rPr>
              <w:t>Incorporated by reference to Exhibit 4.3 to Registrant’s Registration</w:t>
            </w:r>
          </w:p>
        </w:tc>
      </w:tr>
      <w:tr>
        <w:trPr>
          <w:trHeight w:val="216"/>
        </w:trPr>
        <w:tc>
          <w:tcPr>
            <w:tcW w:w="9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w w:val="95"/>
              </w:rPr>
              <w:t>issuer, and The Bank of New York Trust Company, N.A., as Trustee,</w:t>
            </w:r>
          </w:p>
        </w:tc>
        <w:tc>
          <w:tcPr>
            <w:tcW w:w="5120" w:type="dxa"/>
            <w:vAlign w:val="bottom"/>
          </w:tcPr>
          <w:p>
            <w:pPr>
              <w:jc w:val="center"/>
              <w:ind w:left="90"/>
              <w:spacing w:after="0"/>
              <w:rPr>
                <w:sz w:val="20"/>
                <w:szCs w:val="20"/>
                <w:color w:val="auto"/>
              </w:rPr>
            </w:pPr>
            <w:r>
              <w:rPr>
                <w:rFonts w:ascii="Arial" w:cs="Arial" w:eastAsia="Arial" w:hAnsi="Arial"/>
                <w:sz w:val="18"/>
                <w:szCs w:val="18"/>
                <w:color w:val="auto"/>
                <w:w w:val="91"/>
              </w:rPr>
              <w:t>Statement on Form S-3 as filed with the Commission on April 23,</w:t>
            </w:r>
          </w:p>
        </w:tc>
      </w:tr>
      <w:tr>
        <w:trPr>
          <w:trHeight w:val="230"/>
        </w:trPr>
        <w:tc>
          <w:tcPr>
            <w:tcW w:w="9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relating to The Toro Company’s 6.625% Notes due May 1, 2037.</w:t>
            </w:r>
          </w:p>
        </w:tc>
        <w:tc>
          <w:tcPr>
            <w:tcW w:w="5120" w:type="dxa"/>
            <w:vAlign w:val="bottom"/>
          </w:tcPr>
          <w:p>
            <w:pPr>
              <w:jc w:val="center"/>
              <w:ind w:left="70"/>
              <w:spacing w:after="0"/>
              <w:rPr>
                <w:sz w:val="20"/>
                <w:szCs w:val="20"/>
                <w:color w:val="auto"/>
              </w:rPr>
            </w:pPr>
            <w:r>
              <w:rPr>
                <w:rFonts w:ascii="Arial" w:cs="Arial" w:eastAsia="Arial" w:hAnsi="Arial"/>
                <w:sz w:val="18"/>
                <w:szCs w:val="18"/>
                <w:color w:val="auto"/>
                <w:w w:val="91"/>
              </w:rPr>
              <w:t>2007, Registration No. 333-142282.</w:t>
            </w: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5240" w:type="dxa"/>
            <w:vAlign w:val="bottom"/>
          </w:tcPr>
          <w:p>
            <w:pPr>
              <w:ind w:left="20"/>
              <w:spacing w:after="0"/>
              <w:rPr>
                <w:sz w:val="20"/>
                <w:szCs w:val="20"/>
                <w:color w:val="auto"/>
              </w:rPr>
            </w:pPr>
            <w:r>
              <w:rPr>
                <w:rFonts w:ascii="Arial" w:cs="Arial" w:eastAsia="Arial" w:hAnsi="Arial"/>
                <w:sz w:val="18"/>
                <w:szCs w:val="18"/>
                <w:color w:val="auto"/>
                <w:w w:val="93"/>
              </w:rPr>
              <w:t>First Supplemental Indenture dated as of April 26, 2007, between The</w:t>
            </w:r>
          </w:p>
        </w:tc>
        <w:tc>
          <w:tcPr>
            <w:tcW w:w="5120" w:type="dxa"/>
            <w:vAlign w:val="bottom"/>
          </w:tcPr>
          <w:p>
            <w:pPr>
              <w:jc w:val="center"/>
              <w:ind w:left="90"/>
              <w:spacing w:after="0"/>
              <w:rPr>
                <w:sz w:val="20"/>
                <w:szCs w:val="20"/>
                <w:color w:val="auto"/>
              </w:rPr>
            </w:pPr>
            <w:r>
              <w:rPr>
                <w:rFonts w:ascii="Arial" w:cs="Arial" w:eastAsia="Arial" w:hAnsi="Arial"/>
                <w:sz w:val="18"/>
                <w:szCs w:val="18"/>
                <w:color w:val="auto"/>
                <w:w w:val="91"/>
              </w:rPr>
              <w:t>Incorporated by reference to Exhibit 4.1 to Registrant’s Current</w:t>
            </w:r>
          </w:p>
        </w:tc>
      </w:tr>
      <w:tr>
        <w:trPr>
          <w:trHeight w:val="216"/>
        </w:trPr>
        <w:tc>
          <w:tcPr>
            <w:tcW w:w="9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w w:val="92"/>
              </w:rPr>
              <w:t>Toro Company, as issuer, and The Bank of New York Trust Company,</w:t>
            </w:r>
          </w:p>
        </w:tc>
        <w:tc>
          <w:tcPr>
            <w:tcW w:w="5120" w:type="dxa"/>
            <w:vAlign w:val="bottom"/>
          </w:tcPr>
          <w:p>
            <w:pPr>
              <w:jc w:val="center"/>
              <w:ind w:left="90"/>
              <w:spacing w:after="0"/>
              <w:rPr>
                <w:sz w:val="20"/>
                <w:szCs w:val="20"/>
                <w:color w:val="auto"/>
              </w:rPr>
            </w:pPr>
            <w:r>
              <w:rPr>
                <w:rFonts w:ascii="Arial" w:cs="Arial" w:eastAsia="Arial" w:hAnsi="Arial"/>
                <w:sz w:val="18"/>
                <w:szCs w:val="18"/>
                <w:color w:val="auto"/>
                <w:w w:val="92"/>
              </w:rPr>
              <w:t>Report on Form 8-K dated April 23, 2007, File No. 1-8649.</w:t>
            </w:r>
          </w:p>
        </w:tc>
      </w:tr>
      <w:tr>
        <w:trPr>
          <w:trHeight w:val="216"/>
        </w:trPr>
        <w:tc>
          <w:tcPr>
            <w:tcW w:w="9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w w:val="95"/>
              </w:rPr>
              <w:t>N.A., as Trustee, relating to The Toro Company’s 6.625% Notes due</w:t>
            </w:r>
          </w:p>
        </w:tc>
        <w:tc>
          <w:tcPr>
            <w:tcW w:w="512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May 1, 2037.</w:t>
            </w:r>
          </w:p>
        </w:tc>
        <w:tc>
          <w:tcPr>
            <w:tcW w:w="51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80"/>
          </w:cols>
          <w:pgMar w:left="300" w:top="513" w:right="319" w:bottom="1440" w:gutter="0" w:footer="0" w:header="0"/>
        </w:sectPr>
      </w:pPr>
    </w:p>
    <w:p>
      <w:pPr>
        <w:spacing w:after="0" w:line="2" w:lineRule="exact"/>
        <w:rPr>
          <w:sz w:val="20"/>
          <w:szCs w:val="20"/>
          <w:color w:val="auto"/>
        </w:rPr>
      </w:pPr>
    </w:p>
    <w:p>
      <w:pPr>
        <w:ind w:left="340"/>
        <w:spacing w:after="0"/>
        <w:tabs>
          <w:tab w:leader="none" w:pos="9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Form of The Toro Company 6.625% Note due May 1, 2037.</w:t>
      </w:r>
    </w:p>
    <w:p>
      <w:pPr>
        <w:spacing w:after="0" w:line="200" w:lineRule="exact"/>
        <w:rPr>
          <w:sz w:val="20"/>
          <w:szCs w:val="20"/>
          <w:color w:val="auto"/>
        </w:rPr>
      </w:pPr>
    </w:p>
    <w:p>
      <w:pPr>
        <w:spacing w:after="0" w:line="241" w:lineRule="exact"/>
        <w:rPr>
          <w:sz w:val="20"/>
          <w:szCs w:val="20"/>
          <w:color w:val="auto"/>
        </w:rPr>
      </w:pPr>
    </w:p>
    <w:p>
      <w:pPr>
        <w:ind w:left="340"/>
        <w:spacing w:after="0"/>
        <w:tabs>
          <w:tab w:leader="none" w:pos="9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Counsel Regarding Legality</w:t>
      </w:r>
    </w:p>
    <w:p>
      <w:pPr>
        <w:spacing w:after="0" w:line="225"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Counsel</w:t>
      </w:r>
    </w:p>
    <w:p>
      <w:pPr>
        <w:spacing w:after="0" w:line="225"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KPMG LLP</w:t>
      </w:r>
    </w:p>
    <w:p>
      <w:pPr>
        <w:spacing w:after="0" w:line="225"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w:t>
      </w:r>
    </w:p>
    <w:p>
      <w:pPr>
        <w:spacing w:after="0" w:line="225"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The Toro Company 2010 Equity and Incentive Plan</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Arial" w:cs="Arial" w:eastAsia="Arial" w:hAnsi="Arial"/>
          <w:sz w:val="16"/>
          <w:szCs w:val="16"/>
          <w:color w:val="auto"/>
        </w:rPr>
        <w:t>Incorporated by reference to Exhibit 4.2 to Registrant’s Current</w:t>
      </w:r>
    </w:p>
    <w:p>
      <w:pPr>
        <w:spacing w:after="0" w:line="4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Report on Form 8-K dated April 23, 2007, File No. 1-8649.</w:t>
      </w:r>
    </w:p>
    <w:p>
      <w:pPr>
        <w:spacing w:after="0" w:line="21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Included as part of Exhibit 5.1.</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Incorporated by reference to Exhibit 10.1 to Registrant’s Current</w:t>
      </w:r>
    </w:p>
    <w:p>
      <w:pPr>
        <w:spacing w:after="0" w:line="46"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Report on Form 8-K dated March 19, 2010, File No. 1-8649.</w:t>
      </w:r>
    </w:p>
    <w:p>
      <w:pPr>
        <w:spacing w:after="0" w:line="200" w:lineRule="exact"/>
        <w:rPr>
          <w:sz w:val="20"/>
          <w:szCs w:val="20"/>
          <w:color w:val="auto"/>
        </w:rPr>
      </w:pPr>
    </w:p>
    <w:p>
      <w:pPr>
        <w:sectPr>
          <w:pgSz w:w="11900" w:h="16838" w:orient="portrait"/>
          <w:cols w:equalWidth="0" w:num="2">
            <w:col w:w="5760" w:space="720"/>
            <w:col w:w="4800"/>
          </w:cols>
          <w:pgMar w:left="300" w:top="51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00" w:top="513" w:right="319" w:bottom="1440" w:gutter="0" w:footer="0" w:header="0"/>
          <w:type w:val="continuous"/>
        </w:sectPr>
      </w:pPr>
    </w:p>
    <w:bookmarkStart w:id="7" w:name="page8"/>
    <w:bookmarkEnd w:id="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Exhibits 5.1 and 23.1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19,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Bloomington, Minnesota 55420</w:t>
      </w:r>
    </w:p>
    <w:p>
      <w:pPr>
        <w:spacing w:after="0" w:line="23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S-8 for The Toro Company 2010 Equity and Incentive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 am the Vice President, Secretary and General Counsel of The Toro Company (the “Company”). In connection with the Registration Statement on Form S-8 filed by the Company with the Securities and Exchange Commission relating to an aggregate of up to 2,750,000 shares of common stock, $1.00 par value per share (the “Common Stock”), of the Company, to be issued in connection with The Toro Company 2010 Equity and Incentive Plan, please be advised that as counsel to the Company, upon examination of such corporate documents and records as I have deemed necessary or appropriate for the purpose of rendering this opinion, it is my opinion that the shares of Common Stock being offered by the Company, when issued in accordance with proper corporate authorizations, will be legally issued, fully paid and non-assessab le.</w:t>
      </w:r>
    </w:p>
    <w:p>
      <w:pPr>
        <w:spacing w:after="0" w:line="20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foregoing opinion is limited to the Federal laws of the United States and the General Corporation Law of the State of Delaware (including the statutory provisions, all applicable provisions of the Delaware Constitution and reported judicial decisions interpreting the foregoing), and I am expressing no opinion as to the effect of the laws of any other jurisdiction.</w:t>
      </w:r>
    </w:p>
    <w:p>
      <w:pPr>
        <w:spacing w:after="0" w:line="20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 hereby consent to the filing of this opinion as an exhibit to the above-captioned Registration Statement, and to the reference to my name under the heading “Interests of Named Experts and Counsel” contained in the Registration Statement. In giving such consent, I do not hereby admit that I am in the category of persons whose consent is required under Section 7 of the Securities Act of 1933, as amended.</w:t>
      </w:r>
    </w:p>
    <w:p>
      <w:pPr>
        <w:spacing w:after="0" w:line="20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/s/ Timothy P. Dordell</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Timothy P. Dordell</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1032510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9" w:name="page10"/>
    <w:bookmarkEnd w:id="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00" w:lineRule="exact"/>
        <w:rPr>
          <w:sz w:val="20"/>
          <w:szCs w:val="20"/>
          <w:color w:val="auto"/>
        </w:rPr>
      </w:pPr>
    </w:p>
    <w:p>
      <w:pPr>
        <w:spacing w:after="0" w:line="29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consent to use of our report dated December 22, 2009 incorporated by reference in this Form S-8, relating to the consolidated balance sheets of The Toro Company and subsidiaries as of October 31, 2009 and 2008, and the related consolidated statements of earnings, cash flows, and changes in stockholders’ equity and comprehensive income and the related financial statement schedule for each of the years in the three-year period ended October 31, 2009, and the effectiveness of internal control over financial reporting as of October 31, 2009, which report is included in the October 31, 2009 Annual Report on Form 10-K of The Toro Company.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878205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1" w:name="page12"/>
    <w:bookmarkEnd w:id="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24.1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95"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the undersigned, each being a member of the Board of Directors of The Toro Company, a</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corporation, do hereby make, nominate and appoint each of MICHAEL J. HOFFMAN AND TIMOTHY P. DORDELL, signing singly, to be his or her attorney-in-fact, with full power and authority to sign his or her name to a Registration Statement on Form S-8 relating to The Toro Company 2010 Equity and Incentive Plan (the “Registration Statement”), and any and all additional amendments thereto (including without limitation additional post-effective amendments to register or de-register shares), provided that the Registration Statement, in final form, be approved by said attorney-in-fact; and his name, when thus signed, shall have the same force and e ffect as though I had manually signed said document or documents.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affixed my signature this 16</w:t>
      </w:r>
      <w:r>
        <w:rPr>
          <w:rFonts w:ascii="Arial" w:cs="Arial" w:eastAsia="Arial" w:hAnsi="Arial"/>
          <w:sz w:val="25"/>
          <w:szCs w:val="25"/>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2010.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Robert C. Buhrmaster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-10160</wp:posOffset>
            </wp:positionV>
            <wp:extent cx="1400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C. Buhrmaster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Janet K.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-10160</wp:posOffset>
            </wp:positionV>
            <wp:extent cx="11899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8999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Janet K. Cooper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Gary 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-10160</wp:posOffset>
            </wp:positionV>
            <wp:extent cx="1073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3150"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Gary L. Ellis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Katherine J. Harless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-10160</wp:posOffset>
            </wp:positionV>
            <wp:extent cx="13169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1699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Katherine J. Harless</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Robert H. Nassau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-10160</wp:posOffset>
            </wp:positionV>
            <wp:extent cx="12319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190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Robert H. Nassau</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Gregg W. Steinhafel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-10160</wp:posOffset>
            </wp:positionV>
            <wp:extent cx="13258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Gregg W. Steinhafel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Inge G. Thulin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-10160</wp:posOffset>
            </wp:positionV>
            <wp:extent cx="1127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2712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Inge G. Thulin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-10160</wp:posOffset>
            </wp:positionV>
            <wp:extent cx="1442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27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612"/>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lowerLetter"/>
      <w:start w:val="1"/>
    </w:lvl>
    <w:lvl w:ilvl="1">
      <w:lvlJc w:val="left"/>
      <w:lvlText w:val="(%2)"/>
      <w:numFmt w:val="decimal"/>
      <w:start w:val="3"/>
    </w:lvl>
  </w:abstractNum>
  <w:abstractNum w:abstractNumId="8">
    <w:nsid w:val="5BD062C2"/>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2019-12-10T05:56:10Z</dcterms:created>
  <dcterms:modified xsi:type="dcterms:W3CDTF">2019-12-10T05:56:10Z</dcterms:modified>
</cp:coreProperties>
</file>