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6225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22554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DRAZAN MICHAEL D</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12/11/2012</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666"/>
        <w:spacing w:after="0"/>
        <w:rPr>
          <w:sz w:val="20"/>
          <w:szCs w:val="20"/>
          <w:color w:val="auto"/>
        </w:rPr>
      </w:pPr>
      <w:r>
        <w:rPr>
          <w:rFonts w:ascii="Arial" w:cs="Arial" w:eastAsia="Arial" w:hAnsi="Arial"/>
          <w:sz w:val="17"/>
          <w:szCs w:val="17"/>
          <w:color w:val="0000FF"/>
        </w:rPr>
        <w:t>VP, Global Micro Irrigation</w:t>
      </w:r>
    </w:p>
    <w:p>
      <w:pPr>
        <w:spacing w:after="0" w:line="333"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Arial" w:cs="Arial" w:eastAsia="Arial" w:hAnsi="Arial"/>
                <w:sz w:val="17"/>
                <w:szCs w:val="17"/>
                <w:color w:val="0000FF"/>
              </w:rPr>
              <w:t>BLOOMINGTON MN</w:t>
            </w:r>
          </w:p>
        </w:tc>
        <w:tc>
          <w:tcPr>
            <w:tcW w:w="1680" w:type="dxa"/>
            <w:vAlign w:val="bottom"/>
          </w:tcPr>
          <w:p>
            <w:pPr>
              <w:ind w:left="460"/>
              <w:spacing w:after="0"/>
              <w:rPr>
                <w:sz w:val="20"/>
                <w:szCs w:val="20"/>
                <w:color w:val="auto"/>
              </w:rPr>
            </w:pPr>
            <w:r>
              <w:rPr>
                <w:rFonts w:ascii="Arial" w:cs="Arial" w:eastAsia="Arial" w:hAnsi="Arial"/>
                <w:sz w:val="17"/>
                <w:szCs w:val="17"/>
                <w:color w:val="0000FF"/>
              </w:rPr>
              <w:t>55420-1196</w:t>
            </w:r>
          </w:p>
        </w:tc>
      </w:tr>
      <w:tr>
        <w:trPr>
          <w:trHeight w:val="156"/>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4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32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3"/>
                <w:szCs w:val="13"/>
                <w:color w:val="auto"/>
              </w:rPr>
            </w:pP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w w:val="98"/>
              </w:rPr>
              <w:t>5. Amount of</w:t>
            </w:r>
          </w:p>
        </w:tc>
        <w:tc>
          <w:tcPr>
            <w:tcW w:w="1380" w:type="dxa"/>
            <w:vAlign w:val="bottom"/>
            <w:gridSpan w:val="2"/>
          </w:tcPr>
          <w:p>
            <w:pPr>
              <w:ind w:left="48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680"/>
              <w:spacing w:after="0" w:line="132"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8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20" w:type="dxa"/>
            <w:vAlign w:val="bottom"/>
          </w:tcPr>
          <w:p>
            <w:pPr>
              <w:spacing w:after="0"/>
              <w:rPr>
                <w:sz w:val="11"/>
                <w:szCs w:val="11"/>
                <w:color w:val="auto"/>
              </w:rPr>
            </w:pPr>
          </w:p>
        </w:tc>
        <w:tc>
          <w:tcPr>
            <w:tcW w:w="78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Securities</w:t>
            </w:r>
          </w:p>
        </w:tc>
        <w:tc>
          <w:tcPr>
            <w:tcW w:w="1380" w:type="dxa"/>
            <w:vAlign w:val="bottom"/>
            <w:gridSpan w:val="2"/>
          </w:tcPr>
          <w:p>
            <w:pPr>
              <w:ind w:left="480"/>
              <w:spacing w:after="0" w:line="132"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80" w:type="dxa"/>
            <w:vAlign w:val="bottom"/>
            <w:gridSpan w:val="2"/>
          </w:tcPr>
          <w:p>
            <w:pPr>
              <w:ind w:left="68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Beneficially</w:t>
            </w:r>
          </w:p>
        </w:tc>
        <w:tc>
          <w:tcPr>
            <w:tcW w:w="1380" w:type="dxa"/>
            <w:vAlign w:val="bottom"/>
            <w:gridSpan w:val="2"/>
          </w:tcPr>
          <w:p>
            <w:pPr>
              <w:jc w:val="center"/>
              <w:ind w:left="299"/>
              <w:spacing w:after="0" w:line="134" w:lineRule="exact"/>
              <w:rPr>
                <w:sz w:val="20"/>
                <w:szCs w:val="20"/>
                <w:color w:val="auto"/>
              </w:rPr>
            </w:pPr>
            <w:r>
              <w:rPr>
                <w:rFonts w:ascii="Arial" w:cs="Arial" w:eastAsia="Arial" w:hAnsi="Arial"/>
                <w:sz w:val="12"/>
                <w:szCs w:val="12"/>
                <w:b w:val="1"/>
                <w:bCs w:val="1"/>
                <w:color w:val="auto"/>
                <w:w w:val="99"/>
              </w:rPr>
              <w:t>(D) or Indirect</w:t>
            </w:r>
          </w:p>
        </w:tc>
        <w:tc>
          <w:tcPr>
            <w:tcW w:w="106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1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Owned Following   (I) (Instr. 4)</w:t>
            </w:r>
          </w:p>
        </w:tc>
        <w:tc>
          <w:tcPr>
            <w:tcW w:w="106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vMerge w:val="restart"/>
          </w:tcPr>
          <w:p>
            <w:pPr>
              <w:spacing w:after="0"/>
              <w:rPr>
                <w:sz w:val="6"/>
                <w:szCs w:val="6"/>
                <w:color w:val="auto"/>
              </w:rPr>
            </w:pPr>
          </w:p>
        </w:tc>
        <w:tc>
          <w:tcPr>
            <w:tcW w:w="780" w:type="dxa"/>
            <w:vAlign w:val="bottom"/>
            <w:vMerge w:val="restart"/>
          </w:tcPr>
          <w:p>
            <w:pPr>
              <w:ind w:left="40"/>
              <w:spacing w:after="0" w:line="134" w:lineRule="exact"/>
              <w:rPr>
                <w:sz w:val="20"/>
                <w:szCs w:val="20"/>
                <w:color w:val="auto"/>
              </w:rPr>
            </w:pPr>
            <w:r>
              <w:rPr>
                <w:rFonts w:ascii="Arial" w:cs="Arial" w:eastAsia="Arial" w:hAnsi="Arial"/>
                <w:sz w:val="12"/>
                <w:szCs w:val="12"/>
                <w:b w:val="1"/>
                <w:bCs w:val="1"/>
                <w:color w:val="auto"/>
              </w:rPr>
              <w:t>Reported</w:t>
            </w:r>
          </w:p>
        </w:tc>
        <w:tc>
          <w:tcPr>
            <w:tcW w:w="7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60" w:type="dxa"/>
            <w:vAlign w:val="bottom"/>
            <w:gridSpan w:val="4"/>
            <w:vMerge w:val="restart"/>
          </w:tcPr>
          <w:p>
            <w:pPr>
              <w:ind w:left="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9"/>
              </w:rPr>
              <w:t>(A) or</w:t>
            </w:r>
          </w:p>
        </w:tc>
        <w:tc>
          <w:tcPr>
            <w:tcW w:w="6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56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Transaction(s)</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560" w:type="dxa"/>
            <w:vAlign w:val="bottom"/>
            <w:gridSpan w:val="2"/>
            <w:vMerge w:val="continue"/>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780"/>
              <w:spacing w:after="0"/>
              <w:rPr>
                <w:sz w:val="20"/>
                <w:szCs w:val="20"/>
                <w:color w:val="auto"/>
              </w:rPr>
            </w:pPr>
            <w:r>
              <w:rPr>
                <w:rFonts w:ascii="Arial" w:cs="Arial" w:eastAsia="Arial" w:hAnsi="Arial"/>
                <w:sz w:val="17"/>
                <w:szCs w:val="17"/>
                <w:color w:val="0000FF"/>
              </w:rPr>
              <w:t>12/11/2012</w:t>
            </w:r>
          </w:p>
        </w:tc>
        <w:tc>
          <w:tcPr>
            <w:tcW w:w="2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60" w:type="dxa"/>
            <w:vAlign w:val="bottom"/>
            <w:tcBorders>
              <w:bottom w:val="single" w:sz="8" w:color="2C2C2C"/>
            </w:tcBorders>
          </w:tcPr>
          <w:p>
            <w:pPr>
              <w:jc w:val="right"/>
              <w:ind w:right="13"/>
              <w:spacing w:after="0"/>
              <w:rPr>
                <w:sz w:val="20"/>
                <w:szCs w:val="20"/>
                <w:color w:val="auto"/>
              </w:rPr>
            </w:pPr>
            <w:r>
              <w:rPr>
                <w:rFonts w:ascii="Arial" w:cs="Arial" w:eastAsia="Arial" w:hAnsi="Arial"/>
                <w:sz w:val="17"/>
                <w:szCs w:val="17"/>
                <w:color w:val="0000FF"/>
              </w:rPr>
              <w:t>9,000</w:t>
            </w:r>
            <w:r>
              <w:rPr>
                <w:rFonts w:ascii="Arial" w:cs="Arial" w:eastAsia="Arial" w:hAnsi="Arial"/>
                <w:sz w:val="22"/>
                <w:szCs w:val="22"/>
                <w:color w:val="008000"/>
                <w:vertAlign w:val="superscript"/>
              </w:rPr>
              <w:t>(1)</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jc w:val="center"/>
              <w:ind w:right="151"/>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580" w:type="dxa"/>
            <w:vAlign w:val="bottom"/>
            <w:tcBorders>
              <w:bottom w:val="single" w:sz="8" w:color="2C2C2C"/>
            </w:tcBorders>
            <w:gridSpan w:val="3"/>
          </w:tcPr>
          <w:p>
            <w:pPr>
              <w:jc w:val="center"/>
              <w:ind w:right="319"/>
              <w:spacing w:after="0"/>
              <w:rPr>
                <w:sz w:val="20"/>
                <w:szCs w:val="20"/>
                <w:color w:val="auto"/>
              </w:rPr>
            </w:pPr>
            <w:r>
              <w:rPr>
                <w:rFonts w:ascii="Arial" w:cs="Arial" w:eastAsia="Arial" w:hAnsi="Arial"/>
                <w:sz w:val="17"/>
                <w:szCs w:val="17"/>
                <w:color w:val="0000FF"/>
                <w:w w:val="92"/>
              </w:rPr>
              <w:t>54,392</w:t>
            </w:r>
          </w:p>
        </w:tc>
        <w:tc>
          <w:tcPr>
            <w:tcW w:w="600" w:type="dxa"/>
            <w:vAlign w:val="bottom"/>
            <w:tcBorders>
              <w:bottom w:val="single" w:sz="8" w:color="2C2C2C"/>
            </w:tcBorders>
          </w:tcPr>
          <w:p>
            <w:pPr>
              <w:jc w:val="center"/>
              <w:ind w:right="329"/>
              <w:spacing w:after="0"/>
              <w:rPr>
                <w:sz w:val="20"/>
                <w:szCs w:val="20"/>
                <w:color w:val="auto"/>
              </w:rPr>
            </w:pPr>
            <w:r>
              <w:rPr>
                <w:rFonts w:ascii="Arial" w:cs="Arial" w:eastAsia="Arial" w:hAnsi="Arial"/>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780" w:type="dxa"/>
            <w:vAlign w:val="bottom"/>
            <w:gridSpan w:val="2"/>
          </w:tcPr>
          <w:p>
            <w:pPr>
              <w:ind w:left="780"/>
              <w:spacing w:after="0"/>
              <w:rPr>
                <w:sz w:val="20"/>
                <w:szCs w:val="20"/>
                <w:color w:val="auto"/>
              </w:rPr>
            </w:pPr>
            <w:r>
              <w:rPr>
                <w:rFonts w:ascii="Arial" w:cs="Arial" w:eastAsia="Arial" w:hAnsi="Arial"/>
                <w:sz w:val="17"/>
                <w:szCs w:val="17"/>
                <w:color w:val="0000FF"/>
              </w:rPr>
              <w:t>12/11/2012</w:t>
            </w:r>
          </w:p>
        </w:tc>
        <w:tc>
          <w:tcPr>
            <w:tcW w:w="2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ind w:left="200"/>
              <w:spacing w:after="0"/>
              <w:rPr>
                <w:sz w:val="20"/>
                <w:szCs w:val="20"/>
                <w:color w:val="auto"/>
              </w:rPr>
            </w:pPr>
            <w:r>
              <w:rPr>
                <w:rFonts w:ascii="Arial" w:cs="Arial" w:eastAsia="Arial" w:hAnsi="Arial"/>
                <w:sz w:val="13"/>
                <w:szCs w:val="13"/>
                <w:color w:val="0000FF"/>
              </w:rPr>
              <w:t>F</w:t>
            </w:r>
          </w:p>
        </w:tc>
        <w:tc>
          <w:tcPr>
            <w:tcW w:w="760" w:type="dxa"/>
            <w:vAlign w:val="bottom"/>
          </w:tcPr>
          <w:p>
            <w:pPr>
              <w:ind w:left="220"/>
              <w:spacing w:after="0"/>
              <w:rPr>
                <w:sz w:val="20"/>
                <w:szCs w:val="20"/>
                <w:color w:val="auto"/>
              </w:rPr>
            </w:pPr>
            <w:r>
              <w:rPr>
                <w:rFonts w:ascii="Arial" w:cs="Arial" w:eastAsia="Arial" w:hAnsi="Arial"/>
                <w:sz w:val="17"/>
                <w:szCs w:val="17"/>
                <w:color w:val="0000FF"/>
              </w:rPr>
              <w:t>3,844</w:t>
            </w:r>
          </w:p>
        </w:tc>
        <w:tc>
          <w:tcPr>
            <w:tcW w:w="60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640" w:type="dxa"/>
            <w:vAlign w:val="bottom"/>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42.06</w:t>
            </w:r>
          </w:p>
        </w:tc>
        <w:tc>
          <w:tcPr>
            <w:tcW w:w="1580" w:type="dxa"/>
            <w:vAlign w:val="bottom"/>
            <w:gridSpan w:val="3"/>
          </w:tcPr>
          <w:p>
            <w:pPr>
              <w:jc w:val="center"/>
              <w:ind w:right="319"/>
              <w:spacing w:after="0"/>
              <w:rPr>
                <w:sz w:val="20"/>
                <w:szCs w:val="20"/>
                <w:color w:val="auto"/>
              </w:rPr>
            </w:pPr>
            <w:r>
              <w:rPr>
                <w:rFonts w:ascii="Arial" w:cs="Arial" w:eastAsia="Arial" w:hAnsi="Arial"/>
                <w:sz w:val="17"/>
                <w:szCs w:val="17"/>
                <w:color w:val="0000FF"/>
                <w:w w:val="92"/>
              </w:rPr>
              <w:t>50,548</w:t>
            </w:r>
          </w:p>
        </w:tc>
        <w:tc>
          <w:tcPr>
            <w:tcW w:w="600" w:type="dxa"/>
            <w:vAlign w:val="bottom"/>
          </w:tcPr>
          <w:p>
            <w:pPr>
              <w:jc w:val="center"/>
              <w:ind w:right="329"/>
              <w:spacing w:after="0"/>
              <w:rPr>
                <w:sz w:val="20"/>
                <w:szCs w:val="20"/>
                <w:color w:val="auto"/>
              </w:rPr>
            </w:pPr>
            <w:r>
              <w:rPr>
                <w:rFonts w:ascii="Arial" w:cs="Arial" w:eastAsia="Arial" w:hAnsi="Arial"/>
                <w:sz w:val="17"/>
                <w:szCs w:val="17"/>
                <w:color w:val="0000FF"/>
                <w:w w:val="97"/>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The Toro</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Company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580" w:type="dxa"/>
            <w:vAlign w:val="bottom"/>
            <w:gridSpan w:val="3"/>
          </w:tcPr>
          <w:p>
            <w:pPr>
              <w:jc w:val="center"/>
              <w:ind w:right="299"/>
              <w:spacing w:after="0" w:line="214" w:lineRule="exact"/>
              <w:rPr>
                <w:sz w:val="20"/>
                <w:szCs w:val="20"/>
                <w:color w:val="auto"/>
              </w:rPr>
            </w:pPr>
            <w:r>
              <w:rPr>
                <w:rFonts w:ascii="Arial" w:cs="Arial" w:eastAsia="Arial" w:hAnsi="Arial"/>
                <w:sz w:val="17"/>
                <w:szCs w:val="17"/>
                <w:color w:val="0000FF"/>
                <w:w w:val="87"/>
              </w:rPr>
              <w:t>4,303.445</w:t>
            </w:r>
            <w:r>
              <w:rPr>
                <w:rFonts w:ascii="Arial" w:cs="Arial" w:eastAsia="Arial" w:hAnsi="Arial"/>
                <w:sz w:val="22"/>
                <w:szCs w:val="22"/>
                <w:color w:val="008000"/>
                <w:w w:val="87"/>
                <w:vertAlign w:val="superscript"/>
              </w:rPr>
              <w:t>(2)</w:t>
            </w:r>
          </w:p>
        </w:tc>
        <w:tc>
          <w:tcPr>
            <w:tcW w:w="600" w:type="dxa"/>
            <w:vAlign w:val="bottom"/>
          </w:tcPr>
          <w:p>
            <w:pPr>
              <w:jc w:val="center"/>
              <w:ind w:right="309"/>
              <w:spacing w:after="0"/>
              <w:rPr>
                <w:sz w:val="20"/>
                <w:szCs w:val="20"/>
                <w:color w:val="auto"/>
              </w:rPr>
            </w:pPr>
            <w:r>
              <w:rPr>
                <w:rFonts w:ascii="Arial" w:cs="Arial" w:eastAsia="Arial" w:hAnsi="Arial"/>
                <w:sz w:val="17"/>
                <w:szCs w:val="17"/>
                <w:color w:val="0000FF"/>
              </w:rPr>
              <w:t>I</w:t>
            </w: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Investment,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Savings &amp;</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ESOP</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gridSpan w:val="3"/>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Performance Share Units</w:t>
            </w:r>
          </w:p>
        </w:tc>
        <w:tc>
          <w:tcPr>
            <w:tcW w:w="1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jc w:val="center"/>
              <w:ind w:right="319"/>
              <w:spacing w:after="0"/>
              <w:rPr>
                <w:sz w:val="20"/>
                <w:szCs w:val="20"/>
                <w:color w:val="auto"/>
              </w:rPr>
            </w:pPr>
            <w:r>
              <w:rPr>
                <w:rFonts w:ascii="Arial" w:cs="Arial" w:eastAsia="Arial" w:hAnsi="Arial"/>
                <w:sz w:val="17"/>
                <w:szCs w:val="17"/>
                <w:color w:val="0000FF"/>
                <w:w w:val="89"/>
              </w:rPr>
              <w:t>26,753.741</w:t>
            </w:r>
            <w:r>
              <w:rPr>
                <w:rFonts w:ascii="Arial" w:cs="Arial" w:eastAsia="Arial" w:hAnsi="Arial"/>
                <w:sz w:val="22"/>
                <w:szCs w:val="22"/>
                <w:color w:val="008000"/>
                <w:w w:val="89"/>
                <w:vertAlign w:val="superscript"/>
              </w:rPr>
              <w:t>(3)</w:t>
            </w:r>
          </w:p>
        </w:tc>
        <w:tc>
          <w:tcPr>
            <w:tcW w:w="600" w:type="dxa"/>
            <w:vAlign w:val="bottom"/>
            <w:tcBorders>
              <w:bottom w:val="single" w:sz="8" w:color="2C2C2C"/>
            </w:tcBorders>
          </w:tcPr>
          <w:p>
            <w:pPr>
              <w:jc w:val="center"/>
              <w:ind w:right="329"/>
              <w:spacing w:after="0"/>
              <w:rPr>
                <w:sz w:val="20"/>
                <w:szCs w:val="20"/>
                <w:color w:val="auto"/>
              </w:rPr>
            </w:pPr>
            <w:r>
              <w:rPr>
                <w:rFonts w:ascii="Arial" w:cs="Arial" w:eastAsia="Arial" w:hAnsi="Arial"/>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60" w:type="dxa"/>
            <w:vAlign w:val="bottom"/>
            <w:gridSpan w:val="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2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4"/>
                <w:szCs w:val="14"/>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20" w:type="dxa"/>
            <w:vAlign w:val="bottom"/>
          </w:tcPr>
          <w:p>
            <w:pPr>
              <w:spacing w:after="0"/>
              <w:rPr>
                <w:sz w:val="11"/>
                <w:szCs w:val="11"/>
                <w:color w:val="auto"/>
              </w:rPr>
            </w:pP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Underlying</w:t>
            </w:r>
          </w:p>
        </w:tc>
        <w:tc>
          <w:tcPr>
            <w:tcW w:w="20" w:type="dxa"/>
            <w:vAlign w:val="bottom"/>
          </w:tcPr>
          <w:p>
            <w:pPr>
              <w:spacing w:after="0"/>
              <w:rPr>
                <w:sz w:val="11"/>
                <w:szCs w:val="11"/>
                <w:color w:val="auto"/>
              </w:rPr>
            </w:pP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20" w:type="dxa"/>
            <w:vAlign w:val="bottom"/>
          </w:tcPr>
          <w:p>
            <w:pPr>
              <w:spacing w:after="0"/>
              <w:rPr>
                <w:sz w:val="11"/>
                <w:szCs w:val="11"/>
                <w:color w:val="auto"/>
              </w:rPr>
            </w:pP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6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Qualified</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42.06</w:t>
            </w:r>
          </w:p>
        </w:tc>
        <w:tc>
          <w:tcPr>
            <w:tcW w:w="1080" w:type="dxa"/>
            <w:vAlign w:val="bottom"/>
          </w:tcPr>
          <w:p>
            <w:pPr>
              <w:jc w:val="right"/>
              <w:ind w:right="138"/>
              <w:spacing w:after="0"/>
              <w:rPr>
                <w:sz w:val="20"/>
                <w:szCs w:val="20"/>
                <w:color w:val="auto"/>
              </w:rPr>
            </w:pPr>
            <w:r>
              <w:rPr>
                <w:rFonts w:ascii="Arial" w:cs="Arial" w:eastAsia="Arial" w:hAnsi="Arial"/>
                <w:sz w:val="13"/>
                <w:szCs w:val="13"/>
                <w:color w:val="0000FF"/>
              </w:rPr>
              <w:t>12/11/2012</w:t>
            </w:r>
          </w:p>
        </w:tc>
        <w:tc>
          <w:tcPr>
            <w:tcW w:w="1180" w:type="dxa"/>
            <w:vAlign w:val="bottom"/>
          </w:tcPr>
          <w:p>
            <w:pPr>
              <w:spacing w:after="0"/>
              <w:rPr>
                <w:sz w:val="17"/>
                <w:szCs w:val="17"/>
                <w:color w:val="auto"/>
              </w:rPr>
            </w:pPr>
          </w:p>
        </w:tc>
        <w:tc>
          <w:tcPr>
            <w:tcW w:w="600" w:type="dxa"/>
            <w:vAlign w:val="bottom"/>
          </w:tcPr>
          <w:p>
            <w:pPr>
              <w:ind w:left="180"/>
              <w:spacing w:after="0"/>
              <w:rPr>
                <w:sz w:val="20"/>
                <w:szCs w:val="20"/>
                <w:color w:val="auto"/>
              </w:rPr>
            </w:pPr>
            <w:r>
              <w:rPr>
                <w:rFonts w:ascii="Arial" w:cs="Arial" w:eastAsia="Arial" w:hAnsi="Arial"/>
                <w:sz w:val="13"/>
                <w:szCs w:val="13"/>
                <w:color w:val="0000FF"/>
              </w:rPr>
              <w:t>A</w:t>
            </w:r>
          </w:p>
        </w:tc>
        <w:tc>
          <w:tcPr>
            <w:tcW w:w="240" w:type="dxa"/>
            <w:vAlign w:val="bottom"/>
          </w:tcPr>
          <w:p>
            <w:pPr>
              <w:spacing w:after="0"/>
              <w:rPr>
                <w:sz w:val="17"/>
                <w:szCs w:val="17"/>
                <w:color w:val="auto"/>
              </w:rPr>
            </w:pPr>
          </w:p>
        </w:tc>
        <w:tc>
          <w:tcPr>
            <w:tcW w:w="520" w:type="dxa"/>
            <w:vAlign w:val="bottom"/>
          </w:tcPr>
          <w:p>
            <w:pPr>
              <w:ind w:left="80"/>
              <w:spacing w:after="0"/>
              <w:rPr>
                <w:sz w:val="20"/>
                <w:szCs w:val="20"/>
                <w:color w:val="auto"/>
              </w:rPr>
            </w:pPr>
            <w:r>
              <w:rPr>
                <w:rFonts w:ascii="Arial" w:cs="Arial" w:eastAsia="Arial" w:hAnsi="Arial"/>
                <w:sz w:val="13"/>
                <w:szCs w:val="13"/>
                <w:color w:val="0000FF"/>
              </w:rPr>
              <w:t>10,100</w:t>
            </w:r>
          </w:p>
        </w:tc>
        <w:tc>
          <w:tcPr>
            <w:tcW w:w="320" w:type="dxa"/>
            <w:vAlign w:val="bottom"/>
          </w:tcPr>
          <w:p>
            <w:pPr>
              <w:spacing w:after="0"/>
              <w:rPr>
                <w:sz w:val="17"/>
                <w:szCs w:val="17"/>
                <w:color w:val="auto"/>
              </w:rPr>
            </w:pPr>
          </w:p>
        </w:tc>
        <w:tc>
          <w:tcPr>
            <w:tcW w:w="800" w:type="dxa"/>
            <w:vAlign w:val="bottom"/>
          </w:tcPr>
          <w:p>
            <w:pPr>
              <w:ind w:left="320"/>
              <w:spacing w:after="0"/>
              <w:rPr>
                <w:sz w:val="20"/>
                <w:szCs w:val="20"/>
                <w:color w:val="auto"/>
              </w:rPr>
            </w:pPr>
            <w:r>
              <w:rPr>
                <w:rFonts w:ascii="Arial" w:cs="Arial" w:eastAsia="Arial" w:hAnsi="Arial"/>
                <w:sz w:val="11"/>
                <w:szCs w:val="11"/>
                <w:color w:val="008000"/>
              </w:rPr>
              <w:t>(4)</w:t>
            </w:r>
          </w:p>
        </w:tc>
        <w:tc>
          <w:tcPr>
            <w:tcW w:w="760" w:type="dxa"/>
            <w:vAlign w:val="bottom"/>
          </w:tcPr>
          <w:p>
            <w:pPr>
              <w:jc w:val="right"/>
              <w:ind w:right="13"/>
              <w:spacing w:after="0"/>
              <w:rPr>
                <w:sz w:val="20"/>
                <w:szCs w:val="20"/>
                <w:color w:val="auto"/>
              </w:rPr>
            </w:pPr>
            <w:r>
              <w:rPr>
                <w:rFonts w:ascii="Arial" w:cs="Arial" w:eastAsia="Arial" w:hAnsi="Arial"/>
                <w:sz w:val="13"/>
                <w:szCs w:val="13"/>
                <w:color w:val="0000FF"/>
              </w:rPr>
              <w:t>12/11/2022</w:t>
            </w:r>
          </w:p>
        </w:tc>
        <w:tc>
          <w:tcPr>
            <w:tcW w:w="600" w:type="dxa"/>
            <w:vAlign w:val="bottom"/>
          </w:tcPr>
          <w:p>
            <w:pPr>
              <w:ind w:left="60"/>
              <w:spacing w:after="0"/>
              <w:rPr>
                <w:sz w:val="20"/>
                <w:szCs w:val="20"/>
                <w:color w:val="auto"/>
              </w:rPr>
            </w:pPr>
            <w:r>
              <w:rPr>
                <w:rFonts w:ascii="Arial" w:cs="Arial" w:eastAsia="Arial" w:hAnsi="Arial"/>
                <w:sz w:val="13"/>
                <w:szCs w:val="13"/>
                <w:color w:val="0000FF"/>
                <w:w w:val="98"/>
              </w:rPr>
              <w:t>Common</w:t>
            </w:r>
          </w:p>
        </w:tc>
        <w:tc>
          <w:tcPr>
            <w:tcW w:w="640" w:type="dxa"/>
            <w:vAlign w:val="bottom"/>
          </w:tcPr>
          <w:p>
            <w:pPr>
              <w:ind w:left="100"/>
              <w:spacing w:after="0"/>
              <w:rPr>
                <w:sz w:val="20"/>
                <w:szCs w:val="20"/>
                <w:color w:val="auto"/>
              </w:rPr>
            </w:pPr>
            <w:r>
              <w:rPr>
                <w:rFonts w:ascii="Arial" w:cs="Arial" w:eastAsia="Arial" w:hAnsi="Arial"/>
                <w:sz w:val="17"/>
                <w:szCs w:val="17"/>
                <w:color w:val="0000FF"/>
                <w:w w:val="99"/>
              </w:rPr>
              <w:t>10,100</w:t>
            </w:r>
          </w:p>
        </w:tc>
        <w:tc>
          <w:tcPr>
            <w:tcW w:w="800" w:type="dxa"/>
            <w:vAlign w:val="bottom"/>
            <w:gridSpan w:val="2"/>
          </w:tcPr>
          <w:p>
            <w:pPr>
              <w:jc w:val="right"/>
              <w:ind w:righ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80" w:type="dxa"/>
            <w:vAlign w:val="bottom"/>
          </w:tcPr>
          <w:p>
            <w:pPr>
              <w:ind w:left="240"/>
              <w:spacing w:after="0"/>
              <w:rPr>
                <w:sz w:val="20"/>
                <w:szCs w:val="20"/>
                <w:color w:val="auto"/>
              </w:rPr>
            </w:pPr>
            <w:r>
              <w:rPr>
                <w:rFonts w:ascii="Arial" w:cs="Arial" w:eastAsia="Arial" w:hAnsi="Arial"/>
                <w:sz w:val="13"/>
                <w:szCs w:val="13"/>
                <w:color w:val="0000FF"/>
              </w:rPr>
              <w:t>10,100</w:t>
            </w:r>
          </w:p>
        </w:tc>
        <w:tc>
          <w:tcPr>
            <w:tcW w:w="600" w:type="dxa"/>
            <w:vAlign w:val="bottom"/>
          </w:tcPr>
          <w:p>
            <w:pPr>
              <w:ind w:left="460"/>
              <w:spacing w:after="0"/>
              <w:rPr>
                <w:sz w:val="20"/>
                <w:szCs w:val="20"/>
                <w:color w:val="auto"/>
              </w:rPr>
            </w:pPr>
            <w:r>
              <w:rPr>
                <w:rFonts w:ascii="Arial" w:cs="Arial" w:eastAsia="Arial" w:hAnsi="Arial"/>
                <w:sz w:val="13"/>
                <w:szCs w:val="13"/>
                <w:color w:val="0000FF"/>
              </w:rPr>
              <w:t>D</w:t>
            </w: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Stock</w:t>
            </w: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jc w:val="center"/>
              <w:spacing w:after="0" w:line="109" w:lineRule="exact"/>
              <w:rPr>
                <w:sz w:val="20"/>
                <w:szCs w:val="20"/>
                <w:color w:val="auto"/>
              </w:rPr>
            </w:pPr>
            <w:r>
              <w:rPr>
                <w:rFonts w:ascii="Arial" w:cs="Arial" w:eastAsia="Arial" w:hAnsi="Arial"/>
                <w:sz w:val="12"/>
                <w:szCs w:val="12"/>
                <w:color w:val="0000FF"/>
                <w:w w:val="99"/>
              </w:rPr>
              <w:t>Stock</w:t>
            </w: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Option</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40" w:firstLine="8"/>
        <w:spacing w:after="0" w:line="303"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the payout of a Performance Share Award for the Fiscal 2010 to Fiscal 2012 Performance Period under The Toro Company Performance Share Plan (the "PSP"), as approved by the registrant's Compensation &amp; Human Resources Committee of its Board of Directors on December 11, 2012. Performance Share Awards are paid in shares of common stock under the PSP.</w:t>
      </w:r>
    </w:p>
    <w:p>
      <w:pPr>
        <w:ind w:left="180" w:hanging="132"/>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11.809 shares of common stock acquired by the reporting person under the dividend reinvestment feature of The Toro Company Investment, Savings &amp; ESOP since the date of his last report.</w:t>
      </w:r>
    </w:p>
    <w:p>
      <w:pPr>
        <w:spacing w:after="0" w:line="63" w:lineRule="exact"/>
        <w:rPr>
          <w:rFonts w:ascii="Arial" w:cs="Arial" w:eastAsia="Arial" w:hAnsi="Arial"/>
          <w:sz w:val="12"/>
          <w:szCs w:val="12"/>
          <w:color w:val="008000"/>
        </w:rPr>
      </w:pPr>
    </w:p>
    <w:p>
      <w:pPr>
        <w:ind w:left="40" w:right="42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73.383 performance share units acquired by the reporting person under the dividend reinvestment feature of The Toro Company Deferred Compensation Plan for Officers since the date of his last report.</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vests in three equal annual installments commencing on the first anniversary of the date of grant.</w:t>
      </w:r>
    </w:p>
    <w:p>
      <w:pPr>
        <w:spacing w:after="0" w:line="6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6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Nancy A. McGrath,</w:t>
            </w:r>
          </w:p>
        </w:tc>
        <w:tc>
          <w:tcPr>
            <w:tcW w:w="70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12/13/2012</w:t>
            </w:r>
          </w:p>
        </w:tc>
        <w:tc>
          <w:tcPr>
            <w:tcW w:w="0" w:type="dxa"/>
            <w:vAlign w:val="bottom"/>
          </w:tcPr>
          <w:p>
            <w:pPr>
              <w:spacing w:after="0"/>
              <w:rPr>
                <w:sz w:val="1"/>
                <w:szCs w:val="1"/>
                <w:color w:val="auto"/>
              </w:rPr>
            </w:pPr>
          </w:p>
        </w:tc>
      </w:tr>
      <w:tr>
        <w:trPr>
          <w:trHeight w:val="92"/>
        </w:trPr>
        <w:tc>
          <w:tcPr>
            <w:tcW w:w="1180" w:type="dxa"/>
            <w:vAlign w:val="bottom"/>
            <w:vMerge w:val="restart"/>
          </w:tcPr>
          <w:p>
            <w:pPr>
              <w:spacing w:after="0"/>
              <w:rPr>
                <w:sz w:val="20"/>
                <w:szCs w:val="20"/>
                <w:color w:val="auto"/>
              </w:rPr>
            </w:pPr>
            <w:r>
              <w:rPr>
                <w:rFonts w:ascii="Arial" w:cs="Arial" w:eastAsia="Arial" w:hAnsi="Arial"/>
                <w:sz w:val="17"/>
                <w:szCs w:val="17"/>
                <w:color w:val="0000FF"/>
                <w:w w:val="95"/>
              </w:rPr>
              <w:t>Attorney-in-Fact</w:t>
            </w:r>
          </w:p>
        </w:tc>
        <w:tc>
          <w:tcPr>
            <w:tcW w:w="112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09370"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2019-12-17T01:47:17Z</dcterms:created>
  <dcterms:modified xsi:type="dcterms:W3CDTF">2019-12-17T01:47:17Z</dcterms:modified>
</cp:coreProperties>
</file>