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5087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50875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Svendsen Kurt 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00" w:type="dxa"/>
            <w:vAlign w:val="bottom"/>
            <w:tcBorders>
              <w:top w:val="single" w:sz="8" w:color="0000EE"/>
              <w:bottom w:val="single" w:sz="8" w:color="9A9A9A"/>
            </w:tcBorders>
          </w:tcPr>
          <w:p>
            <w:pPr>
              <w:spacing w:after="0"/>
              <w:rPr>
                <w:sz w:val="15"/>
                <w:szCs w:val="15"/>
                <w:color w:val="auto"/>
              </w:rPr>
            </w:pPr>
          </w:p>
        </w:tc>
        <w:tc>
          <w:tcPr>
            <w:tcW w:w="17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07/16/2013</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60" w:type="dxa"/>
            <w:vAlign w:val="bottom"/>
          </w:tcPr>
          <w:p>
            <w:pPr>
              <w:ind w:left="340"/>
              <w:spacing w:after="0"/>
              <w:rPr>
                <w:sz w:val="20"/>
                <w:szCs w:val="20"/>
                <w:color w:val="auto"/>
              </w:rPr>
            </w:pPr>
            <w:r>
              <w:rPr>
                <w:rFonts w:ascii="Arial" w:cs="Arial" w:eastAsia="Arial" w:hAnsi="Arial"/>
                <w:sz w:val="14"/>
                <w:szCs w:val="14"/>
                <w:color w:val="auto"/>
              </w:rPr>
              <w:t>(First)</w:t>
            </w:r>
          </w:p>
        </w:tc>
        <w:tc>
          <w:tcPr>
            <w:tcW w:w="1300" w:type="dxa"/>
            <w:vAlign w:val="bottom"/>
          </w:tcPr>
          <w:p>
            <w:pPr>
              <w:ind w:left="2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8111 LYNDALE AVENUE SOUTH</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940" w:type="dxa"/>
            <w:vAlign w:val="bottom"/>
            <w:gridSpan w:val="2"/>
          </w:tcPr>
          <w:p>
            <w:pPr>
              <w:ind w:left="20"/>
              <w:spacing w:after="0"/>
              <w:rPr>
                <w:sz w:val="20"/>
                <w:szCs w:val="20"/>
                <w:color w:val="auto"/>
              </w:rPr>
            </w:pPr>
            <w:r>
              <w:rPr>
                <w:rFonts w:ascii="Arial" w:cs="Arial" w:eastAsia="Arial" w:hAnsi="Arial"/>
                <w:sz w:val="18"/>
                <w:szCs w:val="18"/>
                <w:color w:val="0000FF"/>
              </w:rPr>
              <w:t>BLOOMINGTON MN</w:t>
            </w:r>
          </w:p>
        </w:tc>
        <w:tc>
          <w:tcPr>
            <w:tcW w:w="1300" w:type="dxa"/>
            <w:vAlign w:val="bottom"/>
          </w:tcPr>
          <w:p>
            <w:pPr>
              <w:jc w:val="right"/>
              <w:ind w:right="406"/>
              <w:spacing w:after="0"/>
              <w:rPr>
                <w:sz w:val="20"/>
                <w:szCs w:val="20"/>
                <w:color w:val="auto"/>
              </w:rPr>
            </w:pPr>
            <w:r>
              <w:rPr>
                <w:rFonts w:ascii="Arial" w:cs="Arial" w:eastAsia="Arial" w:hAnsi="Arial"/>
                <w:sz w:val="18"/>
                <w:szCs w:val="18"/>
                <w:color w:val="0000FF"/>
              </w:rPr>
              <w:t>55420</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60" w:type="dxa"/>
            <w:vAlign w:val="bottom"/>
          </w:tcPr>
          <w:p>
            <w:pPr>
              <w:ind w:left="340"/>
              <w:spacing w:after="0"/>
              <w:rPr>
                <w:sz w:val="20"/>
                <w:szCs w:val="20"/>
                <w:color w:val="auto"/>
              </w:rPr>
            </w:pPr>
            <w:r>
              <w:rPr>
                <w:rFonts w:ascii="Arial" w:cs="Arial" w:eastAsia="Arial" w:hAnsi="Arial"/>
                <w:sz w:val="14"/>
                <w:szCs w:val="14"/>
                <w:color w:val="auto"/>
              </w:rPr>
              <w:t>(State)</w:t>
            </w:r>
          </w:p>
        </w:tc>
        <w:tc>
          <w:tcPr>
            <w:tcW w:w="1300" w:type="dxa"/>
            <w:vAlign w:val="bottom"/>
          </w:tcPr>
          <w:p>
            <w:pPr>
              <w:ind w:left="2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2900" w:type="dxa"/>
            <w:vAlign w:val="bottom"/>
            <w:gridSpan w:val="2"/>
          </w:tcPr>
          <w:p>
            <w:pPr>
              <w:ind w:left="320"/>
              <w:spacing w:after="0"/>
              <w:rPr>
                <w:sz w:val="20"/>
                <w:szCs w:val="20"/>
                <w:color w:val="auto"/>
              </w:rPr>
            </w:pPr>
            <w:r>
              <w:rPr>
                <w:rFonts w:ascii="Arial" w:cs="Arial" w:eastAsia="Arial" w:hAnsi="Arial"/>
                <w:sz w:val="18"/>
                <w:szCs w:val="18"/>
                <w:color w:val="0000FF"/>
              </w:rPr>
              <w:t>VP, Information Services</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40" w:type="dxa"/>
            <w:vAlign w:val="bottom"/>
            <w:gridSpan w:val="2"/>
          </w:tcPr>
          <w:p>
            <w:pPr>
              <w:ind w:left="660"/>
              <w:spacing w:after="0"/>
              <w:rPr>
                <w:sz w:val="20"/>
                <w:szCs w:val="20"/>
                <w:color w:val="auto"/>
              </w:rPr>
            </w:pPr>
            <w:r>
              <w:rPr>
                <w:rFonts w:ascii="Arial" w:cs="Arial" w:eastAsia="Arial" w:hAnsi="Arial"/>
                <w:sz w:val="14"/>
                <w:szCs w:val="14"/>
                <w:b w:val="1"/>
                <w:bCs w:val="1"/>
                <w:color w:val="auto"/>
              </w:rPr>
              <w:t>2. Amount of Securities</w:t>
            </w: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3. Ownership</w:t>
            </w:r>
          </w:p>
        </w:tc>
        <w:tc>
          <w:tcPr>
            <w:tcW w:w="3080" w:type="dxa"/>
            <w:vAlign w:val="bottom"/>
            <w:gridSpan w:val="4"/>
          </w:tcPr>
          <w:p>
            <w:pPr>
              <w:ind w:left="18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40" w:type="dxa"/>
            <w:vAlign w:val="bottom"/>
            <w:gridSpan w:val="2"/>
          </w:tcPr>
          <w:p>
            <w:pPr>
              <w:ind w:left="66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2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w w:val="97"/>
              </w:rPr>
              <w:t>Form: Direct (D)</w:t>
            </w:r>
          </w:p>
        </w:tc>
        <w:tc>
          <w:tcPr>
            <w:tcW w:w="14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4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jc w:val="center"/>
              <w:ind w:right="436"/>
              <w:spacing w:after="0"/>
              <w:rPr>
                <w:sz w:val="20"/>
                <w:szCs w:val="20"/>
                <w:color w:val="auto"/>
              </w:rPr>
            </w:pPr>
            <w:r>
              <w:rPr>
                <w:rFonts w:ascii="Arial" w:cs="Arial" w:eastAsia="Arial" w:hAnsi="Arial"/>
                <w:sz w:val="18"/>
                <w:szCs w:val="18"/>
                <w:color w:val="0000FF"/>
              </w:rPr>
              <w:t>3,004.609</w:t>
            </w:r>
            <w:r>
              <w:rPr>
                <w:rFonts w:ascii="Arial" w:cs="Arial" w:eastAsia="Arial" w:hAnsi="Arial"/>
                <w:sz w:val="22"/>
                <w:szCs w:val="22"/>
                <w:color w:val="008000"/>
                <w:vertAlign w:val="superscript"/>
              </w:rPr>
              <w:t>(1)</w:t>
            </w:r>
          </w:p>
        </w:tc>
        <w:tc>
          <w:tcPr>
            <w:tcW w:w="94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D</w:t>
            </w:r>
          </w:p>
        </w:tc>
        <w:tc>
          <w:tcPr>
            <w:tcW w:w="3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40" w:type="dxa"/>
            <w:vAlign w:val="bottom"/>
            <w:vMerge w:val="restart"/>
          </w:tcPr>
          <w:p>
            <w:pPr>
              <w:jc w:val="right"/>
              <w:ind w:right="516"/>
              <w:spacing w:after="0"/>
              <w:rPr>
                <w:sz w:val="20"/>
                <w:szCs w:val="20"/>
                <w:color w:val="auto"/>
              </w:rPr>
            </w:pPr>
            <w:r>
              <w:rPr>
                <w:rFonts w:ascii="Arial" w:cs="Arial" w:eastAsia="Arial" w:hAnsi="Arial"/>
                <w:sz w:val="18"/>
                <w:szCs w:val="18"/>
                <w:color w:val="0000FF"/>
              </w:rPr>
              <w:t>4,599.317</w:t>
            </w:r>
          </w:p>
        </w:tc>
        <w:tc>
          <w:tcPr>
            <w:tcW w:w="940" w:type="dxa"/>
            <w:vAlign w:val="bottom"/>
            <w:vMerge w:val="restart"/>
          </w:tcPr>
          <w:p>
            <w:pPr>
              <w:ind w:left="720"/>
              <w:spacing w:after="0"/>
              <w:rPr>
                <w:sz w:val="20"/>
                <w:szCs w:val="20"/>
                <w:color w:val="auto"/>
              </w:rPr>
            </w:pPr>
            <w:r>
              <w:rPr>
                <w:rFonts w:ascii="Arial" w:cs="Arial" w:eastAsia="Arial" w:hAnsi="Arial"/>
                <w:sz w:val="18"/>
                <w:szCs w:val="18"/>
                <w:color w:val="0000FF"/>
              </w:rPr>
              <w:t>I</w:t>
            </w:r>
          </w:p>
        </w:tc>
        <w:tc>
          <w:tcPr>
            <w:tcW w:w="320" w:type="dxa"/>
            <w:vAlign w:val="bottom"/>
          </w:tcPr>
          <w:p>
            <w:pPr>
              <w:spacing w:after="0"/>
              <w:rPr>
                <w:sz w:val="22"/>
                <w:szCs w:val="22"/>
                <w:color w:val="auto"/>
              </w:rPr>
            </w:pPr>
          </w:p>
        </w:tc>
        <w:tc>
          <w:tcPr>
            <w:tcW w:w="3080" w:type="dxa"/>
            <w:vAlign w:val="bottom"/>
            <w:gridSpan w:val="4"/>
          </w:tcPr>
          <w:p>
            <w:pPr>
              <w:ind w:left="180"/>
              <w:spacing w:after="0"/>
              <w:rPr>
                <w:sz w:val="20"/>
                <w:szCs w:val="20"/>
                <w:color w:val="auto"/>
              </w:rPr>
            </w:pPr>
            <w:r>
              <w:rPr>
                <w:rFonts w:ascii="Arial" w:cs="Arial" w:eastAsia="Arial" w:hAnsi="Arial"/>
                <w:sz w:val="18"/>
                <w:szCs w:val="18"/>
                <w:color w:val="0000FF"/>
              </w:rPr>
              <w:t>The Toro Company Investment,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8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4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92"/>
              </w:rPr>
              <w:t>Savings &amp; ESOP</w:t>
            </w: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480" w:type="dxa"/>
            <w:vAlign w:val="bottom"/>
            <w:tcBorders>
              <w:bottom w:val="single" w:sz="8" w:color="2C2C2C"/>
            </w:tcBorders>
            <w:gridSpan w:val="4"/>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3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44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32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560" w:type="dxa"/>
            <w:vAlign w:val="bottom"/>
          </w:tcPr>
          <w:p>
            <w:pPr>
              <w:spacing w:after="0"/>
              <w:rPr>
                <w:sz w:val="16"/>
                <w:szCs w:val="16"/>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8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8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4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9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Non-Qualified Stock Option</w:t>
            </w:r>
          </w:p>
        </w:tc>
        <w:tc>
          <w:tcPr>
            <w:tcW w:w="1540" w:type="dxa"/>
            <w:vAlign w:val="bottom"/>
            <w:tcBorders>
              <w:bottom w:val="single" w:sz="8" w:color="2C2C2C"/>
            </w:tcBorders>
            <w:gridSpan w:val="2"/>
          </w:tcPr>
          <w:p>
            <w:pPr>
              <w:jc w:val="center"/>
              <w:ind w:left="573"/>
              <w:spacing w:after="0"/>
              <w:rPr>
                <w:sz w:val="20"/>
                <w:szCs w:val="20"/>
                <w:color w:val="auto"/>
              </w:rPr>
            </w:pPr>
            <w:r>
              <w:rPr>
                <w:rFonts w:ascii="Arial" w:cs="Arial" w:eastAsia="Arial" w:hAnsi="Arial"/>
                <w:sz w:val="14"/>
                <w:szCs w:val="14"/>
                <w:color w:val="0000FF"/>
                <w:w w:val="84"/>
              </w:rPr>
              <w:t>12/03/2009</w:t>
            </w:r>
            <w:r>
              <w:rPr>
                <w:rFonts w:ascii="Arial" w:cs="Arial" w:eastAsia="Arial" w:hAnsi="Arial"/>
                <w:sz w:val="22"/>
                <w:szCs w:val="22"/>
                <w:color w:val="008000"/>
                <w:w w:val="84"/>
                <w:vertAlign w:val="superscript"/>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12/03/2018</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3,150</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14.31</w:t>
            </w:r>
          </w:p>
        </w:tc>
        <w:tc>
          <w:tcPr>
            <w:tcW w:w="9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Non-Qualified Stock Option</w:t>
            </w:r>
          </w:p>
        </w:tc>
        <w:tc>
          <w:tcPr>
            <w:tcW w:w="1540" w:type="dxa"/>
            <w:vAlign w:val="bottom"/>
            <w:tcBorders>
              <w:bottom w:val="single" w:sz="8" w:color="2C2C2C"/>
            </w:tcBorders>
            <w:gridSpan w:val="2"/>
          </w:tcPr>
          <w:p>
            <w:pPr>
              <w:jc w:val="center"/>
              <w:ind w:left="573"/>
              <w:spacing w:after="0"/>
              <w:rPr>
                <w:sz w:val="20"/>
                <w:szCs w:val="20"/>
                <w:color w:val="auto"/>
              </w:rPr>
            </w:pPr>
            <w:r>
              <w:rPr>
                <w:rFonts w:ascii="Arial" w:cs="Arial" w:eastAsia="Arial" w:hAnsi="Arial"/>
                <w:sz w:val="14"/>
                <w:szCs w:val="14"/>
                <w:color w:val="0000FF"/>
                <w:w w:val="84"/>
              </w:rPr>
              <w:t>12/01/2010</w:t>
            </w:r>
            <w:r>
              <w:rPr>
                <w:rFonts w:ascii="Arial" w:cs="Arial" w:eastAsia="Arial" w:hAnsi="Arial"/>
                <w:sz w:val="22"/>
                <w:szCs w:val="22"/>
                <w:color w:val="008000"/>
                <w:w w:val="84"/>
                <w:vertAlign w:val="superscript"/>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12/01/2019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3,090</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20.37</w:t>
            </w:r>
          </w:p>
        </w:tc>
        <w:tc>
          <w:tcPr>
            <w:tcW w:w="9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Non-Qualified Stock Option</w:t>
            </w:r>
          </w:p>
        </w:tc>
        <w:tc>
          <w:tcPr>
            <w:tcW w:w="1540" w:type="dxa"/>
            <w:vAlign w:val="bottom"/>
            <w:tcBorders>
              <w:bottom w:val="single" w:sz="8" w:color="2C2C2C"/>
            </w:tcBorders>
            <w:gridSpan w:val="2"/>
          </w:tcPr>
          <w:p>
            <w:pPr>
              <w:jc w:val="center"/>
              <w:ind w:left="573"/>
              <w:spacing w:after="0"/>
              <w:rPr>
                <w:sz w:val="20"/>
                <w:szCs w:val="20"/>
                <w:color w:val="auto"/>
              </w:rPr>
            </w:pPr>
            <w:r>
              <w:rPr>
                <w:rFonts w:ascii="Arial" w:cs="Arial" w:eastAsia="Arial" w:hAnsi="Arial"/>
                <w:sz w:val="14"/>
                <w:szCs w:val="14"/>
                <w:color w:val="0000FF"/>
                <w:w w:val="84"/>
              </w:rPr>
              <w:t>12/08/2011</w:t>
            </w:r>
            <w:r>
              <w:rPr>
                <w:rFonts w:ascii="Arial" w:cs="Arial" w:eastAsia="Arial" w:hAnsi="Arial"/>
                <w:sz w:val="22"/>
                <w:szCs w:val="22"/>
                <w:color w:val="008000"/>
                <w:w w:val="84"/>
                <w:vertAlign w:val="superscript"/>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12/08/2020</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1,670</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31.76</w:t>
            </w:r>
          </w:p>
        </w:tc>
        <w:tc>
          <w:tcPr>
            <w:tcW w:w="9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Non-Qualified Stock Option</w:t>
            </w:r>
          </w:p>
        </w:tc>
        <w:tc>
          <w:tcPr>
            <w:tcW w:w="1540" w:type="dxa"/>
            <w:vAlign w:val="bottom"/>
            <w:tcBorders>
              <w:bottom w:val="single" w:sz="8" w:color="2C2C2C"/>
            </w:tcBorders>
            <w:gridSpan w:val="2"/>
          </w:tcPr>
          <w:p>
            <w:pPr>
              <w:jc w:val="center"/>
              <w:ind w:left="573"/>
              <w:spacing w:after="0"/>
              <w:rPr>
                <w:sz w:val="20"/>
                <w:szCs w:val="20"/>
                <w:color w:val="auto"/>
              </w:rPr>
            </w:pPr>
            <w:r>
              <w:rPr>
                <w:rFonts w:ascii="Arial" w:cs="Arial" w:eastAsia="Arial" w:hAnsi="Arial"/>
                <w:sz w:val="14"/>
                <w:szCs w:val="14"/>
                <w:color w:val="0000FF"/>
                <w:w w:val="84"/>
              </w:rPr>
              <w:t>12/07/2012</w:t>
            </w:r>
            <w:r>
              <w:rPr>
                <w:rFonts w:ascii="Arial" w:cs="Arial" w:eastAsia="Arial" w:hAnsi="Arial"/>
                <w:sz w:val="22"/>
                <w:szCs w:val="22"/>
                <w:color w:val="008000"/>
                <w:w w:val="84"/>
                <w:vertAlign w:val="superscript"/>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12/07/2021</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2,200</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28.23</w:t>
            </w:r>
          </w:p>
        </w:tc>
        <w:tc>
          <w:tcPr>
            <w:tcW w:w="9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Non-Qualified Stock Option</w:t>
            </w:r>
          </w:p>
        </w:tc>
        <w:tc>
          <w:tcPr>
            <w:tcW w:w="1540" w:type="dxa"/>
            <w:vAlign w:val="bottom"/>
            <w:tcBorders>
              <w:bottom w:val="single" w:sz="8" w:color="2C2C2C"/>
            </w:tcBorders>
            <w:gridSpan w:val="2"/>
          </w:tcPr>
          <w:p>
            <w:pPr>
              <w:jc w:val="center"/>
              <w:ind w:left="573"/>
              <w:spacing w:after="0"/>
              <w:rPr>
                <w:sz w:val="20"/>
                <w:szCs w:val="20"/>
                <w:color w:val="auto"/>
              </w:rPr>
            </w:pPr>
            <w:r>
              <w:rPr>
                <w:rFonts w:ascii="Arial" w:cs="Arial" w:eastAsia="Arial" w:hAnsi="Arial"/>
                <w:sz w:val="14"/>
                <w:szCs w:val="14"/>
                <w:color w:val="0000FF"/>
                <w:w w:val="84"/>
              </w:rPr>
              <w:t>12/08/2013</w:t>
            </w:r>
            <w:r>
              <w:rPr>
                <w:rFonts w:ascii="Arial" w:cs="Arial" w:eastAsia="Arial" w:hAnsi="Arial"/>
                <w:sz w:val="22"/>
                <w:szCs w:val="22"/>
                <w:color w:val="008000"/>
                <w:w w:val="84"/>
                <w:vertAlign w:val="superscript"/>
              </w:rPr>
              <w:t>(6)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12/08/2020</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1,670</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31.76</w:t>
            </w:r>
          </w:p>
        </w:tc>
        <w:tc>
          <w:tcPr>
            <w:tcW w:w="9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Non-Qualified Stock Option</w:t>
            </w:r>
          </w:p>
        </w:tc>
        <w:tc>
          <w:tcPr>
            <w:tcW w:w="1540" w:type="dxa"/>
            <w:vAlign w:val="bottom"/>
            <w:tcBorders>
              <w:bottom w:val="single" w:sz="8" w:color="2C2C2C"/>
            </w:tcBorders>
            <w:gridSpan w:val="2"/>
          </w:tcPr>
          <w:p>
            <w:pPr>
              <w:jc w:val="center"/>
              <w:ind w:left="573"/>
              <w:spacing w:after="0"/>
              <w:rPr>
                <w:sz w:val="20"/>
                <w:szCs w:val="20"/>
                <w:color w:val="auto"/>
              </w:rPr>
            </w:pPr>
            <w:r>
              <w:rPr>
                <w:rFonts w:ascii="Arial" w:cs="Arial" w:eastAsia="Arial" w:hAnsi="Arial"/>
                <w:sz w:val="14"/>
                <w:szCs w:val="14"/>
                <w:color w:val="0000FF"/>
                <w:w w:val="84"/>
              </w:rPr>
              <w:t>12/11/2013</w:t>
            </w:r>
            <w:r>
              <w:rPr>
                <w:rFonts w:ascii="Arial" w:cs="Arial" w:eastAsia="Arial" w:hAnsi="Arial"/>
                <w:sz w:val="22"/>
                <w:szCs w:val="22"/>
                <w:color w:val="008000"/>
                <w:w w:val="84"/>
                <w:vertAlign w:val="superscript"/>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5"/>
              </w:rPr>
              <w:t>12/11/2022</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1,500</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42.06</w:t>
            </w:r>
          </w:p>
        </w:tc>
        <w:tc>
          <w:tcPr>
            <w:tcW w:w="9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Non-Qualified Stock Option</w:t>
            </w:r>
          </w:p>
        </w:tc>
        <w:tc>
          <w:tcPr>
            <w:tcW w:w="1540" w:type="dxa"/>
            <w:vAlign w:val="bottom"/>
            <w:tcBorders>
              <w:bottom w:val="single" w:sz="8" w:color="2C2C2C"/>
            </w:tcBorders>
            <w:gridSpan w:val="2"/>
          </w:tcPr>
          <w:p>
            <w:pPr>
              <w:jc w:val="center"/>
              <w:ind w:left="573"/>
              <w:spacing w:after="0"/>
              <w:rPr>
                <w:sz w:val="20"/>
                <w:szCs w:val="20"/>
                <w:color w:val="auto"/>
              </w:rPr>
            </w:pPr>
            <w:r>
              <w:rPr>
                <w:rFonts w:ascii="Arial" w:cs="Arial" w:eastAsia="Arial" w:hAnsi="Arial"/>
                <w:sz w:val="14"/>
                <w:szCs w:val="14"/>
                <w:color w:val="0000FF"/>
                <w:w w:val="84"/>
              </w:rPr>
              <w:t>12/07/2014</w:t>
            </w:r>
            <w:r>
              <w:rPr>
                <w:rFonts w:ascii="Arial" w:cs="Arial" w:eastAsia="Arial" w:hAnsi="Arial"/>
                <w:sz w:val="22"/>
                <w:szCs w:val="22"/>
                <w:color w:val="008000"/>
                <w:w w:val="84"/>
                <w:vertAlign w:val="superscript"/>
              </w:rPr>
              <w:t>(8)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12/07/2021</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2,200</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28.23</w:t>
            </w:r>
          </w:p>
        </w:tc>
        <w:tc>
          <w:tcPr>
            <w:tcW w:w="9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Non-Qualified Stock Option</w:t>
            </w:r>
          </w:p>
        </w:tc>
        <w:tc>
          <w:tcPr>
            <w:tcW w:w="1540" w:type="dxa"/>
            <w:vAlign w:val="bottom"/>
            <w:tcBorders>
              <w:bottom w:val="single" w:sz="8" w:color="2C2C2C"/>
            </w:tcBorders>
            <w:gridSpan w:val="2"/>
          </w:tcPr>
          <w:p>
            <w:pPr>
              <w:jc w:val="center"/>
              <w:ind w:left="573"/>
              <w:spacing w:after="0"/>
              <w:rPr>
                <w:sz w:val="20"/>
                <w:szCs w:val="20"/>
                <w:color w:val="auto"/>
              </w:rPr>
            </w:pPr>
            <w:r>
              <w:rPr>
                <w:rFonts w:ascii="Arial" w:cs="Arial" w:eastAsia="Arial" w:hAnsi="Arial"/>
                <w:sz w:val="14"/>
                <w:szCs w:val="14"/>
                <w:color w:val="0000FF"/>
                <w:w w:val="84"/>
              </w:rPr>
              <w:t>12/11/2015</w:t>
            </w:r>
            <w:r>
              <w:rPr>
                <w:rFonts w:ascii="Arial" w:cs="Arial" w:eastAsia="Arial" w:hAnsi="Arial"/>
                <w:sz w:val="22"/>
                <w:szCs w:val="22"/>
                <w:color w:val="008000"/>
                <w:w w:val="84"/>
                <w:vertAlign w:val="superscript"/>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5"/>
              </w:rPr>
              <w:t>12/11/2022</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1,500</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42.06</w:t>
            </w:r>
          </w:p>
        </w:tc>
        <w:tc>
          <w:tcPr>
            <w:tcW w:w="9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Restricted Stock Unit</w:t>
            </w:r>
          </w:p>
        </w:tc>
        <w:tc>
          <w:tcPr>
            <w:tcW w:w="1540" w:type="dxa"/>
            <w:vAlign w:val="bottom"/>
            <w:gridSpan w:val="2"/>
          </w:tcPr>
          <w:p>
            <w:pPr>
              <w:jc w:val="center"/>
              <w:ind w:left="573"/>
              <w:spacing w:after="0"/>
              <w:rPr>
                <w:sz w:val="20"/>
                <w:szCs w:val="20"/>
                <w:color w:val="auto"/>
              </w:rPr>
            </w:pPr>
            <w:r>
              <w:rPr>
                <w:rFonts w:ascii="Arial" w:cs="Arial" w:eastAsia="Arial" w:hAnsi="Arial"/>
                <w:sz w:val="11"/>
                <w:szCs w:val="11"/>
                <w:color w:val="008000"/>
                <w:w w:val="91"/>
              </w:rPr>
              <w:t>(10)</w:t>
            </w:r>
          </w:p>
        </w:tc>
        <w:tc>
          <w:tcPr>
            <w:tcW w:w="800" w:type="dxa"/>
            <w:vAlign w:val="bottom"/>
          </w:tcPr>
          <w:p>
            <w:pPr>
              <w:jc w:val="center"/>
              <w:spacing w:after="0"/>
              <w:rPr>
                <w:sz w:val="20"/>
                <w:szCs w:val="20"/>
                <w:color w:val="auto"/>
              </w:rPr>
            </w:pPr>
            <w:r>
              <w:rPr>
                <w:rFonts w:ascii="Arial" w:cs="Arial" w:eastAsia="Arial" w:hAnsi="Arial"/>
                <w:sz w:val="11"/>
                <w:szCs w:val="11"/>
                <w:color w:val="008000"/>
                <w:w w:val="91"/>
              </w:rPr>
              <w:t>(10)</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Pr>
          <w:p>
            <w:pPr>
              <w:jc w:val="center"/>
              <w:ind w:left="141"/>
              <w:spacing w:after="0"/>
              <w:rPr>
                <w:sz w:val="20"/>
                <w:szCs w:val="20"/>
                <w:color w:val="auto"/>
              </w:rPr>
            </w:pPr>
            <w:r>
              <w:rPr>
                <w:rFonts w:ascii="Arial" w:cs="Arial" w:eastAsia="Arial" w:hAnsi="Arial"/>
                <w:sz w:val="18"/>
                <w:szCs w:val="18"/>
                <w:color w:val="0000FF"/>
                <w:w w:val="86"/>
              </w:rPr>
              <w:t>151.139</w:t>
            </w:r>
          </w:p>
        </w:tc>
        <w:tc>
          <w:tcPr>
            <w:tcW w:w="320" w:type="dxa"/>
            <w:vAlign w:val="bottom"/>
          </w:tcPr>
          <w:p>
            <w:pPr>
              <w:spacing w:after="0"/>
              <w:rPr>
                <w:sz w:val="23"/>
                <w:szCs w:val="23"/>
                <w:color w:val="auto"/>
              </w:rPr>
            </w:pPr>
          </w:p>
        </w:tc>
        <w:tc>
          <w:tcPr>
            <w:tcW w:w="560" w:type="dxa"/>
            <w:vAlign w:val="bottom"/>
          </w:tcPr>
          <w:p>
            <w:pPr>
              <w:jc w:val="center"/>
              <w:ind w:right="229"/>
              <w:spacing w:after="0"/>
              <w:rPr>
                <w:sz w:val="20"/>
                <w:szCs w:val="20"/>
                <w:color w:val="auto"/>
              </w:rPr>
            </w:pPr>
            <w:r>
              <w:rPr>
                <w:rFonts w:ascii="Arial" w:cs="Arial" w:eastAsia="Arial" w:hAnsi="Arial"/>
                <w:sz w:val="11"/>
                <w:szCs w:val="11"/>
                <w:color w:val="008000"/>
                <w:w w:val="91"/>
              </w:rPr>
              <w:t>(11)</w:t>
            </w:r>
          </w:p>
        </w:tc>
        <w:tc>
          <w:tcPr>
            <w:tcW w:w="900" w:type="dxa"/>
            <w:vAlign w:val="bottom"/>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Restricted Stock Unit</w:t>
            </w:r>
          </w:p>
        </w:tc>
        <w:tc>
          <w:tcPr>
            <w:tcW w:w="1540" w:type="dxa"/>
            <w:vAlign w:val="bottom"/>
            <w:gridSpan w:val="2"/>
          </w:tcPr>
          <w:p>
            <w:pPr>
              <w:jc w:val="center"/>
              <w:ind w:left="573"/>
              <w:spacing w:after="0"/>
              <w:rPr>
                <w:sz w:val="20"/>
                <w:szCs w:val="20"/>
                <w:color w:val="auto"/>
              </w:rPr>
            </w:pPr>
            <w:r>
              <w:rPr>
                <w:rFonts w:ascii="Arial" w:cs="Arial" w:eastAsia="Arial" w:hAnsi="Arial"/>
                <w:sz w:val="11"/>
                <w:szCs w:val="11"/>
                <w:color w:val="008000"/>
                <w:w w:val="91"/>
              </w:rPr>
              <w:t>(12)</w:t>
            </w:r>
          </w:p>
        </w:tc>
        <w:tc>
          <w:tcPr>
            <w:tcW w:w="800" w:type="dxa"/>
            <w:vAlign w:val="bottom"/>
          </w:tcPr>
          <w:p>
            <w:pPr>
              <w:jc w:val="center"/>
              <w:spacing w:after="0"/>
              <w:rPr>
                <w:sz w:val="20"/>
                <w:szCs w:val="20"/>
                <w:color w:val="auto"/>
              </w:rPr>
            </w:pPr>
            <w:r>
              <w:rPr>
                <w:rFonts w:ascii="Arial" w:cs="Arial" w:eastAsia="Arial" w:hAnsi="Arial"/>
                <w:sz w:val="11"/>
                <w:szCs w:val="11"/>
                <w:color w:val="008000"/>
                <w:w w:val="91"/>
              </w:rPr>
              <w:t>(12)</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Pr>
          <w:p>
            <w:pPr>
              <w:jc w:val="center"/>
              <w:ind w:left="141"/>
              <w:spacing w:after="0"/>
              <w:rPr>
                <w:sz w:val="20"/>
                <w:szCs w:val="20"/>
                <w:color w:val="auto"/>
              </w:rPr>
            </w:pPr>
            <w:r>
              <w:rPr>
                <w:rFonts w:ascii="Arial" w:cs="Arial" w:eastAsia="Arial" w:hAnsi="Arial"/>
                <w:sz w:val="18"/>
                <w:szCs w:val="18"/>
                <w:color w:val="0000FF"/>
                <w:w w:val="86"/>
              </w:rPr>
              <w:t>151.139</w:t>
            </w:r>
          </w:p>
        </w:tc>
        <w:tc>
          <w:tcPr>
            <w:tcW w:w="320" w:type="dxa"/>
            <w:vAlign w:val="bottom"/>
          </w:tcPr>
          <w:p>
            <w:pPr>
              <w:spacing w:after="0"/>
              <w:rPr>
                <w:sz w:val="23"/>
                <w:szCs w:val="23"/>
                <w:color w:val="auto"/>
              </w:rPr>
            </w:pPr>
          </w:p>
        </w:tc>
        <w:tc>
          <w:tcPr>
            <w:tcW w:w="560" w:type="dxa"/>
            <w:vAlign w:val="bottom"/>
          </w:tcPr>
          <w:p>
            <w:pPr>
              <w:jc w:val="center"/>
              <w:ind w:right="229"/>
              <w:spacing w:after="0"/>
              <w:rPr>
                <w:sz w:val="20"/>
                <w:szCs w:val="20"/>
                <w:color w:val="auto"/>
              </w:rPr>
            </w:pPr>
            <w:r>
              <w:rPr>
                <w:rFonts w:ascii="Arial" w:cs="Arial" w:eastAsia="Arial" w:hAnsi="Arial"/>
                <w:sz w:val="11"/>
                <w:szCs w:val="11"/>
                <w:color w:val="008000"/>
                <w:w w:val="91"/>
              </w:rPr>
              <w:t>(11)</w:t>
            </w:r>
          </w:p>
        </w:tc>
        <w:tc>
          <w:tcPr>
            <w:tcW w:w="900" w:type="dxa"/>
            <w:vAlign w:val="bottom"/>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628.367 shares of restricted stock, 217.38 shares of which vest in equal installments on each of the first, second and third anniversaries of the date of grant, and 410.987 shares of which vest in full on the third anniversary of the date of grant.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December 3, 2008.</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December 1, 2009.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 which was December 8,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 which was December 7,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vests in full on the third anniversary of the date of grant, which was December 8,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 which was December 11,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vests in full on the third anniversary of the date of grant, which was December 7,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vests in full on the third anniversary of the date of grant, which was December 11, 2012.</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units vest and become non-forfeitable in three equal annual installments commencing on December 11, 2013, which is the first anniversary of the date of grant.</w:t>
      </w:r>
    </w:p>
    <w:p>
      <w:pPr>
        <w:spacing w:after="0" w:line="41" w:lineRule="exact"/>
        <w:rPr>
          <w:rFonts w:ascii="Arial" w:cs="Arial" w:eastAsia="Arial" w:hAnsi="Arial"/>
          <w:sz w:val="14"/>
          <w:szCs w:val="14"/>
          <w:color w:val="008000"/>
        </w:rPr>
      </w:pPr>
    </w:p>
    <w:p>
      <w:pPr>
        <w:ind w:left="240" w:hanging="191"/>
        <w:spacing w:after="0"/>
        <w:tabs>
          <w:tab w:leader="none" w:pos="2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restricted stock unit represents a contingent right to receive one share of Toro common stock.</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units vest and become non-forfeitable in full on December 11, 2015, which is the third anniversary of the date of grant.</w:t>
      </w:r>
    </w:p>
    <w:p>
      <w:pPr>
        <w:spacing w:after="0" w:line="4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07/23/2013</w:t>
            </w: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3"/>
        </w:trPr>
        <w:tc>
          <w:tcPr>
            <w:tcW w:w="894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4"/>
          </w:tcPr>
          <w:p>
            <w:pPr>
              <w:spacing w:after="0"/>
              <w:rPr>
                <w:sz w:val="20"/>
                <w:szCs w:val="20"/>
                <w:color w:val="auto"/>
              </w:rPr>
            </w:pPr>
            <w:r>
              <w:rPr>
                <w:rFonts w:ascii="Arial" w:cs="Arial" w:eastAsia="Arial" w:hAnsi="Arial"/>
                <w:sz w:val="14"/>
                <w:szCs w:val="14"/>
                <w:color w:val="auto"/>
              </w:rPr>
              <w:t xml:space="preserve">** 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25" w:right="12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Timothy P. Dordell and Nancy A. McGrath, signing singly, true and lawful attorneys-in-fact relative to the filings identified below in connection with the undersigned's derivative and non-derivative securities of The Toro Company (the ?Company?) to:</w:t>
      </w:r>
    </w:p>
    <w:p>
      <w:pPr>
        <w:spacing w:after="0" w:line="210" w:lineRule="exact"/>
        <w:rPr>
          <w:sz w:val="20"/>
          <w:szCs w:val="20"/>
          <w:color w:val="auto"/>
        </w:rPr>
      </w:pPr>
    </w:p>
    <w:p>
      <w:pPr>
        <w:ind w:right="3039" w:firstLine="8"/>
        <w:spacing w:after="0" w:line="237"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293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387" w:lineRule="exact"/>
        <w:rPr>
          <w:sz w:val="20"/>
          <w:szCs w:val="20"/>
          <w:color w:val="auto"/>
        </w:rPr>
      </w:pPr>
    </w:p>
    <w:p>
      <w:pPr>
        <w:ind w:right="303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36"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Kurt D. Svendsen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Kurt D. Svendsen</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07/18/2013</w:t>
      </w:r>
    </w:p>
    <w:sectPr>
      <w:pgSz w:w="11900" w:h="16838" w:orient="portrait"/>
      <w:cols w:equalWidth="0" w:num="2">
        <w:col w:w="640" w:space="220"/>
        <w:col w:w="9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81944" TargetMode="External"/><Relationship Id="rId12"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2019-12-17T02:18:08Z</dcterms:created>
  <dcterms:modified xsi:type="dcterms:W3CDTF">2019-12-17T02:18:08Z</dcterms:modified>
</cp:coreProperties>
</file>