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80"/>
        <w:spacing w:after="0"/>
        <w:rPr>
          <w:sz w:val="20"/>
          <w:szCs w:val="20"/>
          <w:color w:val="auto"/>
        </w:rPr>
      </w:pPr>
      <w:r>
        <w:rPr>
          <w:rFonts w:ascii="Arial" w:cs="Arial" w:eastAsia="Arial" w:hAnsi="Arial"/>
          <w:sz w:val="18"/>
          <w:szCs w:val="18"/>
          <w:b w:val="1"/>
          <w:bCs w:val="1"/>
          <w:color w:val="auto"/>
        </w:rPr>
        <w:t>As filed with the Securities and Exchange Commission on May 20, 2015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333-159767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118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80"/>
        <w:spacing w:after="0"/>
        <w:rPr>
          <w:sz w:val="20"/>
          <w:szCs w:val="20"/>
          <w:color w:val="auto"/>
        </w:rPr>
      </w:pPr>
      <w:r>
        <w:rPr>
          <w:rFonts w:ascii="Arial" w:cs="Arial" w:eastAsia="Arial" w:hAnsi="Arial"/>
          <w:sz w:val="32"/>
          <w:szCs w:val="32"/>
          <w:b w:val="1"/>
          <w:bCs w:val="1"/>
          <w:color w:val="auto"/>
        </w:rPr>
        <w:t>SECURITIES AND EXCHANGE COMMISSION</w:t>
      </w:r>
    </w:p>
    <w:p>
      <w:pPr>
        <w:ind w:left="3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80"/>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ind w:right="1180"/>
        <w:spacing w:after="0"/>
        <w:rPr>
          <w:sz w:val="20"/>
          <w:szCs w:val="20"/>
          <w:color w:val="auto"/>
        </w:rPr>
      </w:pPr>
      <w:r>
        <w:rPr>
          <w:rFonts w:ascii="Arial" w:cs="Arial" w:eastAsia="Arial" w:hAnsi="Arial"/>
          <w:sz w:val="32"/>
          <w:szCs w:val="32"/>
          <w:b w:val="1"/>
          <w:bCs w:val="1"/>
          <w:color w:val="auto"/>
        </w:rPr>
        <w:t>TO</w:t>
      </w:r>
    </w:p>
    <w:p>
      <w:pPr>
        <w:jc w:val="center"/>
        <w:ind w:right="1180"/>
        <w:spacing w:after="0" w:line="237" w:lineRule="auto"/>
        <w:rPr>
          <w:sz w:val="20"/>
          <w:szCs w:val="20"/>
          <w:color w:val="auto"/>
        </w:rPr>
      </w:pPr>
      <w:r>
        <w:rPr>
          <w:rFonts w:ascii="Arial" w:cs="Arial" w:eastAsia="Arial" w:hAnsi="Arial"/>
          <w:sz w:val="32"/>
          <w:szCs w:val="32"/>
          <w:b w:val="1"/>
          <w:bCs w:val="1"/>
          <w:color w:val="auto"/>
        </w:rPr>
        <w:t>FORM S-8</w:t>
      </w:r>
    </w:p>
    <w:p>
      <w:pPr>
        <w:jc w:val="center"/>
        <w:ind w:right="1180"/>
        <w:spacing w:after="0"/>
        <w:rPr>
          <w:sz w:val="20"/>
          <w:szCs w:val="20"/>
          <w:color w:val="auto"/>
        </w:rPr>
      </w:pPr>
      <w:r>
        <w:rPr>
          <w:rFonts w:ascii="Arial" w:cs="Arial" w:eastAsia="Arial" w:hAnsi="Arial"/>
          <w:sz w:val="32"/>
          <w:szCs w:val="32"/>
          <w:b w:val="1"/>
          <w:bCs w:val="1"/>
          <w:color w:val="auto"/>
        </w:rPr>
        <w:t>REGISTRATION STATEMENT</w:t>
      </w:r>
    </w:p>
    <w:p>
      <w:pPr>
        <w:jc w:val="center"/>
        <w:ind w:right="118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8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80"/>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229"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31" w:lineRule="exact"/>
        <w:rPr>
          <w:sz w:val="24"/>
          <w:szCs w:val="24"/>
          <w:color w:val="auto"/>
        </w:rPr>
      </w:pPr>
    </w:p>
    <w:p>
      <w:pPr>
        <w:sectPr>
          <w:pgSz w:w="11900" w:h="16838" w:orient="portrait"/>
          <w:cols w:equalWidth="0" w:num="2">
            <w:col w:w="6300" w:space="720"/>
            <w:col w:w="3200"/>
          </w:cols>
          <w:pgMar w:left="1440" w:top="229" w:right="239" w:bottom="1440" w:gutter="0" w:footer="0" w:header="0"/>
          <w:type w:val="continuous"/>
        </w:sectPr>
      </w:pPr>
    </w:p>
    <w:p>
      <w:pPr>
        <w:spacing w:after="0" w:line="12" w:lineRule="exact"/>
        <w:rPr>
          <w:sz w:val="24"/>
          <w:szCs w:val="24"/>
          <w:color w:val="auto"/>
        </w:rPr>
      </w:pPr>
    </w:p>
    <w:p>
      <w:pPr>
        <w:ind w:left="760"/>
        <w:spacing w:after="0"/>
        <w:rPr>
          <w:sz w:val="20"/>
          <w:szCs w:val="20"/>
          <w:color w:val="auto"/>
        </w:rPr>
      </w:pPr>
      <w:r>
        <w:rPr>
          <w:rFonts w:ascii="Arial" w:cs="Arial" w:eastAsia="Arial" w:hAnsi="Arial"/>
          <w:sz w:val="13"/>
          <w:szCs w:val="13"/>
          <w:b w:val="1"/>
          <w:bCs w:val="1"/>
          <w:color w:val="auto"/>
        </w:rPr>
        <w:t>(State or Other Jurisdiction of</w:t>
      </w:r>
    </w:p>
    <w:p>
      <w:pPr>
        <w:ind w:left="7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6160" w:space="720"/>
            <w:col w:w="3340"/>
          </w:cols>
          <w:pgMar w:left="1440" w:top="229" w:right="239" w:bottom="1440" w:gutter="0" w:footer="0" w:header="0"/>
          <w:type w:val="continuous"/>
        </w:sectPr>
      </w:pPr>
    </w:p>
    <w:p>
      <w:pPr>
        <w:spacing w:after="0" w:line="17"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Bloomington, Minnesota 55420-1196</w:t>
      </w:r>
    </w:p>
    <w:p>
      <w:pPr>
        <w:spacing w:after="0" w:line="2" w:lineRule="exact"/>
        <w:rPr>
          <w:sz w:val="24"/>
          <w:szCs w:val="24"/>
          <w:color w:val="auto"/>
        </w:rPr>
      </w:pPr>
    </w:p>
    <w:p>
      <w:pPr>
        <w:ind w:left="2940"/>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226695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229" w:right="239" w:bottom="1440" w:gutter="0" w:footer="0" w:header="0"/>
          <w:type w:val="continuous"/>
        </w:sectPr>
      </w:pPr>
    </w:p>
    <w:p>
      <w:pPr>
        <w:spacing w:after="0" w:line="200" w:lineRule="exact"/>
        <w:rPr>
          <w:sz w:val="24"/>
          <w:szCs w:val="24"/>
          <w:color w:val="auto"/>
        </w:rPr>
      </w:pPr>
    </w:p>
    <w:p>
      <w:pPr>
        <w:spacing w:after="0" w:line="368"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Toro Company 2000 Directors Stock Plan</w:t>
      </w:r>
    </w:p>
    <w:p>
      <w:pPr>
        <w:spacing w:after="0" w:line="21" w:lineRule="exact"/>
        <w:rPr>
          <w:sz w:val="24"/>
          <w:szCs w:val="24"/>
          <w:color w:val="auto"/>
        </w:rPr>
      </w:pPr>
    </w:p>
    <w:p>
      <w:pPr>
        <w:ind w:left="3840"/>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Timothy P. Dordell</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Vice President, Secretary and General Counsel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Bloomington, Minnesota 55420-1196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(952) 888-8801</w:t>
      </w:r>
    </w:p>
    <w:p>
      <w:pPr>
        <w:spacing w:after="0" w:line="2" w:lineRule="exact"/>
        <w:rPr>
          <w:sz w:val="24"/>
          <w:szCs w:val="24"/>
          <w:color w:val="auto"/>
        </w:rPr>
      </w:pPr>
    </w:p>
    <w:p>
      <w:pPr>
        <w:jc w:val="center"/>
        <w:ind w:right="1200"/>
        <w:spacing w:after="0"/>
        <w:rPr>
          <w:sz w:val="20"/>
          <w:szCs w:val="20"/>
          <w:color w:val="auto"/>
        </w:rPr>
      </w:pPr>
      <w:r>
        <w:rPr>
          <w:rFonts w:ascii="Arial" w:cs="Arial" w:eastAsia="Arial" w:hAnsi="Arial"/>
          <w:sz w:val="12"/>
          <w:szCs w:val="12"/>
          <w:b w:val="1"/>
          <w:bCs w:val="1"/>
          <w:color w:val="auto"/>
        </w:rPr>
        <w:t>(Name and Address, including Zip Code, and Telephone Number, including Area Code, of Agent for Service)</w:t>
      </w:r>
    </w:p>
    <w:p>
      <w:pPr>
        <w:spacing w:after="0" w:line="21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i w:val="1"/>
          <w:iCs w:val="1"/>
          <w:color w:val="auto"/>
        </w:rPr>
        <w:t>Copies requested to:</w:t>
      </w:r>
    </w:p>
    <w:p>
      <w:pPr>
        <w:spacing w:after="0" w:line="2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Amy E. Culbert, Esq.</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Oppenheimer Wolff &amp; Donnelly LLP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Campbell Mithun Tower, Suite 2000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222 South Ninth Street</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Minneapolis, Minnesota 55402</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(612) 607-7287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237490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229" w:right="239" w:bottom="1440" w:gutter="0" w:footer="0" w:header="0"/>
          <w:type w:val="continuous"/>
        </w:sectPr>
      </w:pPr>
    </w:p>
    <w:bookmarkStart w:id="1" w:name="page2"/>
    <w:bookmarkEnd w:id="1"/>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178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share numbers in the Explanatory Note below reflect adjustments for a two-for-one stock split effected on April 12, 2005 and a two-for-one stock split effected on June 29, 2012.</w:t>
      </w:r>
    </w:p>
    <w:p>
      <w:pPr>
        <w:spacing w:after="0" w:line="17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This Post-Effective Amendment No. 1 (this “Post-Effective Amendment”) relates to the Registration Statement on Form S-8 (Registration No. 333-159767) (the “Registration Statement”) filed by The Toro Company, a Delaware corporation (the “Registrant”), with the Securities and Exchange Commission (the “Commission”) on June 5, 2009, and the Registrant’s Registration Statement on Form S-8 (Registration No. 333-57198) filed by the Registrant with the Commission on March 19, 2001, as amended by Post-Effective Amendment No. 1 filed with the Commission on June 2, 2003, and as amended by Post-Effective Amendment No. 2 filed with the Commission on May 21, 2008. These prior Registration Statements registered an aggregate of 1,040,000 shares of common stock, par value $1.00 (“Common Stock”), of the Registrant to be issued pursuant to The Toro Company 2000 Directors Stock Plan (the “2000 Directors Stock Plan”).</w:t>
      </w:r>
    </w:p>
    <w:p>
      <w:pPr>
        <w:spacing w:after="0" w:line="18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Registrant’s authority to grant new awards under the 2000 Directors Stock Plan terminated upon shareholder approval of The Toro Company 2010 Equity and Incentive Plan on March 16, 2010. On March 17, 2015, the Registrant’s shareholders approved The Toro Company Amended and Restated Equity and Incentive Plan (the “2010 Plan”), which, among other things, increased the number of shares of Common Stock authorized for issuance under the 2010 Plan by 300,000 shares (the “New Shares”). The maximum number of shares of Common Stock available for issuance under the 2010 Plan, subject to adjustment pursuant to the terms of the 2010 Plan, is now 5,800,000 shares plus the number of shares subject to awards outstanding under the 2000 Directors Stock Plan, The Toro Company Performance Share Plan and The Toro Company 2000 Stock Option Plan (collectively, the “Prior Plans”) as of March 16, 2010, the date of the initial adoption of the 2010 Plan, but only to the extent that such outstanding awards under the Prior Plans are forfeited, expire or otherwise terminate without the issuance of such shares (the “Carryover Shares”).</w:t>
      </w:r>
    </w:p>
    <w:p>
      <w:pPr>
        <w:spacing w:after="0" w:line="179" w:lineRule="exact"/>
        <w:rPr>
          <w:sz w:val="20"/>
          <w:szCs w:val="20"/>
          <w:color w:val="auto"/>
        </w:rPr>
      </w:pPr>
    </w:p>
    <w:p>
      <w:pPr>
        <w:jc w:val="both"/>
        <w:ind w:right="100" w:firstLine="456"/>
        <w:spacing w:after="0" w:line="279" w:lineRule="auto"/>
        <w:rPr>
          <w:sz w:val="20"/>
          <w:szCs w:val="20"/>
          <w:color w:val="auto"/>
        </w:rPr>
      </w:pPr>
      <w:r>
        <w:rPr>
          <w:rFonts w:ascii="Arial" w:cs="Arial" w:eastAsia="Arial" w:hAnsi="Arial"/>
          <w:sz w:val="17"/>
          <w:szCs w:val="17"/>
          <w:color w:val="auto"/>
        </w:rPr>
        <w:t>As of the date hereof, 2,518 Carryover Shares under the 2000 Directors Stock Plan have been carried over to the 2010 Plan. Contemporaneously with the filing of this Post-Effective Amendment, the Registrant is filing a new Registration Statement on Form S-8 to register the New Shares and the Carryover Shares available for offer or sale pursuant to the 2010 Plan. The Registrant is filing this Post-Effective Amendment in order to remove from registration the 2,518 Carryover Shares under the 2000 Directors Stock Plan that have been carried over to the 2010 Plan.</w:t>
      </w: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with or incorporated by reference into this Registration Statement:</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color w:val="auto"/>
        </w:rPr>
        <w:t>Power of Attorney (filed herewith)</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Post-Effective Amendment No. 1 to its Registration Statement to be signed on its behalf by the undersigned, thereunto duly authorized, in the City of Bloomington, State of Minnesota, on May 20, 2015.</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Timothy P. Dordell</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Secretary and General Counsel</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300"/>
          </w:cols>
          <w:pgMar w:left="240" w:top="270" w:right="359" w:bottom="1440"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4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2"/>
              </w:rPr>
              <w:t>Signature</w:t>
            </w: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26"/>
        </w:trPr>
        <w:tc>
          <w:tcPr>
            <w:tcW w:w="13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93"/>
              </w:rPr>
              <w:t>Michael J. Hoffman</w:t>
            </w:r>
          </w:p>
        </w:tc>
      </w:tr>
      <w:tr>
        <w:trPr>
          <w:trHeight w:val="224"/>
        </w:trPr>
        <w:tc>
          <w:tcPr>
            <w:tcW w:w="1360" w:type="dxa"/>
            <w:vAlign w:val="bottom"/>
          </w:tcPr>
          <w:p>
            <w:pPr>
              <w:spacing w:after="0"/>
              <w:rPr>
                <w:sz w:val="19"/>
                <w:szCs w:val="19"/>
                <w:color w:val="auto"/>
              </w:rPr>
            </w:pPr>
          </w:p>
        </w:tc>
        <w:tc>
          <w:tcPr>
            <w:tcW w:w="2920" w:type="dxa"/>
            <w:vAlign w:val="bottom"/>
            <w:gridSpan w:val="3"/>
          </w:tcPr>
          <w:p>
            <w:pPr>
              <w:jc w:val="center"/>
              <w:ind w:right="1360"/>
              <w:spacing w:after="0"/>
              <w:rPr>
                <w:sz w:val="20"/>
                <w:szCs w:val="20"/>
                <w:color w:val="auto"/>
              </w:rPr>
            </w:pPr>
            <w:r>
              <w:rPr>
                <w:rFonts w:ascii="Arial" w:cs="Arial" w:eastAsia="Arial" w:hAnsi="Arial"/>
                <w:sz w:val="18"/>
                <w:szCs w:val="18"/>
                <w:color w:val="auto"/>
                <w:w w:val="93"/>
              </w:rPr>
              <w:t>Michael J. Hoffman</w:t>
            </w:r>
          </w:p>
        </w:tc>
      </w:tr>
      <w:tr>
        <w:trPr>
          <w:trHeight w:val="647"/>
        </w:trPr>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85"/>
              </w:rPr>
              <w:t>Renee J. Peterson</w:t>
            </w:r>
          </w:p>
        </w:tc>
      </w:tr>
      <w:tr>
        <w:trPr>
          <w:trHeight w:val="224"/>
        </w:trPr>
        <w:tc>
          <w:tcPr>
            <w:tcW w:w="1360" w:type="dxa"/>
            <w:vAlign w:val="bottom"/>
          </w:tcPr>
          <w:p>
            <w:pPr>
              <w:spacing w:after="0"/>
              <w:rPr>
                <w:sz w:val="19"/>
                <w:szCs w:val="19"/>
                <w:color w:val="auto"/>
              </w:rPr>
            </w:pPr>
          </w:p>
        </w:tc>
        <w:tc>
          <w:tcPr>
            <w:tcW w:w="2920" w:type="dxa"/>
            <w:vAlign w:val="bottom"/>
            <w:gridSpan w:val="3"/>
          </w:tcPr>
          <w:p>
            <w:pPr>
              <w:jc w:val="center"/>
              <w:ind w:right="1360"/>
              <w:spacing w:after="0"/>
              <w:rPr>
                <w:sz w:val="20"/>
                <w:szCs w:val="20"/>
                <w:color w:val="auto"/>
              </w:rPr>
            </w:pPr>
            <w:r>
              <w:rPr>
                <w:rFonts w:ascii="Arial" w:cs="Arial" w:eastAsia="Arial" w:hAnsi="Arial"/>
                <w:sz w:val="18"/>
                <w:szCs w:val="18"/>
                <w:color w:val="auto"/>
                <w:w w:val="85"/>
              </w:rPr>
              <w:t>Renee J. Peterson</w:t>
            </w:r>
          </w:p>
        </w:tc>
      </w:tr>
      <w:tr>
        <w:trPr>
          <w:trHeight w:val="647"/>
        </w:trPr>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88"/>
              </w:rPr>
              <w:t>Thomas J. Larson</w:t>
            </w:r>
          </w:p>
        </w:tc>
      </w:tr>
      <w:tr>
        <w:trPr>
          <w:trHeight w:val="224"/>
        </w:trPr>
        <w:tc>
          <w:tcPr>
            <w:tcW w:w="1360" w:type="dxa"/>
            <w:vAlign w:val="bottom"/>
          </w:tcPr>
          <w:p>
            <w:pPr>
              <w:spacing w:after="0"/>
              <w:rPr>
                <w:sz w:val="19"/>
                <w:szCs w:val="19"/>
                <w:color w:val="auto"/>
              </w:rPr>
            </w:pPr>
          </w:p>
        </w:tc>
        <w:tc>
          <w:tcPr>
            <w:tcW w:w="2920" w:type="dxa"/>
            <w:vAlign w:val="bottom"/>
            <w:gridSpan w:val="3"/>
          </w:tcPr>
          <w:p>
            <w:pPr>
              <w:jc w:val="center"/>
              <w:ind w:right="1360"/>
              <w:spacing w:after="0"/>
              <w:rPr>
                <w:sz w:val="20"/>
                <w:szCs w:val="20"/>
                <w:color w:val="auto"/>
              </w:rPr>
            </w:pPr>
            <w:r>
              <w:rPr>
                <w:rFonts w:ascii="Arial" w:cs="Arial" w:eastAsia="Arial" w:hAnsi="Arial"/>
                <w:sz w:val="18"/>
                <w:szCs w:val="18"/>
                <w:color w:val="auto"/>
                <w:w w:val="88"/>
              </w:rPr>
              <w:t>Thomas J. Larson</w:t>
            </w:r>
          </w:p>
        </w:tc>
      </w:tr>
      <w:tr>
        <w:trPr>
          <w:trHeight w:val="647"/>
        </w:trPr>
        <w:tc>
          <w:tcPr>
            <w:tcW w:w="1360" w:type="dxa"/>
            <w:vAlign w:val="bottom"/>
          </w:tcPr>
          <w:p>
            <w:pPr>
              <w:ind w:left="1100"/>
              <w:spacing w:after="0"/>
              <w:rPr>
                <w:sz w:val="20"/>
                <w:szCs w:val="20"/>
                <w:color w:val="auto"/>
              </w:rPr>
            </w:pPr>
            <w:r>
              <w:rPr>
                <w:rFonts w:ascii="Arial" w:cs="Arial" w:eastAsia="Arial" w:hAnsi="Arial"/>
                <w:sz w:val="18"/>
                <w:szCs w:val="18"/>
                <w:color w:val="auto"/>
              </w:rPr>
              <w:t>/s/</w:t>
            </w:r>
          </w:p>
        </w:tc>
        <w:tc>
          <w:tcPr>
            <w:tcW w:w="2920" w:type="dxa"/>
            <w:vAlign w:val="bottom"/>
            <w:gridSpan w:val="3"/>
          </w:tcPr>
          <w:p>
            <w:pPr>
              <w:jc w:val="center"/>
              <w:ind w:right="1380"/>
              <w:spacing w:after="0"/>
              <w:rPr>
                <w:sz w:val="20"/>
                <w:szCs w:val="20"/>
                <w:color w:val="auto"/>
              </w:rPr>
            </w:pPr>
            <w:r>
              <w:rPr>
                <w:rFonts w:ascii="Arial" w:cs="Arial" w:eastAsia="Arial" w:hAnsi="Arial"/>
                <w:sz w:val="18"/>
                <w:szCs w:val="18"/>
                <w:color w:val="auto"/>
                <w:w w:val="93"/>
              </w:rPr>
              <w:t>Timothy P. Dordell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7101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jc w:val="center"/>
        <w:ind w:right="560"/>
        <w:spacing w:after="0"/>
        <w:rPr>
          <w:sz w:val="20"/>
          <w:szCs w:val="20"/>
          <w:color w:val="auto"/>
        </w:rPr>
      </w:pPr>
      <w:r>
        <w:rPr>
          <w:rFonts w:ascii="Arial" w:cs="Arial" w:eastAsia="Arial" w:hAnsi="Arial"/>
          <w:sz w:val="18"/>
          <w:szCs w:val="18"/>
          <w:color w:val="auto"/>
        </w:rPr>
        <w:t>Timothy P. Dordell</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As attorney in fact for Robert C.</w:t>
      </w:r>
    </w:p>
    <w:p>
      <w:pPr>
        <w:spacing w:after="0" w:line="9"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Buhrmaster, Janet K. Cooper, Gary L.</w:t>
      </w:r>
    </w:p>
    <w:p>
      <w:pPr>
        <w:spacing w:after="0" w:line="9"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Ellis, Jeffrey M. Ettinger, Katherine J.</w:t>
      </w:r>
    </w:p>
    <w:p>
      <w:pPr>
        <w:spacing w:after="0" w:line="9"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Harless, James C. O’Rourke, Gregg W.</w:t>
      </w:r>
    </w:p>
    <w:p>
      <w:pPr>
        <w:spacing w:after="0" w:line="9"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Steinhafel and Christopher A. Twomey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60" w:type="dxa"/>
            <w:vAlign w:val="bottom"/>
          </w:tcPr>
          <w:p>
            <w:pPr>
              <w:spacing w:after="0"/>
              <w:rPr>
                <w:sz w:val="14"/>
                <w:szCs w:val="14"/>
                <w:color w:val="auto"/>
              </w:rPr>
            </w:pPr>
          </w:p>
        </w:tc>
      </w:tr>
      <w:tr>
        <w:trPr>
          <w:trHeight w:val="411"/>
        </w:trPr>
        <w:tc>
          <w:tcPr>
            <w:tcW w:w="3600" w:type="dxa"/>
            <w:vAlign w:val="bottom"/>
            <w:gridSpan w:val="3"/>
          </w:tcPr>
          <w:p>
            <w:pPr>
              <w:jc w:val="center"/>
              <w:ind w:right="880"/>
              <w:spacing w:after="0"/>
              <w:rPr>
                <w:sz w:val="20"/>
                <w:szCs w:val="20"/>
                <w:color w:val="auto"/>
              </w:rPr>
            </w:pPr>
            <w:r>
              <w:rPr>
                <w:rFonts w:ascii="Arial" w:cs="Arial" w:eastAsia="Arial" w:hAnsi="Arial"/>
                <w:sz w:val="18"/>
                <w:szCs w:val="18"/>
                <w:color w:val="auto"/>
                <w:w w:val="90"/>
              </w:rPr>
              <w:t>Chairman of the Board, President and</w:t>
            </w:r>
          </w:p>
        </w:tc>
        <w:tc>
          <w:tcPr>
            <w:tcW w:w="1900" w:type="dxa"/>
            <w:vAlign w:val="bottom"/>
            <w:gridSpan w:val="3"/>
          </w:tcPr>
          <w:p>
            <w:pPr>
              <w:jc w:val="center"/>
              <w:ind w:left="790"/>
              <w:spacing w:after="0"/>
              <w:rPr>
                <w:sz w:val="20"/>
                <w:szCs w:val="20"/>
                <w:color w:val="auto"/>
              </w:rPr>
            </w:pPr>
            <w:r>
              <w:rPr>
                <w:rFonts w:ascii="Arial" w:cs="Arial" w:eastAsia="Arial" w:hAnsi="Arial"/>
                <w:sz w:val="18"/>
                <w:szCs w:val="18"/>
                <w:color w:val="auto"/>
                <w:w w:val="93"/>
              </w:rPr>
              <w:t>May 20, 2015</w:t>
            </w:r>
          </w:p>
        </w:tc>
      </w:tr>
      <w:tr>
        <w:trPr>
          <w:trHeight w:val="216"/>
        </w:trPr>
        <w:tc>
          <w:tcPr>
            <w:tcW w:w="3600" w:type="dxa"/>
            <w:vAlign w:val="bottom"/>
            <w:gridSpan w:val="3"/>
          </w:tcPr>
          <w:p>
            <w:pPr>
              <w:jc w:val="center"/>
              <w:ind w:right="880"/>
              <w:spacing w:after="0"/>
              <w:rPr>
                <w:sz w:val="20"/>
                <w:szCs w:val="20"/>
                <w:color w:val="auto"/>
              </w:rPr>
            </w:pPr>
            <w:r>
              <w:rPr>
                <w:rFonts w:ascii="Arial" w:cs="Arial" w:eastAsia="Arial" w:hAnsi="Arial"/>
                <w:sz w:val="18"/>
                <w:szCs w:val="18"/>
                <w:color w:val="auto"/>
                <w:w w:val="93"/>
              </w:rPr>
              <w:t>Chief Executive Officer and Director</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36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(principal executive officer)</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5"/>
        </w:trPr>
        <w:tc>
          <w:tcPr>
            <w:tcW w:w="3600" w:type="dxa"/>
            <w:vAlign w:val="bottom"/>
            <w:gridSpan w:val="3"/>
          </w:tcPr>
          <w:p>
            <w:pPr>
              <w:jc w:val="center"/>
              <w:ind w:right="880"/>
              <w:spacing w:after="0"/>
              <w:rPr>
                <w:sz w:val="20"/>
                <w:szCs w:val="20"/>
                <w:color w:val="auto"/>
              </w:rPr>
            </w:pPr>
            <w:r>
              <w:rPr>
                <w:rFonts w:ascii="Arial" w:cs="Arial" w:eastAsia="Arial" w:hAnsi="Arial"/>
                <w:sz w:val="18"/>
                <w:szCs w:val="18"/>
                <w:color w:val="auto"/>
                <w:w w:val="88"/>
              </w:rPr>
              <w:t>Vice President, Treasurer and</w:t>
            </w:r>
          </w:p>
        </w:tc>
        <w:tc>
          <w:tcPr>
            <w:tcW w:w="1900" w:type="dxa"/>
            <w:vAlign w:val="bottom"/>
            <w:gridSpan w:val="3"/>
          </w:tcPr>
          <w:p>
            <w:pPr>
              <w:jc w:val="center"/>
              <w:ind w:left="790"/>
              <w:spacing w:after="0"/>
              <w:rPr>
                <w:sz w:val="20"/>
                <w:szCs w:val="20"/>
                <w:color w:val="auto"/>
              </w:rPr>
            </w:pPr>
            <w:r>
              <w:rPr>
                <w:rFonts w:ascii="Arial" w:cs="Arial" w:eastAsia="Arial" w:hAnsi="Arial"/>
                <w:sz w:val="18"/>
                <w:szCs w:val="18"/>
                <w:color w:val="auto"/>
                <w:w w:val="93"/>
              </w:rPr>
              <w:t>May 20, 2015</w:t>
            </w:r>
          </w:p>
        </w:tc>
      </w:tr>
      <w:tr>
        <w:trPr>
          <w:trHeight w:val="216"/>
        </w:trPr>
        <w:tc>
          <w:tcPr>
            <w:tcW w:w="3600" w:type="dxa"/>
            <w:vAlign w:val="bottom"/>
            <w:gridSpan w:val="3"/>
          </w:tcPr>
          <w:p>
            <w:pPr>
              <w:jc w:val="center"/>
              <w:ind w:right="880"/>
              <w:spacing w:after="0"/>
              <w:rPr>
                <w:sz w:val="20"/>
                <w:szCs w:val="20"/>
                <w:color w:val="auto"/>
              </w:rPr>
            </w:pPr>
            <w:r>
              <w:rPr>
                <w:rFonts w:ascii="Arial" w:cs="Arial" w:eastAsia="Arial" w:hAnsi="Arial"/>
                <w:sz w:val="18"/>
                <w:szCs w:val="18"/>
                <w:color w:val="auto"/>
                <w:w w:val="94"/>
              </w:rPr>
              <w:t>Chief Financial Officer</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3600" w:type="dxa"/>
            <w:vAlign w:val="bottom"/>
            <w:gridSpan w:val="3"/>
          </w:tcPr>
          <w:p>
            <w:pPr>
              <w:jc w:val="center"/>
              <w:ind w:right="880"/>
              <w:spacing w:after="0"/>
              <w:rPr>
                <w:sz w:val="20"/>
                <w:szCs w:val="20"/>
                <w:color w:val="auto"/>
              </w:rPr>
            </w:pPr>
            <w:r>
              <w:rPr>
                <w:rFonts w:ascii="Arial" w:cs="Arial" w:eastAsia="Arial" w:hAnsi="Arial"/>
                <w:sz w:val="18"/>
                <w:szCs w:val="18"/>
                <w:color w:val="auto"/>
                <w:w w:val="96"/>
              </w:rPr>
              <w:t>(principal financial officer)</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5"/>
        </w:trPr>
        <w:tc>
          <w:tcPr>
            <w:tcW w:w="3600" w:type="dxa"/>
            <w:vAlign w:val="bottom"/>
            <w:gridSpan w:val="3"/>
          </w:tcPr>
          <w:p>
            <w:pPr>
              <w:jc w:val="center"/>
              <w:ind w:right="880"/>
              <w:spacing w:after="0"/>
              <w:rPr>
                <w:sz w:val="20"/>
                <w:szCs w:val="20"/>
                <w:color w:val="auto"/>
              </w:rPr>
            </w:pPr>
            <w:r>
              <w:rPr>
                <w:rFonts w:ascii="Arial" w:cs="Arial" w:eastAsia="Arial" w:hAnsi="Arial"/>
                <w:sz w:val="18"/>
                <w:szCs w:val="18"/>
                <w:color w:val="auto"/>
                <w:w w:val="89"/>
              </w:rPr>
              <w:t>Vice President,</w:t>
            </w:r>
          </w:p>
        </w:tc>
        <w:tc>
          <w:tcPr>
            <w:tcW w:w="1900" w:type="dxa"/>
            <w:vAlign w:val="bottom"/>
            <w:gridSpan w:val="3"/>
          </w:tcPr>
          <w:p>
            <w:pPr>
              <w:jc w:val="center"/>
              <w:ind w:left="790"/>
              <w:spacing w:after="0"/>
              <w:rPr>
                <w:sz w:val="20"/>
                <w:szCs w:val="20"/>
                <w:color w:val="auto"/>
              </w:rPr>
            </w:pPr>
            <w:r>
              <w:rPr>
                <w:rFonts w:ascii="Arial" w:cs="Arial" w:eastAsia="Arial" w:hAnsi="Arial"/>
                <w:sz w:val="18"/>
                <w:szCs w:val="18"/>
                <w:color w:val="auto"/>
                <w:w w:val="93"/>
              </w:rPr>
              <w:t>May 20, 2015</w:t>
            </w:r>
          </w:p>
        </w:tc>
      </w:tr>
      <w:tr>
        <w:trPr>
          <w:trHeight w:val="216"/>
        </w:trPr>
        <w:tc>
          <w:tcPr>
            <w:tcW w:w="3600" w:type="dxa"/>
            <w:vAlign w:val="bottom"/>
            <w:gridSpan w:val="3"/>
          </w:tcPr>
          <w:p>
            <w:pPr>
              <w:jc w:val="center"/>
              <w:ind w:right="860"/>
              <w:spacing w:after="0"/>
              <w:rPr>
                <w:sz w:val="20"/>
                <w:szCs w:val="20"/>
                <w:color w:val="auto"/>
              </w:rPr>
            </w:pPr>
            <w:r>
              <w:rPr>
                <w:rFonts w:ascii="Arial" w:cs="Arial" w:eastAsia="Arial" w:hAnsi="Arial"/>
                <w:sz w:val="18"/>
                <w:szCs w:val="18"/>
                <w:color w:val="auto"/>
                <w:w w:val="91"/>
              </w:rPr>
              <w:t>Corporate Controller</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3600" w:type="dxa"/>
            <w:vAlign w:val="bottom"/>
            <w:gridSpan w:val="3"/>
          </w:tcPr>
          <w:p>
            <w:pPr>
              <w:jc w:val="center"/>
              <w:ind w:right="880"/>
              <w:spacing w:after="0"/>
              <w:rPr>
                <w:sz w:val="20"/>
                <w:szCs w:val="20"/>
                <w:color w:val="auto"/>
              </w:rPr>
            </w:pPr>
            <w:r>
              <w:rPr>
                <w:rFonts w:ascii="Arial" w:cs="Arial" w:eastAsia="Arial" w:hAnsi="Arial"/>
                <w:sz w:val="18"/>
                <w:szCs w:val="18"/>
                <w:color w:val="auto"/>
                <w:w w:val="94"/>
              </w:rPr>
              <w:t>(principal accounting officer)</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59"/>
        </w:trPr>
        <w:tc>
          <w:tcPr>
            <w:tcW w:w="3600" w:type="dxa"/>
            <w:vAlign w:val="bottom"/>
            <w:gridSpan w:val="3"/>
          </w:tcPr>
          <w:p>
            <w:pPr>
              <w:jc w:val="center"/>
              <w:ind w:right="880"/>
              <w:spacing w:after="0"/>
              <w:rPr>
                <w:sz w:val="20"/>
                <w:szCs w:val="20"/>
                <w:color w:val="auto"/>
              </w:rPr>
            </w:pPr>
            <w:r>
              <w:rPr>
                <w:rFonts w:ascii="Arial" w:cs="Arial" w:eastAsia="Arial" w:hAnsi="Arial"/>
                <w:sz w:val="18"/>
                <w:szCs w:val="18"/>
                <w:color w:val="auto"/>
                <w:w w:val="94"/>
              </w:rPr>
              <w:t>Directors</w:t>
            </w:r>
          </w:p>
        </w:tc>
        <w:tc>
          <w:tcPr>
            <w:tcW w:w="1900" w:type="dxa"/>
            <w:vAlign w:val="bottom"/>
            <w:gridSpan w:val="3"/>
          </w:tcPr>
          <w:p>
            <w:pPr>
              <w:jc w:val="center"/>
              <w:ind w:left="790"/>
              <w:spacing w:after="0"/>
              <w:rPr>
                <w:sz w:val="20"/>
                <w:szCs w:val="20"/>
                <w:color w:val="auto"/>
              </w:rPr>
            </w:pPr>
            <w:r>
              <w:rPr>
                <w:rFonts w:ascii="Arial" w:cs="Arial" w:eastAsia="Arial" w:hAnsi="Arial"/>
                <w:sz w:val="18"/>
                <w:szCs w:val="18"/>
                <w:color w:val="auto"/>
                <w:w w:val="93"/>
              </w:rPr>
              <w:t>May 20,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4840" w:space="720"/>
            <w:col w:w="5740"/>
          </w:cols>
          <w:pgMar w:left="240" w:top="270" w:right="35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26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rPr>
              <w:t>THE TORO COMPANY</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60" w:type="dxa"/>
            <w:vAlign w:val="bottom"/>
            <w:gridSpan w:val="3"/>
          </w:tcPr>
          <w:p>
            <w:pPr>
              <w:jc w:val="center"/>
              <w:ind w:right="3160"/>
              <w:spacing w:after="0"/>
              <w:rPr>
                <w:sz w:val="20"/>
                <w:szCs w:val="20"/>
                <w:color w:val="auto"/>
              </w:rPr>
            </w:pPr>
            <w:r>
              <w:rPr>
                <w:rFonts w:ascii="Arial" w:cs="Arial" w:eastAsia="Arial" w:hAnsi="Arial"/>
                <w:sz w:val="18"/>
                <w:szCs w:val="18"/>
                <w:b w:val="1"/>
                <w:bCs w:val="1"/>
                <w:color w:val="auto"/>
              </w:rPr>
              <w:t>POST-EFFECTIVE AMENDMENT NO. 1</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6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44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1540" w:type="dxa"/>
            <w:vAlign w:val="bottom"/>
            <w:vMerge w:val="restart"/>
          </w:tcPr>
          <w:p>
            <w:pPr>
              <w:spacing w:after="0"/>
              <w:rPr>
                <w:sz w:val="24"/>
                <w:szCs w:val="24"/>
                <w:color w:val="auto"/>
              </w:rPr>
            </w:pPr>
          </w:p>
        </w:tc>
        <w:tc>
          <w:tcPr>
            <w:tcW w:w="8260" w:type="dxa"/>
            <w:vAlign w:val="bottom"/>
            <w:gridSpan w:val="3"/>
            <w:vMerge w:val="restart"/>
          </w:tcPr>
          <w:p>
            <w:pPr>
              <w:ind w:left="7220"/>
              <w:spacing w:after="0"/>
              <w:rPr>
                <w:sz w:val="20"/>
                <w:szCs w:val="20"/>
                <w:color w:val="auto"/>
              </w:rPr>
            </w:pPr>
            <w:r>
              <w:rPr>
                <w:rFonts w:ascii="Arial" w:cs="Arial" w:eastAsia="Arial" w:hAnsi="Arial"/>
                <w:sz w:val="14"/>
                <w:szCs w:val="14"/>
                <w:b w:val="1"/>
                <w:bCs w:val="1"/>
                <w:color w:val="auto"/>
                <w:w w:val="94"/>
              </w:rPr>
              <w:t>Method of Filing</w:t>
            </w:r>
          </w:p>
        </w:tc>
        <w:tc>
          <w:tcPr>
            <w:tcW w:w="0" w:type="dxa"/>
            <w:vAlign w:val="bottom"/>
          </w:tcPr>
          <w:p>
            <w:pPr>
              <w:spacing w:after="0"/>
              <w:rPr>
                <w:sz w:val="1"/>
                <w:szCs w:val="1"/>
                <w:color w:val="auto"/>
              </w:rPr>
            </w:pPr>
          </w:p>
        </w:tc>
      </w:tr>
      <w:tr>
        <w:trPr>
          <w:trHeight w:val="171"/>
        </w:trPr>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8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Power of Attorney</w:t>
            </w:r>
          </w:p>
        </w:tc>
        <w:tc>
          <w:tcPr>
            <w:tcW w:w="8260" w:type="dxa"/>
            <w:vAlign w:val="bottom"/>
            <w:gridSpan w:val="3"/>
          </w:tcPr>
          <w:p>
            <w:pPr>
              <w:ind w:left="7220"/>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20" w:type="dxa"/>
            <w:vAlign w:val="bottom"/>
          </w:tcPr>
          <w:p>
            <w:pPr>
              <w:jc w:val="center"/>
              <w:ind w:right="2033"/>
              <w:spacing w:after="0"/>
              <w:rPr>
                <w:sz w:val="20"/>
                <w:szCs w:val="20"/>
                <w:color w:val="auto"/>
              </w:rPr>
            </w:pPr>
            <w:r>
              <w:rPr>
                <w:rFonts w:ascii="Arial" w:cs="Arial" w:eastAsia="Arial" w:hAnsi="Arial"/>
                <w:sz w:val="18"/>
                <w:szCs w:val="18"/>
                <w:color w:val="auto"/>
                <w:w w:val="99"/>
              </w:rPr>
              <w:t>4</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the undersigned, each being a member of the Board of Directors of The Toro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do hereby make, nominate and appoint each of MICHAEL J. HOFFMAN AND TIMOTHY P. DORDELL, signing singly, to be his or her attorney-in-fact, with full power and authority to sign his or her name to a Post-Effective Amendment No. 1 to Registration Statement on Form S-8 relating to The Toro Company 2000 Directors Stock Plan (Registration Nos. 333-159767 and 333-57198) (the “Registration Statement”), and any and all additional amendments thereto (including without limitation additional post-effective amendments to register or de-register shares), provided that the Registration Statement, in final form, be approved by said attorney-in-fact; and his name, when thus signed, shall have the same force and effect as though I had manually signed said document or documents.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affixed my signature this 19th day of May, 2015.</w:t>
      </w:r>
    </w:p>
    <w:p>
      <w:pPr>
        <w:spacing w:after="0" w:line="248" w:lineRule="exact"/>
        <w:rPr>
          <w:sz w:val="20"/>
          <w:szCs w:val="20"/>
          <w:color w:val="auto"/>
        </w:rPr>
      </w:pPr>
    </w:p>
    <w:tbl>
      <w:tblPr>
        <w:tblLayout w:type="fixed"/>
        <w:tblInd w:w="344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80" w:type="dxa"/>
            <w:vAlign w:val="bottom"/>
          </w:tcPr>
          <w:p>
            <w:pPr>
              <w:spacing w:after="0"/>
              <w:rPr>
                <w:sz w:val="14"/>
                <w:szCs w:val="14"/>
                <w:color w:val="auto"/>
              </w:rPr>
            </w:pPr>
          </w:p>
        </w:tc>
      </w:tr>
      <w:tr>
        <w:trPr>
          <w:trHeight w:val="426"/>
        </w:trPr>
        <w:tc>
          <w:tcPr>
            <w:tcW w:w="14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Robert C. Buhrmaster</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Robert C. Buhrmaster</w:t>
            </w:r>
          </w:p>
        </w:tc>
      </w:tr>
      <w:tr>
        <w:trPr>
          <w:trHeight w:val="431"/>
        </w:trPr>
        <w:tc>
          <w:tcPr>
            <w:tcW w:w="1660" w:type="dxa"/>
            <w:vAlign w:val="bottom"/>
            <w:tcBorders>
              <w:bottom w:val="single" w:sz="8" w:color="auto"/>
            </w:tcBorders>
            <w:gridSpan w:val="2"/>
          </w:tcPr>
          <w:p>
            <w:pPr>
              <w:ind w:left="134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0"/>
              </w:rPr>
              <w:t>Janet K. Cooper</w:t>
            </w:r>
          </w:p>
        </w:tc>
      </w:tr>
      <w:tr>
        <w:trPr>
          <w:trHeight w:val="224"/>
        </w:trPr>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8"/>
                <w:szCs w:val="18"/>
                <w:color w:val="auto"/>
                <w:w w:val="89"/>
              </w:rPr>
              <w:t>Janet K. Cooper</w:t>
            </w:r>
          </w:p>
        </w:tc>
      </w:tr>
      <w:tr>
        <w:trPr>
          <w:trHeight w:val="431"/>
        </w:trPr>
        <w:tc>
          <w:tcPr>
            <w:tcW w:w="1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/s/</w:t>
            </w:r>
          </w:p>
        </w:tc>
        <w:tc>
          <w:tcPr>
            <w:tcW w:w="29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6"/>
              </w:rPr>
              <w:t>Gary L. Ellis</w:t>
            </w:r>
          </w:p>
        </w:tc>
      </w:tr>
      <w:tr>
        <w:trPr>
          <w:trHeight w:val="224"/>
        </w:trPr>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3"/>
          </w:tcPr>
          <w:p>
            <w:pPr>
              <w:jc w:val="center"/>
              <w:ind w:right="1680"/>
              <w:spacing w:after="0"/>
              <w:rPr>
                <w:sz w:val="20"/>
                <w:szCs w:val="20"/>
                <w:color w:val="auto"/>
              </w:rPr>
            </w:pPr>
            <w:r>
              <w:rPr>
                <w:rFonts w:ascii="Arial" w:cs="Arial" w:eastAsia="Arial" w:hAnsi="Arial"/>
                <w:sz w:val="18"/>
                <w:szCs w:val="18"/>
                <w:color w:val="auto"/>
                <w:w w:val="96"/>
              </w:rPr>
              <w:t>Gary L. Ellis</w:t>
            </w:r>
          </w:p>
        </w:tc>
      </w:tr>
      <w:tr>
        <w:trPr>
          <w:trHeight w:val="431"/>
        </w:trPr>
        <w:tc>
          <w:tcPr>
            <w:tcW w:w="14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w w:val="83"/>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4"/>
              </w:rPr>
              <w:t>Jeffrey M. Ettinger</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4"/>
              </w:rPr>
              <w:t>Jeffrey M. Ettinger</w:t>
            </w:r>
          </w:p>
        </w:tc>
      </w:tr>
      <w:tr>
        <w:trPr>
          <w:trHeight w:val="431"/>
        </w:trPr>
        <w:tc>
          <w:tcPr>
            <w:tcW w:w="142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Katherine J. Harless</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Katherine J. Harless</w:t>
            </w:r>
          </w:p>
        </w:tc>
      </w:tr>
      <w:tr>
        <w:trPr>
          <w:trHeight w:val="431"/>
        </w:trPr>
        <w:tc>
          <w:tcPr>
            <w:tcW w:w="142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94"/>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James C. O’Rourke</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James C. O’Rourke</w:t>
            </w:r>
          </w:p>
        </w:tc>
      </w:tr>
      <w:tr>
        <w:trPr>
          <w:trHeight w:val="431"/>
        </w:trPr>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Gregg W. Steinhafel</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Gregg W. Steinhafel</w:t>
            </w:r>
          </w:p>
        </w:tc>
      </w:tr>
    </w:tbl>
    <w:p>
      <w:pPr>
        <w:spacing w:after="0" w:line="201" w:lineRule="exact"/>
        <w:rPr>
          <w:sz w:val="20"/>
          <w:szCs w:val="20"/>
          <w:color w:val="auto"/>
        </w:rPr>
      </w:pPr>
    </w:p>
    <w:p>
      <w:pPr>
        <w:jc w:val="right"/>
        <w:ind w:right="4760"/>
        <w:spacing w:after="0"/>
        <w:tabs>
          <w:tab w:leader="none" w:pos="64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Christopher A.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right"/>
        <w:ind w:right="4760"/>
        <w:spacing w:after="0"/>
        <w:rPr>
          <w:sz w:val="20"/>
          <w:szCs w:val="20"/>
          <w:color w:val="auto"/>
        </w:rPr>
      </w:pPr>
      <w:r>
        <w:rPr>
          <w:rFonts w:ascii="Arial" w:cs="Arial" w:eastAsia="Arial" w:hAnsi="Arial"/>
          <w:sz w:val="18"/>
          <w:szCs w:val="18"/>
          <w:color w:val="auto"/>
        </w:rPr>
        <w:t>Christopher A. Twomey</w:t>
      </w:r>
    </w:p>
    <w:sectPr>
      <w:pgSz w:w="11900" w:h="16838" w:orient="portrait"/>
      <w:cols w:equalWidth="0" w:num="1">
        <w:col w:w="11340"/>
      </w:cols>
      <w:pgMar w:left="24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2019-12-05T22:15:33Z</dcterms:created>
  <dcterms:modified xsi:type="dcterms:W3CDTF">2019-12-05T22:15:33Z</dcterms:modified>
</cp:coreProperties>
</file>