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08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7"/>
              </w:rPr>
              <w:t>3,012.244</w:t>
            </w:r>
            <w:r>
              <w:rPr>
                <w:rFonts w:ascii="Arial" w:cs="Arial" w:eastAsia="Arial" w:hAnsi="Arial"/>
                <w:sz w:val="22"/>
                <w:szCs w:val="22"/>
                <w:color w:val="008000"/>
                <w:w w:val="97"/>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180"/>
              <w:spacing w:after="0" w:line="217" w:lineRule="exact"/>
              <w:rPr>
                <w:sz w:val="20"/>
                <w:szCs w:val="20"/>
                <w:color w:val="auto"/>
              </w:rPr>
            </w:pPr>
            <w:r>
              <w:rPr>
                <w:rFonts w:ascii="Arial" w:cs="Arial" w:eastAsia="Arial" w:hAnsi="Arial"/>
                <w:sz w:val="18"/>
                <w:szCs w:val="18"/>
                <w:color w:val="0000FF"/>
                <w:w w:val="97"/>
              </w:rPr>
              <w:t>4,610.821</w:t>
            </w:r>
            <w:r>
              <w:rPr>
                <w:rFonts w:ascii="Arial" w:cs="Arial" w:eastAsia="Arial" w:hAnsi="Arial"/>
                <w:sz w:val="22"/>
                <w:szCs w:val="22"/>
                <w:color w:val="008000"/>
                <w:w w:val="97"/>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A</w:t>
            </w:r>
          </w:p>
        </w:tc>
        <w:tc>
          <w:tcPr>
            <w:tcW w:w="500" w:type="dxa"/>
            <w:vAlign w:val="bottom"/>
          </w:tcPr>
          <w:p>
            <w:pPr>
              <w:ind w:left="100"/>
              <w:spacing w:after="0"/>
              <w:rPr>
                <w:sz w:val="20"/>
                <w:szCs w:val="20"/>
                <w:color w:val="auto"/>
              </w:rPr>
            </w:pPr>
            <w:r>
              <w:rPr>
                <w:rFonts w:ascii="Arial" w:cs="Arial" w:eastAsia="Arial" w:hAnsi="Arial"/>
                <w:sz w:val="14"/>
                <w:szCs w:val="14"/>
                <w:color w:val="0000FF"/>
              </w:rPr>
              <w:t>2,000</w:t>
            </w:r>
          </w:p>
        </w:tc>
        <w:tc>
          <w:tcPr>
            <w:tcW w:w="28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12/06/2023</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4"/>
                <w:szCs w:val="14"/>
                <w:color w:val="0000FF"/>
              </w:rPr>
              <w:t>2,000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1.571 shares acquired by the reporting person since the date of his last report under The Toro Company Dividend Reinvestment Plan (the "DRIP") on 628.367 shares of restricted stock and related DRIP shares, 217.924 shares of which vest in equal installments on each of the first, second and third anniversaries of the dates of grant, and 412.014 shares of which vest in full on the third anniversaries of the dates of grant. This total amount also includes 6.064 shares of common stock acquired by the reporting person under a dividend reinvestment feature of the account in which 2,376.242 shares are held directly by the reporting person without restriction since the date of his last report.</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11.504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Kurt D. Svendsen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Kurt D. Svendsen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11/16/2013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2019-12-17T02:08:36Z</dcterms:created>
  <dcterms:modified xsi:type="dcterms:W3CDTF">2019-12-17T02:08:36Z</dcterms:modified>
</cp:coreProperties>
</file>