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(Mark One)</w:t>
      </w:r>
    </w:p>
    <w:p>
      <w:pPr>
        <w:spacing w:after="0" w:line="239"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2004.</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OR</w:t>
      </w:r>
    </w:p>
    <w:p>
      <w:pPr>
        <w:spacing w:after="0" w:line="239"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1-8649.</w:t>
      </w:r>
    </w:p>
    <w:p>
      <w:pPr>
        <w:spacing w:after="0" w:line="121" w:lineRule="exact"/>
        <w:rPr>
          <w:sz w:val="20"/>
          <w:szCs w:val="20"/>
          <w:color w:val="auto"/>
        </w:rPr>
      </w:pPr>
    </w:p>
    <w:p>
      <w:pPr>
        <w:ind w:left="800" w:hanging="45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Toro Company Profit-Sharing for Plymouth Union Employees</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Minneapolis, MN 55420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Attn: Director, Tax Accounting</w:t>
      </w:r>
    </w:p>
    <w:p>
      <w:pPr>
        <w:spacing w:after="0" w:line="103" w:lineRule="exact"/>
        <w:rPr>
          <w:sz w:val="20"/>
          <w:szCs w:val="20"/>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Minneapolis, MN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TORO COMPANY PROFIT-SHARING PLAN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PLYMOUTH UNION EMPLOYEES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Financial Statements and Supplemental Schedule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2004 and 2003</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 Independent Registered Public Accounting Firm’s Report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4"/>
                <w:szCs w:val="14"/>
                <w:color w:val="auto"/>
              </w:rPr>
            </w:pPr>
          </w:p>
        </w:tc>
      </w:tr>
      <w:tr>
        <w:trPr>
          <w:trHeight w:val="190"/>
        </w:trPr>
        <w:tc>
          <w:tcPr>
            <w:tcW w:w="220" w:type="dxa"/>
            <w:vAlign w:val="bottom"/>
            <w:tcBorders>
              <w:bottom w:val="single" w:sz="8" w:color="CCEEFF"/>
            </w:tcBorders>
            <w:shd w:val="clear" w:color="auto" w:fill="CCEEFF"/>
          </w:tcPr>
          <w:p>
            <w:pPr>
              <w:spacing w:after="0"/>
              <w:rPr>
                <w:sz w:val="16"/>
                <w:szCs w:val="16"/>
                <w:color w:val="auto"/>
              </w:rPr>
            </w:pPr>
          </w:p>
        </w:tc>
        <w:tc>
          <w:tcPr>
            <w:tcW w:w="4140" w:type="dxa"/>
            <w:vAlign w:val="bottom"/>
            <w:tcBorders>
              <w:bottom w:val="single" w:sz="8" w:color="0000EE"/>
            </w:tcBorders>
            <w:gridSpan w:val="4"/>
            <w:shd w:val="clear" w:color="auto" w:fill="CCEEFF"/>
          </w:tcPr>
          <w:p>
            <w:pPr>
              <w:spacing w:after="0" w:line="17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Independent Registered Public Accounting Firm’s Report</w:t>
              </w:r>
            </w:hyperlink>
          </w:p>
        </w:tc>
        <w:tc>
          <w:tcPr>
            <w:tcW w:w="6280" w:type="dxa"/>
            <w:vAlign w:val="bottom"/>
            <w:tcBorders>
              <w:bottom w:val="single" w:sz="8" w:color="CCEEFF"/>
            </w:tcBorders>
            <w:gridSpan w:val="3"/>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line="170" w:lineRule="exact"/>
              <w:rPr>
                <w:sz w:val="20"/>
                <w:szCs w:val="20"/>
                <w:color w:val="auto"/>
              </w:rPr>
            </w:pPr>
            <w:r>
              <w:rPr>
                <w:rFonts w:ascii="Arial" w:cs="Arial" w:eastAsia="Arial" w:hAnsi="Arial"/>
                <w:sz w:val="18"/>
                <w:szCs w:val="18"/>
                <w:color w:val="auto"/>
              </w:rPr>
              <w:t>1</w:t>
            </w:r>
          </w:p>
        </w:tc>
      </w:tr>
      <w:tr>
        <w:trPr>
          <w:trHeight w:val="176"/>
        </w:trPr>
        <w:tc>
          <w:tcPr>
            <w:tcW w:w="220" w:type="dxa"/>
            <w:vAlign w:val="bottom"/>
          </w:tcPr>
          <w:p>
            <w:pPr>
              <w:spacing w:after="0"/>
              <w:rPr>
                <w:sz w:val="15"/>
                <w:szCs w:val="15"/>
                <w:color w:val="auto"/>
              </w:rPr>
            </w:pPr>
          </w:p>
        </w:tc>
        <w:tc>
          <w:tcPr>
            <w:tcW w:w="10420" w:type="dxa"/>
            <w:vAlign w:val="bottom"/>
            <w:gridSpan w:val="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w:t>
              </w:r>
            </w:hyperlink>
          </w:p>
        </w:tc>
        <w:tc>
          <w:tcPr>
            <w:tcW w:w="7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w:t>
            </w:r>
          </w:p>
        </w:tc>
      </w:tr>
      <w:tr>
        <w:trPr>
          <w:trHeight w:val="21"/>
        </w:trPr>
        <w:tc>
          <w:tcPr>
            <w:tcW w:w="22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Statements of Changes in Net Assets Available for Benefits</w:t>
              </w:r>
            </w:hyperlink>
          </w:p>
        </w:tc>
        <w:tc>
          <w:tcPr>
            <w:tcW w:w="614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w:t>
            </w:r>
          </w:p>
        </w:tc>
      </w:tr>
      <w:tr>
        <w:trPr>
          <w:trHeight w:val="176"/>
        </w:trPr>
        <w:tc>
          <w:tcPr>
            <w:tcW w:w="220" w:type="dxa"/>
            <w:vAlign w:val="bottom"/>
          </w:tcPr>
          <w:p>
            <w:pPr>
              <w:spacing w:after="0"/>
              <w:rPr>
                <w:sz w:val="15"/>
                <w:szCs w:val="15"/>
                <w:color w:val="auto"/>
              </w:rPr>
            </w:pPr>
          </w:p>
        </w:tc>
        <w:tc>
          <w:tcPr>
            <w:tcW w:w="10420" w:type="dxa"/>
            <w:vAlign w:val="bottom"/>
            <w:gridSpan w:val="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7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4</w:t>
            </w:r>
          </w:p>
        </w:tc>
      </w:tr>
      <w:tr>
        <w:trPr>
          <w:trHeight w:val="21"/>
        </w:trPr>
        <w:tc>
          <w:tcPr>
            <w:tcW w:w="22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104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Supplemental Schedule *</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10420" w:type="dxa"/>
            <w:vAlign w:val="bottom"/>
            <w:gridSpan w:val="7"/>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Schedule H, Line 4i — Schedule of Assets (Held at End of Year)</w:t>
              </w:r>
            </w:hyperlink>
          </w:p>
        </w:tc>
        <w:tc>
          <w:tcPr>
            <w:tcW w:w="7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11</w:t>
            </w:r>
          </w:p>
        </w:tc>
      </w:tr>
      <w:tr>
        <w:trPr>
          <w:trHeight w:val="20"/>
        </w:trPr>
        <w:tc>
          <w:tcPr>
            <w:tcW w:w="2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8" w:lineRule="exact"/>
        <w:rPr>
          <w:sz w:val="20"/>
          <w:szCs w:val="20"/>
          <w:color w:val="auto"/>
        </w:rPr>
      </w:pPr>
    </w:p>
    <w:p>
      <w:pPr>
        <w:ind w:left="220" w:right="600"/>
        <w:spacing w:after="0" w:line="277" w:lineRule="auto"/>
        <w:rPr>
          <w:sz w:val="20"/>
          <w:szCs w:val="20"/>
          <w:color w:val="auto"/>
        </w:rPr>
      </w:pPr>
      <w:r>
        <w:rPr>
          <w:rFonts w:ascii="Arial" w:cs="Arial" w:eastAsia="Arial" w:hAnsi="Arial"/>
          <w:sz w:val="18"/>
          <w:szCs w:val="18"/>
          <w:color w:val="auto"/>
        </w:rPr>
        <w:t>*All other schedules required by 29 CFR 2520.103-10 of the Department of Labor’s Rules and Regulations for Reporting and Disclosure under the Employee Retirement Income Security Act of 1974 are not included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Independent Registered Public Accounting Firm’s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Profit-Sharing Plan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Plymouth Union Employees:</w:t>
      </w:r>
    </w:p>
    <w:p>
      <w:pPr>
        <w:spacing w:after="0" w:line="10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have audited the accompanying statement of net assets available for benefits of The Toro Company Profit-Sharing Plan for Plymouth Union Employees (the Plan) as of December 31, 2004, and the related statements of changes in net assets available for benefits for the year then ended. These financial statements are the responsibility of the Plan’s management. Our responsibility is to express an opinion on these financial statements based on our audit.</w:t>
      </w:r>
    </w:p>
    <w:p>
      <w:pPr>
        <w:spacing w:after="0" w:line="3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 in accordance with the standards of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net assets available for benefits as of December 31, 2004 and the changes in net assets available for benefits for the year then ended, in conformity with U.S. generally accepted accounting principles.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was performed for the purpose of forming an opinion on the basic financial statements taken as a whole. The supplemental schedule of assets (held at end of year) as of December 31, 2004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 of the basic financial statements and, in our opinion, is fairly stated in all material respects in relation to the basic financial statements taken as a whole.</w:t>
      </w:r>
    </w:p>
    <w:p>
      <w:pPr>
        <w:spacing w:after="0" w:line="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compiled the accompanying statement of net assets available for benefits of the Plan as of December 31, 2003 in accordance with Statements on Standards for Accounting and Review Services issued by the American Institute of Certified Public Accountants.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compilation is limited to presenting in the form of financial statements information this is the representation of management. We have not audited or reviewed the accompanying 2003 statement of net assets available for benefits and, accordingly, do not express an opinion or any other form of assurance on it.</w:t>
      </w:r>
    </w:p>
    <w:p>
      <w:pPr>
        <w:spacing w:after="0" w:line="181" w:lineRule="exact"/>
        <w:rPr>
          <w:sz w:val="20"/>
          <w:szCs w:val="20"/>
          <w:color w:val="auto"/>
        </w:rPr>
      </w:pPr>
    </w:p>
    <w:p>
      <w:pPr>
        <w:spacing w:after="0"/>
        <w:tabs>
          <w:tab w:leader="none" w:pos="8280" w:val="left"/>
        </w:tabs>
        <w:rPr>
          <w:sz w:val="20"/>
          <w:szCs w:val="20"/>
          <w:color w:val="auto"/>
        </w:rPr>
      </w:pPr>
      <w:r>
        <w:rPr>
          <w:rFonts w:ascii="Arial" w:cs="Arial" w:eastAsia="Arial" w:hAnsi="Arial"/>
          <w:sz w:val="18"/>
          <w:szCs w:val="18"/>
          <w:color w:val="auto"/>
        </w:rPr>
        <w:t>Minneapolis, MN</w:t>
      </w:r>
      <w:r>
        <w:rPr>
          <w:sz w:val="20"/>
          <w:szCs w:val="20"/>
          <w:color w:val="auto"/>
        </w:rPr>
        <w:tab/>
      </w:r>
      <w:r>
        <w:rPr>
          <w:rFonts w:ascii="Arial" w:cs="Arial" w:eastAsia="Arial" w:hAnsi="Arial"/>
          <w:sz w:val="17"/>
          <w:szCs w:val="17"/>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 and 2003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(compiled)</w:t>
            </w:r>
          </w:p>
        </w:tc>
        <w:tc>
          <w:tcPr>
            <w:tcW w:w="0" w:type="dxa"/>
            <w:vAlign w:val="bottom"/>
          </w:tcPr>
          <w:p>
            <w:pPr>
              <w:spacing w:after="0"/>
              <w:rPr>
                <w:sz w:val="1"/>
                <w:szCs w:val="1"/>
                <w:color w:val="auto"/>
              </w:rPr>
            </w:pPr>
          </w:p>
        </w:tc>
      </w:tr>
      <w:tr>
        <w:trPr>
          <w:trHeight w:val="171"/>
        </w:trPr>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Assets held by Trustee, at fair value: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4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887,329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784,088</w:t>
            </w:r>
          </w:p>
        </w:tc>
        <w:tc>
          <w:tcPr>
            <w:tcW w:w="0" w:type="dxa"/>
            <w:vAlign w:val="bottom"/>
          </w:tcPr>
          <w:p>
            <w:pPr>
              <w:spacing w:after="0"/>
              <w:rPr>
                <w:sz w:val="1"/>
                <w:szCs w:val="1"/>
                <w:color w:val="auto"/>
              </w:rPr>
            </w:pPr>
          </w:p>
        </w:tc>
      </w:tr>
      <w:tr>
        <w:trPr>
          <w:trHeight w:val="216"/>
        </w:trPr>
        <w:tc>
          <w:tcPr>
            <w:tcW w:w="8980" w:type="dxa"/>
            <w:vAlign w:val="bottom"/>
          </w:tcPr>
          <w:p>
            <w:pPr>
              <w:ind w:left="6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1,296,956</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752,750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Bond Collective Fund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58,096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80" w:type="dxa"/>
            <w:vAlign w:val="bottom"/>
          </w:tcPr>
          <w:p>
            <w:pPr>
              <w:ind w:left="620"/>
              <w:spacing w:after="0"/>
              <w:rPr>
                <w:sz w:val="20"/>
                <w:szCs w:val="20"/>
                <w:color w:val="auto"/>
              </w:rPr>
            </w:pPr>
            <w:r>
              <w:rPr>
                <w:rFonts w:ascii="Arial" w:cs="Arial" w:eastAsia="Arial" w:hAnsi="Arial"/>
                <w:sz w:val="18"/>
                <w:szCs w:val="18"/>
                <w:color w:val="auto"/>
              </w:rPr>
              <w:t>Master trust fund</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181,591</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2,423,972</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1,685,824</w:t>
            </w:r>
          </w:p>
        </w:tc>
        <w:tc>
          <w:tcPr>
            <w:tcW w:w="0" w:type="dxa"/>
            <w:vAlign w:val="bottom"/>
          </w:tcPr>
          <w:p>
            <w:pPr>
              <w:spacing w:after="0"/>
              <w:rPr>
                <w:sz w:val="1"/>
                <w:szCs w:val="1"/>
                <w:color w:val="auto"/>
              </w:rPr>
            </w:pPr>
          </w:p>
        </w:tc>
      </w:tr>
      <w:tr>
        <w:trPr>
          <w:trHeight w:val="216"/>
        </w:trPr>
        <w:tc>
          <w:tcPr>
            <w:tcW w:w="8980" w:type="dxa"/>
            <w:vAlign w:val="bottom"/>
          </w:tcPr>
          <w:p>
            <w:pPr>
              <w:ind w:left="420"/>
              <w:spacing w:after="0"/>
              <w:rPr>
                <w:sz w:val="20"/>
                <w:szCs w:val="20"/>
                <w:color w:val="auto"/>
              </w:rPr>
            </w:pPr>
            <w:r>
              <w:rPr>
                <w:rFonts w:ascii="Arial" w:cs="Arial" w:eastAsia="Arial" w:hAnsi="Arial"/>
                <w:sz w:val="18"/>
                <w:szCs w:val="18"/>
                <w:color w:val="auto"/>
              </w:rPr>
              <w:t>Employee contribution receivable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2,318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 receivable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8980" w:type="dxa"/>
            <w:vAlign w:val="bottom"/>
          </w:tcPr>
          <w:p>
            <w:pPr>
              <w:ind w:left="820"/>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2,427,573</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31,2004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420"/>
              <w:spacing w:after="0"/>
              <w:rPr>
                <w:sz w:val="20"/>
                <w:szCs w:val="20"/>
                <w:color w:val="auto"/>
              </w:rPr>
            </w:pPr>
            <w:r>
              <w:rPr>
                <w:rFonts w:ascii="Arial" w:cs="Arial" w:eastAsia="Arial" w:hAnsi="Arial"/>
                <w:sz w:val="18"/>
                <w:szCs w:val="18"/>
                <w:color w:val="auto"/>
              </w:rPr>
              <w:t>Interest and dividends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18,822</w:t>
            </w:r>
          </w:p>
        </w:tc>
      </w:tr>
      <w:tr>
        <w:trPr>
          <w:trHeight w:val="216"/>
        </w:trPr>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realized/unrealized gain in the fair value of investments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633,234</w:t>
            </w:r>
          </w:p>
        </w:tc>
      </w:tr>
      <w:tr>
        <w:trPr>
          <w:trHeight w:val="223"/>
        </w:trPr>
        <w:tc>
          <w:tcPr>
            <w:tcW w:w="10480" w:type="dxa"/>
            <w:vAlign w:val="bottom"/>
          </w:tcPr>
          <w:p>
            <w:pPr>
              <w:ind w:left="420"/>
              <w:spacing w:after="0"/>
              <w:rPr>
                <w:sz w:val="20"/>
                <w:szCs w:val="20"/>
                <w:color w:val="auto"/>
              </w:rPr>
            </w:pPr>
            <w:r>
              <w:rPr>
                <w:rFonts w:ascii="Arial" w:cs="Arial" w:eastAsia="Arial" w:hAnsi="Arial"/>
                <w:sz w:val="18"/>
                <w:szCs w:val="18"/>
                <w:color w:val="auto"/>
              </w:rPr>
              <w:t>Pro rata share of investment income from Master Trust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Pr>
          <w:p>
            <w:pPr>
              <w:spacing w:after="0"/>
              <w:rPr>
                <w:sz w:val="19"/>
                <w:szCs w:val="19"/>
                <w:color w:val="auto"/>
              </w:rPr>
            </w:pPr>
          </w:p>
        </w:tc>
      </w:tr>
      <w:tr>
        <w:trPr>
          <w:trHeight w:val="216"/>
        </w:trPr>
        <w:tc>
          <w:tcPr>
            <w:tcW w:w="10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658,699</w:t>
            </w: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36,901</w:t>
            </w:r>
          </w:p>
        </w:tc>
        <w:tc>
          <w:tcPr>
            <w:tcW w:w="100" w:type="dxa"/>
            <w:vAlign w:val="bottom"/>
          </w:tcPr>
          <w:p>
            <w:pPr>
              <w:spacing w:after="0"/>
              <w:rPr>
                <w:sz w:val="19"/>
                <w:szCs w:val="19"/>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contribtuions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126,281</w:t>
            </w:r>
          </w:p>
        </w:tc>
      </w:tr>
      <w:tr>
        <w:trPr>
          <w:trHeight w:val="223"/>
        </w:trPr>
        <w:tc>
          <w:tcPr>
            <w:tcW w:w="10480" w:type="dxa"/>
            <w:vAlign w:val="bottom"/>
          </w:tcPr>
          <w:p>
            <w:pPr>
              <w:ind w:left="620"/>
              <w:spacing w:after="0"/>
              <w:rPr>
                <w:sz w:val="20"/>
                <w:szCs w:val="20"/>
                <w:color w:val="auto"/>
              </w:rPr>
            </w:pPr>
            <w:r>
              <w:rPr>
                <w:rFonts w:ascii="Arial" w:cs="Arial" w:eastAsia="Arial" w:hAnsi="Arial"/>
                <w:sz w:val="18"/>
                <w:szCs w:val="18"/>
                <w:color w:val="auto"/>
              </w:rPr>
              <w:t>Total contributions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163,182</w:t>
            </w:r>
          </w:p>
        </w:tc>
        <w:tc>
          <w:tcPr>
            <w:tcW w:w="100" w:type="dxa"/>
            <w:vAlign w:val="bottom"/>
          </w:tcPr>
          <w:p>
            <w:pPr>
              <w:spacing w:after="0"/>
              <w:rPr>
                <w:sz w:val="19"/>
                <w:szCs w:val="19"/>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(82,159)</w:t>
            </w:r>
          </w:p>
        </w:tc>
      </w:tr>
      <w:tr>
        <w:trPr>
          <w:trHeight w:val="223"/>
        </w:trPr>
        <w:tc>
          <w:tcPr>
            <w:tcW w:w="10480" w:type="dxa"/>
            <w:vAlign w:val="bottom"/>
          </w:tcPr>
          <w:p>
            <w:pPr>
              <w:ind w:left="620"/>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739,722</w:t>
            </w:r>
          </w:p>
        </w:tc>
        <w:tc>
          <w:tcPr>
            <w:tcW w:w="100" w:type="dxa"/>
            <w:vAlign w:val="bottom"/>
          </w:tcPr>
          <w:p>
            <w:pPr>
              <w:spacing w:after="0"/>
              <w:rPr>
                <w:sz w:val="19"/>
                <w:szCs w:val="19"/>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48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1,687,851</w:t>
            </w:r>
          </w:p>
        </w:tc>
        <w:tc>
          <w:tcPr>
            <w:tcW w:w="100" w:type="dxa"/>
            <w:vAlign w:val="bottom"/>
          </w:tcPr>
          <w:p>
            <w:pPr>
              <w:spacing w:after="0"/>
              <w:rPr>
                <w:sz w:val="19"/>
                <w:szCs w:val="19"/>
                <w:color w:val="auto"/>
              </w:rPr>
            </w:pPr>
          </w:p>
        </w:tc>
      </w:tr>
      <w:tr>
        <w:trPr>
          <w:trHeight w:val="216"/>
        </w:trPr>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2,427,573</w:t>
            </w:r>
          </w:p>
        </w:tc>
      </w:tr>
      <w:tr>
        <w:trPr>
          <w:trHeight w:val="20"/>
        </w:trPr>
        <w:tc>
          <w:tcPr>
            <w:tcW w:w="10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PLYMOUTH UNION EMPLOYEES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2004 and 2003</w:t>
      </w:r>
    </w:p>
    <w:p>
      <w:pPr>
        <w:spacing w:after="0" w:line="11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121" w:lineRule="exact"/>
        <w:rPr>
          <w:rFonts w:ascii="Arial" w:cs="Arial" w:eastAsia="Arial" w:hAnsi="Arial"/>
          <w:sz w:val="18"/>
          <w:szCs w:val="18"/>
          <w:b w:val="1"/>
          <w:bCs w:val="1"/>
          <w:color w:val="auto"/>
        </w:rPr>
      </w:pPr>
    </w:p>
    <w:p>
      <w:pPr>
        <w:ind w:left="360" w:right="4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Toro Company Profit-Sharing Plan for Plymouth Union Employees (the Plan) is provided for general information purposes only. Participants should refer the Plan document restated as of January 1, 2002 for more complete information.</w:t>
      </w:r>
    </w:p>
    <w:p>
      <w:pPr>
        <w:spacing w:after="0" w:line="38" w:lineRule="exact"/>
        <w:rPr>
          <w:rFonts w:ascii="Arial" w:cs="Arial" w:eastAsia="Arial" w:hAnsi="Arial"/>
          <w:sz w:val="18"/>
          <w:szCs w:val="18"/>
          <w:b w:val="1"/>
          <w:bCs w:val="1"/>
          <w:color w:val="auto"/>
        </w:rPr>
      </w:pPr>
    </w:p>
    <w:p>
      <w:pPr>
        <w:ind w:left="360" w:right="3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Employees are eligible to contribute to the plan after they have completed 180 consecutive days of employment or one year of eligibility service and must be a member of a collective bargaining unit. Participants are fully vested in the entire balance of their individual accounts attributable to those contributions. The Company also makes matching contributions. Participants are eligible for matching contributions after completing one year of qualifying service with the Company. Company contributions, together with the income attributable thereto, vest at a rate of 20% after one year of vesting service, with an additional 20% being accumulated annually thereafter until the participant is 100% vested.</w:t>
      </w:r>
    </w:p>
    <w:p>
      <w:pPr>
        <w:spacing w:after="0" w:line="50" w:lineRule="exact"/>
        <w:rPr>
          <w:rFonts w:ascii="Arial" w:cs="Arial" w:eastAsia="Arial" w:hAnsi="Arial"/>
          <w:sz w:val="18"/>
          <w:szCs w:val="18"/>
          <w:b w:val="1"/>
          <w:bCs w:val="1"/>
          <w:color w:val="auto"/>
        </w:rPr>
      </w:pPr>
    </w:p>
    <w:p>
      <w:pPr>
        <w:ind w:left="3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Participants and the Company make contributions to the Plan. The investments of employee and employer contributions are selected by the participants. All contributions under the Plan are made to a trust that holds all of the assets of the Plan.</w:t>
      </w:r>
    </w:p>
    <w:p>
      <w:pPr>
        <w:spacing w:after="0" w:line="62" w:lineRule="exact"/>
        <w:rPr>
          <w:rFonts w:ascii="Arial" w:cs="Arial" w:eastAsia="Arial" w:hAnsi="Arial"/>
          <w:sz w:val="18"/>
          <w:szCs w:val="18"/>
          <w:b w:val="1"/>
          <w:bCs w:val="1"/>
          <w:color w:val="auto"/>
        </w:rPr>
      </w:pPr>
    </w:p>
    <w:p>
      <w:pPr>
        <w:ind w:left="360"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Effective September 3, 2004, a new Trustee was appointed, (JP Morgan Retirement Plan Services) to the Plan. Plan assets transferred to the new Trustee were transferred into funds comparable to those offered by the former Trustee (Putnam Fiduciary Trust Company). The conversion initiated a “Black Out” period beginning August 30, 2004 and continued through September 7, 2004. Prior to this period, employees were notified and able to select funds with the new Trustee. During the Black Out period, fund elections could not be changed or withdrawn from the Plan until the Trustee had time to accurately complete the conversion. Employee contributions continued to be made through payroll deductions and contributions were deposited directly into the participant accounts based on their elections until the completion of the Black Out period.</w:t>
      </w:r>
    </w:p>
    <w:p>
      <w:pPr>
        <w:spacing w:after="0" w:line="70" w:lineRule="exact"/>
        <w:rPr>
          <w:rFonts w:ascii="Arial" w:cs="Arial" w:eastAsia="Arial" w:hAnsi="Arial"/>
          <w:sz w:val="18"/>
          <w:szCs w:val="18"/>
          <w:b w:val="1"/>
          <w:bCs w:val="1"/>
          <w:color w:val="auto"/>
        </w:rPr>
      </w:pPr>
    </w:p>
    <w:p>
      <w:pPr>
        <w:jc w:val="both"/>
        <w:ind w:lef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Employee contributions to the plan consist of salary reduction elections under a 401(k) feature, voluntary after tax contributions, and rollover funds from other qualified plans. The Company is required to make a matching contribution equal to 50% of the participants’ contributions to the Plan not to exceed 2% of the participants’ total compensation made.</w:t>
      </w:r>
    </w:p>
    <w:p>
      <w:pPr>
        <w:spacing w:after="0" w:line="73"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7"/>
          <w:szCs w:val="17"/>
          <w:color w:val="auto"/>
        </w:rPr>
        <w:t>Transfers to/from other funds, represent participant elected rollovers to/from other plans of other employers or other transfers to/from plans.</w:t>
      </w:r>
    </w:p>
    <w:p>
      <w:pPr>
        <w:spacing w:after="0" w:line="128" w:lineRule="exact"/>
        <w:rPr>
          <w:rFonts w:ascii="Arial" w:cs="Arial" w:eastAsia="Arial" w:hAnsi="Arial"/>
          <w:sz w:val="18"/>
          <w:szCs w:val="18"/>
          <w:b w:val="1"/>
          <w:bCs w:val="1"/>
          <w:color w:val="auto"/>
        </w:rPr>
      </w:pPr>
    </w:p>
    <w:p>
      <w:pPr>
        <w:ind w:left="3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Pension benefits are paid to employees upon a participant’s normal retirement date or the date a participant incurs a termination of service. An election can be made for an early, late, or disability retirement date. Normal retirement benefits are paid monthly to the retiree or the surviving spouse of the retiree</w:t>
      </w:r>
    </w:p>
    <w:p>
      <w:pPr>
        <w:spacing w:after="0" w:line="73"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Toro Company, administrator of the Plan, absorbs all administrative costs of the Plan, except for the trustee fees.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PLYMOUTH UNION EMPLOYEES</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December 31, 2004 and 2003</w:t>
      </w:r>
    </w:p>
    <w:p>
      <w:pPr>
        <w:spacing w:after="0" w:line="11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660" w:hanging="436"/>
        <w:spacing w:after="0"/>
        <w:tabs>
          <w:tab w:leader="none" w:pos="660" w:val="left"/>
        </w:tabs>
        <w:numPr>
          <w:ilvl w:val="1"/>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117"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The accompanying financial statements of the Toro Company Profit-Sharing Plan for Plymouth Union Employees (the Plan) are presented on an accrual basis in accordance with U.S. generally accepted accounting principles. Only 2004 statements have been audited. The 2003 statements are presented for information purposes only.</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700"/>
        <w:spacing w:after="0" w:line="342" w:lineRule="auto"/>
        <w:rPr>
          <w:sz w:val="20"/>
          <w:szCs w:val="20"/>
          <w:color w:val="auto"/>
        </w:rPr>
      </w:pPr>
      <w:r>
        <w:rPr>
          <w:rFonts w:ascii="Arial" w:cs="Arial" w:eastAsia="Arial" w:hAnsi="Arial"/>
          <w:sz w:val="16"/>
          <w:szCs w:val="16"/>
          <w:color w:val="auto"/>
        </w:rPr>
        <w:t>The Plan’s investments are held by the Trustee. The investment securities are stated at fair value based upon published quotations or, in the absence of available quotations, at fair values determined by the Trustee. Purchases and sales of securities are recorded on a trade-date basis.</w:t>
      </w:r>
    </w:p>
    <w:p>
      <w:pPr>
        <w:spacing w:after="0" w:line="16"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The company maintains one Master Trust, the Wells Fargo Stable Value Fund (Master Trust) for three profit sharing and retirement plans that are sponsored by the Company. The three plans are the Plan; The Toro Company Investment, Savings, and Employee Stock Ownership Plan; and The Hahn Equipment Company Savings Plan for Union Employees. The purpose of the master trust is to pool investment transactions and achieve uniform rates of return on comparable funds under all plans.</w:t>
      </w:r>
    </w:p>
    <w:p>
      <w:pPr>
        <w:spacing w:after="0" w:line="79"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less than 1% as of December 31, 2004 and 2003, respectively.</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79"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 of Net Assets Available for Benefits.</w:t>
      </w:r>
    </w:p>
    <w:p>
      <w:pPr>
        <w:spacing w:after="0" w:line="79" w:lineRule="exact"/>
        <w:rPr>
          <w:sz w:val="20"/>
          <w:szCs w:val="20"/>
          <w:color w:val="auto"/>
        </w:rPr>
      </w:pPr>
    </w:p>
    <w:p>
      <w:pPr>
        <w:jc w:val="both"/>
        <w:ind w:left="700" w:right="80"/>
        <w:spacing w:after="0" w:line="264" w:lineRule="auto"/>
        <w:rPr>
          <w:sz w:val="20"/>
          <w:szCs w:val="20"/>
          <w:color w:val="auto"/>
        </w:rPr>
      </w:pPr>
      <w:r>
        <w:rPr>
          <w:rFonts w:ascii="Arial" w:cs="Arial" w:eastAsia="Arial" w:hAnsi="Arial"/>
          <w:sz w:val="18"/>
          <w:szCs w:val="18"/>
          <w:color w:val="auto"/>
        </w:rPr>
        <w:t>Since the assets held by the Trust include the Toro Company Common Stock, the anticipated assets available for benefits in 2005 will be the result of the Company’s future stock market performance, which is subject to various risk factors described more fully in the Company’s periodic filing with the Securities and Exchange Commission.</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PLYMOUTH UNION EMPLOYEES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2004 and 2003</w:t>
      </w:r>
    </w:p>
    <w:p>
      <w:pPr>
        <w:spacing w:after="0" w:line="1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Party-in-interest Transactions</w:t>
      </w:r>
    </w:p>
    <w:p>
      <w:pPr>
        <w:spacing w:after="0" w:line="121" w:lineRule="exact"/>
        <w:rPr>
          <w:sz w:val="20"/>
          <w:szCs w:val="20"/>
          <w:color w:val="auto"/>
        </w:rPr>
      </w:pPr>
    </w:p>
    <w:p>
      <w:pPr>
        <w:ind w:left="360" w:right="140"/>
        <w:spacing w:after="0" w:line="286" w:lineRule="auto"/>
        <w:rPr>
          <w:sz w:val="20"/>
          <w:szCs w:val="20"/>
          <w:color w:val="auto"/>
        </w:rPr>
      </w:pPr>
      <w:r>
        <w:rPr>
          <w:rFonts w:ascii="Arial" w:cs="Arial" w:eastAsia="Arial" w:hAnsi="Arial"/>
          <w:sz w:val="17"/>
          <w:szCs w:val="17"/>
          <w:color w:val="auto"/>
        </w:rPr>
        <w:t>J.P. Morgan Retirement Plan Services (Trustee of the Plan effective September 3, 2004), Putnam Fiduciary Trust Company (former Trustee of the Plan) and the Toro Company are parties-in-interest with respect to the Plan. In the opinion of the Plan’s legal counsel, transactions between the Plan and the trustees are exempt from being considered as “prohibited transactions” under the ERISA Section 408(b).</w:t>
      </w:r>
    </w:p>
    <w:p>
      <w:pPr>
        <w:spacing w:after="0" w:line="5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Plan Termination</w:t>
      </w:r>
    </w:p>
    <w:p>
      <w:pPr>
        <w:spacing w:after="0" w:line="121" w:lineRule="exact"/>
        <w:rPr>
          <w:sz w:val="20"/>
          <w:szCs w:val="20"/>
          <w:color w:val="auto"/>
        </w:rPr>
      </w:pPr>
    </w:p>
    <w:p>
      <w:pPr>
        <w:jc w:val="both"/>
        <w:ind w:left="360" w:right="20"/>
        <w:spacing w:after="0" w:line="286" w:lineRule="auto"/>
        <w:rPr>
          <w:sz w:val="20"/>
          <w:szCs w:val="20"/>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5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Federal Income Taxes</w:t>
      </w:r>
    </w:p>
    <w:p>
      <w:pPr>
        <w:spacing w:after="0" w:line="121" w:lineRule="exact"/>
        <w:rPr>
          <w:sz w:val="20"/>
          <w:szCs w:val="20"/>
          <w:color w:val="auto"/>
        </w:rPr>
      </w:pPr>
    </w:p>
    <w:p>
      <w:pPr>
        <w:ind w:left="360"/>
        <w:spacing w:after="0" w:line="279" w:lineRule="auto"/>
        <w:rPr>
          <w:sz w:val="20"/>
          <w:szCs w:val="20"/>
          <w:color w:val="auto"/>
        </w:rPr>
      </w:pPr>
      <w:r>
        <w:rPr>
          <w:rFonts w:ascii="Arial" w:cs="Arial" w:eastAsia="Arial" w:hAnsi="Arial"/>
          <w:sz w:val="17"/>
          <w:szCs w:val="17"/>
          <w:color w:val="auto"/>
        </w:rPr>
        <w:t>The plan administrator has received a favorable determination letter dated April 15, 2003 from the Internal Revenue Service stating that the Plan constitutes a qualified plan under Section 401(a) of the Internal Revenue Code and that the trust created under the Plan is exempt from federal income tax under Section 501(a) of the Code. The Plan has been amended since the date of this letter; however it is the opinion of the Plan Administrator that the Plan and its related trust continue to qualify under the provisions of Sections 401(a) and 501(a) of the Code.</w:t>
      </w:r>
    </w:p>
    <w:p>
      <w:pPr>
        <w:spacing w:after="0" w:line="5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Related Party</w:t>
      </w:r>
    </w:p>
    <w:p>
      <w:pPr>
        <w:spacing w:after="0" w:line="121" w:lineRule="exact"/>
        <w:rPr>
          <w:sz w:val="20"/>
          <w:szCs w:val="20"/>
          <w:color w:val="auto"/>
        </w:rPr>
      </w:pPr>
    </w:p>
    <w:p>
      <w:pPr>
        <w:ind w:left="360" w:right="40"/>
        <w:spacing w:after="0" w:line="259" w:lineRule="auto"/>
        <w:rPr>
          <w:sz w:val="20"/>
          <w:szCs w:val="20"/>
          <w:color w:val="auto"/>
        </w:rPr>
      </w:pPr>
      <w:r>
        <w:rPr>
          <w:rFonts w:ascii="Arial" w:cs="Arial" w:eastAsia="Arial" w:hAnsi="Arial"/>
          <w:sz w:val="18"/>
          <w:szCs w:val="18"/>
          <w:color w:val="auto"/>
        </w:rPr>
        <w:t>The Plan’s investments are held by J.P. Morgan Retirement Plan Services (Trustee of the Plan effective September 3, 2004) and Putnam Fiduciary Trust Company (former Trustee of the Plan prior to September 3,2004). Some of the investment funds available to participants also include mutual funds managed by J.P. Morgan Retirement Plan Services for periods effective September 3, 2004 and Putnam Fiduciary Trust Company for periods subsequent to September 3, 2004.</w:t>
      </w:r>
    </w:p>
    <w:p>
      <w:pPr>
        <w:spacing w:after="0" w:line="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Investments</w:t>
      </w:r>
    </w:p>
    <w:p>
      <w:pPr>
        <w:spacing w:after="0" w:line="121" w:lineRule="exact"/>
        <w:rPr>
          <w:sz w:val="20"/>
          <w:szCs w:val="20"/>
          <w:color w:val="auto"/>
        </w:rPr>
      </w:pPr>
    </w:p>
    <w:p>
      <w:pPr>
        <w:ind w:left="360" w:right="100"/>
        <w:spacing w:after="0" w:line="259" w:lineRule="auto"/>
        <w:rPr>
          <w:sz w:val="20"/>
          <w:szCs w:val="20"/>
          <w:color w:val="auto"/>
        </w:rPr>
      </w:pPr>
      <w:r>
        <w:rPr>
          <w:rFonts w:ascii="Arial" w:cs="Arial" w:eastAsia="Arial" w:hAnsi="Arial"/>
          <w:sz w:val="18"/>
          <w:szCs w:val="18"/>
          <w:color w:val="auto"/>
        </w:rPr>
        <w:t>Under the terms of the trust agreement, the Trustees manage investment funds on behalf of the Plan. The Trustees have been granted discretionary authority concerning the purchases and sales of the investments of the investment funds, except to the extent the Trustees are subject to the discretion of participants, other fiduciaries, or the Company. In accordance with the trust agreement, certain assets of the Plan are held together with assets of other plans sponsored by the Company in the Master Trust.</w:t>
      </w:r>
    </w:p>
    <w:p>
      <w:pPr>
        <w:spacing w:after="0" w:line="79" w:lineRule="exact"/>
        <w:rPr>
          <w:sz w:val="20"/>
          <w:szCs w:val="20"/>
          <w:color w:val="auto"/>
        </w:rPr>
      </w:pPr>
    </w:p>
    <w:p>
      <w:pPr>
        <w:ind w:left="360" w:right="160"/>
        <w:spacing w:after="0" w:line="264" w:lineRule="auto"/>
        <w:rPr>
          <w:sz w:val="20"/>
          <w:szCs w:val="20"/>
          <w:color w:val="auto"/>
        </w:rPr>
      </w:pPr>
      <w:r>
        <w:rPr>
          <w:rFonts w:ascii="Arial" w:cs="Arial" w:eastAsia="Arial" w:hAnsi="Arial"/>
          <w:sz w:val="18"/>
          <w:szCs w:val="18"/>
          <w:color w:val="auto"/>
        </w:rPr>
        <w:t>Total assets of the Plan held by JP Morgan Retirement Plan Services (Trustee of the Master Trust effective September 3, 2004) had aggregate fair value of $77,386,548, as of December 31, 2004 and total investment income of $979,190 was recognized for the period from September 3, 2004 through December 31, 2004.</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PLYMOUTH UNION EMPLOYEES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2004 and 2003</w:t>
      </w:r>
    </w:p>
    <w:p>
      <w:pPr>
        <w:spacing w:after="0" w:line="11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Total assets of the Plan held by Putnam Fiduciary Trust Company (former Trustee of the Master Trust) had aggregate fair value of $67,780,597 as if December 31, 2003 and total investment income of $1,883,964 was recognized for the period from January 1, 2004 to September 3, 2004,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net assets available for benefits of the Master Trust for the years ended December 31, 2004 and 2003 were as follows:</w:t>
      </w:r>
    </w:p>
    <w:p>
      <w:pPr>
        <w:spacing w:after="0" w:line="217"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auto"/>
        </w:rPr>
        <w:t>(Compiled)</w:t>
      </w:r>
    </w:p>
    <w:p>
      <w:pPr>
        <w:sectPr>
          <w:pgSz w:w="11900" w:h="16838" w:orient="portrait"/>
          <w:cols w:equalWidth="0" w:num="1">
            <w:col w:w="11380"/>
          </w:cols>
          <w:pgMar w:left="240" w:top="419" w:right="27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Realized gain on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Unrealized gain/(loss) on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Deposits by participating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Withdrawals by participating plans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Increase in net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Beginning of year</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br w:type="column"/>
      </w:r>
    </w:p>
    <w:p>
      <w:pPr>
        <w:ind w:left="348"/>
        <w:spacing w:after="0"/>
        <w:rPr>
          <w:sz w:val="20"/>
          <w:szCs w:val="20"/>
          <w:color w:val="auto"/>
        </w:rPr>
      </w:pP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-3175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8" w:hanging="268"/>
        <w:spacing w:after="0"/>
        <w:tabs>
          <w:tab w:leader="none" w:pos="2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7,543,835</w:t>
      </w:r>
    </w:p>
    <w:p>
      <w:pPr>
        <w:spacing w:after="0" w:line="19" w:lineRule="exact"/>
        <w:rPr>
          <w:rFonts w:ascii="Arial" w:cs="Arial" w:eastAsia="Arial" w:hAnsi="Arial"/>
          <w:sz w:val="17"/>
          <w:szCs w:val="17"/>
          <w:color w:val="auto"/>
        </w:rPr>
      </w:pPr>
    </w:p>
    <w:p>
      <w:pPr>
        <w:ind w:left="208"/>
        <w:spacing w:after="0"/>
        <w:rPr>
          <w:rFonts w:ascii="Arial" w:cs="Arial" w:eastAsia="Arial" w:hAnsi="Arial"/>
          <w:sz w:val="17"/>
          <w:szCs w:val="17"/>
          <w:color w:val="auto"/>
        </w:rPr>
      </w:pPr>
      <w:r>
        <w:rPr>
          <w:rFonts w:ascii="Arial" w:cs="Arial" w:eastAsia="Arial" w:hAnsi="Arial"/>
          <w:sz w:val="16"/>
          <w:szCs w:val="16"/>
          <w:color w:val="auto"/>
        </w:rPr>
        <w:t>(4,680,681)</w:t>
      </w:r>
    </w:p>
    <w:p>
      <w:pPr>
        <w:spacing w:after="0" w:line="32" w:lineRule="exact"/>
        <w:rPr>
          <w:rFonts w:ascii="Arial" w:cs="Arial" w:eastAsia="Arial" w:hAnsi="Arial"/>
          <w:sz w:val="17"/>
          <w:szCs w:val="17"/>
          <w:color w:val="auto"/>
        </w:rPr>
      </w:pPr>
    </w:p>
    <w:p>
      <w:pPr>
        <w:ind w:left="168"/>
        <w:spacing w:after="0"/>
        <w:rPr>
          <w:rFonts w:ascii="Arial" w:cs="Arial" w:eastAsia="Arial" w:hAnsi="Arial"/>
          <w:sz w:val="17"/>
          <w:szCs w:val="17"/>
          <w:color w:val="auto"/>
        </w:rPr>
      </w:pPr>
      <w:r>
        <w:rPr>
          <w:rFonts w:ascii="Arial" w:cs="Arial" w:eastAsia="Arial" w:hAnsi="Arial"/>
          <w:sz w:val="17"/>
          <w:szCs w:val="17"/>
          <w:color w:val="auto"/>
        </w:rPr>
        <w:t>35,179,681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-123190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(28,436,884</w:t>
      </w:r>
      <w:r>
        <w:rPr>
          <w:rFonts w:ascii="Arial" w:cs="Arial" w:eastAsia="Arial" w:hAnsi="Arial"/>
          <w:sz w:val="18"/>
          <w:szCs w:val="18"/>
          <w:color w:val="auto"/>
        </w:rPr>
        <w:t>)</w:t>
      </w:r>
    </w:p>
    <w:p>
      <w:pPr>
        <w:spacing w:after="0" w:line="2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9,605,951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68"/>
        <w:spacing w:after="0"/>
        <w:rPr>
          <w:sz w:val="20"/>
          <w:szCs w:val="20"/>
          <w:color w:val="auto"/>
        </w:rPr>
      </w:pPr>
      <w:r>
        <w:rPr>
          <w:rFonts w:ascii="Arial" w:cs="Arial" w:eastAsia="Arial" w:hAnsi="Arial"/>
          <w:sz w:val="17"/>
          <w:szCs w:val="17"/>
          <w:color w:val="auto"/>
        </w:rPr>
        <w:t>67,780,597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-114300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8" w:lineRule="exact"/>
        <w:rPr>
          <w:sz w:val="20"/>
          <w:szCs w:val="20"/>
          <w:color w:val="auto"/>
        </w:rPr>
      </w:pPr>
    </w:p>
    <w:p>
      <w:pPr>
        <w:ind w:left="8"/>
        <w:spacing w:after="0"/>
        <w:rPr>
          <w:sz w:val="20"/>
          <w:szCs w:val="20"/>
          <w:color w:val="auto"/>
        </w:rPr>
      </w:pPr>
      <w:r>
        <w:rPr>
          <w:rFonts w:ascii="Arial" w:cs="Arial" w:eastAsia="Arial" w:hAnsi="Arial"/>
          <w:sz w:val="17"/>
          <w:szCs w:val="17"/>
          <w:u w:val="single" w:color="auto"/>
          <w:color w:val="auto"/>
        </w:rPr>
        <w:t>$ 77,386,548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26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-3175</wp:posOffset>
            </wp:positionV>
            <wp:extent cx="6261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color w:val="auto"/>
        </w:rPr>
        <w:t>1,211,390</w:t>
      </w:r>
    </w:p>
    <w:p>
      <w:pPr>
        <w:spacing w:after="0" w:line="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1,828,496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24,207,841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auto"/>
        </w:rPr>
        <w:t>(16,983,391</w:t>
      </w:r>
      <w:r>
        <w:rPr>
          <w:rFonts w:ascii="Arial" w:cs="Arial" w:eastAsia="Arial" w:hAnsi="Arial"/>
          <w:sz w:val="16"/>
          <w:szCs w:val="16"/>
          <w:color w:val="auto"/>
        </w:rPr>
        <w:t>)</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10,264,336</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7"/>
          <w:szCs w:val="17"/>
          <w:color w:val="auto"/>
        </w:rPr>
        <w:t>57,516,261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wp:posOffset>
            </wp:positionV>
            <wp:extent cx="6261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8" w:lineRule="exact"/>
        <w:rPr>
          <w:sz w:val="20"/>
          <w:szCs w:val="20"/>
          <w:color w:val="auto"/>
        </w:rPr>
      </w:pPr>
    </w:p>
    <w:p>
      <w:pPr>
        <w:ind w:left="60"/>
        <w:spacing w:after="0"/>
        <w:rPr>
          <w:sz w:val="20"/>
          <w:szCs w:val="20"/>
          <w:color w:val="auto"/>
        </w:rPr>
      </w:pPr>
      <w:r>
        <w:rPr>
          <w:rFonts w:ascii="Arial" w:cs="Arial" w:eastAsia="Arial" w:hAnsi="Arial"/>
          <w:sz w:val="17"/>
          <w:szCs w:val="17"/>
          <w:color w:val="auto"/>
        </w:rPr>
        <w:t>67,780,597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wp:posOffset>
            </wp:positionV>
            <wp:extent cx="6261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39370</wp:posOffset>
            </wp:positionV>
            <wp:extent cx="6261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3">
            <w:col w:w="7972" w:space="720"/>
            <w:col w:w="1048" w:space="700"/>
            <w:col w:w="940"/>
          </w:cols>
          <w:pgMar w:left="240" w:top="419" w:right="279" w:bottom="1440" w:gutter="0" w:footer="0" w:header="0"/>
          <w:type w:val="continuous"/>
        </w:sectPr>
      </w:pPr>
    </w:p>
    <w:p>
      <w:pPr>
        <w:spacing w:after="0"/>
        <w:rPr>
          <w:sz w:val="20"/>
          <w:szCs w:val="20"/>
          <w:color w:val="auto"/>
        </w:rPr>
      </w:pPr>
      <w:r>
        <w:rPr>
          <w:rFonts w:ascii="Arial" w:cs="Arial" w:eastAsia="Arial" w:hAnsi="Arial"/>
          <w:sz w:val="16"/>
          <w:szCs w:val="16"/>
          <w:color w:val="auto"/>
        </w:rPr>
        <w:t>The following investments represent more than 5% of the Plan’s net assets available for benefits as of December 31, 2004 and 2003:</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vMerge w:val="restart"/>
          </w:tcPr>
          <w:p>
            <w:pPr>
              <w:spacing w:after="0"/>
              <w:rPr>
                <w:sz w:val="20"/>
                <w:szCs w:val="20"/>
                <w:color w:val="auto"/>
              </w:rPr>
            </w:pPr>
            <w:r>
              <w:rPr>
                <w:rFonts w:ascii="Arial" w:cs="Arial" w:eastAsia="Arial" w:hAnsi="Arial"/>
                <w:sz w:val="18"/>
                <w:szCs w:val="18"/>
                <w:color w:val="auto"/>
              </w:rPr>
              <w:t>Growth Fund of America</w:t>
            </w: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100" w:type="dxa"/>
            <w:vAlign w:val="bottom"/>
            <w:vMerge w:val="continue"/>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258,777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American Century Large Company Value Fund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382,700</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Putnam Voyager Fund CL Y*</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Lord Abbett Affiliated Fund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1,296,956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*Party-in-interest</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**Party-in-interest, participant and nonparticipant directed investment</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(Compiled)</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45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202,585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318,928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752,750</w:t>
      </w:r>
    </w:p>
    <w:p>
      <w:pPr>
        <w:sectPr>
          <w:pgSz w:w="11900" w:h="16838" w:orient="portrait"/>
          <w:cols w:equalWidth="0" w:num="2">
            <w:col w:w="9940" w:space="680"/>
            <w:col w:w="760"/>
          </w:cols>
          <w:pgMar w:left="240" w:top="41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 and 2003</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2004, the Plan’s investments (including gains and losses on investments bought and sold, as well as held during the year) appreciated in value by $633,234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76,507</w:t>
            </w:r>
          </w:p>
        </w:tc>
        <w:tc>
          <w:tcPr>
            <w:tcW w:w="10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Common stocks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555,498</w:t>
            </w:r>
          </w:p>
        </w:tc>
        <w:tc>
          <w:tcPr>
            <w:tcW w:w="10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Collective bond fund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633,234</w:t>
            </w:r>
          </w:p>
        </w:tc>
        <w:tc>
          <w:tcPr>
            <w:tcW w:w="100" w:type="dxa"/>
            <w:vAlign w:val="bottom"/>
          </w:tcPr>
          <w:p>
            <w:pPr>
              <w:spacing w:after="0"/>
              <w:rPr>
                <w:sz w:val="18"/>
                <w:szCs w:val="18"/>
                <w:color w:val="auto"/>
              </w:rPr>
            </w:pPr>
          </w:p>
        </w:tc>
      </w:tr>
      <w:tr>
        <w:trPr>
          <w:trHeight w:val="20"/>
        </w:trPr>
        <w:tc>
          <w:tcPr>
            <w:tcW w:w="10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Information about the net assets and the significant components of the changes in net assets relating to the investment in Toro Company Common Stock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Non-</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Participant</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participant</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directed</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directed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20"/>
              <w:spacing w:after="0"/>
              <w:rPr>
                <w:sz w:val="20"/>
                <w:szCs w:val="20"/>
                <w:color w:val="auto"/>
              </w:rPr>
            </w:pPr>
            <w:r>
              <w:rPr>
                <w:rFonts w:ascii="Arial" w:cs="Arial" w:eastAsia="Arial" w:hAnsi="Arial"/>
                <w:sz w:val="18"/>
                <w:szCs w:val="18"/>
                <w:color w:val="auto"/>
              </w:rPr>
              <w:t>The Toro Company Common Stock</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1,296,956</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876,038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420,918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Non-</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Participant</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participant</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directed</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directed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3,808</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1,116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realized/unrealized gain in the fair value of investments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555,498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424,947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130,551</w:t>
            </w:r>
          </w:p>
        </w:tc>
        <w:tc>
          <w:tcPr>
            <w:tcW w:w="0" w:type="dxa"/>
            <w:vAlign w:val="bottom"/>
          </w:tcPr>
          <w:p>
            <w:pPr>
              <w:spacing w:after="0"/>
              <w:rPr>
                <w:sz w:val="1"/>
                <w:szCs w:val="1"/>
                <w:color w:val="auto"/>
              </w:rPr>
            </w:pPr>
          </w:p>
        </w:tc>
      </w:tr>
      <w:tr>
        <w:trPr>
          <w:trHeight w:val="223"/>
        </w:trPr>
        <w:tc>
          <w:tcPr>
            <w:tcW w:w="5200" w:type="dxa"/>
            <w:vAlign w:val="bottom"/>
          </w:tcPr>
          <w:p>
            <w:pPr>
              <w:ind w:left="820"/>
              <w:spacing w:after="0"/>
              <w:rPr>
                <w:sz w:val="20"/>
                <w:szCs w:val="20"/>
                <w:color w:val="auto"/>
              </w:rPr>
            </w:pPr>
            <w:r>
              <w:rPr>
                <w:rFonts w:ascii="Arial" w:cs="Arial" w:eastAsia="Arial" w:hAnsi="Arial"/>
                <w:sz w:val="18"/>
                <w:szCs w:val="18"/>
                <w:color w:val="auto"/>
              </w:rPr>
              <w:t>Net investment income</w:t>
            </w:r>
          </w:p>
        </w:tc>
        <w:tc>
          <w:tcPr>
            <w:tcW w:w="2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559,306</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426,063</w:t>
            </w:r>
          </w:p>
        </w:tc>
        <w:tc>
          <w:tcPr>
            <w:tcW w:w="6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contributions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56,920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37,051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Benefit payments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(44,328)</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(19,140)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(25,188)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Transfers to/from other funds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(27,692)</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(22,258)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23"/>
        </w:trPr>
        <w:tc>
          <w:tcPr>
            <w:tcW w:w="5200" w:type="dxa"/>
            <w:vAlign w:val="bottom"/>
          </w:tcPr>
          <w:p>
            <w:pPr>
              <w:ind w:left="820"/>
              <w:spacing w:after="0"/>
              <w:rPr>
                <w:sz w:val="20"/>
                <w:szCs w:val="20"/>
                <w:color w:val="auto"/>
              </w:rPr>
            </w:pPr>
            <w:r>
              <w:rPr>
                <w:rFonts w:ascii="Arial" w:cs="Arial" w:eastAsia="Arial" w:hAnsi="Arial"/>
                <w:sz w:val="18"/>
                <w:szCs w:val="18"/>
                <w:color w:val="auto"/>
              </w:rPr>
              <w:t>Increase in net assets available for benefits</w:t>
            </w:r>
          </w:p>
        </w:tc>
        <w:tc>
          <w:tcPr>
            <w:tcW w:w="2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544,206</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421,716</w:t>
            </w:r>
          </w:p>
        </w:tc>
        <w:tc>
          <w:tcPr>
            <w:tcW w:w="6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620"/>
              <w:spacing w:after="0"/>
              <w:rPr>
                <w:sz w:val="20"/>
                <w:szCs w:val="20"/>
                <w:color w:val="auto"/>
              </w:rPr>
            </w:pPr>
            <w:r>
              <w:rPr>
                <w:rFonts w:ascii="Arial" w:cs="Arial" w:eastAsia="Arial" w:hAnsi="Arial"/>
                <w:sz w:val="18"/>
                <w:szCs w:val="18"/>
                <w:color w:val="auto"/>
              </w:rPr>
              <w:t>Beginning of year</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752,750</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454,322</w:t>
            </w:r>
          </w:p>
        </w:tc>
        <w:tc>
          <w:tcPr>
            <w:tcW w:w="6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End of year</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1,296,956</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876,038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420,918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520" w:type="dxa"/>
            <w:vAlign w:val="bottom"/>
            <w:vMerge w:val="restart"/>
          </w:tcPr>
          <w:p>
            <w:pPr>
              <w:jc w:val="right"/>
              <w:ind w:right="187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 and 2003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(Compiled)</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(Compiled)</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5"/>
              </w:rPr>
              <w:t>(Compiled)</w:t>
            </w: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Non-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participant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Participant</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Total</w:t>
            </w: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directed</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directed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3360" w:type="dxa"/>
            <w:vAlign w:val="bottom"/>
            <w:gridSpan w:val="2"/>
          </w:tcPr>
          <w:p>
            <w:pPr>
              <w:jc w:val="center"/>
              <w:ind w:left="2554"/>
              <w:spacing w:after="0"/>
              <w:rPr>
                <w:sz w:val="20"/>
                <w:szCs w:val="20"/>
                <w:color w:val="auto"/>
              </w:rPr>
            </w:pPr>
            <w:r>
              <w:rPr>
                <w:rFonts w:ascii="Arial" w:cs="Arial" w:eastAsia="Arial" w:hAnsi="Arial"/>
                <w:sz w:val="14"/>
                <w:szCs w:val="14"/>
                <w:b w:val="1"/>
                <w:bCs w:val="1"/>
                <w:color w:val="auto"/>
                <w:w w:val="89"/>
              </w:rPr>
              <w:t>2003</w:t>
            </w: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6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20"/>
              <w:spacing w:after="0"/>
              <w:rPr>
                <w:sz w:val="20"/>
                <w:szCs w:val="20"/>
                <w:color w:val="auto"/>
              </w:rPr>
            </w:pPr>
            <w:r>
              <w:rPr>
                <w:rFonts w:ascii="Arial" w:cs="Arial" w:eastAsia="Arial" w:hAnsi="Arial"/>
                <w:sz w:val="18"/>
                <w:szCs w:val="18"/>
                <w:color w:val="auto"/>
              </w:rPr>
              <w:t>The Toro Company Common Stock</w:t>
            </w:r>
          </w:p>
        </w:tc>
        <w:tc>
          <w:tcPr>
            <w:tcW w:w="4040" w:type="dxa"/>
            <w:vAlign w:val="bottom"/>
            <w:gridSpan w:val="3"/>
          </w:tcPr>
          <w:p>
            <w:pPr>
              <w:jc w:val="right"/>
              <w:ind w:right="680"/>
              <w:spacing w:after="0"/>
              <w:rPr>
                <w:sz w:val="20"/>
                <w:szCs w:val="20"/>
                <w:color w:val="auto"/>
              </w:rPr>
            </w:pPr>
            <w:r>
              <w:rPr>
                <w:rFonts w:ascii="Arial" w:cs="Arial" w:eastAsia="Arial" w:hAnsi="Arial"/>
                <w:sz w:val="18"/>
                <w:szCs w:val="18"/>
                <w:color w:val="auto"/>
              </w:rPr>
              <w:t>$ 752,750</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454,322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298,428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(Compiled)</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(Compiled)</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5"/>
              </w:rPr>
              <w:t>(Compiled)</w:t>
            </w: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Non-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participant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Participant</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Total</w:t>
            </w: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directed</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directed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3360" w:type="dxa"/>
            <w:vAlign w:val="bottom"/>
            <w:gridSpan w:val="2"/>
          </w:tcPr>
          <w:p>
            <w:pPr>
              <w:jc w:val="center"/>
              <w:ind w:left="2554"/>
              <w:spacing w:after="0"/>
              <w:rPr>
                <w:sz w:val="20"/>
                <w:szCs w:val="20"/>
                <w:color w:val="auto"/>
              </w:rPr>
            </w:pPr>
            <w:r>
              <w:rPr>
                <w:rFonts w:ascii="Arial" w:cs="Arial" w:eastAsia="Arial" w:hAnsi="Arial"/>
                <w:sz w:val="14"/>
                <w:szCs w:val="14"/>
                <w:b w:val="1"/>
                <w:bCs w:val="1"/>
                <w:color w:val="auto"/>
                <w:w w:val="89"/>
              </w:rPr>
              <w:t>2003</w:t>
            </w: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6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4040" w:type="dxa"/>
            <w:vAlign w:val="bottom"/>
            <w:gridSpan w:val="3"/>
          </w:tcPr>
          <w:p>
            <w:pPr>
              <w:jc w:val="right"/>
              <w:ind w:right="680"/>
              <w:spacing w:after="0"/>
              <w:rPr>
                <w:sz w:val="20"/>
                <w:szCs w:val="20"/>
                <w:color w:val="auto"/>
              </w:rPr>
            </w:pPr>
            <w:r>
              <w:rPr>
                <w:rFonts w:ascii="Arial" w:cs="Arial" w:eastAsia="Arial" w:hAnsi="Arial"/>
                <w:sz w:val="18"/>
                <w:szCs w:val="18"/>
                <w:color w:val="auto"/>
              </w:rPr>
              <w:t>$  3,802</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2,182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realized/unrealized gain in the fair value of investments</w:t>
            </w:r>
          </w:p>
        </w:tc>
        <w:tc>
          <w:tcPr>
            <w:tcW w:w="4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223,767</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107,748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116,019</w:t>
            </w:r>
          </w:p>
        </w:tc>
        <w:tc>
          <w:tcPr>
            <w:tcW w:w="0" w:type="dxa"/>
            <w:vAlign w:val="bottom"/>
          </w:tcPr>
          <w:p>
            <w:pPr>
              <w:spacing w:after="0"/>
              <w:rPr>
                <w:sz w:val="1"/>
                <w:szCs w:val="1"/>
                <w:color w:val="auto"/>
              </w:rPr>
            </w:pPr>
          </w:p>
        </w:tc>
      </w:tr>
      <w:tr>
        <w:trPr>
          <w:trHeight w:val="223"/>
        </w:trPr>
        <w:tc>
          <w:tcPr>
            <w:tcW w:w="5200" w:type="dxa"/>
            <w:vAlign w:val="bottom"/>
          </w:tcPr>
          <w:p>
            <w:pPr>
              <w:ind w:left="820"/>
              <w:spacing w:after="0"/>
              <w:rPr>
                <w:sz w:val="20"/>
                <w:szCs w:val="20"/>
                <w:color w:val="auto"/>
              </w:rPr>
            </w:pPr>
            <w:r>
              <w:rPr>
                <w:rFonts w:ascii="Arial" w:cs="Arial" w:eastAsia="Arial" w:hAnsi="Arial"/>
                <w:sz w:val="18"/>
                <w:szCs w:val="18"/>
                <w:color w:val="auto"/>
              </w:rPr>
              <w:t>Net investment income</w:t>
            </w:r>
          </w:p>
        </w:tc>
        <w:tc>
          <w:tcPr>
            <w:tcW w:w="2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227,569</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109,930</w:t>
            </w:r>
          </w:p>
        </w:tc>
        <w:tc>
          <w:tcPr>
            <w:tcW w:w="6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contributions</w:t>
            </w:r>
          </w:p>
        </w:tc>
        <w:tc>
          <w:tcPr>
            <w:tcW w:w="4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55,205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37,991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Benefit payments</w:t>
            </w:r>
          </w:p>
        </w:tc>
        <w:tc>
          <w:tcPr>
            <w:tcW w:w="4040" w:type="dxa"/>
            <w:vAlign w:val="bottom"/>
            <w:gridSpan w:val="3"/>
          </w:tcPr>
          <w:p>
            <w:pPr>
              <w:jc w:val="right"/>
              <w:ind w:right="620"/>
              <w:spacing w:after="0"/>
              <w:rPr>
                <w:sz w:val="20"/>
                <w:szCs w:val="20"/>
                <w:color w:val="auto"/>
              </w:rPr>
            </w:pPr>
            <w:r>
              <w:rPr>
                <w:rFonts w:ascii="Arial" w:cs="Arial" w:eastAsia="Arial" w:hAnsi="Arial"/>
                <w:sz w:val="18"/>
                <w:szCs w:val="18"/>
                <w:color w:val="auto"/>
              </w:rPr>
              <w:t>(16,814)</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(16,098)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Transfers to/from other funds</w:t>
            </w:r>
          </w:p>
        </w:tc>
        <w:tc>
          <w:tcPr>
            <w:tcW w:w="4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(43,163)</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(40,104)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23"/>
        </w:trPr>
        <w:tc>
          <w:tcPr>
            <w:tcW w:w="5200" w:type="dxa"/>
            <w:vAlign w:val="bottom"/>
          </w:tcPr>
          <w:p>
            <w:pPr>
              <w:ind w:left="820"/>
              <w:spacing w:after="0"/>
              <w:rPr>
                <w:sz w:val="20"/>
                <w:szCs w:val="20"/>
                <w:color w:val="auto"/>
              </w:rPr>
            </w:pPr>
            <w:r>
              <w:rPr>
                <w:rFonts w:ascii="Arial" w:cs="Arial" w:eastAsia="Arial" w:hAnsi="Arial"/>
                <w:sz w:val="18"/>
                <w:szCs w:val="18"/>
                <w:color w:val="auto"/>
              </w:rPr>
              <w:t>Increase in net assets available for benefits</w:t>
            </w:r>
          </w:p>
        </w:tc>
        <w:tc>
          <w:tcPr>
            <w:tcW w:w="2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222,797</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91,719</w:t>
            </w:r>
          </w:p>
        </w:tc>
        <w:tc>
          <w:tcPr>
            <w:tcW w:w="6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620"/>
              <w:spacing w:after="0"/>
              <w:rPr>
                <w:sz w:val="20"/>
                <w:szCs w:val="20"/>
                <w:color w:val="auto"/>
              </w:rPr>
            </w:pPr>
            <w:r>
              <w:rPr>
                <w:rFonts w:ascii="Arial" w:cs="Arial" w:eastAsia="Arial" w:hAnsi="Arial"/>
                <w:sz w:val="18"/>
                <w:szCs w:val="18"/>
                <w:color w:val="auto"/>
              </w:rPr>
              <w:t>Beginning of year</w:t>
            </w:r>
          </w:p>
        </w:tc>
        <w:tc>
          <w:tcPr>
            <w:tcW w:w="2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529,953</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362,603</w:t>
            </w:r>
          </w:p>
        </w:tc>
        <w:tc>
          <w:tcPr>
            <w:tcW w:w="6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End of year</w:t>
            </w:r>
          </w:p>
        </w:tc>
        <w:tc>
          <w:tcPr>
            <w:tcW w:w="4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$ 752,750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454,322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298,428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60" w:type="dxa"/>
            <w:vAlign w:val="bottom"/>
            <w:vMerge w:val="restart"/>
          </w:tcPr>
          <w:p>
            <w:pPr>
              <w:jc w:val="right"/>
              <w:ind w:right="2014"/>
              <w:spacing w:after="0"/>
              <w:rPr>
                <w:sz w:val="20"/>
                <w:szCs w:val="20"/>
                <w:color w:val="auto"/>
              </w:rPr>
            </w:pPr>
            <w:r>
              <w:rPr>
                <w:rFonts w:ascii="Arial" w:cs="Arial" w:eastAsia="Arial" w:hAnsi="Arial"/>
                <w:sz w:val="18"/>
                <w:szCs w:val="18"/>
                <w:color w:val="auto"/>
              </w:rPr>
              <w:t>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0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172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left="1720"/>
        <w:spacing w:after="0"/>
        <w:rPr>
          <w:sz w:val="20"/>
          <w:szCs w:val="20"/>
          <w:color w:val="auto"/>
        </w:rPr>
      </w:pPr>
      <w:r>
        <w:rPr>
          <w:rFonts w:ascii="Arial" w:cs="Arial" w:eastAsia="Arial" w:hAnsi="Arial"/>
          <w:sz w:val="18"/>
          <w:szCs w:val="18"/>
          <w:b w:val="1"/>
          <w:bCs w:val="1"/>
          <w:color w:val="auto"/>
        </w:rPr>
        <w:t>FOR PLYMOUTH UNION EMPLOYEES</w:t>
      </w: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December 31, 2004 and 2003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Reconciliation of Differences Between these Financial Statements and the Financial Information Required on Form 5500:</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as presented in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as presented on Form 5500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available for benefits as presented in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 at December 31,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 for employer contribution receivable at December 31,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net assets available for benefits as presented on Form 5500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as presented in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employer contribution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employee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as presented on Form 5500</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December 31,</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486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6"/>
          <w:szCs w:val="16"/>
          <w:color w:val="auto"/>
        </w:rPr>
        <w:t>$ 2,427,573</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486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$ 2,424,571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5486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Year Ended</w:t>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December 31,</w:t>
      </w:r>
    </w:p>
    <w:p>
      <w:pPr>
        <w:jc w:val="center"/>
        <w:ind w:right="40"/>
        <w:spacing w:after="0"/>
        <w:rPr>
          <w:sz w:val="20"/>
          <w:szCs w:val="20"/>
          <w:color w:val="auto"/>
        </w:rPr>
      </w:pP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wp:posOffset>
            </wp:positionV>
            <wp:extent cx="5314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ind w:left="280" w:hanging="245"/>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739,722</w:t>
      </w:r>
    </w:p>
    <w:p>
      <w:pPr>
        <w:spacing w:after="0" w:line="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7"/>
          <w:szCs w:val="17"/>
          <w:color w:val="auto"/>
        </w:rPr>
        <w:t>(684)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5314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 w:lineRule="exact"/>
        <w:rPr>
          <w:sz w:val="20"/>
          <w:szCs w:val="20"/>
          <w:color w:val="auto"/>
        </w:rPr>
      </w:pPr>
    </w:p>
    <w:p>
      <w:pPr>
        <w:ind w:left="40"/>
        <w:spacing w:after="0"/>
        <w:tabs>
          <w:tab w:leader="none" w:pos="26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738,747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5314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(Compiled)</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December 31,</w:t>
      </w:r>
    </w:p>
    <w:p>
      <w:pPr>
        <w:jc w:val="center"/>
        <w:ind w:right="60"/>
        <w:spacing w:after="0"/>
        <w:rPr>
          <w:sz w:val="20"/>
          <w:szCs w:val="20"/>
          <w:color w:val="auto"/>
        </w:rPr>
      </w:pP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486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160" w:hanging="152"/>
        <w:spacing w:after="0"/>
        <w:tabs>
          <w:tab w:leader="none" w:pos="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1,687,851</w:t>
      </w:r>
    </w:p>
    <w:p>
      <w:pPr>
        <w:spacing w:after="0" w:line="19"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(598)</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486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$ 1,685,824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5486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ectPr>
          <w:pgSz w:w="11900" w:h="16838" w:orient="portrait"/>
          <w:cols w:equalWidth="0" w:num="2">
            <w:col w:w="9720" w:space="720"/>
            <w:col w:w="94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the Year)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Face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2"/>
                <w:szCs w:val="12"/>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or shares</w:t>
            </w:r>
          </w:p>
        </w:tc>
        <w:tc>
          <w:tcPr>
            <w:tcW w:w="3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Barclays Global Investors</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4,578</w:t>
            </w:r>
          </w:p>
        </w:tc>
        <w:tc>
          <w:tcPr>
            <w:tcW w:w="104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Artisan Mid Cap Fund</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447</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JPM Mid Cap Value*</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STI ClassicsSmall Cap Growth Stock Fund</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Fidelity Diversified International Fund</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3,336</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Growth Fund of America</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9,503</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258,777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ICM Small Company</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1,644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Vanguard Institutional Index</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American Century Large Company Value Fund</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58,967</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15,943</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699,374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1,296,956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$ 699,374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2,242,381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77" w:lineRule="exact"/>
        <w:rPr>
          <w:sz w:val="20"/>
          <w:szCs w:val="20"/>
          <w:color w:val="auto"/>
        </w:rPr>
      </w:pPr>
    </w:p>
    <w:p>
      <w:pPr>
        <w:ind w:right="6060" w:firstLine="8"/>
        <w:spacing w:after="0" w:line="537" w:lineRule="auto"/>
        <w:tabs>
          <w:tab w:leader="none" w:pos="297"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Party-in-interest, participant and nonparticipant directed investment See accompanying independent registered public accounting firm’s report.</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The Toro Company Profit-Sharing Plan for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Plymouth Union Employees</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Dated August 10, 2005</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Wolfe</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P. Wolfe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Vice President — Finance, Treasurer and Chief Financial</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Officer of The Toro Company</w:t>
            </w:r>
          </w:p>
        </w:tc>
      </w:tr>
    </w:tbl>
    <w:p>
      <w:pPr>
        <w:sectPr>
          <w:pgSz w:w="11900" w:h="16838" w:orient="portrait"/>
          <w:cols w:equalWidth="0" w:num="1">
            <w:col w:w="11000"/>
          </w:cols>
          <w:pgMar w:left="240" w:top="419" w:right="6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0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consent to incorporation by reference in the Registration Statement (No. 333-119506) on Form S-8 of The Toro Company, of our report dated August 3, 2005, relating to the statement of net assets available for benefits of The Toro Company Profit-Sharing Plan for Plymouth Union Employees as of December 31, 2004, the related statement of changes in net assets available for benefits for the year then ended, and the related supplemental schedule as of December 31, 2004, which report appears in the December 31, 2004 annual report on Form 11-K of The Toro Company Profit-Sharing Plan for Plymouth Union Employees.</w:t>
      </w:r>
    </w:p>
    <w:p>
      <w:pPr>
        <w:spacing w:after="0" w:line="200" w:lineRule="exact"/>
        <w:rPr>
          <w:sz w:val="20"/>
          <w:szCs w:val="20"/>
          <w:color w:val="auto"/>
        </w:rPr>
      </w:pPr>
    </w:p>
    <w:p>
      <w:pPr>
        <w:spacing w:after="0" w:line="20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10, 2005</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1."/>
      <w:numFmt w:val="upperLetter"/>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lvl w:ilvl="1">
      <w:lvlJc w:val="left"/>
      <w:lvlText w:val="(%2)"/>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3"/>
    </w:lvl>
  </w:abstractNum>
  <w:abstractNum w:abstractNumId="8">
    <w:nsid w:val="1190CDE7"/>
    <w:multiLevelType w:val="hybridMultilevel"/>
    <w:lvl w:ilvl="0">
      <w:lvlJc w:val="left"/>
      <w:lvlText w:val="(%1)"/>
      <w:numFmt w:val="lowerLetter"/>
      <w:start w:val="3"/>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2019-12-13T13:50:23Z</dcterms:created>
  <dcterms:modified xsi:type="dcterms:W3CDTF">2019-12-13T13:50:23Z</dcterms:modified>
</cp:coreProperties>
</file>