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40"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(Rule 14a-101)</w:t>
      </w:r>
    </w:p>
    <w:p>
      <w:pPr>
        <w:spacing w:after="0" w:line="126" w:lineRule="exact"/>
        <w:rPr>
          <w:sz w:val="24"/>
          <w:szCs w:val="24"/>
          <w:color w:val="auto"/>
        </w:rPr>
      </w:pPr>
    </w:p>
    <w:p>
      <w:pPr>
        <w:ind w:left="3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6"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Securities Exchange Act of 1934</w:t>
      </w:r>
    </w:p>
    <w:p>
      <w:pPr>
        <w:spacing w:after="0" w:line="112" w:lineRule="exact"/>
        <w:rPr>
          <w:sz w:val="24"/>
          <w:szCs w:val="24"/>
          <w:color w:val="auto"/>
        </w:rPr>
      </w:pPr>
    </w:p>
    <w:p>
      <w:pPr>
        <w:ind w:left="20"/>
        <w:spacing w:after="0" w:line="207" w:lineRule="exact"/>
        <w:tabs>
          <w:tab w:leader="none" w:pos="34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7"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3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Toro Company</w:t>
      </w:r>
    </w:p>
    <w:p>
      <w:pPr>
        <w:spacing w:after="0" w:line="58"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49" w:lineRule="exact"/>
        <w:rPr>
          <w:rFonts w:ascii="Arial" w:cs="Arial" w:eastAsia="Arial" w:hAnsi="Arial"/>
          <w:sz w:val="18"/>
          <w:szCs w:val="18"/>
          <w:color w:val="auto"/>
        </w:rPr>
      </w:pPr>
    </w:p>
    <w:p>
      <w:pPr>
        <w:ind w:left="900" w:hanging="447"/>
        <w:spacing w:after="0" w:line="246"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4"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49" w:lineRule="exact"/>
        <w:rPr>
          <w:rFonts w:ascii="Arial" w:cs="Arial" w:eastAsia="Arial" w:hAnsi="Arial"/>
          <w:sz w:val="18"/>
          <w:szCs w:val="18"/>
          <w:color w:val="auto"/>
        </w:rPr>
      </w:pPr>
    </w:p>
    <w:p>
      <w:pPr>
        <w:ind w:left="880" w:hanging="427"/>
        <w:spacing w:after="0"/>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MS PGothic" w:cs="MS PGothic" w:eastAsia="MS PGothic" w:hAnsi="MS PGothic"/>
          <w:sz w:val="18"/>
          <w:szCs w:val="18"/>
          <w:color w:val="auto"/>
        </w:rPr>
      </w:pPr>
    </w:p>
    <w:p>
      <w:pPr>
        <w:ind w:left="460" w:right="60" w:hanging="452"/>
        <w:spacing w:after="0" w:line="274"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0" w:lineRule="exact"/>
        <w:rPr>
          <w:rFonts w:ascii="MS PGothic" w:cs="MS PGothic" w:eastAsia="MS PGothic" w:hAnsi="MS PGothic"/>
          <w:sz w:val="17"/>
          <w:szCs w:val="17"/>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-2145030</wp:posOffset>
            </wp:positionV>
            <wp:extent cx="6875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-1981835</wp:posOffset>
            </wp:positionV>
            <wp:extent cx="68751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-1690370</wp:posOffset>
            </wp:positionV>
            <wp:extent cx="6875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-1527810</wp:posOffset>
            </wp:positionV>
            <wp:extent cx="6875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-1364615</wp:posOffset>
            </wp:positionV>
            <wp:extent cx="6875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-499110</wp:posOffset>
            </wp:positionV>
            <wp:extent cx="6875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-327660</wp:posOffset>
            </wp:positionV>
            <wp:extent cx="6875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-147320</wp:posOffset>
            </wp:positionV>
            <wp:extent cx="6875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57785</wp:posOffset>
            </wp:positionV>
            <wp:extent cx="6875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670560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427" w:right="419" w:bottom="1440" w:gutter="0" w:footer="0" w:header="0"/>
        </w:sectPr>
      </w:pPr>
    </w:p>
    <w:bookmarkStart w:id="1" w:name="page2"/>
    <w:bookmarkEnd w:id="1"/>
    <w:p>
      <w:pPr>
        <w:ind w:right="140" w:firstLine="401"/>
        <w:spacing w:after="0" w:line="273" w:lineRule="auto"/>
        <w:rPr>
          <w:sz w:val="20"/>
          <w:szCs w:val="20"/>
          <w:color w:val="auto"/>
        </w:rPr>
      </w:pPr>
      <w:r>
        <w:rPr>
          <w:rFonts w:ascii="Arial" w:cs="Arial" w:eastAsia="Arial" w:hAnsi="Arial"/>
          <w:sz w:val="17"/>
          <w:szCs w:val="17"/>
          <w:color w:val="auto"/>
        </w:rPr>
        <w:t>On February 2, 2022, The Toro Company filed a definitive proxy statement with the Securities and Exchange Commission, or SEC, relating to its 2022 Annual Meeting of Shareholders to be held on Tuesday, March 15, 2022. The Toro Company is providing this supplement to the proxy statement solely to avoid any potential ambiguity in the proxy statement regarding the voting approval standard for Proposal Four—Approval of The Toro Company 2022 Equity and Incentive Plan. Except as described below, this supplement to the proxy statement does not modify, amend, supplement, or otherwise affect the proxy statement. This supplement should be read in conjunction with the proxy statement. From and after the date of this supplement, any references to the “proxy statement” are to the proxy statement as supplemented hereby.</w:t>
      </w:r>
    </w:p>
    <w:p>
      <w:pPr>
        <w:spacing w:after="0" w:line="70" w:lineRule="exact"/>
        <w:rPr>
          <w:sz w:val="20"/>
          <w:szCs w:val="20"/>
          <w:color w:val="auto"/>
        </w:rPr>
      </w:pPr>
    </w:p>
    <w:p>
      <w:pPr>
        <w:ind w:right="60" w:firstLine="401"/>
        <w:spacing w:after="0" w:line="277" w:lineRule="auto"/>
        <w:rPr>
          <w:sz w:val="20"/>
          <w:szCs w:val="20"/>
          <w:color w:val="auto"/>
        </w:rPr>
      </w:pPr>
      <w:r>
        <w:rPr>
          <w:rFonts w:ascii="Arial" w:cs="Arial" w:eastAsia="Arial" w:hAnsi="Arial"/>
          <w:sz w:val="18"/>
          <w:szCs w:val="18"/>
          <w:color w:val="auto"/>
        </w:rPr>
        <w:t>If you have already voted, you do not need to vote again unless you would like to change or revoke your prior vote on any proposal. If you would like to change or revoke your prior vote on any proposal, please refer to the proxy statement for instructions on how to do so.</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Voting Approval Standard for Proposal Four—Approval of The Toro Company 2022 Equity and Incentive Plan</w:t>
      </w:r>
    </w:p>
    <w:p>
      <w:pPr>
        <w:spacing w:after="0" w:line="116" w:lineRule="exact"/>
        <w:rPr>
          <w:sz w:val="20"/>
          <w:szCs w:val="20"/>
          <w:color w:val="auto"/>
        </w:rPr>
      </w:pPr>
    </w:p>
    <w:p>
      <w:pPr>
        <w:ind w:right="100" w:firstLine="401"/>
        <w:spacing w:after="0" w:line="255" w:lineRule="auto"/>
        <w:rPr>
          <w:sz w:val="20"/>
          <w:szCs w:val="20"/>
          <w:color w:val="auto"/>
        </w:rPr>
      </w:pPr>
      <w:r>
        <w:rPr>
          <w:rFonts w:ascii="Arial" w:cs="Arial" w:eastAsia="Arial" w:hAnsi="Arial"/>
          <w:sz w:val="18"/>
          <w:szCs w:val="18"/>
          <w:color w:val="auto"/>
        </w:rPr>
        <w:t>Section 2.5 of the Amended and Restated Bylaws of The Toro Company provides that, as a general rule and in the absence of a higher minimum vote requirement, the affirmative vote of the holders of a majority in voting power of the shares of stock of the Corporation which are present in person or represented by proxy at the meeting and entitled to vote thereon is required to approve questions presented to the stockholders at the Annual Meeting. Under this voting standard and consistent with Section 312.07 of the NYSE Listed Company Manual, as amended on November 19, 2021, abstentions will be counted as a vote against Proposal Four—Approval of The Toro Company 2022 Equity and Incentive Plan, consistent with the disclosure in the 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Revised Text of the Proxy Statement</w:t>
      </w:r>
    </w:p>
    <w:p>
      <w:pPr>
        <w:spacing w:after="0" w:line="116" w:lineRule="exact"/>
        <w:rPr>
          <w:sz w:val="20"/>
          <w:szCs w:val="20"/>
          <w:color w:val="auto"/>
        </w:rPr>
      </w:pPr>
    </w:p>
    <w:p>
      <w:pPr>
        <w:ind w:right="360" w:firstLine="401"/>
        <w:spacing w:after="0" w:line="277" w:lineRule="auto"/>
        <w:rPr>
          <w:sz w:val="20"/>
          <w:szCs w:val="20"/>
          <w:color w:val="auto"/>
        </w:rPr>
      </w:pPr>
      <w:r>
        <w:rPr>
          <w:rFonts w:ascii="Arial" w:cs="Arial" w:eastAsia="Arial" w:hAnsi="Arial"/>
          <w:sz w:val="18"/>
          <w:szCs w:val="18"/>
          <w:color w:val="auto"/>
        </w:rPr>
        <w:t>The disclosure under the question “How Does the Board Recommend that I Vote and What Vote is Required for Each Proposal?” on page 3 of the proxy statement is replaced in its entirety with the following (revised text is underlined):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Does the Board Recommend that I Vote and What Vote is Required for Each Proposal?</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shd w:val="clear" w:color="auto" w:fill="C00000"/>
          </w:tcPr>
          <w:p>
            <w:pPr>
              <w:spacing w:after="0"/>
              <w:rPr>
                <w:sz w:val="16"/>
                <w:szCs w:val="16"/>
                <w:color w:val="auto"/>
              </w:rPr>
            </w:pPr>
          </w:p>
        </w:tc>
        <w:tc>
          <w:tcPr>
            <w:tcW w:w="2440" w:type="dxa"/>
            <w:vAlign w:val="bottom"/>
            <w:vMerge w:val="restart"/>
            <w:shd w:val="clear" w:color="auto" w:fill="C00000"/>
          </w:tcPr>
          <w:p>
            <w:pPr>
              <w:ind w:left="1000"/>
              <w:spacing w:after="0"/>
              <w:rPr>
                <w:sz w:val="20"/>
                <w:szCs w:val="20"/>
                <w:color w:val="auto"/>
              </w:rPr>
            </w:pPr>
            <w:r>
              <w:rPr>
                <w:rFonts w:ascii="Arial" w:cs="Arial" w:eastAsia="Arial" w:hAnsi="Arial"/>
                <w:sz w:val="14"/>
                <w:szCs w:val="14"/>
                <w:b w:val="1"/>
                <w:bCs w:val="1"/>
                <w:color w:val="FFFFFF"/>
              </w:rPr>
              <w:t>Board</w:t>
            </w:r>
          </w:p>
        </w:tc>
        <w:tc>
          <w:tcPr>
            <w:tcW w:w="1900" w:type="dxa"/>
            <w:vAlign w:val="bottom"/>
            <w:vMerge w:val="restart"/>
            <w:shd w:val="clear" w:color="auto" w:fill="C00000"/>
          </w:tcPr>
          <w:p>
            <w:pPr>
              <w:ind w:left="240"/>
              <w:spacing w:after="0"/>
              <w:rPr>
                <w:sz w:val="20"/>
                <w:szCs w:val="20"/>
                <w:color w:val="auto"/>
              </w:rPr>
            </w:pPr>
            <w:r>
              <w:rPr>
                <w:rFonts w:ascii="Arial" w:cs="Arial" w:eastAsia="Arial" w:hAnsi="Arial"/>
                <w:sz w:val="14"/>
                <w:szCs w:val="14"/>
                <w:b w:val="1"/>
                <w:bCs w:val="1"/>
                <w:color w:val="FFFFFF"/>
              </w:rPr>
              <w:t>Available Voting</w:t>
            </w:r>
          </w:p>
        </w:tc>
        <w:tc>
          <w:tcPr>
            <w:tcW w:w="2140" w:type="dxa"/>
            <w:vAlign w:val="bottom"/>
            <w:vMerge w:val="restart"/>
            <w:shd w:val="clear" w:color="auto" w:fill="C00000"/>
          </w:tcPr>
          <w:p>
            <w:pPr>
              <w:ind w:left="540"/>
              <w:spacing w:after="0"/>
              <w:rPr>
                <w:sz w:val="20"/>
                <w:szCs w:val="20"/>
                <w:color w:val="auto"/>
              </w:rPr>
            </w:pPr>
            <w:r>
              <w:rPr>
                <w:rFonts w:ascii="Arial" w:cs="Arial" w:eastAsia="Arial" w:hAnsi="Arial"/>
                <w:sz w:val="14"/>
                <w:szCs w:val="14"/>
                <w:b w:val="1"/>
                <w:bCs w:val="1"/>
                <w:color w:val="FFFFFF"/>
              </w:rPr>
              <w:t>Voting Approval</w:t>
            </w:r>
          </w:p>
        </w:tc>
        <w:tc>
          <w:tcPr>
            <w:tcW w:w="1600" w:type="dxa"/>
            <w:vAlign w:val="bottom"/>
            <w:shd w:val="clear" w:color="auto" w:fill="C00000"/>
          </w:tcPr>
          <w:p>
            <w:pPr>
              <w:ind w:left="520"/>
              <w:spacing w:after="0"/>
              <w:rPr>
                <w:sz w:val="20"/>
                <w:szCs w:val="20"/>
                <w:color w:val="auto"/>
              </w:rPr>
            </w:pPr>
            <w:r>
              <w:rPr>
                <w:rFonts w:ascii="Arial" w:cs="Arial" w:eastAsia="Arial" w:hAnsi="Arial"/>
                <w:sz w:val="14"/>
                <w:szCs w:val="14"/>
                <w:b w:val="1"/>
                <w:bCs w:val="1"/>
                <w:color w:val="FFFFFF"/>
              </w:rPr>
              <w:t>Effect of</w:t>
            </w:r>
          </w:p>
        </w:tc>
        <w:tc>
          <w:tcPr>
            <w:tcW w:w="1520" w:type="dxa"/>
            <w:vAlign w:val="bottom"/>
            <w:shd w:val="clear" w:color="auto" w:fill="C00000"/>
          </w:tcPr>
          <w:p>
            <w:pPr>
              <w:ind w:left="300"/>
              <w:spacing w:after="0"/>
              <w:rPr>
                <w:sz w:val="20"/>
                <w:szCs w:val="20"/>
                <w:color w:val="auto"/>
              </w:rPr>
            </w:pPr>
            <w:r>
              <w:rPr>
                <w:rFonts w:ascii="Arial" w:cs="Arial" w:eastAsia="Arial" w:hAnsi="Arial"/>
                <w:sz w:val="14"/>
                <w:szCs w:val="14"/>
                <w:b w:val="1"/>
                <w:bCs w:val="1"/>
                <w:color w:val="FFFFFF"/>
              </w:rPr>
              <w:t>Effect of</w:t>
            </w:r>
          </w:p>
        </w:tc>
        <w:tc>
          <w:tcPr>
            <w:tcW w:w="0" w:type="dxa"/>
            <w:vAlign w:val="bottom"/>
          </w:tcPr>
          <w:p>
            <w:pPr>
              <w:spacing w:after="0"/>
              <w:rPr>
                <w:sz w:val="1"/>
                <w:szCs w:val="1"/>
                <w:color w:val="auto"/>
              </w:rPr>
            </w:pPr>
          </w:p>
        </w:tc>
      </w:tr>
      <w:tr>
        <w:trPr>
          <w:trHeight w:val="175"/>
        </w:trPr>
        <w:tc>
          <w:tcPr>
            <w:tcW w:w="1640" w:type="dxa"/>
            <w:vAlign w:val="bottom"/>
            <w:vMerge w:val="restart"/>
            <w:shd w:val="clear" w:color="auto" w:fill="C00000"/>
          </w:tcPr>
          <w:p>
            <w:pPr>
              <w:spacing w:after="0"/>
              <w:rPr>
                <w:sz w:val="20"/>
                <w:szCs w:val="20"/>
                <w:color w:val="auto"/>
              </w:rPr>
            </w:pPr>
            <w:r>
              <w:rPr>
                <w:rFonts w:ascii="Arial" w:cs="Arial" w:eastAsia="Arial" w:hAnsi="Arial"/>
                <w:sz w:val="14"/>
                <w:szCs w:val="14"/>
                <w:b w:val="1"/>
                <w:bCs w:val="1"/>
                <w:color w:val="FFFFFF"/>
              </w:rPr>
              <w:t>Proposal</w:t>
            </w:r>
          </w:p>
        </w:tc>
        <w:tc>
          <w:tcPr>
            <w:tcW w:w="2440" w:type="dxa"/>
            <w:vAlign w:val="bottom"/>
            <w:vMerge w:val="continue"/>
            <w:shd w:val="clear" w:color="auto" w:fill="C00000"/>
          </w:tcPr>
          <w:p>
            <w:pPr>
              <w:spacing w:after="0"/>
              <w:rPr>
                <w:sz w:val="15"/>
                <w:szCs w:val="15"/>
                <w:color w:val="auto"/>
              </w:rPr>
            </w:pPr>
          </w:p>
        </w:tc>
        <w:tc>
          <w:tcPr>
            <w:tcW w:w="1900" w:type="dxa"/>
            <w:vAlign w:val="bottom"/>
            <w:vMerge w:val="continue"/>
            <w:shd w:val="clear" w:color="auto" w:fill="C00000"/>
          </w:tcPr>
          <w:p>
            <w:pPr>
              <w:spacing w:after="0"/>
              <w:rPr>
                <w:sz w:val="15"/>
                <w:szCs w:val="15"/>
                <w:color w:val="auto"/>
              </w:rPr>
            </w:pPr>
          </w:p>
        </w:tc>
        <w:tc>
          <w:tcPr>
            <w:tcW w:w="2140" w:type="dxa"/>
            <w:vAlign w:val="bottom"/>
            <w:vMerge w:val="continue"/>
            <w:shd w:val="clear" w:color="auto" w:fill="C00000"/>
          </w:tcPr>
          <w:p>
            <w:pPr>
              <w:spacing w:after="0"/>
              <w:rPr>
                <w:sz w:val="15"/>
                <w:szCs w:val="15"/>
                <w:color w:val="auto"/>
              </w:rPr>
            </w:pPr>
          </w:p>
        </w:tc>
        <w:tc>
          <w:tcPr>
            <w:tcW w:w="1600" w:type="dxa"/>
            <w:vAlign w:val="bottom"/>
            <w:shd w:val="clear" w:color="auto" w:fill="C00000"/>
          </w:tcPr>
          <w:p>
            <w:pPr>
              <w:ind w:left="520"/>
              <w:spacing w:after="0"/>
              <w:rPr>
                <w:sz w:val="20"/>
                <w:szCs w:val="20"/>
                <w:color w:val="auto"/>
              </w:rPr>
            </w:pPr>
            <w:r>
              <w:rPr>
                <w:rFonts w:ascii="Arial" w:cs="Arial" w:eastAsia="Arial" w:hAnsi="Arial"/>
                <w:sz w:val="14"/>
                <w:szCs w:val="14"/>
                <w:b w:val="1"/>
                <w:bCs w:val="1"/>
                <w:color w:val="FFFFFF"/>
              </w:rPr>
              <w:t>Withhold or</w:t>
            </w:r>
          </w:p>
        </w:tc>
        <w:tc>
          <w:tcPr>
            <w:tcW w:w="1520" w:type="dxa"/>
            <w:vAlign w:val="bottom"/>
            <w:shd w:val="clear" w:color="auto" w:fill="C00000"/>
          </w:tcPr>
          <w:p>
            <w:pPr>
              <w:ind w:left="300"/>
              <w:spacing w:after="0"/>
              <w:rPr>
                <w:sz w:val="20"/>
                <w:szCs w:val="20"/>
                <w:color w:val="auto"/>
              </w:rPr>
            </w:pPr>
            <w:r>
              <w:rPr>
                <w:rFonts w:ascii="Arial" w:cs="Arial" w:eastAsia="Arial" w:hAnsi="Arial"/>
                <w:sz w:val="14"/>
                <w:szCs w:val="14"/>
                <w:b w:val="1"/>
                <w:bCs w:val="1"/>
                <w:color w:val="FFFFFF"/>
              </w:rPr>
              <w:t>Broker Non-</w:t>
            </w:r>
          </w:p>
        </w:tc>
        <w:tc>
          <w:tcPr>
            <w:tcW w:w="0" w:type="dxa"/>
            <w:vAlign w:val="bottom"/>
          </w:tcPr>
          <w:p>
            <w:pPr>
              <w:spacing w:after="0"/>
              <w:rPr>
                <w:sz w:val="1"/>
                <w:szCs w:val="1"/>
                <w:color w:val="auto"/>
              </w:rPr>
            </w:pPr>
          </w:p>
        </w:tc>
      </w:tr>
      <w:tr>
        <w:trPr>
          <w:trHeight w:val="189"/>
        </w:trPr>
        <w:tc>
          <w:tcPr>
            <w:tcW w:w="1640" w:type="dxa"/>
            <w:vAlign w:val="bottom"/>
            <w:vMerge w:val="continue"/>
            <w:shd w:val="clear" w:color="auto" w:fill="C00000"/>
          </w:tcPr>
          <w:p>
            <w:pPr>
              <w:spacing w:after="0"/>
              <w:rPr>
                <w:sz w:val="16"/>
                <w:szCs w:val="16"/>
                <w:color w:val="auto"/>
              </w:rPr>
            </w:pPr>
          </w:p>
        </w:tc>
        <w:tc>
          <w:tcPr>
            <w:tcW w:w="2440" w:type="dxa"/>
            <w:vAlign w:val="bottom"/>
            <w:shd w:val="clear" w:color="auto" w:fill="C00000"/>
          </w:tcPr>
          <w:p>
            <w:pPr>
              <w:ind w:left="1000"/>
              <w:spacing w:after="0"/>
              <w:rPr>
                <w:sz w:val="20"/>
                <w:szCs w:val="20"/>
                <w:color w:val="auto"/>
              </w:rPr>
            </w:pPr>
            <w:r>
              <w:rPr>
                <w:rFonts w:ascii="Arial" w:cs="Arial" w:eastAsia="Arial" w:hAnsi="Arial"/>
                <w:sz w:val="14"/>
                <w:szCs w:val="14"/>
                <w:b w:val="1"/>
                <w:bCs w:val="1"/>
                <w:color w:val="FFFFFF"/>
              </w:rPr>
              <w:t>Recommendation</w:t>
            </w:r>
          </w:p>
        </w:tc>
        <w:tc>
          <w:tcPr>
            <w:tcW w:w="1900" w:type="dxa"/>
            <w:vAlign w:val="bottom"/>
            <w:shd w:val="clear" w:color="auto" w:fill="C00000"/>
          </w:tcPr>
          <w:p>
            <w:pPr>
              <w:ind w:left="240"/>
              <w:spacing w:after="0"/>
              <w:rPr>
                <w:sz w:val="20"/>
                <w:szCs w:val="20"/>
                <w:color w:val="auto"/>
              </w:rPr>
            </w:pPr>
            <w:r>
              <w:rPr>
                <w:rFonts w:ascii="Arial" w:cs="Arial" w:eastAsia="Arial" w:hAnsi="Arial"/>
                <w:sz w:val="14"/>
                <w:szCs w:val="14"/>
                <w:b w:val="1"/>
                <w:bCs w:val="1"/>
                <w:color w:val="FFFFFF"/>
              </w:rPr>
              <w:t>Selections</w:t>
            </w:r>
          </w:p>
        </w:tc>
        <w:tc>
          <w:tcPr>
            <w:tcW w:w="2140" w:type="dxa"/>
            <w:vAlign w:val="bottom"/>
            <w:shd w:val="clear" w:color="auto" w:fill="C00000"/>
          </w:tcPr>
          <w:p>
            <w:pPr>
              <w:ind w:left="540"/>
              <w:spacing w:after="0"/>
              <w:rPr>
                <w:sz w:val="20"/>
                <w:szCs w:val="20"/>
                <w:color w:val="auto"/>
              </w:rPr>
            </w:pPr>
            <w:r>
              <w:rPr>
                <w:rFonts w:ascii="Arial" w:cs="Arial" w:eastAsia="Arial" w:hAnsi="Arial"/>
                <w:sz w:val="14"/>
                <w:szCs w:val="14"/>
                <w:b w:val="1"/>
                <w:bCs w:val="1"/>
                <w:color w:val="FFFFFF"/>
              </w:rPr>
              <w:t>Standard</w:t>
            </w:r>
          </w:p>
        </w:tc>
        <w:tc>
          <w:tcPr>
            <w:tcW w:w="1600" w:type="dxa"/>
            <w:vAlign w:val="bottom"/>
            <w:shd w:val="clear" w:color="auto" w:fill="C00000"/>
          </w:tcPr>
          <w:p>
            <w:pPr>
              <w:ind w:left="520"/>
              <w:spacing w:after="0"/>
              <w:rPr>
                <w:sz w:val="20"/>
                <w:szCs w:val="20"/>
                <w:color w:val="auto"/>
              </w:rPr>
            </w:pPr>
            <w:r>
              <w:rPr>
                <w:rFonts w:ascii="Arial" w:cs="Arial" w:eastAsia="Arial" w:hAnsi="Arial"/>
                <w:sz w:val="14"/>
                <w:szCs w:val="14"/>
                <w:b w:val="1"/>
                <w:bCs w:val="1"/>
                <w:color w:val="FFFFFF"/>
              </w:rPr>
              <w:t>Abstention</w:t>
            </w:r>
          </w:p>
        </w:tc>
        <w:tc>
          <w:tcPr>
            <w:tcW w:w="1520" w:type="dxa"/>
            <w:vAlign w:val="bottom"/>
            <w:shd w:val="clear" w:color="auto" w:fill="C00000"/>
          </w:tcPr>
          <w:p>
            <w:pPr>
              <w:ind w:left="300"/>
              <w:spacing w:after="0"/>
              <w:rPr>
                <w:sz w:val="20"/>
                <w:szCs w:val="20"/>
                <w:color w:val="auto"/>
              </w:rPr>
            </w:pPr>
            <w:r>
              <w:rPr>
                <w:rFonts w:ascii="Arial" w:cs="Arial" w:eastAsia="Arial" w:hAnsi="Arial"/>
                <w:sz w:val="14"/>
                <w:szCs w:val="14"/>
                <w:b w:val="1"/>
                <w:bCs w:val="1"/>
                <w:color w:val="FFFFFF"/>
              </w:rPr>
              <w:t>Vote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557" w:right="319" w:bottom="1440" w:gutter="0" w:footer="0" w:header="0"/>
        </w:sectPr>
      </w:pPr>
    </w:p>
    <w:tbl>
      <w:tblPr>
        <w:tblLayout w:type="fixed"/>
        <w:tblInd w:w="0"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6"/>
                <w:szCs w:val="16"/>
                <w:color w:val="auto"/>
              </w:rPr>
              <w:t>1.</w:t>
            </w:r>
          </w:p>
        </w:tc>
        <w:tc>
          <w:tcPr>
            <w:tcW w:w="2320" w:type="dxa"/>
            <w:vAlign w:val="bottom"/>
          </w:tcPr>
          <w:p>
            <w:pPr>
              <w:ind w:left="80"/>
              <w:spacing w:after="0"/>
              <w:rPr>
                <w:sz w:val="20"/>
                <w:szCs w:val="20"/>
                <w:color w:val="auto"/>
              </w:rPr>
            </w:pPr>
            <w:r>
              <w:rPr>
                <w:rFonts w:ascii="Arial" w:cs="Arial" w:eastAsia="Arial" w:hAnsi="Arial"/>
                <w:sz w:val="16"/>
                <w:szCs w:val="16"/>
                <w:color w:val="auto"/>
              </w:rPr>
              <w:t>Election of six</w:t>
            </w:r>
          </w:p>
        </w:tc>
        <w:tc>
          <w:tcPr>
            <w:tcW w:w="1320" w:type="dxa"/>
            <w:vAlign w:val="bottom"/>
          </w:tcPr>
          <w:p>
            <w:pPr>
              <w:ind w:left="8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all six</w:t>
            </w:r>
          </w:p>
        </w:tc>
        <w:tc>
          <w:tcPr>
            <w:tcW w:w="2460" w:type="dxa"/>
            <w:vAlign w:val="bottom"/>
          </w:tcPr>
          <w:p>
            <w:pPr>
              <w:ind w:left="440"/>
              <w:spacing w:after="0"/>
              <w:rPr>
                <w:sz w:val="20"/>
                <w:szCs w:val="20"/>
                <w:color w:val="auto"/>
              </w:rPr>
            </w:pPr>
            <w:r>
              <w:rPr>
                <w:rFonts w:ascii="Arial" w:cs="Arial" w:eastAsia="Arial" w:hAnsi="Arial"/>
                <w:sz w:val="16"/>
                <w:szCs w:val="16"/>
                <w:color w:val="auto"/>
              </w:rPr>
              <w:t>FOR all nominees;</w:t>
            </w:r>
          </w:p>
        </w:tc>
        <w:tc>
          <w:tcPr>
            <w:tcW w:w="1680" w:type="dxa"/>
            <w:vAlign w:val="bottom"/>
          </w:tcPr>
          <w:p>
            <w:pPr>
              <w:ind w:left="180"/>
              <w:spacing w:after="0"/>
              <w:rPr>
                <w:sz w:val="20"/>
                <w:szCs w:val="20"/>
                <w:color w:val="auto"/>
              </w:rPr>
            </w:pPr>
            <w:r>
              <w:rPr>
                <w:rFonts w:ascii="Arial" w:cs="Arial" w:eastAsia="Arial" w:hAnsi="Arial"/>
                <w:sz w:val="16"/>
                <w:szCs w:val="16"/>
                <w:color w:val="auto"/>
              </w:rPr>
              <w:t>Plurality: the</w:t>
            </w:r>
          </w:p>
        </w:tc>
      </w:tr>
      <w:tr>
        <w:trPr>
          <w:trHeight w:val="211"/>
        </w:trPr>
        <w:tc>
          <w:tcPr>
            <w:tcW w:w="240" w:type="dxa"/>
            <w:vAlign w:val="bottom"/>
          </w:tcPr>
          <w:p>
            <w:pPr>
              <w:spacing w:after="0"/>
              <w:rPr>
                <w:sz w:val="18"/>
                <w:szCs w:val="18"/>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directors</w:t>
            </w:r>
          </w:p>
        </w:tc>
        <w:tc>
          <w:tcPr>
            <w:tcW w:w="1320" w:type="dxa"/>
            <w:vAlign w:val="bottom"/>
          </w:tcPr>
          <w:p>
            <w:pPr>
              <w:ind w:left="80"/>
              <w:spacing w:after="0"/>
              <w:rPr>
                <w:sz w:val="20"/>
                <w:szCs w:val="20"/>
                <w:color w:val="auto"/>
              </w:rPr>
            </w:pPr>
            <w:r>
              <w:rPr>
                <w:rFonts w:ascii="Arial" w:cs="Arial" w:eastAsia="Arial" w:hAnsi="Arial"/>
                <w:sz w:val="16"/>
                <w:szCs w:val="16"/>
                <w:color w:val="auto"/>
              </w:rPr>
              <w:t>nominees</w:t>
            </w:r>
          </w:p>
        </w:tc>
        <w:tc>
          <w:tcPr>
            <w:tcW w:w="2460" w:type="dxa"/>
            <w:vAlign w:val="bottom"/>
          </w:tcPr>
          <w:p>
            <w:pPr>
              <w:ind w:left="440"/>
              <w:spacing w:after="0"/>
              <w:rPr>
                <w:sz w:val="20"/>
                <w:szCs w:val="20"/>
                <w:color w:val="auto"/>
              </w:rPr>
            </w:pPr>
            <w:r>
              <w:rPr>
                <w:rFonts w:ascii="Arial" w:cs="Arial" w:eastAsia="Arial" w:hAnsi="Arial"/>
                <w:sz w:val="16"/>
                <w:szCs w:val="16"/>
                <w:color w:val="auto"/>
              </w:rPr>
              <w:t>WITHHOLD from all</w:t>
            </w:r>
          </w:p>
        </w:tc>
        <w:tc>
          <w:tcPr>
            <w:tcW w:w="1680" w:type="dxa"/>
            <w:vAlign w:val="bottom"/>
          </w:tcPr>
          <w:p>
            <w:pPr>
              <w:ind w:left="180"/>
              <w:spacing w:after="0"/>
              <w:rPr>
                <w:sz w:val="20"/>
                <w:szCs w:val="20"/>
                <w:color w:val="auto"/>
              </w:rPr>
            </w:pPr>
            <w:r>
              <w:rPr>
                <w:rFonts w:ascii="Arial" w:cs="Arial" w:eastAsia="Arial" w:hAnsi="Arial"/>
                <w:sz w:val="16"/>
                <w:szCs w:val="16"/>
                <w:color w:val="auto"/>
              </w:rPr>
              <w:t>individuals who</w:t>
            </w:r>
          </w:p>
        </w:tc>
      </w:tr>
      <w:tr>
        <w:trPr>
          <w:trHeight w:val="197"/>
        </w:trPr>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60" w:type="dxa"/>
            <w:vAlign w:val="bottom"/>
          </w:tcPr>
          <w:p>
            <w:pPr>
              <w:ind w:left="440"/>
              <w:spacing w:after="0"/>
              <w:rPr>
                <w:sz w:val="20"/>
                <w:szCs w:val="20"/>
                <w:color w:val="auto"/>
              </w:rPr>
            </w:pPr>
            <w:r>
              <w:rPr>
                <w:rFonts w:ascii="Arial" w:cs="Arial" w:eastAsia="Arial" w:hAnsi="Arial"/>
                <w:sz w:val="16"/>
                <w:szCs w:val="16"/>
                <w:color w:val="auto"/>
              </w:rPr>
              <w:t>nominees; or WITHHOLD</w:t>
            </w:r>
          </w:p>
        </w:tc>
        <w:tc>
          <w:tcPr>
            <w:tcW w:w="1680" w:type="dxa"/>
            <w:vAlign w:val="bottom"/>
          </w:tcPr>
          <w:p>
            <w:pPr>
              <w:ind w:left="180"/>
              <w:spacing w:after="0"/>
              <w:rPr>
                <w:sz w:val="20"/>
                <w:szCs w:val="20"/>
                <w:color w:val="auto"/>
              </w:rPr>
            </w:pPr>
            <w:r>
              <w:rPr>
                <w:rFonts w:ascii="Arial" w:cs="Arial" w:eastAsia="Arial" w:hAnsi="Arial"/>
                <w:sz w:val="16"/>
                <w:szCs w:val="16"/>
                <w:color w:val="auto"/>
              </w:rPr>
              <w:t>receive the greatest</w:t>
            </w:r>
          </w:p>
        </w:tc>
      </w:tr>
      <w:tr>
        <w:trPr>
          <w:trHeight w:val="203"/>
        </w:trPr>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60" w:type="dxa"/>
            <w:vAlign w:val="bottom"/>
          </w:tcPr>
          <w:p>
            <w:pPr>
              <w:ind w:left="440"/>
              <w:spacing w:after="0"/>
              <w:rPr>
                <w:sz w:val="20"/>
                <w:szCs w:val="20"/>
                <w:color w:val="auto"/>
              </w:rPr>
            </w:pPr>
            <w:r>
              <w:rPr>
                <w:rFonts w:ascii="Arial" w:cs="Arial" w:eastAsia="Arial" w:hAnsi="Arial"/>
                <w:sz w:val="16"/>
                <w:szCs w:val="16"/>
                <w:color w:val="auto"/>
              </w:rPr>
              <w:t>from</w:t>
            </w:r>
          </w:p>
        </w:tc>
        <w:tc>
          <w:tcPr>
            <w:tcW w:w="1680" w:type="dxa"/>
            <w:vAlign w:val="bottom"/>
          </w:tcPr>
          <w:p>
            <w:pPr>
              <w:ind w:left="180"/>
              <w:spacing w:after="0"/>
              <w:rPr>
                <w:sz w:val="20"/>
                <w:szCs w:val="20"/>
                <w:color w:val="auto"/>
              </w:rPr>
            </w:pPr>
            <w:r>
              <w:rPr>
                <w:rFonts w:ascii="Arial" w:cs="Arial" w:eastAsia="Arial" w:hAnsi="Arial"/>
                <w:sz w:val="16"/>
                <w:szCs w:val="16"/>
                <w:color w:val="auto"/>
                <w:w w:val="99"/>
              </w:rPr>
              <w:t>number of votes cast</w:t>
            </w:r>
          </w:p>
        </w:tc>
      </w:tr>
      <w:tr>
        <w:trPr>
          <w:trHeight w:val="222"/>
        </w:trPr>
        <w:tc>
          <w:tcPr>
            <w:tcW w:w="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60" w:type="dxa"/>
            <w:vAlign w:val="bottom"/>
          </w:tcPr>
          <w:p>
            <w:pPr>
              <w:ind w:left="440"/>
              <w:spacing w:after="0"/>
              <w:rPr>
                <w:sz w:val="20"/>
                <w:szCs w:val="20"/>
                <w:color w:val="auto"/>
              </w:rPr>
            </w:pPr>
            <w:r>
              <w:rPr>
                <w:rFonts w:ascii="Arial" w:cs="Arial" w:eastAsia="Arial" w:hAnsi="Arial"/>
                <w:sz w:val="16"/>
                <w:szCs w:val="16"/>
                <w:color w:val="auto"/>
              </w:rPr>
              <w:t>one or more nominees</w:t>
            </w:r>
          </w:p>
        </w:tc>
        <w:tc>
          <w:tcPr>
            <w:tcW w:w="1680" w:type="dxa"/>
            <w:vAlign w:val="bottom"/>
          </w:tcPr>
          <w:p>
            <w:pPr>
              <w:ind w:left="180"/>
              <w:spacing w:after="0"/>
              <w:rPr>
                <w:sz w:val="20"/>
                <w:szCs w:val="20"/>
                <w:color w:val="auto"/>
              </w:rPr>
            </w:pPr>
            <w:r>
              <w:rPr>
                <w:rFonts w:ascii="Arial" w:cs="Arial" w:eastAsia="Arial" w:hAnsi="Arial"/>
                <w:sz w:val="16"/>
                <w:szCs w:val="16"/>
                <w:color w:val="auto"/>
              </w:rPr>
              <w:t>“for” are elected as</w:t>
            </w:r>
          </w:p>
        </w:tc>
      </w:tr>
      <w:tr>
        <w:trPr>
          <w:trHeight w:val="204"/>
        </w:trPr>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80" w:type="dxa"/>
            <w:vAlign w:val="bottom"/>
          </w:tcPr>
          <w:p>
            <w:pPr>
              <w:ind w:left="180"/>
              <w:spacing w:after="0" w:line="204" w:lineRule="exact"/>
              <w:rPr>
                <w:sz w:val="20"/>
                <w:szCs w:val="20"/>
                <w:color w:val="auto"/>
              </w:rPr>
            </w:pPr>
            <w:r>
              <w:rPr>
                <w:rFonts w:ascii="Arial" w:cs="Arial" w:eastAsia="Arial" w:hAnsi="Arial"/>
                <w:sz w:val="14"/>
                <w:szCs w:val="14"/>
                <w:color w:val="auto"/>
              </w:rPr>
              <w:t>directors</w:t>
            </w:r>
            <w:r>
              <w:rPr>
                <w:rFonts w:ascii="Arial" w:cs="Arial" w:eastAsia="Arial" w:hAnsi="Arial"/>
                <w:sz w:val="23"/>
                <w:szCs w:val="23"/>
                <w:color w:val="auto"/>
                <w:vertAlign w:val="superscript"/>
              </w:rPr>
              <w:t>(1)</w:t>
            </w:r>
          </w:p>
        </w:tc>
      </w:tr>
      <w:tr>
        <w:trPr>
          <w:trHeight w:val="215"/>
        </w:trPr>
        <w:tc>
          <w:tcPr>
            <w:tcW w:w="240" w:type="dxa"/>
            <w:vAlign w:val="bottom"/>
          </w:tcPr>
          <w:p>
            <w:pPr>
              <w:spacing w:after="0"/>
              <w:rPr>
                <w:sz w:val="20"/>
                <w:szCs w:val="20"/>
                <w:color w:val="auto"/>
              </w:rPr>
            </w:pPr>
            <w:r>
              <w:rPr>
                <w:rFonts w:ascii="Arial" w:cs="Arial" w:eastAsia="Arial" w:hAnsi="Arial"/>
                <w:sz w:val="16"/>
                <w:szCs w:val="16"/>
                <w:color w:val="auto"/>
              </w:rPr>
              <w:t>2.</w:t>
            </w:r>
          </w:p>
        </w:tc>
        <w:tc>
          <w:tcPr>
            <w:tcW w:w="2320" w:type="dxa"/>
            <w:vAlign w:val="bottom"/>
          </w:tcPr>
          <w:p>
            <w:pPr>
              <w:ind w:left="80"/>
              <w:spacing w:after="0"/>
              <w:rPr>
                <w:sz w:val="20"/>
                <w:szCs w:val="20"/>
                <w:color w:val="auto"/>
              </w:rPr>
            </w:pPr>
            <w:r>
              <w:rPr>
                <w:rFonts w:ascii="Arial" w:cs="Arial" w:eastAsia="Arial" w:hAnsi="Arial"/>
                <w:sz w:val="16"/>
                <w:szCs w:val="16"/>
                <w:color w:val="auto"/>
              </w:rPr>
              <w:t>Ratification of the</w:t>
            </w:r>
          </w:p>
        </w:tc>
        <w:tc>
          <w:tcPr>
            <w:tcW w:w="1320" w:type="dxa"/>
            <w:vAlign w:val="bottom"/>
          </w:tcPr>
          <w:p>
            <w:pPr>
              <w:ind w:left="80"/>
              <w:spacing w:after="0"/>
              <w:rPr>
                <w:sz w:val="20"/>
                <w:szCs w:val="20"/>
                <w:color w:val="auto"/>
              </w:rPr>
            </w:pPr>
            <w:r>
              <w:rPr>
                <w:rFonts w:ascii="Arial" w:cs="Arial" w:eastAsia="Arial" w:hAnsi="Arial"/>
                <w:sz w:val="16"/>
                <w:szCs w:val="16"/>
                <w:b w:val="1"/>
                <w:bCs w:val="1"/>
                <w:color w:val="auto"/>
              </w:rPr>
              <w:t>FOR</w:t>
            </w:r>
          </w:p>
        </w:tc>
        <w:tc>
          <w:tcPr>
            <w:tcW w:w="2460" w:type="dxa"/>
            <w:vAlign w:val="bottom"/>
          </w:tcPr>
          <w:p>
            <w:pPr>
              <w:ind w:left="440"/>
              <w:spacing w:after="0"/>
              <w:rPr>
                <w:sz w:val="20"/>
                <w:szCs w:val="20"/>
                <w:color w:val="auto"/>
              </w:rPr>
            </w:pPr>
            <w:r>
              <w:rPr>
                <w:rFonts w:ascii="Arial" w:cs="Arial" w:eastAsia="Arial" w:hAnsi="Arial"/>
                <w:sz w:val="16"/>
                <w:szCs w:val="16"/>
                <w:color w:val="auto"/>
              </w:rPr>
              <w:t>FOR; AGAINST;</w:t>
            </w:r>
          </w:p>
        </w:tc>
        <w:tc>
          <w:tcPr>
            <w:tcW w:w="1680" w:type="dxa"/>
            <w:vAlign w:val="bottom"/>
          </w:tcPr>
          <w:p>
            <w:pPr>
              <w:ind w:left="180"/>
              <w:spacing w:after="0"/>
              <w:rPr>
                <w:sz w:val="20"/>
                <w:szCs w:val="20"/>
                <w:color w:val="auto"/>
              </w:rPr>
            </w:pPr>
            <w:r>
              <w:rPr>
                <w:rFonts w:ascii="Arial" w:cs="Arial" w:eastAsia="Arial" w:hAnsi="Arial"/>
                <w:sz w:val="16"/>
                <w:szCs w:val="16"/>
                <w:color w:val="auto"/>
              </w:rPr>
              <w:t>Majority of shares</w:t>
            </w:r>
          </w:p>
        </w:tc>
      </w:tr>
      <w:tr>
        <w:trPr>
          <w:trHeight w:val="210"/>
        </w:trPr>
        <w:tc>
          <w:tcPr>
            <w:tcW w:w="240" w:type="dxa"/>
            <w:vAlign w:val="bottom"/>
          </w:tcPr>
          <w:p>
            <w:pPr>
              <w:spacing w:after="0"/>
              <w:rPr>
                <w:sz w:val="18"/>
                <w:szCs w:val="18"/>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selection of KPMG LLP as our</w:t>
            </w:r>
          </w:p>
        </w:tc>
        <w:tc>
          <w:tcPr>
            <w:tcW w:w="1320" w:type="dxa"/>
            <w:vAlign w:val="bottom"/>
          </w:tcPr>
          <w:p>
            <w:pPr>
              <w:spacing w:after="0"/>
              <w:rPr>
                <w:sz w:val="18"/>
                <w:szCs w:val="18"/>
                <w:color w:val="auto"/>
              </w:rPr>
            </w:pPr>
          </w:p>
        </w:tc>
        <w:tc>
          <w:tcPr>
            <w:tcW w:w="2460" w:type="dxa"/>
            <w:vAlign w:val="bottom"/>
          </w:tcPr>
          <w:p>
            <w:pPr>
              <w:ind w:left="440"/>
              <w:spacing w:after="0"/>
              <w:rPr>
                <w:sz w:val="20"/>
                <w:szCs w:val="20"/>
                <w:color w:val="auto"/>
              </w:rPr>
            </w:pPr>
            <w:r>
              <w:rPr>
                <w:rFonts w:ascii="Arial" w:cs="Arial" w:eastAsia="Arial" w:hAnsi="Arial"/>
                <w:sz w:val="16"/>
                <w:szCs w:val="16"/>
                <w:color w:val="auto"/>
              </w:rPr>
              <w:t>or ABSTAIN</w:t>
            </w:r>
          </w:p>
        </w:tc>
        <w:tc>
          <w:tcPr>
            <w:tcW w:w="1680" w:type="dxa"/>
            <w:vAlign w:val="bottom"/>
          </w:tcPr>
          <w:p>
            <w:pPr>
              <w:ind w:left="180"/>
              <w:spacing w:after="0"/>
              <w:rPr>
                <w:sz w:val="20"/>
                <w:szCs w:val="20"/>
                <w:color w:val="auto"/>
              </w:rPr>
            </w:pPr>
            <w:r>
              <w:rPr>
                <w:rFonts w:ascii="Arial" w:cs="Arial" w:eastAsia="Arial" w:hAnsi="Arial"/>
                <w:sz w:val="16"/>
                <w:szCs w:val="16"/>
                <w:color w:val="auto"/>
              </w:rPr>
              <w:t>present and entitled</w:t>
            </w:r>
          </w:p>
        </w:tc>
      </w:tr>
      <w:tr>
        <w:trPr>
          <w:trHeight w:val="203"/>
        </w:trPr>
        <w:tc>
          <w:tcPr>
            <w:tcW w:w="240" w:type="dxa"/>
            <w:vAlign w:val="bottom"/>
          </w:tcPr>
          <w:p>
            <w:pPr>
              <w:spacing w:after="0"/>
              <w:rPr>
                <w:sz w:val="17"/>
                <w:szCs w:val="17"/>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independent</w:t>
            </w:r>
          </w:p>
        </w:tc>
        <w:tc>
          <w:tcPr>
            <w:tcW w:w="1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80" w:type="dxa"/>
            <w:vAlign w:val="bottom"/>
          </w:tcPr>
          <w:p>
            <w:pPr>
              <w:ind w:left="180"/>
              <w:spacing w:after="0"/>
              <w:rPr>
                <w:sz w:val="20"/>
                <w:szCs w:val="20"/>
                <w:color w:val="auto"/>
              </w:rPr>
            </w:pPr>
            <w:r>
              <w:rPr>
                <w:rFonts w:ascii="Arial" w:cs="Arial" w:eastAsia="Arial" w:hAnsi="Arial"/>
                <w:sz w:val="16"/>
                <w:szCs w:val="16"/>
                <w:color w:val="auto"/>
              </w:rPr>
              <w:t>to vote</w:t>
            </w:r>
          </w:p>
        </w:tc>
      </w:tr>
      <w:tr>
        <w:trPr>
          <w:trHeight w:val="195"/>
        </w:trPr>
        <w:tc>
          <w:tcPr>
            <w:tcW w:w="240" w:type="dxa"/>
            <w:vAlign w:val="bottom"/>
          </w:tcPr>
          <w:p>
            <w:pPr>
              <w:spacing w:after="0"/>
              <w:rPr>
                <w:sz w:val="16"/>
                <w:szCs w:val="16"/>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registered public</w:t>
            </w:r>
          </w:p>
        </w:tc>
        <w:tc>
          <w:tcPr>
            <w:tcW w:w="1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7"/>
        </w:trPr>
        <w:tc>
          <w:tcPr>
            <w:tcW w:w="240" w:type="dxa"/>
            <w:vAlign w:val="bottom"/>
          </w:tcPr>
          <w:p>
            <w:pPr>
              <w:spacing w:after="0"/>
              <w:rPr>
                <w:sz w:val="17"/>
                <w:szCs w:val="17"/>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accounting firm for our fiscal</w:t>
            </w:r>
          </w:p>
        </w:tc>
        <w:tc>
          <w:tcPr>
            <w:tcW w:w="1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5"/>
        </w:trPr>
        <w:tc>
          <w:tcPr>
            <w:tcW w:w="240" w:type="dxa"/>
            <w:vAlign w:val="bottom"/>
          </w:tcPr>
          <w:p>
            <w:pPr>
              <w:spacing w:after="0"/>
              <w:rPr>
                <w:sz w:val="16"/>
                <w:szCs w:val="16"/>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year ending</w:t>
            </w:r>
          </w:p>
        </w:tc>
        <w:tc>
          <w:tcPr>
            <w:tcW w:w="1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October 31, 2022</w:t>
            </w:r>
          </w:p>
        </w:tc>
        <w:tc>
          <w:tcPr>
            <w:tcW w:w="1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6"/>
                <w:szCs w:val="16"/>
                <w:color w:val="auto"/>
              </w:rPr>
              <w:t>3.  Approval of, on an</w:t>
            </w:r>
          </w:p>
        </w:tc>
        <w:tc>
          <w:tcPr>
            <w:tcW w:w="1320" w:type="dxa"/>
            <w:vAlign w:val="bottom"/>
          </w:tcPr>
          <w:p>
            <w:pPr>
              <w:ind w:left="80"/>
              <w:spacing w:after="0"/>
              <w:rPr>
                <w:sz w:val="20"/>
                <w:szCs w:val="20"/>
                <w:color w:val="auto"/>
              </w:rPr>
            </w:pPr>
            <w:r>
              <w:rPr>
                <w:rFonts w:ascii="Arial" w:cs="Arial" w:eastAsia="Arial" w:hAnsi="Arial"/>
                <w:sz w:val="16"/>
                <w:szCs w:val="16"/>
                <w:b w:val="1"/>
                <w:bCs w:val="1"/>
                <w:color w:val="auto"/>
              </w:rPr>
              <w:t>FOR</w:t>
            </w:r>
          </w:p>
        </w:tc>
        <w:tc>
          <w:tcPr>
            <w:tcW w:w="2460" w:type="dxa"/>
            <w:vAlign w:val="bottom"/>
          </w:tcPr>
          <w:p>
            <w:pPr>
              <w:ind w:left="440"/>
              <w:spacing w:after="0"/>
              <w:rPr>
                <w:sz w:val="20"/>
                <w:szCs w:val="20"/>
                <w:color w:val="auto"/>
              </w:rPr>
            </w:pPr>
            <w:r>
              <w:rPr>
                <w:rFonts w:ascii="Arial" w:cs="Arial" w:eastAsia="Arial" w:hAnsi="Arial"/>
                <w:sz w:val="16"/>
                <w:szCs w:val="16"/>
                <w:color w:val="auto"/>
              </w:rPr>
              <w:t>FOR; AGAINST;</w:t>
            </w:r>
          </w:p>
        </w:tc>
        <w:tc>
          <w:tcPr>
            <w:tcW w:w="1680" w:type="dxa"/>
            <w:vAlign w:val="bottom"/>
          </w:tcPr>
          <w:p>
            <w:pPr>
              <w:ind w:left="180"/>
              <w:spacing w:after="0"/>
              <w:rPr>
                <w:sz w:val="20"/>
                <w:szCs w:val="20"/>
                <w:color w:val="auto"/>
              </w:rPr>
            </w:pPr>
            <w:r>
              <w:rPr>
                <w:rFonts w:ascii="Arial" w:cs="Arial" w:eastAsia="Arial" w:hAnsi="Arial"/>
                <w:sz w:val="16"/>
                <w:szCs w:val="16"/>
                <w:color w:val="auto"/>
              </w:rPr>
              <w:t>Majority of shares</w:t>
            </w:r>
          </w:p>
        </w:tc>
      </w:tr>
      <w:tr>
        <w:trPr>
          <w:trHeight w:val="216"/>
        </w:trPr>
        <w:tc>
          <w:tcPr>
            <w:tcW w:w="240" w:type="dxa"/>
            <w:vAlign w:val="bottom"/>
          </w:tcPr>
          <w:p>
            <w:pPr>
              <w:spacing w:after="0"/>
              <w:rPr>
                <w:sz w:val="18"/>
                <w:szCs w:val="18"/>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advisory basis, our</w:t>
            </w:r>
          </w:p>
        </w:tc>
        <w:tc>
          <w:tcPr>
            <w:tcW w:w="1320" w:type="dxa"/>
            <w:vAlign w:val="bottom"/>
          </w:tcPr>
          <w:p>
            <w:pPr>
              <w:spacing w:after="0"/>
              <w:rPr>
                <w:sz w:val="18"/>
                <w:szCs w:val="18"/>
                <w:color w:val="auto"/>
              </w:rPr>
            </w:pPr>
          </w:p>
        </w:tc>
        <w:tc>
          <w:tcPr>
            <w:tcW w:w="2460" w:type="dxa"/>
            <w:vAlign w:val="bottom"/>
          </w:tcPr>
          <w:p>
            <w:pPr>
              <w:ind w:left="440"/>
              <w:spacing w:after="0"/>
              <w:rPr>
                <w:sz w:val="20"/>
                <w:szCs w:val="20"/>
                <w:color w:val="auto"/>
              </w:rPr>
            </w:pPr>
            <w:r>
              <w:rPr>
                <w:rFonts w:ascii="Arial" w:cs="Arial" w:eastAsia="Arial" w:hAnsi="Arial"/>
                <w:sz w:val="16"/>
                <w:szCs w:val="16"/>
                <w:color w:val="auto"/>
              </w:rPr>
              <w:t>or ABSTAIN</w:t>
            </w:r>
          </w:p>
        </w:tc>
        <w:tc>
          <w:tcPr>
            <w:tcW w:w="1680" w:type="dxa"/>
            <w:vAlign w:val="bottom"/>
          </w:tcPr>
          <w:p>
            <w:pPr>
              <w:ind w:left="180"/>
              <w:spacing w:after="0"/>
              <w:rPr>
                <w:sz w:val="20"/>
                <w:szCs w:val="20"/>
                <w:color w:val="auto"/>
              </w:rPr>
            </w:pPr>
            <w:r>
              <w:rPr>
                <w:rFonts w:ascii="Arial" w:cs="Arial" w:eastAsia="Arial" w:hAnsi="Arial"/>
                <w:sz w:val="16"/>
                <w:szCs w:val="16"/>
                <w:color w:val="auto"/>
              </w:rPr>
              <w:t>present and entitled</w:t>
            </w:r>
          </w:p>
        </w:tc>
      </w:tr>
      <w:tr>
        <w:trPr>
          <w:trHeight w:val="203"/>
        </w:trPr>
        <w:tc>
          <w:tcPr>
            <w:tcW w:w="240" w:type="dxa"/>
            <w:vAlign w:val="bottom"/>
          </w:tcPr>
          <w:p>
            <w:pPr>
              <w:spacing w:after="0"/>
              <w:rPr>
                <w:sz w:val="17"/>
                <w:szCs w:val="17"/>
                <w:color w:val="auto"/>
              </w:rPr>
            </w:pPr>
          </w:p>
        </w:tc>
        <w:tc>
          <w:tcPr>
            <w:tcW w:w="2320" w:type="dxa"/>
            <w:vAlign w:val="bottom"/>
          </w:tcPr>
          <w:p>
            <w:pPr>
              <w:ind w:left="100"/>
              <w:spacing w:after="0"/>
              <w:rPr>
                <w:sz w:val="20"/>
                <w:szCs w:val="20"/>
                <w:color w:val="auto"/>
              </w:rPr>
            </w:pPr>
            <w:r>
              <w:rPr>
                <w:rFonts w:ascii="Arial" w:cs="Arial" w:eastAsia="Arial" w:hAnsi="Arial"/>
                <w:sz w:val="16"/>
                <w:szCs w:val="16"/>
                <w:color w:val="auto"/>
              </w:rPr>
              <w:t>executive</w:t>
            </w:r>
          </w:p>
        </w:tc>
        <w:tc>
          <w:tcPr>
            <w:tcW w:w="1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80" w:type="dxa"/>
            <w:vAlign w:val="bottom"/>
          </w:tcPr>
          <w:p>
            <w:pPr>
              <w:ind w:left="180"/>
              <w:spacing w:after="0"/>
              <w:rPr>
                <w:sz w:val="20"/>
                <w:szCs w:val="20"/>
                <w:color w:val="auto"/>
              </w:rPr>
            </w:pPr>
            <w:r>
              <w:rPr>
                <w:rFonts w:ascii="Arial" w:cs="Arial" w:eastAsia="Arial" w:hAnsi="Arial"/>
                <w:sz w:val="16"/>
                <w:szCs w:val="16"/>
                <w:color w:val="auto"/>
              </w:rPr>
              <w:t>to vote</w:t>
            </w:r>
          </w:p>
        </w:tc>
      </w:tr>
      <w:tr>
        <w:trPr>
          <w:trHeight w:val="220"/>
        </w:trPr>
        <w:tc>
          <w:tcPr>
            <w:tcW w:w="240" w:type="dxa"/>
            <w:vAlign w:val="bottom"/>
          </w:tcPr>
          <w:p>
            <w:pPr>
              <w:spacing w:after="0"/>
              <w:rPr>
                <w:sz w:val="19"/>
                <w:szCs w:val="19"/>
                <w:color w:val="auto"/>
              </w:rPr>
            </w:pPr>
          </w:p>
        </w:tc>
        <w:tc>
          <w:tcPr>
            <w:tcW w:w="2320" w:type="dxa"/>
            <w:vAlign w:val="bottom"/>
          </w:tcPr>
          <w:p>
            <w:pPr>
              <w:ind w:left="100"/>
              <w:spacing w:after="0" w:line="220" w:lineRule="exact"/>
              <w:rPr>
                <w:sz w:val="20"/>
                <w:szCs w:val="20"/>
                <w:color w:val="auto"/>
              </w:rPr>
            </w:pPr>
            <w:r>
              <w:rPr>
                <w:rFonts w:ascii="Arial" w:cs="Arial" w:eastAsia="Arial" w:hAnsi="Arial"/>
                <w:sz w:val="15"/>
                <w:szCs w:val="15"/>
                <w:color w:val="auto"/>
              </w:rPr>
              <w:t>compensation</w:t>
            </w:r>
            <w:r>
              <w:rPr>
                <w:rFonts w:ascii="Arial" w:cs="Arial" w:eastAsia="Arial" w:hAnsi="Arial"/>
                <w:sz w:val="25"/>
                <w:szCs w:val="25"/>
                <w:color w:val="auto"/>
                <w:vertAlign w:val="superscript"/>
              </w:rPr>
              <w:t>(2)</w:t>
            </w:r>
          </w:p>
        </w:tc>
        <w:tc>
          <w:tcPr>
            <w:tcW w:w="1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-1446530</wp:posOffset>
            </wp:positionV>
            <wp:extent cx="7132320" cy="908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0"/>
        <w:spacing w:after="0" w:line="260" w:lineRule="auto"/>
        <w:rPr>
          <w:sz w:val="20"/>
          <w:szCs w:val="20"/>
          <w:color w:val="auto"/>
        </w:rPr>
      </w:pPr>
      <w:r>
        <w:rPr>
          <w:rFonts w:ascii="Arial" w:cs="Arial" w:eastAsia="Arial" w:hAnsi="Arial"/>
          <w:sz w:val="16"/>
          <w:szCs w:val="16"/>
          <w:color w:val="auto"/>
        </w:rPr>
        <w:t>Counted as a vote No effect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Counted as a vote Not</w:t>
      </w:r>
    </w:p>
    <w:p>
      <w:pPr>
        <w:spacing w:after="0" w:line="5" w:lineRule="exact"/>
        <w:rPr>
          <w:sz w:val="20"/>
          <w:szCs w:val="20"/>
          <w:color w:val="auto"/>
        </w:rPr>
      </w:pPr>
    </w:p>
    <w:p>
      <w:pPr>
        <w:spacing w:after="0"/>
        <w:tabs>
          <w:tab w:leader="none" w:pos="1360" w:val="left"/>
        </w:tabs>
        <w:rPr>
          <w:sz w:val="20"/>
          <w:szCs w:val="20"/>
          <w:color w:val="auto"/>
        </w:rPr>
      </w:pPr>
      <w:r>
        <w:rPr>
          <w:rFonts w:ascii="Arial" w:cs="Arial" w:eastAsia="Arial" w:hAnsi="Arial"/>
          <w:sz w:val="16"/>
          <w:szCs w:val="16"/>
          <w:color w:val="auto"/>
        </w:rPr>
        <w:t>against</w:t>
      </w:r>
      <w:r>
        <w:rPr>
          <w:sz w:val="20"/>
          <w:szCs w:val="20"/>
          <w:color w:val="auto"/>
        </w:rPr>
        <w:tab/>
      </w:r>
      <w:r>
        <w:rPr>
          <w:rFonts w:ascii="Arial" w:cs="Arial" w:eastAsia="Arial" w:hAnsi="Arial"/>
          <w:sz w:val="16"/>
          <w:szCs w:val="16"/>
          <w:color w:val="auto"/>
        </w:rPr>
        <w:t>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Counted as a vote No effect against</w:t>
      </w:r>
    </w:p>
    <w:p>
      <w:pPr>
        <w:spacing w:after="0" w:line="435" w:lineRule="exact"/>
        <w:rPr>
          <w:sz w:val="20"/>
          <w:szCs w:val="20"/>
          <w:color w:val="auto"/>
        </w:rPr>
      </w:pPr>
    </w:p>
    <w:p>
      <w:pPr>
        <w:sectPr>
          <w:pgSz w:w="11900" w:h="16838" w:orient="portrait"/>
          <w:cols w:equalWidth="0" w:num="2">
            <w:col w:w="8020" w:space="620"/>
            <w:col w:w="2620"/>
          </w:cols>
          <w:pgMar w:left="320" w:top="557" w:right="31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3760" w:type="dxa"/>
            <w:vAlign w:val="bottom"/>
            <w:shd w:val="clear" w:color="auto" w:fill="D9D9D9"/>
          </w:tcPr>
          <w:p>
            <w:pPr>
              <w:spacing w:after="0" w:line="178" w:lineRule="exact"/>
              <w:rPr>
                <w:sz w:val="20"/>
                <w:szCs w:val="20"/>
                <w:color w:val="auto"/>
              </w:rPr>
            </w:pPr>
            <w:r>
              <w:rPr>
                <w:rFonts w:ascii="Arial" w:cs="Arial" w:eastAsia="Arial" w:hAnsi="Arial"/>
                <w:sz w:val="16"/>
                <w:szCs w:val="16"/>
                <w:color w:val="auto"/>
              </w:rPr>
              <w:t xml:space="preserve">4.  Approval of The Toro Company </w:t>
            </w:r>
            <w:r>
              <w:rPr>
                <w:rFonts w:ascii="Arial" w:cs="Arial" w:eastAsia="Arial" w:hAnsi="Arial"/>
                <w:sz w:val="16"/>
                <w:szCs w:val="16"/>
                <w:b w:val="1"/>
                <w:bCs w:val="1"/>
                <w:color w:val="auto"/>
              </w:rPr>
              <w:t>FOR</w:t>
            </w:r>
          </w:p>
        </w:tc>
        <w:tc>
          <w:tcPr>
            <w:tcW w:w="2760" w:type="dxa"/>
            <w:vAlign w:val="bottom"/>
            <w:shd w:val="clear" w:color="auto" w:fill="D9D9D9"/>
          </w:tcPr>
          <w:p>
            <w:pPr>
              <w:ind w:left="560"/>
              <w:spacing w:after="0" w:line="178" w:lineRule="exact"/>
              <w:rPr>
                <w:sz w:val="20"/>
                <w:szCs w:val="20"/>
                <w:color w:val="auto"/>
              </w:rPr>
            </w:pPr>
            <w:r>
              <w:rPr>
                <w:rFonts w:ascii="Arial" w:cs="Arial" w:eastAsia="Arial" w:hAnsi="Arial"/>
                <w:sz w:val="16"/>
                <w:szCs w:val="16"/>
                <w:color w:val="auto"/>
              </w:rPr>
              <w:t>FOR; AGAINST;</w:t>
            </w:r>
          </w:p>
        </w:tc>
        <w:tc>
          <w:tcPr>
            <w:tcW w:w="1420" w:type="dxa"/>
            <w:vAlign w:val="bottom"/>
            <w:gridSpan w:val="3"/>
            <w:shd w:val="clear" w:color="auto" w:fill="D9D9D9"/>
          </w:tcPr>
          <w:p>
            <w:pPr>
              <w:spacing w:after="0" w:line="178" w:lineRule="exact"/>
              <w:rPr>
                <w:sz w:val="20"/>
                <w:szCs w:val="20"/>
                <w:color w:val="auto"/>
              </w:rPr>
            </w:pPr>
            <w:r>
              <w:rPr>
                <w:rFonts w:ascii="Arial" w:cs="Arial" w:eastAsia="Arial" w:hAnsi="Arial"/>
                <w:sz w:val="16"/>
                <w:szCs w:val="16"/>
                <w:color w:val="auto"/>
              </w:rPr>
              <w:t>Majority of shares</w:t>
            </w:r>
          </w:p>
        </w:tc>
        <w:tc>
          <w:tcPr>
            <w:tcW w:w="3300" w:type="dxa"/>
            <w:vAlign w:val="bottom"/>
            <w:shd w:val="clear" w:color="auto" w:fill="D9D9D9"/>
          </w:tcPr>
          <w:p>
            <w:pPr>
              <w:ind w:left="700"/>
              <w:spacing w:after="0" w:line="178" w:lineRule="exact"/>
              <w:rPr>
                <w:sz w:val="20"/>
                <w:szCs w:val="20"/>
                <w:color w:val="auto"/>
              </w:rPr>
            </w:pPr>
            <w:r>
              <w:rPr>
                <w:rFonts w:ascii="Arial" w:cs="Arial" w:eastAsia="Arial" w:hAnsi="Arial"/>
                <w:sz w:val="16"/>
                <w:szCs w:val="16"/>
                <w:color w:val="auto"/>
              </w:rPr>
              <w:t>Counted as a vote No effect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D9D9D9"/>
          </w:tcPr>
          <w:p>
            <w:pPr>
              <w:ind w:left="340"/>
              <w:spacing w:after="0"/>
              <w:rPr>
                <w:sz w:val="20"/>
                <w:szCs w:val="20"/>
                <w:color w:val="auto"/>
              </w:rPr>
            </w:pPr>
            <w:r>
              <w:rPr>
                <w:rFonts w:ascii="Arial" w:cs="Arial" w:eastAsia="Arial" w:hAnsi="Arial"/>
                <w:sz w:val="16"/>
                <w:szCs w:val="16"/>
                <w:color w:val="auto"/>
              </w:rPr>
              <w:t>2022 Equity and Incentive</w:t>
            </w:r>
          </w:p>
        </w:tc>
        <w:tc>
          <w:tcPr>
            <w:tcW w:w="2760" w:type="dxa"/>
            <w:vAlign w:val="bottom"/>
            <w:shd w:val="clear" w:color="auto" w:fill="D9D9D9"/>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3300" w:type="dxa"/>
            <w:vAlign w:val="bottom"/>
            <w:vMerge w:val="restart"/>
            <w:shd w:val="clear" w:color="auto" w:fill="D9D9D9"/>
          </w:tcPr>
          <w:p>
            <w:pPr>
              <w:ind w:left="700"/>
              <w:spacing w:after="0"/>
              <w:rPr>
                <w:sz w:val="20"/>
                <w:szCs w:val="20"/>
                <w:color w:val="auto"/>
              </w:rPr>
            </w:pPr>
            <w:r>
              <w:rPr>
                <w:rFonts w:ascii="Arial" w:cs="Arial" w:eastAsia="Arial" w:hAnsi="Arial"/>
                <w:sz w:val="16"/>
                <w:szCs w:val="16"/>
                <w:color w:val="auto"/>
              </w:rPr>
              <w:t>against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D9D9D9"/>
            </w:tcBorders>
            <w:vMerge w:val="continue"/>
            <w:shd w:val="clear" w:color="auto" w:fill="D9D9D9"/>
          </w:tcPr>
          <w:p>
            <w:pPr>
              <w:spacing w:after="0"/>
              <w:rPr>
                <w:sz w:val="17"/>
                <w:szCs w:val="17"/>
                <w:color w:val="auto"/>
              </w:rPr>
            </w:pPr>
          </w:p>
        </w:tc>
        <w:tc>
          <w:tcPr>
            <w:tcW w:w="2760" w:type="dxa"/>
            <w:vAlign w:val="bottom"/>
            <w:tcBorders>
              <w:bottom w:val="single" w:sz="8" w:color="D9D9D9"/>
            </w:tcBorders>
            <w:shd w:val="clear" w:color="auto" w:fill="D9D9D9"/>
          </w:tcPr>
          <w:p>
            <w:pPr>
              <w:ind w:left="560"/>
              <w:spacing w:after="0"/>
              <w:rPr>
                <w:sz w:val="20"/>
                <w:szCs w:val="20"/>
                <w:color w:val="auto"/>
              </w:rPr>
            </w:pPr>
            <w:r>
              <w:rPr>
                <w:rFonts w:ascii="Arial" w:cs="Arial" w:eastAsia="Arial" w:hAnsi="Arial"/>
                <w:sz w:val="16"/>
                <w:szCs w:val="16"/>
                <w:color w:val="auto"/>
              </w:rPr>
              <w:t>or ABSTAIN</w:t>
            </w:r>
          </w:p>
        </w:tc>
        <w:tc>
          <w:tcPr>
            <w:tcW w:w="1420" w:type="dxa"/>
            <w:vAlign w:val="bottom"/>
            <w:tcBorders>
              <w:bottom w:val="single" w:sz="8" w:color="auto"/>
            </w:tcBorders>
            <w:gridSpan w:val="3"/>
            <w:shd w:val="clear" w:color="auto" w:fill="D9D9D9"/>
          </w:tcPr>
          <w:p>
            <w:pPr>
              <w:spacing w:after="0"/>
              <w:rPr>
                <w:sz w:val="20"/>
                <w:szCs w:val="20"/>
                <w:color w:val="auto"/>
              </w:rPr>
            </w:pPr>
            <w:r>
              <w:rPr>
                <w:rFonts w:ascii="Arial" w:cs="Arial" w:eastAsia="Arial" w:hAnsi="Arial"/>
                <w:sz w:val="16"/>
                <w:szCs w:val="16"/>
                <w:color w:val="auto"/>
                <w:w w:val="99"/>
              </w:rPr>
              <w:t>present and entitled</w:t>
            </w:r>
          </w:p>
        </w:tc>
        <w:tc>
          <w:tcPr>
            <w:tcW w:w="3300" w:type="dxa"/>
            <w:vAlign w:val="bottom"/>
            <w:tcBorders>
              <w:bottom w:val="single" w:sz="8" w:color="D9D9D9"/>
            </w:tcBorders>
            <w:vMerge w:val="continue"/>
            <w:shd w:val="clear" w:color="auto" w:fill="D9D9D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D9D9D9"/>
          </w:tcPr>
          <w:p>
            <w:pPr>
              <w:ind w:left="340"/>
              <w:spacing w:after="0" w:line="177" w:lineRule="exact"/>
              <w:rPr>
                <w:sz w:val="20"/>
                <w:szCs w:val="20"/>
                <w:color w:val="auto"/>
              </w:rPr>
            </w:pPr>
            <w:r>
              <w:rPr>
                <w:rFonts w:ascii="Arial" w:cs="Arial" w:eastAsia="Arial" w:hAnsi="Arial"/>
                <w:sz w:val="16"/>
                <w:szCs w:val="16"/>
                <w:color w:val="auto"/>
              </w:rPr>
              <w:t>Plan</w:t>
            </w:r>
          </w:p>
        </w:tc>
        <w:tc>
          <w:tcPr>
            <w:tcW w:w="2760" w:type="dxa"/>
            <w:vAlign w:val="bottom"/>
            <w:shd w:val="clear" w:color="auto" w:fill="D9D9D9"/>
          </w:tcPr>
          <w:p>
            <w:pPr>
              <w:spacing w:after="0"/>
              <w:rPr>
                <w:sz w:val="17"/>
                <w:szCs w:val="17"/>
                <w:color w:val="auto"/>
              </w:rPr>
            </w:pPr>
          </w:p>
        </w:tc>
        <w:tc>
          <w:tcPr>
            <w:tcW w:w="1420" w:type="dxa"/>
            <w:vAlign w:val="bottom"/>
            <w:gridSpan w:val="3"/>
            <w:shd w:val="clear" w:color="auto" w:fill="D9D9D9"/>
          </w:tcPr>
          <w:p>
            <w:pPr>
              <w:spacing w:after="0" w:line="183" w:lineRule="exact"/>
              <w:rPr>
                <w:sz w:val="20"/>
                <w:szCs w:val="20"/>
                <w:color w:val="auto"/>
              </w:rPr>
            </w:pPr>
            <w:r>
              <w:rPr>
                <w:rFonts w:ascii="Arial" w:cs="Arial" w:eastAsia="Arial" w:hAnsi="Arial"/>
                <w:sz w:val="16"/>
                <w:szCs w:val="16"/>
                <w:color w:val="auto"/>
              </w:rPr>
              <w:t>to vote</w:t>
            </w:r>
          </w:p>
        </w:tc>
        <w:tc>
          <w:tcPr>
            <w:tcW w:w="3300" w:type="dxa"/>
            <w:vAlign w:val="bottom"/>
            <w:shd w:val="clear" w:color="auto" w:fill="D9D9D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760" w:type="dxa"/>
            <w:vAlign w:val="bottom"/>
            <w:tcBorders>
              <w:top w:val="single" w:sz="8" w:color="D9D9D9"/>
              <w:bottom w:val="single" w:sz="8" w:color="C00000"/>
            </w:tcBorders>
          </w:tcPr>
          <w:p>
            <w:pPr>
              <w:spacing w:after="0"/>
              <w:rPr>
                <w:sz w:val="8"/>
                <w:szCs w:val="8"/>
                <w:color w:val="auto"/>
              </w:rPr>
            </w:pPr>
          </w:p>
        </w:tc>
        <w:tc>
          <w:tcPr>
            <w:tcW w:w="2760" w:type="dxa"/>
            <w:vAlign w:val="bottom"/>
            <w:tcBorders>
              <w:top w:val="single" w:sz="8" w:color="D9D9D9"/>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780" w:type="dxa"/>
            <w:vAlign w:val="bottom"/>
            <w:tcBorders>
              <w:top w:val="single" w:sz="8" w:color="D9D9D9"/>
            </w:tcBorders>
          </w:tcPr>
          <w:p>
            <w:pPr>
              <w:spacing w:after="0"/>
              <w:rPr>
                <w:sz w:val="8"/>
                <w:szCs w:val="8"/>
                <w:color w:val="auto"/>
              </w:rPr>
            </w:pPr>
          </w:p>
        </w:tc>
        <w:tc>
          <w:tcPr>
            <w:tcW w:w="140" w:type="dxa"/>
            <w:vAlign w:val="bottom"/>
            <w:tcBorders>
              <w:top w:val="single" w:sz="8" w:color="D9D9D9"/>
            </w:tcBorders>
          </w:tcPr>
          <w:p>
            <w:pPr>
              <w:spacing w:after="0"/>
              <w:rPr>
                <w:sz w:val="8"/>
                <w:szCs w:val="8"/>
                <w:color w:val="auto"/>
              </w:rPr>
            </w:pPr>
          </w:p>
        </w:tc>
        <w:tc>
          <w:tcPr>
            <w:tcW w:w="3300" w:type="dxa"/>
            <w:vAlign w:val="bottom"/>
            <w:tcBorders>
              <w:top w:val="single" w:sz="8" w:color="D9D9D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1"/>
        </w:trPr>
        <w:tc>
          <w:tcPr>
            <w:tcW w:w="37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type w:val="continuous"/>
        </w:sectPr>
      </w:pPr>
    </w:p>
    <w:bookmarkStart w:id="2" w:name="page3"/>
    <w:bookmarkEnd w:id="2"/>
    <w:p>
      <w:pPr>
        <w:ind w:left="400" w:hanging="392"/>
        <w:spacing w:after="0" w:line="238"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our Amended and Restated Bylaws, if any nominee for director in an uncontested election as to whom a majority of the votes of the shares present at the virtual meeting or represented by proxy at the annual meeting and entitled to vote on the election of directors are designated to be “withheld” or are voted “against,” that director must tender his or her resignation for consideration by our Nominating &amp; Governance Committee. Our Nominating &amp; Governance Committee then must evaluate the best interests of our Company and shareholders and recommend the action to be taken by the Board with respect to such tendered resignation.</w:t>
      </w:r>
    </w:p>
    <w:p>
      <w:pPr>
        <w:spacing w:after="0" w:line="258" w:lineRule="exact"/>
        <w:rPr>
          <w:rFonts w:ascii="Arial" w:cs="Arial" w:eastAsia="Arial" w:hAnsi="Arial"/>
          <w:sz w:val="18"/>
          <w:szCs w:val="18"/>
          <w:color w:val="auto"/>
        </w:rPr>
      </w:pPr>
    </w:p>
    <w:p>
      <w:pPr>
        <w:ind w:left="400" w:right="500" w:hanging="392"/>
        <w:spacing w:after="0" w:line="235"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6"/>
          <w:szCs w:val="16"/>
          <w:color w:val="auto"/>
        </w:rPr>
        <w:t>While an advisory vote, our Compensation &amp; Human Resources Committee and Board expect to take into account the outcome of the vote when considering future executive compensation.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220345</wp:posOffset>
            </wp:positionV>
            <wp:extent cx="39947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336"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Amy E. Dahl</w:t>
      </w:r>
    </w:p>
    <w:p>
      <w:pPr>
        <w:jc w:val="center"/>
        <w:ind w:left="4940"/>
        <w:spacing w:after="0" w:line="234" w:lineRule="auto"/>
        <w:rPr>
          <w:sz w:val="20"/>
          <w:szCs w:val="20"/>
          <w:color w:val="auto"/>
        </w:rPr>
      </w:pPr>
      <w:r>
        <w:rPr>
          <w:rFonts w:ascii="Arial" w:cs="Arial" w:eastAsia="Arial" w:hAnsi="Arial"/>
          <w:sz w:val="18"/>
          <w:szCs w:val="18"/>
          <w:color w:val="auto"/>
        </w:rPr>
        <w:t>Vice President, Human Resources and General Counsel</w:t>
      </w:r>
    </w:p>
    <w:p>
      <w:pPr>
        <w:spacing w:after="0" w:line="1"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6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2022-02-25T16:27:02Z</dcterms:created>
  <dcterms:modified xsi:type="dcterms:W3CDTF">2022-02-25T16:27:02Z</dcterms:modified>
</cp:coreProperties>
</file>