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6" w:lineRule="exact"/>
        <w:rPr>
          <w:sz w:val="24"/>
          <w:szCs w:val="24"/>
          <w:color w:val="auto"/>
        </w:rPr>
      </w:pPr>
    </w:p>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77247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7724775"/>
                    </a:xfrm>
                    <a:prstGeom prst="rect">
                      <a:avLst/>
                    </a:prstGeom>
                    <a:noFill/>
                  </pic:spPr>
                </pic:pic>
              </a:graphicData>
            </a:graphic>
          </wp:anchor>
        </w:drawing>
      </w:r>
    </w:p>
    <w:p>
      <w:pPr>
        <w:sectPr>
          <w:pgSz w:w="11900" w:h="16874" w:orient="portrait"/>
          <w:cols w:equalWidth="0" w:num="1">
            <w:col w:w="10940"/>
          </w:cols>
          <w:pgMar w:left="480" w:top="236" w:right="479" w:bottom="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Walters Daryn A</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620" w:type="dxa"/>
            <w:vAlign w:val="bottom"/>
            <w:tcBorders>
              <w:top w:val="single" w:sz="8" w:color="0000EE"/>
              <w:bottom w:val="single" w:sz="8" w:color="9A9A9A"/>
            </w:tcBorders>
          </w:tcPr>
          <w:p>
            <w:pPr>
              <w:spacing w:after="0"/>
              <w:rPr>
                <w:sz w:val="16"/>
                <w:szCs w:val="16"/>
                <w:color w:val="auto"/>
              </w:rPr>
            </w:pPr>
          </w:p>
        </w:tc>
        <w:tc>
          <w:tcPr>
            <w:tcW w:w="116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12/14/2021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TORO CO</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TTC</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282" w:lineRule="exact"/>
        <w:rPr>
          <w:sz w:val="24"/>
          <w:szCs w:val="24"/>
          <w:color w:val="auto"/>
        </w:rPr>
      </w:pPr>
    </w:p>
    <w:p>
      <w:pPr>
        <w:sectPr>
          <w:pgSz w:w="11900" w:h="16874" w:orient="portrait"/>
          <w:cols w:equalWidth="0" w:num="2">
            <w:col w:w="4720" w:space="280"/>
            <w:col w:w="5940"/>
          </w:cols>
          <w:pgMar w:left="480" w:top="236" w:right="479" w:bottom="0" w:gutter="0" w:footer="0" w:header="0"/>
          <w:type w:val="continuous"/>
        </w:sectPr>
      </w:pPr>
    </w:p>
    <w:p>
      <w:pPr>
        <w:spacing w:after="0" w:line="16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240" w:type="dxa"/>
            <w:vAlign w:val="bottom"/>
          </w:tcPr>
          <w:p>
            <w:pPr>
              <w:ind w:left="280"/>
              <w:spacing w:after="0"/>
              <w:rPr>
                <w:sz w:val="20"/>
                <w:szCs w:val="20"/>
                <w:color w:val="auto"/>
              </w:rPr>
            </w:pPr>
            <w:r>
              <w:rPr>
                <w:rFonts w:ascii="Arial" w:cs="Arial" w:eastAsia="Arial" w:hAnsi="Arial"/>
                <w:sz w:val="15"/>
                <w:szCs w:val="15"/>
                <w:color w:val="auto"/>
              </w:rPr>
              <w:t>(First)</w:t>
            </w:r>
          </w:p>
        </w:tc>
        <w:tc>
          <w:tcPr>
            <w:tcW w:w="1080" w:type="dxa"/>
            <w:vAlign w:val="bottom"/>
          </w:tcPr>
          <w:p>
            <w:pPr>
              <w:ind w:left="80"/>
              <w:spacing w:after="0"/>
              <w:rPr>
                <w:sz w:val="20"/>
                <w:szCs w:val="20"/>
                <w:color w:val="auto"/>
              </w:rPr>
            </w:pPr>
            <w:r>
              <w:rPr>
                <w:rFonts w:ascii="Arial" w:cs="Arial" w:eastAsia="Arial" w:hAnsi="Arial"/>
                <w:sz w:val="15"/>
                <w:szCs w:val="15"/>
                <w:color w:val="auto"/>
              </w:rPr>
              <w:t>(Middle)</w:t>
            </w:r>
          </w:p>
        </w:tc>
      </w:tr>
      <w:tr>
        <w:trPr>
          <w:trHeight w:val="314"/>
        </w:trPr>
        <w:tc>
          <w:tcPr>
            <w:tcW w:w="2020" w:type="dxa"/>
            <w:vAlign w:val="bottom"/>
            <w:gridSpan w:val="2"/>
          </w:tcPr>
          <w:p>
            <w:pPr>
              <w:ind w:left="40"/>
              <w:spacing w:after="0"/>
              <w:rPr>
                <w:sz w:val="20"/>
                <w:szCs w:val="20"/>
                <w:color w:val="auto"/>
              </w:rPr>
            </w:pPr>
            <w:r>
              <w:rPr>
                <w:rFonts w:ascii="Arial" w:cs="Arial" w:eastAsia="Arial" w:hAnsi="Arial"/>
                <w:sz w:val="20"/>
                <w:szCs w:val="20"/>
                <w:color w:val="0000FF"/>
                <w:w w:val="95"/>
              </w:rPr>
              <w:t>8111 LYNDALE AVE S</w:t>
            </w:r>
          </w:p>
        </w:tc>
        <w:tc>
          <w:tcPr>
            <w:tcW w:w="1080" w:type="dxa"/>
            <w:vAlign w:val="bottom"/>
          </w:tcPr>
          <w:p>
            <w:pPr>
              <w:spacing w:after="0"/>
              <w:rPr>
                <w:sz w:val="24"/>
                <w:szCs w:val="24"/>
                <w:color w:val="auto"/>
              </w:rPr>
            </w:pPr>
          </w:p>
        </w:tc>
      </w:tr>
      <w:tr>
        <w:trPr>
          <w:trHeight w:val="237"/>
        </w:trPr>
        <w:tc>
          <w:tcPr>
            <w:tcW w:w="780" w:type="dxa"/>
            <w:vAlign w:val="bottom"/>
            <w:tcBorders>
              <w:bottom w:val="single" w:sz="8" w:color="9A9A9A"/>
            </w:tcBorders>
          </w:tcPr>
          <w:p>
            <w:pPr>
              <w:spacing w:after="0"/>
              <w:rPr>
                <w:sz w:val="20"/>
                <w:szCs w:val="20"/>
                <w:color w:val="auto"/>
              </w:rPr>
            </w:pPr>
          </w:p>
        </w:tc>
        <w:tc>
          <w:tcPr>
            <w:tcW w:w="1240" w:type="dxa"/>
            <w:vAlign w:val="bottom"/>
            <w:tcBorders>
              <w:bottom w:val="single" w:sz="8" w:color="9A9A9A"/>
            </w:tcBorders>
          </w:tcPr>
          <w:p>
            <w:pPr>
              <w:spacing w:after="0"/>
              <w:rPr>
                <w:sz w:val="20"/>
                <w:szCs w:val="20"/>
                <w:color w:val="auto"/>
              </w:rPr>
            </w:pPr>
          </w:p>
        </w:tc>
        <w:tc>
          <w:tcPr>
            <w:tcW w:w="1080" w:type="dxa"/>
            <w:vAlign w:val="bottom"/>
            <w:tcBorders>
              <w:bottom w:val="single" w:sz="8" w:color="9A9A9A"/>
            </w:tcBorders>
          </w:tcPr>
          <w:p>
            <w:pPr>
              <w:spacing w:after="0"/>
              <w:rPr>
                <w:sz w:val="20"/>
                <w:szCs w:val="20"/>
                <w:color w:val="auto"/>
              </w:rPr>
            </w:pPr>
          </w:p>
        </w:tc>
      </w:tr>
      <w:tr>
        <w:trPr>
          <w:trHeight w:val="299"/>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2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69"/>
        </w:trPr>
        <w:tc>
          <w:tcPr>
            <w:tcW w:w="2020" w:type="dxa"/>
            <w:vAlign w:val="bottom"/>
            <w:gridSpan w:val="2"/>
          </w:tcPr>
          <w:p>
            <w:pPr>
              <w:ind w:left="40"/>
              <w:spacing w:after="0"/>
              <w:rPr>
                <w:sz w:val="20"/>
                <w:szCs w:val="20"/>
                <w:color w:val="auto"/>
              </w:rPr>
            </w:pPr>
            <w:r>
              <w:rPr>
                <w:rFonts w:ascii="Arial" w:cs="Arial" w:eastAsia="Arial" w:hAnsi="Arial"/>
                <w:sz w:val="20"/>
                <w:szCs w:val="20"/>
                <w:color w:val="0000FF"/>
              </w:rPr>
              <w:t>BLOOMINGTON MN</w:t>
            </w:r>
          </w:p>
        </w:tc>
        <w:tc>
          <w:tcPr>
            <w:tcW w:w="1080" w:type="dxa"/>
            <w:vAlign w:val="bottom"/>
          </w:tcPr>
          <w:p>
            <w:pPr>
              <w:jc w:val="right"/>
              <w:ind w:right="237"/>
              <w:spacing w:after="0"/>
              <w:rPr>
                <w:sz w:val="20"/>
                <w:szCs w:val="20"/>
                <w:color w:val="auto"/>
              </w:rPr>
            </w:pPr>
            <w:r>
              <w:rPr>
                <w:rFonts w:ascii="Arial" w:cs="Arial" w:eastAsia="Arial" w:hAnsi="Arial"/>
                <w:sz w:val="20"/>
                <w:szCs w:val="20"/>
                <w:color w:val="0000FF"/>
              </w:rPr>
              <w:t>55420</w:t>
            </w:r>
          </w:p>
        </w:tc>
      </w:tr>
      <w:tr>
        <w:trPr>
          <w:trHeight w:val="177"/>
        </w:trPr>
        <w:tc>
          <w:tcPr>
            <w:tcW w:w="780" w:type="dxa"/>
            <w:vAlign w:val="bottom"/>
            <w:tcBorders>
              <w:bottom w:val="single" w:sz="8" w:color="9A9A9A"/>
            </w:tcBorders>
          </w:tcPr>
          <w:p>
            <w:pPr>
              <w:spacing w:after="0"/>
              <w:rPr>
                <w:sz w:val="15"/>
                <w:szCs w:val="15"/>
                <w:color w:val="auto"/>
              </w:rPr>
            </w:pPr>
          </w:p>
        </w:tc>
        <w:tc>
          <w:tcPr>
            <w:tcW w:w="124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r>
      <w:tr>
        <w:trPr>
          <w:trHeight w:val="344"/>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240" w:type="dxa"/>
            <w:vAlign w:val="bottom"/>
          </w:tcPr>
          <w:p>
            <w:pPr>
              <w:ind w:left="280"/>
              <w:spacing w:after="0"/>
              <w:rPr>
                <w:sz w:val="20"/>
                <w:szCs w:val="20"/>
                <w:color w:val="auto"/>
              </w:rPr>
            </w:pPr>
            <w:r>
              <w:rPr>
                <w:rFonts w:ascii="Arial" w:cs="Arial" w:eastAsia="Arial" w:hAnsi="Arial"/>
                <w:sz w:val="15"/>
                <w:szCs w:val="15"/>
                <w:color w:val="auto"/>
              </w:rPr>
              <w:t>(State)</w:t>
            </w:r>
          </w:p>
        </w:tc>
        <w:tc>
          <w:tcPr>
            <w:tcW w:w="1080" w:type="dxa"/>
            <w:vAlign w:val="bottom"/>
          </w:tcPr>
          <w:p>
            <w:pPr>
              <w:ind w:left="8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Arial" w:cs="Arial" w:eastAsia="Arial" w:hAnsi="Arial"/>
          <w:sz w:val="25"/>
          <w:szCs w:val="25"/>
          <w:color w:val="0000FF"/>
          <w:vertAlign w:val="subscript"/>
        </w:rPr>
        <w:t>X</w:t>
      </w:r>
      <w:r>
        <w:rPr>
          <w:sz w:val="20"/>
          <w:szCs w:val="20"/>
          <w:color w:val="auto"/>
        </w:rPr>
        <w:tab/>
      </w: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44" w:lineRule="exact"/>
        <w:rPr>
          <w:sz w:val="24"/>
          <w:szCs w:val="24"/>
          <w:color w:val="auto"/>
        </w:rPr>
      </w:pPr>
    </w:p>
    <w:p>
      <w:pPr>
        <w:ind w:left="1083"/>
        <w:spacing w:after="0"/>
        <w:rPr>
          <w:sz w:val="20"/>
          <w:szCs w:val="20"/>
          <w:color w:val="auto"/>
        </w:rPr>
      </w:pPr>
      <w:r>
        <w:rPr>
          <w:rFonts w:ascii="Arial" w:cs="Arial" w:eastAsia="Arial" w:hAnsi="Arial"/>
          <w:sz w:val="20"/>
          <w:szCs w:val="20"/>
          <w:color w:val="0000FF"/>
        </w:rPr>
        <w:t>VP, Exmark</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507" w:lineRule="exact"/>
        <w:rPr>
          <w:sz w:val="24"/>
          <w:szCs w:val="24"/>
          <w:color w:val="auto"/>
        </w:rPr>
      </w:pPr>
    </w:p>
    <w:p>
      <w:pPr>
        <w:sectPr>
          <w:pgSz w:w="11900" w:h="16874" w:orient="portrait"/>
          <w:cols w:equalWidth="0" w:num="3">
            <w:col w:w="4277" w:space="720"/>
            <w:col w:w="3003" w:space="269"/>
            <w:col w:w="2671"/>
          </w:cols>
          <w:pgMar w:left="480" w:top="236" w:right="479" w:bottom="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920" w:type="dxa"/>
            <w:vAlign w:val="bottom"/>
          </w:tcPr>
          <w:p>
            <w:pPr>
              <w:ind w:left="20"/>
              <w:spacing w:after="0"/>
              <w:rPr>
                <w:sz w:val="20"/>
                <w:szCs w:val="20"/>
                <w:color w:val="auto"/>
              </w:rPr>
            </w:pPr>
            <w:r>
              <w:rPr>
                <w:rFonts w:ascii="Arial" w:cs="Arial" w:eastAsia="Arial" w:hAnsi="Arial"/>
                <w:sz w:val="15"/>
                <w:szCs w:val="15"/>
                <w:b w:val="1"/>
                <w:bCs w:val="1"/>
                <w:color w:val="auto"/>
              </w:rPr>
              <w:t>2. Amount of Securities</w:t>
            </w:r>
          </w:p>
        </w:tc>
        <w:tc>
          <w:tcPr>
            <w:tcW w:w="1360" w:type="dxa"/>
            <w:vAlign w:val="bottom"/>
            <w:gridSpan w:val="3"/>
          </w:tcPr>
          <w:p>
            <w:pPr>
              <w:ind w:left="18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360" w:type="dxa"/>
            <w:vAlign w:val="bottom"/>
            <w:gridSpan w:val="3"/>
          </w:tcPr>
          <w:p>
            <w:pPr>
              <w:ind w:left="180"/>
              <w:spacing w:after="0" w:line="165" w:lineRule="exact"/>
              <w:rPr>
                <w:sz w:val="20"/>
                <w:szCs w:val="20"/>
                <w:color w:val="auto"/>
              </w:rPr>
            </w:pPr>
            <w:r>
              <w:rPr>
                <w:rFonts w:ascii="Arial" w:cs="Arial" w:eastAsia="Arial" w:hAnsi="Arial"/>
                <w:sz w:val="15"/>
                <w:szCs w:val="15"/>
                <w:b w:val="1"/>
                <w:bCs w:val="1"/>
                <w:color w:val="auto"/>
              </w:rPr>
              <w:t>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4)</w:t>
            </w:r>
          </w:p>
        </w:tc>
        <w:tc>
          <w:tcPr>
            <w:tcW w:w="1360" w:type="dxa"/>
            <w:vAlign w:val="bottom"/>
            <w:gridSpan w:val="3"/>
          </w:tcPr>
          <w:p>
            <w:pPr>
              <w:ind w:left="180"/>
              <w:spacing w:after="0" w:line="165" w:lineRule="exact"/>
              <w:rPr>
                <w:sz w:val="20"/>
                <w:szCs w:val="20"/>
                <w:color w:val="auto"/>
              </w:rPr>
            </w:pPr>
            <w:r>
              <w:rPr>
                <w:rFonts w:ascii="Arial" w:cs="Arial" w:eastAsia="Arial" w:hAnsi="Arial"/>
                <w:sz w:val="15"/>
                <w:szCs w:val="15"/>
                <w:b w:val="1"/>
                <w:bCs w:val="1"/>
                <w:color w:val="auto"/>
              </w:rPr>
              <w:t>(D) or Indirect</w:t>
            </w: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360" w:type="dxa"/>
            <w:vAlign w:val="bottom"/>
            <w:gridSpan w:val="3"/>
          </w:tcPr>
          <w:p>
            <w:pPr>
              <w:ind w:left="180"/>
              <w:spacing w:after="0"/>
              <w:rPr>
                <w:sz w:val="20"/>
                <w:szCs w:val="20"/>
                <w:color w:val="auto"/>
              </w:rPr>
            </w:pPr>
            <w:r>
              <w:rPr>
                <w:rFonts w:ascii="Arial" w:cs="Arial" w:eastAsia="Arial" w:hAnsi="Arial"/>
                <w:sz w:val="15"/>
                <w:szCs w:val="15"/>
                <w:b w:val="1"/>
                <w:bCs w:val="1"/>
                <w:color w:val="auto"/>
              </w:rPr>
              <w:t>(I) (Instr. 5)</w:t>
            </w: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Common Stock</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920" w:type="dxa"/>
            <w:vAlign w:val="bottom"/>
          </w:tcPr>
          <w:p>
            <w:pPr>
              <w:jc w:val="right"/>
              <w:ind w:right="530"/>
              <w:spacing w:after="0"/>
              <w:rPr>
                <w:sz w:val="20"/>
                <w:szCs w:val="20"/>
                <w:color w:val="auto"/>
              </w:rPr>
            </w:pPr>
            <w:r>
              <w:rPr>
                <w:rFonts w:ascii="Arial" w:cs="Arial" w:eastAsia="Arial" w:hAnsi="Arial"/>
                <w:sz w:val="20"/>
                <w:szCs w:val="20"/>
                <w:color w:val="0000FF"/>
              </w:rPr>
              <w:t>991.336</w:t>
            </w:r>
          </w:p>
        </w:tc>
        <w:tc>
          <w:tcPr>
            <w:tcW w:w="780" w:type="dxa"/>
            <w:vAlign w:val="bottom"/>
            <w:gridSpan w:val="2"/>
          </w:tcPr>
          <w:p>
            <w:pPr>
              <w:ind w:left="620"/>
              <w:spacing w:after="0"/>
              <w:rPr>
                <w:sz w:val="20"/>
                <w:szCs w:val="20"/>
                <w:color w:val="auto"/>
              </w:rPr>
            </w:pPr>
            <w:r>
              <w:rPr>
                <w:rFonts w:ascii="Arial" w:cs="Arial" w:eastAsia="Arial" w:hAnsi="Arial"/>
                <w:sz w:val="20"/>
                <w:szCs w:val="20"/>
                <w:color w:val="0000FF"/>
                <w:w w:val="96"/>
              </w:rPr>
              <w:t>D</w:t>
            </w: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9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gridSpan w:val="3"/>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Arial" w:cs="Arial" w:eastAsia="Arial" w:hAnsi="Arial"/>
                <w:sz w:val="20"/>
                <w:szCs w:val="20"/>
                <w:color w:val="0000FF"/>
              </w:rPr>
              <w:t>Common Stock</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920" w:type="dxa"/>
            <w:vAlign w:val="bottom"/>
            <w:vMerge w:val="restart"/>
          </w:tcPr>
          <w:p>
            <w:pPr>
              <w:jc w:val="right"/>
              <w:ind w:right="450"/>
              <w:spacing w:after="0"/>
              <w:rPr>
                <w:sz w:val="20"/>
                <w:szCs w:val="20"/>
                <w:color w:val="auto"/>
              </w:rPr>
            </w:pPr>
            <w:r>
              <w:rPr>
                <w:rFonts w:ascii="Arial" w:cs="Arial" w:eastAsia="Arial" w:hAnsi="Arial"/>
                <w:sz w:val="20"/>
                <w:szCs w:val="20"/>
                <w:color w:val="0000FF"/>
              </w:rPr>
              <w:t>1,968.475</w:t>
            </w:r>
          </w:p>
        </w:tc>
        <w:tc>
          <w:tcPr>
            <w:tcW w:w="780" w:type="dxa"/>
            <w:vAlign w:val="bottom"/>
            <w:gridSpan w:val="2"/>
            <w:vMerge w:val="restart"/>
          </w:tcPr>
          <w:p>
            <w:pPr>
              <w:ind w:left="660"/>
              <w:spacing w:after="0"/>
              <w:rPr>
                <w:sz w:val="20"/>
                <w:szCs w:val="20"/>
                <w:color w:val="auto"/>
              </w:rPr>
            </w:pPr>
            <w:r>
              <w:rPr>
                <w:rFonts w:ascii="Arial" w:cs="Arial" w:eastAsia="Arial" w:hAnsi="Arial"/>
                <w:sz w:val="20"/>
                <w:szCs w:val="20"/>
                <w:color w:val="0000FF"/>
              </w:rPr>
              <w:t>I</w:t>
            </w:r>
          </w:p>
        </w:tc>
        <w:tc>
          <w:tcPr>
            <w:tcW w:w="580" w:type="dxa"/>
            <w:vAlign w:val="bottom"/>
          </w:tcPr>
          <w:p>
            <w:pPr>
              <w:spacing w:after="0"/>
              <w:rPr>
                <w:sz w:val="24"/>
                <w:szCs w:val="24"/>
                <w:color w:val="auto"/>
              </w:rPr>
            </w:pPr>
          </w:p>
        </w:tc>
        <w:tc>
          <w:tcPr>
            <w:tcW w:w="2780" w:type="dxa"/>
            <w:vAlign w:val="bottom"/>
            <w:gridSpan w:val="4"/>
          </w:tcPr>
          <w:p>
            <w:pPr>
              <w:spacing w:after="0"/>
              <w:rPr>
                <w:sz w:val="20"/>
                <w:szCs w:val="20"/>
                <w:color w:val="auto"/>
              </w:rPr>
            </w:pPr>
            <w:r>
              <w:rPr>
                <w:rFonts w:ascii="Arial" w:cs="Arial" w:eastAsia="Arial" w:hAnsi="Arial"/>
                <w:sz w:val="20"/>
                <w:szCs w:val="20"/>
                <w:color w:val="0000FF"/>
              </w:rPr>
              <w:t>The Toro Company Retirement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920" w:type="dxa"/>
            <w:vAlign w:val="bottom"/>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vMerge w:val="restart"/>
          </w:tcPr>
          <w:p>
            <w:pPr>
              <w:spacing w:after="0"/>
              <w:rPr>
                <w:sz w:val="20"/>
                <w:szCs w:val="20"/>
                <w:color w:val="auto"/>
              </w:rPr>
            </w:pPr>
            <w:r>
              <w:rPr>
                <w:rFonts w:ascii="Arial" w:cs="Arial" w:eastAsia="Arial" w:hAnsi="Arial"/>
                <w:sz w:val="20"/>
                <w:szCs w:val="20"/>
                <w:color w:val="0000FF"/>
                <w:w w:val="94"/>
              </w:rPr>
              <w:t>Plan</w:t>
            </w:r>
          </w:p>
        </w:tc>
        <w:tc>
          <w:tcPr>
            <w:tcW w:w="9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9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4460" w:type="dxa"/>
            <w:vAlign w:val="bottom"/>
            <w:tcBorders>
              <w:bottom w:val="single" w:sz="8" w:color="2C2C2C"/>
            </w:tcBorders>
            <w:gridSpan w:val="4"/>
          </w:tcPr>
          <w:p>
            <w:pPr>
              <w:spacing w:after="0"/>
              <w:rPr>
                <w:sz w:val="9"/>
                <w:szCs w:val="9"/>
                <w:color w:val="auto"/>
              </w:rPr>
            </w:pPr>
          </w:p>
        </w:tc>
        <w:tc>
          <w:tcPr>
            <w:tcW w:w="620" w:type="dxa"/>
            <w:vAlign w:val="bottom"/>
            <w:tcBorders>
              <w:bottom w:val="single" w:sz="8" w:color="2C2C2C"/>
            </w:tcBorders>
            <w:gridSpan w:val="2"/>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080" w:type="dxa"/>
            <w:vAlign w:val="bottom"/>
            <w:tcBorders>
              <w:top w:val="single" w:sz="8" w:color="2C2C2C"/>
            </w:tcBorders>
            <w:gridSpan w:val="6"/>
          </w:tcPr>
          <w:p>
            <w:pPr>
              <w:ind w:left="1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400" w:type="dxa"/>
            <w:vAlign w:val="bottom"/>
            <w:tcBorders>
              <w:top w:val="single" w:sz="8" w:color="2C2C2C"/>
            </w:tcBorders>
          </w:tcPr>
          <w:p>
            <w:pPr>
              <w:spacing w:after="0"/>
              <w:rPr>
                <w:sz w:val="22"/>
                <w:szCs w:val="22"/>
                <w:color w:val="auto"/>
              </w:rPr>
            </w:pPr>
          </w:p>
        </w:tc>
        <w:tc>
          <w:tcPr>
            <w:tcW w:w="90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380" w:type="dxa"/>
            <w:vAlign w:val="bottom"/>
            <w:gridSpan w:val="7"/>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4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26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00" w:type="dxa"/>
            <w:vAlign w:val="bottom"/>
          </w:tcPr>
          <w:p>
            <w:pPr>
              <w:spacing w:after="0"/>
              <w:rPr>
                <w:sz w:val="17"/>
                <w:szCs w:val="17"/>
                <w:color w:val="auto"/>
              </w:rPr>
            </w:pPr>
          </w:p>
        </w:tc>
        <w:tc>
          <w:tcPr>
            <w:tcW w:w="180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700" w:type="dxa"/>
            <w:vAlign w:val="bottom"/>
            <w:gridSpan w:val="3"/>
          </w:tcPr>
          <w:p>
            <w:pPr>
              <w:ind w:left="140"/>
              <w:spacing w:after="0"/>
              <w:rPr>
                <w:sz w:val="20"/>
                <w:szCs w:val="20"/>
                <w:color w:val="auto"/>
              </w:rPr>
            </w:pPr>
            <w:r>
              <w:rPr>
                <w:rFonts w:ascii="Arial" w:cs="Arial" w:eastAsia="Arial" w:hAnsi="Arial"/>
                <w:sz w:val="15"/>
                <w:szCs w:val="15"/>
                <w:b w:val="1"/>
                <w:bCs w:val="1"/>
                <w:color w:val="auto"/>
              </w:rPr>
              <w:t>3. Title and Amount of Securities</w:t>
            </w:r>
          </w:p>
        </w:tc>
        <w:tc>
          <w:tcPr>
            <w:tcW w:w="58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400" w:type="dxa"/>
            <w:vAlign w:val="bottom"/>
          </w:tcPr>
          <w:p>
            <w:pPr>
              <w:spacing w:after="0"/>
              <w:rPr>
                <w:sz w:val="17"/>
                <w:szCs w:val="17"/>
                <w:color w:val="auto"/>
              </w:rPr>
            </w:pPr>
          </w:p>
        </w:tc>
        <w:tc>
          <w:tcPr>
            <w:tcW w:w="900" w:type="dxa"/>
            <w:vAlign w:val="bottom"/>
          </w:tcPr>
          <w:p>
            <w:pPr>
              <w:ind w:left="4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00" w:type="dxa"/>
            <w:vAlign w:val="bottom"/>
            <w:gridSpan w:val="3"/>
          </w:tcPr>
          <w:p>
            <w:pPr>
              <w:ind w:left="14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0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9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(Instr. 4)</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0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9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w w:val="98"/>
              </w:rPr>
              <w:t>Price of</w:t>
            </w:r>
          </w:p>
        </w:tc>
        <w:tc>
          <w:tcPr>
            <w:tcW w:w="400" w:type="dxa"/>
            <w:vAlign w:val="bottom"/>
          </w:tcPr>
          <w:p>
            <w:pPr>
              <w:spacing w:after="0"/>
              <w:rPr>
                <w:sz w:val="7"/>
                <w:szCs w:val="7"/>
                <w:color w:val="auto"/>
              </w:rPr>
            </w:pPr>
          </w:p>
        </w:tc>
        <w:tc>
          <w:tcPr>
            <w:tcW w:w="900" w:type="dxa"/>
            <w:vAlign w:val="bottom"/>
            <w:vMerge w:val="restart"/>
          </w:tcPr>
          <w:p>
            <w:pPr>
              <w:ind w:left="4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920" w:type="dxa"/>
            <w:vAlign w:val="bottom"/>
          </w:tcPr>
          <w:p>
            <w:pPr>
              <w:spacing w:after="0"/>
              <w:rPr>
                <w:sz w:val="4"/>
                <w:szCs w:val="4"/>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5"/>
                <w:szCs w:val="15"/>
                <w:b w:val="1"/>
                <w:bCs w:val="1"/>
                <w:color w:val="auto"/>
              </w:rPr>
              <w:t>Amount</w:t>
            </w:r>
          </w:p>
        </w:tc>
        <w:tc>
          <w:tcPr>
            <w:tcW w:w="58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980" w:type="dxa"/>
            <w:vAlign w:val="bottom"/>
            <w:gridSpan w:val="2"/>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00" w:type="dxa"/>
            <w:vAlign w:val="bottom"/>
          </w:tcPr>
          <w:p>
            <w:pPr>
              <w:ind w:left="4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7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0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780" w:type="dxa"/>
            <w:vAlign w:val="bottom"/>
            <w:gridSpan w:val="2"/>
          </w:tcPr>
          <w:p>
            <w:pPr>
              <w:ind w:left="80"/>
              <w:spacing w:after="0" w:line="161" w:lineRule="exact"/>
              <w:rPr>
                <w:sz w:val="20"/>
                <w:szCs w:val="20"/>
                <w:color w:val="auto"/>
              </w:rPr>
            </w:pPr>
            <w:r>
              <w:rPr>
                <w:rFonts w:ascii="Arial" w:cs="Arial" w:eastAsia="Arial" w:hAnsi="Arial"/>
                <w:sz w:val="15"/>
                <w:szCs w:val="15"/>
                <w:b w:val="1"/>
                <w:bCs w:val="1"/>
                <w:color w:val="auto"/>
              </w:rPr>
              <w:t>Number</w:t>
            </w: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2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8"/>
              </w:rPr>
              <w:t>Expiration</w:t>
            </w:r>
          </w:p>
        </w:tc>
        <w:tc>
          <w:tcPr>
            <w:tcW w:w="1920" w:type="dxa"/>
            <w:vAlign w:val="bottom"/>
          </w:tcPr>
          <w:p>
            <w:pPr>
              <w:spacing w:after="0"/>
              <w:rPr>
                <w:sz w:val="14"/>
                <w:szCs w:val="14"/>
                <w:color w:val="auto"/>
              </w:rPr>
            </w:pPr>
          </w:p>
        </w:tc>
        <w:tc>
          <w:tcPr>
            <w:tcW w:w="7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of</w:t>
            </w: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2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920" w:type="dxa"/>
            <w:vAlign w:val="bottom"/>
          </w:tcPr>
          <w:p>
            <w:pPr>
              <w:ind w:left="140"/>
              <w:spacing w:after="0"/>
              <w:rPr>
                <w:sz w:val="20"/>
                <w:szCs w:val="20"/>
                <w:color w:val="auto"/>
              </w:rPr>
            </w:pPr>
            <w:r>
              <w:rPr>
                <w:rFonts w:ascii="Arial" w:cs="Arial" w:eastAsia="Arial" w:hAnsi="Arial"/>
                <w:sz w:val="15"/>
                <w:szCs w:val="15"/>
                <w:b w:val="1"/>
                <w:bCs w:val="1"/>
                <w:color w:val="auto"/>
              </w:rPr>
              <w:t>Title</w:t>
            </w:r>
          </w:p>
        </w:tc>
        <w:tc>
          <w:tcPr>
            <w:tcW w:w="780" w:type="dxa"/>
            <w:vAlign w:val="bottom"/>
            <w:gridSpan w:val="2"/>
          </w:tcPr>
          <w:p>
            <w:pPr>
              <w:ind w:left="80"/>
              <w:spacing w:after="0"/>
              <w:rPr>
                <w:sz w:val="20"/>
                <w:szCs w:val="20"/>
                <w:color w:val="auto"/>
              </w:rPr>
            </w:pPr>
            <w:r>
              <w:rPr>
                <w:rFonts w:ascii="Arial" w:cs="Arial" w:eastAsia="Arial" w:hAnsi="Arial"/>
                <w:sz w:val="15"/>
                <w:szCs w:val="15"/>
                <w:b w:val="1"/>
                <w:bCs w:val="1"/>
                <w:color w:val="auto"/>
              </w:rPr>
              <w:t>Shares</w:t>
            </w: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Non-Qualified Stock Option</w:t>
            </w:r>
          </w:p>
        </w:tc>
        <w:tc>
          <w:tcPr>
            <w:tcW w:w="1280" w:type="dxa"/>
            <w:vAlign w:val="bottom"/>
            <w:gridSpan w:val="2"/>
          </w:tcPr>
          <w:p>
            <w:pPr>
              <w:jc w:val="center"/>
              <w:ind w:left="235"/>
              <w:spacing w:after="0"/>
              <w:rPr>
                <w:sz w:val="20"/>
                <w:szCs w:val="20"/>
                <w:color w:val="auto"/>
              </w:rPr>
            </w:pPr>
            <w:r>
              <w:rPr>
                <w:rFonts w:ascii="Arial" w:cs="Arial" w:eastAsia="Arial" w:hAnsi="Arial"/>
                <w:sz w:val="13"/>
                <w:szCs w:val="13"/>
                <w:color w:val="008000"/>
                <w:w w:val="87"/>
              </w:rPr>
              <w:t>(1)</w:t>
            </w:r>
          </w:p>
        </w:tc>
        <w:tc>
          <w:tcPr>
            <w:tcW w:w="820" w:type="dxa"/>
            <w:vAlign w:val="bottom"/>
          </w:tcPr>
          <w:p>
            <w:pPr>
              <w:ind w:left="120"/>
              <w:spacing w:after="0"/>
              <w:rPr>
                <w:sz w:val="20"/>
                <w:szCs w:val="20"/>
                <w:color w:val="auto"/>
              </w:rPr>
            </w:pPr>
            <w:r>
              <w:rPr>
                <w:rFonts w:ascii="Arial" w:cs="Arial" w:eastAsia="Arial" w:hAnsi="Arial"/>
                <w:sz w:val="15"/>
                <w:szCs w:val="15"/>
                <w:color w:val="0000FF"/>
                <w:w w:val="90"/>
              </w:rPr>
              <w:t>12/11/2022</w:t>
            </w:r>
          </w:p>
        </w:tc>
        <w:tc>
          <w:tcPr>
            <w:tcW w:w="1920" w:type="dxa"/>
            <w:vAlign w:val="bottom"/>
          </w:tcPr>
          <w:p>
            <w:pPr>
              <w:ind w:left="400"/>
              <w:spacing w:after="0"/>
              <w:rPr>
                <w:sz w:val="20"/>
                <w:szCs w:val="20"/>
                <w:color w:val="auto"/>
              </w:rPr>
            </w:pPr>
            <w:r>
              <w:rPr>
                <w:rFonts w:ascii="Arial" w:cs="Arial" w:eastAsia="Arial" w:hAnsi="Arial"/>
                <w:sz w:val="20"/>
                <w:szCs w:val="20"/>
                <w:color w:val="0000FF"/>
              </w:rPr>
              <w:t>Common Stock</w:t>
            </w:r>
          </w:p>
        </w:tc>
        <w:tc>
          <w:tcPr>
            <w:tcW w:w="740" w:type="dxa"/>
            <w:vAlign w:val="bottom"/>
          </w:tcPr>
          <w:p>
            <w:pPr>
              <w:ind w:left="160"/>
              <w:spacing w:after="0"/>
              <w:rPr>
                <w:sz w:val="20"/>
                <w:szCs w:val="20"/>
                <w:color w:val="auto"/>
              </w:rPr>
            </w:pPr>
            <w:r>
              <w:rPr>
                <w:rFonts w:ascii="Arial" w:cs="Arial" w:eastAsia="Arial" w:hAnsi="Arial"/>
                <w:sz w:val="20"/>
                <w:szCs w:val="20"/>
                <w:color w:val="0000FF"/>
              </w:rPr>
              <w:t>1,100</w:t>
            </w:r>
          </w:p>
        </w:tc>
        <w:tc>
          <w:tcPr>
            <w:tcW w:w="40" w:type="dxa"/>
            <w:vAlign w:val="bottom"/>
          </w:tcPr>
          <w:p>
            <w:pPr>
              <w:spacing w:after="0"/>
              <w:rPr>
                <w:sz w:val="24"/>
                <w:szCs w:val="24"/>
                <w:color w:val="auto"/>
              </w:rPr>
            </w:pPr>
          </w:p>
        </w:tc>
        <w:tc>
          <w:tcPr>
            <w:tcW w:w="980" w:type="dxa"/>
            <w:vAlign w:val="bottom"/>
            <w:gridSpan w:val="2"/>
          </w:tcPr>
          <w:p>
            <w:pPr>
              <w:jc w:val="center"/>
              <w:ind w:right="14"/>
              <w:spacing w:after="0"/>
              <w:rPr>
                <w:sz w:val="20"/>
                <w:szCs w:val="20"/>
                <w:color w:val="auto"/>
              </w:rPr>
            </w:pPr>
            <w:r>
              <w:rPr>
                <w:rFonts w:ascii="Arial" w:cs="Arial" w:eastAsia="Arial" w:hAnsi="Arial"/>
                <w:sz w:val="20"/>
                <w:szCs w:val="20"/>
                <w:color w:val="0000FF"/>
                <w:w w:val="87"/>
              </w:rPr>
              <w:t>21.03</w:t>
            </w:r>
          </w:p>
        </w:tc>
        <w:tc>
          <w:tcPr>
            <w:tcW w:w="900" w:type="dxa"/>
            <w:vAlign w:val="bottom"/>
          </w:tcPr>
          <w:p>
            <w:pPr>
              <w:ind w:left="36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9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Non-Qualified Stock Option</w:t>
            </w:r>
          </w:p>
        </w:tc>
        <w:tc>
          <w:tcPr>
            <w:tcW w:w="1280" w:type="dxa"/>
            <w:vAlign w:val="bottom"/>
            <w:gridSpan w:val="2"/>
          </w:tcPr>
          <w:p>
            <w:pPr>
              <w:jc w:val="center"/>
              <w:ind w:left="235"/>
              <w:spacing w:after="0"/>
              <w:rPr>
                <w:sz w:val="20"/>
                <w:szCs w:val="20"/>
                <w:color w:val="auto"/>
              </w:rPr>
            </w:pPr>
            <w:r>
              <w:rPr>
                <w:rFonts w:ascii="Arial" w:cs="Arial" w:eastAsia="Arial" w:hAnsi="Arial"/>
                <w:sz w:val="13"/>
                <w:szCs w:val="13"/>
                <w:color w:val="008000"/>
                <w:w w:val="87"/>
              </w:rPr>
              <w:t>(2)</w:t>
            </w:r>
          </w:p>
        </w:tc>
        <w:tc>
          <w:tcPr>
            <w:tcW w:w="820" w:type="dxa"/>
            <w:vAlign w:val="bottom"/>
          </w:tcPr>
          <w:p>
            <w:pPr>
              <w:ind w:left="100"/>
              <w:spacing w:after="0"/>
              <w:rPr>
                <w:sz w:val="20"/>
                <w:szCs w:val="20"/>
                <w:color w:val="auto"/>
              </w:rPr>
            </w:pPr>
            <w:r>
              <w:rPr>
                <w:rFonts w:ascii="Arial" w:cs="Arial" w:eastAsia="Arial" w:hAnsi="Arial"/>
                <w:sz w:val="15"/>
                <w:szCs w:val="15"/>
                <w:color w:val="0000FF"/>
                <w:w w:val="93"/>
              </w:rPr>
              <w:t>12/05/2024</w:t>
            </w:r>
          </w:p>
        </w:tc>
        <w:tc>
          <w:tcPr>
            <w:tcW w:w="1920" w:type="dxa"/>
            <w:vAlign w:val="bottom"/>
          </w:tcPr>
          <w:p>
            <w:pPr>
              <w:ind w:left="400"/>
              <w:spacing w:after="0"/>
              <w:rPr>
                <w:sz w:val="20"/>
                <w:szCs w:val="20"/>
                <w:color w:val="auto"/>
              </w:rPr>
            </w:pPr>
            <w:r>
              <w:rPr>
                <w:rFonts w:ascii="Arial" w:cs="Arial" w:eastAsia="Arial" w:hAnsi="Arial"/>
                <w:sz w:val="20"/>
                <w:szCs w:val="20"/>
                <w:color w:val="0000FF"/>
              </w:rPr>
              <w:t>Common Stock</w:t>
            </w:r>
          </w:p>
        </w:tc>
        <w:tc>
          <w:tcPr>
            <w:tcW w:w="740" w:type="dxa"/>
            <w:vAlign w:val="bottom"/>
          </w:tcPr>
          <w:p>
            <w:pPr>
              <w:ind w:left="160"/>
              <w:spacing w:after="0"/>
              <w:rPr>
                <w:sz w:val="20"/>
                <w:szCs w:val="20"/>
                <w:color w:val="auto"/>
              </w:rPr>
            </w:pPr>
            <w:r>
              <w:rPr>
                <w:rFonts w:ascii="Arial" w:cs="Arial" w:eastAsia="Arial" w:hAnsi="Arial"/>
                <w:sz w:val="20"/>
                <w:szCs w:val="20"/>
                <w:color w:val="0000FF"/>
              </w:rPr>
              <w:t>1,630</w:t>
            </w:r>
          </w:p>
        </w:tc>
        <w:tc>
          <w:tcPr>
            <w:tcW w:w="40" w:type="dxa"/>
            <w:vAlign w:val="bottom"/>
          </w:tcPr>
          <w:p>
            <w:pPr>
              <w:spacing w:after="0"/>
              <w:rPr>
                <w:sz w:val="24"/>
                <w:szCs w:val="24"/>
                <w:color w:val="auto"/>
              </w:rPr>
            </w:pPr>
          </w:p>
        </w:tc>
        <w:tc>
          <w:tcPr>
            <w:tcW w:w="980" w:type="dxa"/>
            <w:vAlign w:val="bottom"/>
            <w:gridSpan w:val="2"/>
          </w:tcPr>
          <w:p>
            <w:pPr>
              <w:jc w:val="center"/>
              <w:spacing w:after="0"/>
              <w:rPr>
                <w:sz w:val="20"/>
                <w:szCs w:val="20"/>
                <w:color w:val="auto"/>
              </w:rPr>
            </w:pPr>
            <w:r>
              <w:rPr>
                <w:rFonts w:ascii="Arial" w:cs="Arial" w:eastAsia="Arial" w:hAnsi="Arial"/>
                <w:sz w:val="20"/>
                <w:szCs w:val="20"/>
                <w:color w:val="0000FF"/>
                <w:w w:val="88"/>
              </w:rPr>
              <w:t>31.375</w:t>
            </w:r>
          </w:p>
        </w:tc>
        <w:tc>
          <w:tcPr>
            <w:tcW w:w="900" w:type="dxa"/>
            <w:vAlign w:val="bottom"/>
          </w:tcPr>
          <w:p>
            <w:pPr>
              <w:ind w:left="36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9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Non-Qualified Stock Option</w:t>
            </w:r>
          </w:p>
        </w:tc>
        <w:tc>
          <w:tcPr>
            <w:tcW w:w="1280" w:type="dxa"/>
            <w:vAlign w:val="bottom"/>
            <w:gridSpan w:val="2"/>
          </w:tcPr>
          <w:p>
            <w:pPr>
              <w:jc w:val="center"/>
              <w:ind w:left="235"/>
              <w:spacing w:after="0"/>
              <w:rPr>
                <w:sz w:val="20"/>
                <w:szCs w:val="20"/>
                <w:color w:val="auto"/>
              </w:rPr>
            </w:pPr>
            <w:r>
              <w:rPr>
                <w:rFonts w:ascii="Arial" w:cs="Arial" w:eastAsia="Arial" w:hAnsi="Arial"/>
                <w:sz w:val="13"/>
                <w:szCs w:val="13"/>
                <w:color w:val="008000"/>
                <w:w w:val="87"/>
              </w:rPr>
              <w:t>(3)</w:t>
            </w:r>
          </w:p>
        </w:tc>
        <w:tc>
          <w:tcPr>
            <w:tcW w:w="820" w:type="dxa"/>
            <w:vAlign w:val="bottom"/>
          </w:tcPr>
          <w:p>
            <w:pPr>
              <w:ind w:left="100"/>
              <w:spacing w:after="0"/>
              <w:rPr>
                <w:sz w:val="20"/>
                <w:szCs w:val="20"/>
                <w:color w:val="auto"/>
              </w:rPr>
            </w:pPr>
            <w:r>
              <w:rPr>
                <w:rFonts w:ascii="Arial" w:cs="Arial" w:eastAsia="Arial" w:hAnsi="Arial"/>
                <w:sz w:val="15"/>
                <w:szCs w:val="15"/>
                <w:color w:val="0000FF"/>
                <w:w w:val="93"/>
              </w:rPr>
              <w:t>12/05/2024</w:t>
            </w:r>
          </w:p>
        </w:tc>
        <w:tc>
          <w:tcPr>
            <w:tcW w:w="1920" w:type="dxa"/>
            <w:vAlign w:val="bottom"/>
          </w:tcPr>
          <w:p>
            <w:pPr>
              <w:ind w:left="400"/>
              <w:spacing w:after="0"/>
              <w:rPr>
                <w:sz w:val="20"/>
                <w:szCs w:val="20"/>
                <w:color w:val="auto"/>
              </w:rPr>
            </w:pPr>
            <w:r>
              <w:rPr>
                <w:rFonts w:ascii="Arial" w:cs="Arial" w:eastAsia="Arial" w:hAnsi="Arial"/>
                <w:sz w:val="20"/>
                <w:szCs w:val="20"/>
                <w:color w:val="0000FF"/>
              </w:rPr>
              <w:t>Common Stock</w:t>
            </w:r>
          </w:p>
        </w:tc>
        <w:tc>
          <w:tcPr>
            <w:tcW w:w="740" w:type="dxa"/>
            <w:vAlign w:val="bottom"/>
          </w:tcPr>
          <w:p>
            <w:pPr>
              <w:ind w:left="160"/>
              <w:spacing w:after="0"/>
              <w:rPr>
                <w:sz w:val="20"/>
                <w:szCs w:val="20"/>
                <w:color w:val="auto"/>
              </w:rPr>
            </w:pPr>
            <w:r>
              <w:rPr>
                <w:rFonts w:ascii="Arial" w:cs="Arial" w:eastAsia="Arial" w:hAnsi="Arial"/>
                <w:sz w:val="20"/>
                <w:szCs w:val="20"/>
                <w:color w:val="0000FF"/>
              </w:rPr>
              <w:t>1,630</w:t>
            </w:r>
          </w:p>
        </w:tc>
        <w:tc>
          <w:tcPr>
            <w:tcW w:w="40" w:type="dxa"/>
            <w:vAlign w:val="bottom"/>
          </w:tcPr>
          <w:p>
            <w:pPr>
              <w:spacing w:after="0"/>
              <w:rPr>
                <w:sz w:val="24"/>
                <w:szCs w:val="24"/>
                <w:color w:val="auto"/>
              </w:rPr>
            </w:pPr>
          </w:p>
        </w:tc>
        <w:tc>
          <w:tcPr>
            <w:tcW w:w="980" w:type="dxa"/>
            <w:vAlign w:val="bottom"/>
            <w:gridSpan w:val="2"/>
          </w:tcPr>
          <w:p>
            <w:pPr>
              <w:jc w:val="center"/>
              <w:spacing w:after="0"/>
              <w:rPr>
                <w:sz w:val="20"/>
                <w:szCs w:val="20"/>
                <w:color w:val="auto"/>
              </w:rPr>
            </w:pPr>
            <w:r>
              <w:rPr>
                <w:rFonts w:ascii="Arial" w:cs="Arial" w:eastAsia="Arial" w:hAnsi="Arial"/>
                <w:sz w:val="20"/>
                <w:szCs w:val="20"/>
                <w:color w:val="0000FF"/>
                <w:w w:val="88"/>
              </w:rPr>
              <w:t>31.375</w:t>
            </w:r>
          </w:p>
        </w:tc>
        <w:tc>
          <w:tcPr>
            <w:tcW w:w="900" w:type="dxa"/>
            <w:vAlign w:val="bottom"/>
          </w:tcPr>
          <w:p>
            <w:pPr>
              <w:ind w:left="36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9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Non-Qualified Stock Option</w:t>
            </w:r>
          </w:p>
        </w:tc>
        <w:tc>
          <w:tcPr>
            <w:tcW w:w="1280" w:type="dxa"/>
            <w:vAlign w:val="bottom"/>
            <w:gridSpan w:val="2"/>
          </w:tcPr>
          <w:p>
            <w:pPr>
              <w:jc w:val="center"/>
              <w:ind w:left="235"/>
              <w:spacing w:after="0"/>
              <w:rPr>
                <w:sz w:val="20"/>
                <w:szCs w:val="20"/>
                <w:color w:val="auto"/>
              </w:rPr>
            </w:pPr>
            <w:r>
              <w:rPr>
                <w:rFonts w:ascii="Arial" w:cs="Arial" w:eastAsia="Arial" w:hAnsi="Arial"/>
                <w:sz w:val="13"/>
                <w:szCs w:val="13"/>
                <w:color w:val="008000"/>
                <w:w w:val="87"/>
              </w:rPr>
              <w:t>(4)</w:t>
            </w:r>
          </w:p>
        </w:tc>
        <w:tc>
          <w:tcPr>
            <w:tcW w:w="820" w:type="dxa"/>
            <w:vAlign w:val="bottom"/>
          </w:tcPr>
          <w:p>
            <w:pPr>
              <w:ind w:left="100"/>
              <w:spacing w:after="0"/>
              <w:rPr>
                <w:sz w:val="20"/>
                <w:szCs w:val="20"/>
                <w:color w:val="auto"/>
              </w:rPr>
            </w:pPr>
            <w:r>
              <w:rPr>
                <w:rFonts w:ascii="Arial" w:cs="Arial" w:eastAsia="Arial" w:hAnsi="Arial"/>
                <w:sz w:val="15"/>
                <w:szCs w:val="15"/>
                <w:color w:val="0000FF"/>
                <w:w w:val="93"/>
              </w:rPr>
              <w:t>12/04/2025</w:t>
            </w:r>
          </w:p>
        </w:tc>
        <w:tc>
          <w:tcPr>
            <w:tcW w:w="1920" w:type="dxa"/>
            <w:vAlign w:val="bottom"/>
          </w:tcPr>
          <w:p>
            <w:pPr>
              <w:ind w:left="400"/>
              <w:spacing w:after="0"/>
              <w:rPr>
                <w:sz w:val="20"/>
                <w:szCs w:val="20"/>
                <w:color w:val="auto"/>
              </w:rPr>
            </w:pPr>
            <w:r>
              <w:rPr>
                <w:rFonts w:ascii="Arial" w:cs="Arial" w:eastAsia="Arial" w:hAnsi="Arial"/>
                <w:sz w:val="20"/>
                <w:szCs w:val="20"/>
                <w:color w:val="0000FF"/>
              </w:rPr>
              <w:t>Common Stock</w:t>
            </w:r>
          </w:p>
        </w:tc>
        <w:tc>
          <w:tcPr>
            <w:tcW w:w="740" w:type="dxa"/>
            <w:vAlign w:val="bottom"/>
          </w:tcPr>
          <w:p>
            <w:pPr>
              <w:ind w:left="160"/>
              <w:spacing w:after="0"/>
              <w:rPr>
                <w:sz w:val="20"/>
                <w:szCs w:val="20"/>
                <w:color w:val="auto"/>
              </w:rPr>
            </w:pPr>
            <w:r>
              <w:rPr>
                <w:rFonts w:ascii="Arial" w:cs="Arial" w:eastAsia="Arial" w:hAnsi="Arial"/>
                <w:sz w:val="20"/>
                <w:szCs w:val="20"/>
                <w:color w:val="0000FF"/>
              </w:rPr>
              <w:t>1,940</w:t>
            </w:r>
          </w:p>
        </w:tc>
        <w:tc>
          <w:tcPr>
            <w:tcW w:w="40" w:type="dxa"/>
            <w:vAlign w:val="bottom"/>
          </w:tcPr>
          <w:p>
            <w:pPr>
              <w:spacing w:after="0"/>
              <w:rPr>
                <w:sz w:val="24"/>
                <w:szCs w:val="24"/>
                <w:color w:val="auto"/>
              </w:rPr>
            </w:pPr>
          </w:p>
        </w:tc>
        <w:tc>
          <w:tcPr>
            <w:tcW w:w="980" w:type="dxa"/>
            <w:vAlign w:val="bottom"/>
            <w:gridSpan w:val="2"/>
          </w:tcPr>
          <w:p>
            <w:pPr>
              <w:jc w:val="center"/>
              <w:ind w:right="14"/>
              <w:spacing w:after="0"/>
              <w:rPr>
                <w:sz w:val="20"/>
                <w:szCs w:val="20"/>
                <w:color w:val="auto"/>
              </w:rPr>
            </w:pPr>
            <w:r>
              <w:rPr>
                <w:rFonts w:ascii="Arial" w:cs="Arial" w:eastAsia="Arial" w:hAnsi="Arial"/>
                <w:sz w:val="20"/>
                <w:szCs w:val="20"/>
                <w:color w:val="0000FF"/>
                <w:w w:val="87"/>
              </w:rPr>
              <w:t>38.82</w:t>
            </w:r>
          </w:p>
        </w:tc>
        <w:tc>
          <w:tcPr>
            <w:tcW w:w="900" w:type="dxa"/>
            <w:vAlign w:val="bottom"/>
          </w:tcPr>
          <w:p>
            <w:pPr>
              <w:ind w:left="36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9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Non-Qualified Stock Option</w:t>
            </w:r>
          </w:p>
        </w:tc>
        <w:tc>
          <w:tcPr>
            <w:tcW w:w="1280" w:type="dxa"/>
            <w:vAlign w:val="bottom"/>
            <w:gridSpan w:val="2"/>
          </w:tcPr>
          <w:p>
            <w:pPr>
              <w:jc w:val="center"/>
              <w:ind w:left="235"/>
              <w:spacing w:after="0"/>
              <w:rPr>
                <w:sz w:val="20"/>
                <w:szCs w:val="20"/>
                <w:color w:val="auto"/>
              </w:rPr>
            </w:pPr>
            <w:r>
              <w:rPr>
                <w:rFonts w:ascii="Arial" w:cs="Arial" w:eastAsia="Arial" w:hAnsi="Arial"/>
                <w:sz w:val="13"/>
                <w:szCs w:val="13"/>
                <w:color w:val="008000"/>
                <w:w w:val="87"/>
              </w:rPr>
              <w:t>(5)</w:t>
            </w:r>
          </w:p>
        </w:tc>
        <w:tc>
          <w:tcPr>
            <w:tcW w:w="820" w:type="dxa"/>
            <w:vAlign w:val="bottom"/>
          </w:tcPr>
          <w:p>
            <w:pPr>
              <w:ind w:left="100"/>
              <w:spacing w:after="0"/>
              <w:rPr>
                <w:sz w:val="20"/>
                <w:szCs w:val="20"/>
                <w:color w:val="auto"/>
              </w:rPr>
            </w:pPr>
            <w:r>
              <w:rPr>
                <w:rFonts w:ascii="Arial" w:cs="Arial" w:eastAsia="Arial" w:hAnsi="Arial"/>
                <w:sz w:val="15"/>
                <w:szCs w:val="15"/>
                <w:color w:val="0000FF"/>
                <w:w w:val="93"/>
              </w:rPr>
              <w:t>12/04/2025</w:t>
            </w:r>
          </w:p>
        </w:tc>
        <w:tc>
          <w:tcPr>
            <w:tcW w:w="1920" w:type="dxa"/>
            <w:vAlign w:val="bottom"/>
          </w:tcPr>
          <w:p>
            <w:pPr>
              <w:ind w:left="400"/>
              <w:spacing w:after="0"/>
              <w:rPr>
                <w:sz w:val="20"/>
                <w:szCs w:val="20"/>
                <w:color w:val="auto"/>
              </w:rPr>
            </w:pPr>
            <w:r>
              <w:rPr>
                <w:rFonts w:ascii="Arial" w:cs="Arial" w:eastAsia="Arial" w:hAnsi="Arial"/>
                <w:sz w:val="20"/>
                <w:szCs w:val="20"/>
                <w:color w:val="0000FF"/>
              </w:rPr>
              <w:t>Common Stock</w:t>
            </w:r>
          </w:p>
        </w:tc>
        <w:tc>
          <w:tcPr>
            <w:tcW w:w="740" w:type="dxa"/>
            <w:vAlign w:val="bottom"/>
          </w:tcPr>
          <w:p>
            <w:pPr>
              <w:ind w:left="160"/>
              <w:spacing w:after="0"/>
              <w:rPr>
                <w:sz w:val="20"/>
                <w:szCs w:val="20"/>
                <w:color w:val="auto"/>
              </w:rPr>
            </w:pPr>
            <w:r>
              <w:rPr>
                <w:rFonts w:ascii="Arial" w:cs="Arial" w:eastAsia="Arial" w:hAnsi="Arial"/>
                <w:sz w:val="20"/>
                <w:szCs w:val="20"/>
                <w:color w:val="0000FF"/>
              </w:rPr>
              <w:t>1,294</w:t>
            </w:r>
          </w:p>
        </w:tc>
        <w:tc>
          <w:tcPr>
            <w:tcW w:w="40" w:type="dxa"/>
            <w:vAlign w:val="bottom"/>
          </w:tcPr>
          <w:p>
            <w:pPr>
              <w:spacing w:after="0"/>
              <w:rPr>
                <w:sz w:val="24"/>
                <w:szCs w:val="24"/>
                <w:color w:val="auto"/>
              </w:rPr>
            </w:pPr>
          </w:p>
        </w:tc>
        <w:tc>
          <w:tcPr>
            <w:tcW w:w="980" w:type="dxa"/>
            <w:vAlign w:val="bottom"/>
            <w:gridSpan w:val="2"/>
          </w:tcPr>
          <w:p>
            <w:pPr>
              <w:jc w:val="center"/>
              <w:ind w:right="14"/>
              <w:spacing w:after="0"/>
              <w:rPr>
                <w:sz w:val="20"/>
                <w:szCs w:val="20"/>
                <w:color w:val="auto"/>
              </w:rPr>
            </w:pPr>
            <w:r>
              <w:rPr>
                <w:rFonts w:ascii="Arial" w:cs="Arial" w:eastAsia="Arial" w:hAnsi="Arial"/>
                <w:sz w:val="20"/>
                <w:szCs w:val="20"/>
                <w:color w:val="0000FF"/>
                <w:w w:val="87"/>
              </w:rPr>
              <w:t>38.82</w:t>
            </w:r>
          </w:p>
        </w:tc>
        <w:tc>
          <w:tcPr>
            <w:tcW w:w="900" w:type="dxa"/>
            <w:vAlign w:val="bottom"/>
          </w:tcPr>
          <w:p>
            <w:pPr>
              <w:ind w:left="36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9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Non-Qualified Stock Option</w:t>
            </w:r>
          </w:p>
        </w:tc>
        <w:tc>
          <w:tcPr>
            <w:tcW w:w="1280" w:type="dxa"/>
            <w:vAlign w:val="bottom"/>
            <w:gridSpan w:val="2"/>
          </w:tcPr>
          <w:p>
            <w:pPr>
              <w:jc w:val="center"/>
              <w:ind w:left="235"/>
              <w:spacing w:after="0"/>
              <w:rPr>
                <w:sz w:val="20"/>
                <w:szCs w:val="20"/>
                <w:color w:val="auto"/>
              </w:rPr>
            </w:pPr>
            <w:r>
              <w:rPr>
                <w:rFonts w:ascii="Arial" w:cs="Arial" w:eastAsia="Arial" w:hAnsi="Arial"/>
                <w:sz w:val="13"/>
                <w:szCs w:val="13"/>
                <w:color w:val="008000"/>
                <w:w w:val="87"/>
              </w:rPr>
              <w:t>(6)</w:t>
            </w:r>
          </w:p>
        </w:tc>
        <w:tc>
          <w:tcPr>
            <w:tcW w:w="820" w:type="dxa"/>
            <w:vAlign w:val="bottom"/>
          </w:tcPr>
          <w:p>
            <w:pPr>
              <w:ind w:left="100"/>
              <w:spacing w:after="0"/>
              <w:rPr>
                <w:sz w:val="20"/>
                <w:szCs w:val="20"/>
                <w:color w:val="auto"/>
              </w:rPr>
            </w:pPr>
            <w:r>
              <w:rPr>
                <w:rFonts w:ascii="Arial" w:cs="Arial" w:eastAsia="Arial" w:hAnsi="Arial"/>
                <w:sz w:val="15"/>
                <w:szCs w:val="15"/>
                <w:color w:val="0000FF"/>
                <w:w w:val="93"/>
              </w:rPr>
              <w:t>12/09/2026</w:t>
            </w:r>
          </w:p>
        </w:tc>
        <w:tc>
          <w:tcPr>
            <w:tcW w:w="1920" w:type="dxa"/>
            <w:vAlign w:val="bottom"/>
          </w:tcPr>
          <w:p>
            <w:pPr>
              <w:ind w:left="400"/>
              <w:spacing w:after="0"/>
              <w:rPr>
                <w:sz w:val="20"/>
                <w:szCs w:val="20"/>
                <w:color w:val="auto"/>
              </w:rPr>
            </w:pPr>
            <w:r>
              <w:rPr>
                <w:rFonts w:ascii="Arial" w:cs="Arial" w:eastAsia="Arial" w:hAnsi="Arial"/>
                <w:sz w:val="20"/>
                <w:szCs w:val="20"/>
                <w:color w:val="0000FF"/>
              </w:rPr>
              <w:t>Common Stock</w:t>
            </w:r>
          </w:p>
        </w:tc>
        <w:tc>
          <w:tcPr>
            <w:tcW w:w="740" w:type="dxa"/>
            <w:vAlign w:val="bottom"/>
          </w:tcPr>
          <w:p>
            <w:pPr>
              <w:ind w:left="160"/>
              <w:spacing w:after="0"/>
              <w:rPr>
                <w:sz w:val="20"/>
                <w:szCs w:val="20"/>
                <w:color w:val="auto"/>
              </w:rPr>
            </w:pPr>
            <w:r>
              <w:rPr>
                <w:rFonts w:ascii="Arial" w:cs="Arial" w:eastAsia="Arial" w:hAnsi="Arial"/>
                <w:sz w:val="20"/>
                <w:szCs w:val="20"/>
                <w:color w:val="0000FF"/>
              </w:rPr>
              <w:t>1,750</w:t>
            </w:r>
          </w:p>
        </w:tc>
        <w:tc>
          <w:tcPr>
            <w:tcW w:w="40" w:type="dxa"/>
            <w:vAlign w:val="bottom"/>
          </w:tcPr>
          <w:p>
            <w:pPr>
              <w:spacing w:after="0"/>
              <w:rPr>
                <w:sz w:val="24"/>
                <w:szCs w:val="24"/>
                <w:color w:val="auto"/>
              </w:rPr>
            </w:pPr>
          </w:p>
        </w:tc>
        <w:tc>
          <w:tcPr>
            <w:tcW w:w="980" w:type="dxa"/>
            <w:vAlign w:val="bottom"/>
            <w:gridSpan w:val="2"/>
          </w:tcPr>
          <w:p>
            <w:pPr>
              <w:jc w:val="center"/>
              <w:ind w:right="14"/>
              <w:spacing w:after="0"/>
              <w:rPr>
                <w:sz w:val="20"/>
                <w:szCs w:val="20"/>
                <w:color w:val="auto"/>
              </w:rPr>
            </w:pPr>
            <w:r>
              <w:rPr>
                <w:rFonts w:ascii="Arial" w:cs="Arial" w:eastAsia="Arial" w:hAnsi="Arial"/>
                <w:sz w:val="20"/>
                <w:szCs w:val="20"/>
                <w:color w:val="0000FF"/>
                <w:w w:val="87"/>
              </w:rPr>
              <w:t>56.54</w:t>
            </w:r>
          </w:p>
        </w:tc>
        <w:tc>
          <w:tcPr>
            <w:tcW w:w="900" w:type="dxa"/>
            <w:vAlign w:val="bottom"/>
          </w:tcPr>
          <w:p>
            <w:pPr>
              <w:ind w:left="36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9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Non-Qualified Stock Option</w:t>
            </w:r>
          </w:p>
        </w:tc>
        <w:tc>
          <w:tcPr>
            <w:tcW w:w="1280" w:type="dxa"/>
            <w:vAlign w:val="bottom"/>
            <w:gridSpan w:val="2"/>
          </w:tcPr>
          <w:p>
            <w:pPr>
              <w:jc w:val="center"/>
              <w:ind w:left="235"/>
              <w:spacing w:after="0"/>
              <w:rPr>
                <w:sz w:val="20"/>
                <w:szCs w:val="20"/>
                <w:color w:val="auto"/>
              </w:rPr>
            </w:pPr>
            <w:r>
              <w:rPr>
                <w:rFonts w:ascii="Arial" w:cs="Arial" w:eastAsia="Arial" w:hAnsi="Arial"/>
                <w:sz w:val="13"/>
                <w:szCs w:val="13"/>
                <w:color w:val="008000"/>
                <w:w w:val="87"/>
              </w:rPr>
              <w:t>(7)</w:t>
            </w:r>
          </w:p>
        </w:tc>
        <w:tc>
          <w:tcPr>
            <w:tcW w:w="820" w:type="dxa"/>
            <w:vAlign w:val="bottom"/>
          </w:tcPr>
          <w:p>
            <w:pPr>
              <w:ind w:left="100"/>
              <w:spacing w:after="0"/>
              <w:rPr>
                <w:sz w:val="20"/>
                <w:szCs w:val="20"/>
                <w:color w:val="auto"/>
              </w:rPr>
            </w:pPr>
            <w:r>
              <w:rPr>
                <w:rFonts w:ascii="Arial" w:cs="Arial" w:eastAsia="Arial" w:hAnsi="Arial"/>
                <w:sz w:val="15"/>
                <w:szCs w:val="15"/>
                <w:color w:val="0000FF"/>
                <w:w w:val="93"/>
              </w:rPr>
              <w:t>12/09/2026</w:t>
            </w:r>
          </w:p>
        </w:tc>
        <w:tc>
          <w:tcPr>
            <w:tcW w:w="1920" w:type="dxa"/>
            <w:vAlign w:val="bottom"/>
          </w:tcPr>
          <w:p>
            <w:pPr>
              <w:ind w:left="400"/>
              <w:spacing w:after="0"/>
              <w:rPr>
                <w:sz w:val="20"/>
                <w:szCs w:val="20"/>
                <w:color w:val="auto"/>
              </w:rPr>
            </w:pPr>
            <w:r>
              <w:rPr>
                <w:rFonts w:ascii="Arial" w:cs="Arial" w:eastAsia="Arial" w:hAnsi="Arial"/>
                <w:sz w:val="20"/>
                <w:szCs w:val="20"/>
                <w:color w:val="0000FF"/>
              </w:rPr>
              <w:t>Common Stock</w:t>
            </w:r>
          </w:p>
        </w:tc>
        <w:tc>
          <w:tcPr>
            <w:tcW w:w="740" w:type="dxa"/>
            <w:vAlign w:val="bottom"/>
          </w:tcPr>
          <w:p>
            <w:pPr>
              <w:ind w:left="160"/>
              <w:spacing w:after="0"/>
              <w:rPr>
                <w:sz w:val="20"/>
                <w:szCs w:val="20"/>
                <w:color w:val="auto"/>
              </w:rPr>
            </w:pPr>
            <w:r>
              <w:rPr>
                <w:rFonts w:ascii="Arial" w:cs="Arial" w:eastAsia="Arial" w:hAnsi="Arial"/>
                <w:sz w:val="20"/>
                <w:szCs w:val="20"/>
                <w:color w:val="0000FF"/>
              </w:rPr>
              <w:t>1,750</w:t>
            </w:r>
          </w:p>
        </w:tc>
        <w:tc>
          <w:tcPr>
            <w:tcW w:w="40" w:type="dxa"/>
            <w:vAlign w:val="bottom"/>
          </w:tcPr>
          <w:p>
            <w:pPr>
              <w:spacing w:after="0"/>
              <w:rPr>
                <w:sz w:val="24"/>
                <w:szCs w:val="24"/>
                <w:color w:val="auto"/>
              </w:rPr>
            </w:pPr>
          </w:p>
        </w:tc>
        <w:tc>
          <w:tcPr>
            <w:tcW w:w="980" w:type="dxa"/>
            <w:vAlign w:val="bottom"/>
            <w:gridSpan w:val="2"/>
          </w:tcPr>
          <w:p>
            <w:pPr>
              <w:jc w:val="center"/>
              <w:ind w:right="14"/>
              <w:spacing w:after="0"/>
              <w:rPr>
                <w:sz w:val="20"/>
                <w:szCs w:val="20"/>
                <w:color w:val="auto"/>
              </w:rPr>
            </w:pPr>
            <w:r>
              <w:rPr>
                <w:rFonts w:ascii="Arial" w:cs="Arial" w:eastAsia="Arial" w:hAnsi="Arial"/>
                <w:sz w:val="20"/>
                <w:szCs w:val="20"/>
                <w:color w:val="0000FF"/>
                <w:w w:val="87"/>
              </w:rPr>
              <w:t>56.54</w:t>
            </w:r>
          </w:p>
        </w:tc>
        <w:tc>
          <w:tcPr>
            <w:tcW w:w="900" w:type="dxa"/>
            <w:vAlign w:val="bottom"/>
          </w:tcPr>
          <w:p>
            <w:pPr>
              <w:ind w:left="36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9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Non-Qualified Stock Option</w:t>
            </w:r>
          </w:p>
        </w:tc>
        <w:tc>
          <w:tcPr>
            <w:tcW w:w="1280" w:type="dxa"/>
            <w:vAlign w:val="bottom"/>
            <w:gridSpan w:val="2"/>
          </w:tcPr>
          <w:p>
            <w:pPr>
              <w:jc w:val="center"/>
              <w:ind w:left="235"/>
              <w:spacing w:after="0"/>
              <w:rPr>
                <w:sz w:val="20"/>
                <w:szCs w:val="20"/>
                <w:color w:val="auto"/>
              </w:rPr>
            </w:pPr>
            <w:r>
              <w:rPr>
                <w:rFonts w:ascii="Arial" w:cs="Arial" w:eastAsia="Arial" w:hAnsi="Arial"/>
                <w:sz w:val="13"/>
                <w:szCs w:val="13"/>
                <w:color w:val="008000"/>
                <w:w w:val="87"/>
              </w:rPr>
              <w:t>(8)</w:t>
            </w:r>
          </w:p>
        </w:tc>
        <w:tc>
          <w:tcPr>
            <w:tcW w:w="820" w:type="dxa"/>
            <w:vAlign w:val="bottom"/>
          </w:tcPr>
          <w:p>
            <w:pPr>
              <w:ind w:left="100"/>
              <w:spacing w:after="0"/>
              <w:rPr>
                <w:sz w:val="20"/>
                <w:szCs w:val="20"/>
                <w:color w:val="auto"/>
              </w:rPr>
            </w:pPr>
            <w:r>
              <w:rPr>
                <w:rFonts w:ascii="Arial" w:cs="Arial" w:eastAsia="Arial" w:hAnsi="Arial"/>
                <w:sz w:val="15"/>
                <w:szCs w:val="15"/>
                <w:color w:val="0000FF"/>
                <w:w w:val="93"/>
              </w:rPr>
              <w:t>12/08/2027</w:t>
            </w:r>
          </w:p>
        </w:tc>
        <w:tc>
          <w:tcPr>
            <w:tcW w:w="1920" w:type="dxa"/>
            <w:vAlign w:val="bottom"/>
          </w:tcPr>
          <w:p>
            <w:pPr>
              <w:ind w:left="400"/>
              <w:spacing w:after="0"/>
              <w:rPr>
                <w:sz w:val="20"/>
                <w:szCs w:val="20"/>
                <w:color w:val="auto"/>
              </w:rPr>
            </w:pPr>
            <w:r>
              <w:rPr>
                <w:rFonts w:ascii="Arial" w:cs="Arial" w:eastAsia="Arial" w:hAnsi="Arial"/>
                <w:sz w:val="20"/>
                <w:szCs w:val="20"/>
                <w:color w:val="0000FF"/>
              </w:rPr>
              <w:t>Common Stock</w:t>
            </w:r>
          </w:p>
        </w:tc>
        <w:tc>
          <w:tcPr>
            <w:tcW w:w="740" w:type="dxa"/>
            <w:vAlign w:val="bottom"/>
          </w:tcPr>
          <w:p>
            <w:pPr>
              <w:ind w:left="160"/>
              <w:spacing w:after="0"/>
              <w:rPr>
                <w:sz w:val="20"/>
                <w:szCs w:val="20"/>
                <w:color w:val="auto"/>
              </w:rPr>
            </w:pPr>
            <w:r>
              <w:rPr>
                <w:rFonts w:ascii="Arial" w:cs="Arial" w:eastAsia="Arial" w:hAnsi="Arial"/>
                <w:sz w:val="20"/>
                <w:szCs w:val="20"/>
                <w:color w:val="0000FF"/>
              </w:rPr>
              <w:t>1,400</w:t>
            </w:r>
          </w:p>
        </w:tc>
        <w:tc>
          <w:tcPr>
            <w:tcW w:w="40" w:type="dxa"/>
            <w:vAlign w:val="bottom"/>
          </w:tcPr>
          <w:p>
            <w:pPr>
              <w:spacing w:after="0"/>
              <w:rPr>
                <w:sz w:val="24"/>
                <w:szCs w:val="24"/>
                <w:color w:val="auto"/>
              </w:rPr>
            </w:pPr>
          </w:p>
        </w:tc>
        <w:tc>
          <w:tcPr>
            <w:tcW w:w="980" w:type="dxa"/>
            <w:vAlign w:val="bottom"/>
            <w:gridSpan w:val="2"/>
          </w:tcPr>
          <w:p>
            <w:pPr>
              <w:jc w:val="center"/>
              <w:ind w:right="14"/>
              <w:spacing w:after="0"/>
              <w:rPr>
                <w:sz w:val="20"/>
                <w:szCs w:val="20"/>
                <w:color w:val="auto"/>
              </w:rPr>
            </w:pPr>
            <w:r>
              <w:rPr>
                <w:rFonts w:ascii="Arial" w:cs="Arial" w:eastAsia="Arial" w:hAnsi="Arial"/>
                <w:sz w:val="20"/>
                <w:szCs w:val="20"/>
                <w:color w:val="0000FF"/>
                <w:w w:val="87"/>
              </w:rPr>
              <w:t>65.93</w:t>
            </w:r>
          </w:p>
        </w:tc>
        <w:tc>
          <w:tcPr>
            <w:tcW w:w="900" w:type="dxa"/>
            <w:vAlign w:val="bottom"/>
          </w:tcPr>
          <w:p>
            <w:pPr>
              <w:ind w:left="36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9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Non-Qualified Stock Option</w:t>
            </w:r>
          </w:p>
        </w:tc>
        <w:tc>
          <w:tcPr>
            <w:tcW w:w="1280" w:type="dxa"/>
            <w:vAlign w:val="bottom"/>
            <w:gridSpan w:val="2"/>
          </w:tcPr>
          <w:p>
            <w:pPr>
              <w:jc w:val="center"/>
              <w:ind w:left="235"/>
              <w:spacing w:after="0"/>
              <w:rPr>
                <w:sz w:val="20"/>
                <w:szCs w:val="20"/>
                <w:color w:val="auto"/>
              </w:rPr>
            </w:pPr>
            <w:r>
              <w:rPr>
                <w:rFonts w:ascii="Arial" w:cs="Arial" w:eastAsia="Arial" w:hAnsi="Arial"/>
                <w:sz w:val="13"/>
                <w:szCs w:val="13"/>
                <w:color w:val="008000"/>
                <w:w w:val="87"/>
              </w:rPr>
              <w:t>(9)</w:t>
            </w:r>
          </w:p>
        </w:tc>
        <w:tc>
          <w:tcPr>
            <w:tcW w:w="820" w:type="dxa"/>
            <w:vAlign w:val="bottom"/>
          </w:tcPr>
          <w:p>
            <w:pPr>
              <w:ind w:left="100"/>
              <w:spacing w:after="0"/>
              <w:rPr>
                <w:sz w:val="20"/>
                <w:szCs w:val="20"/>
                <w:color w:val="auto"/>
              </w:rPr>
            </w:pPr>
            <w:r>
              <w:rPr>
                <w:rFonts w:ascii="Arial" w:cs="Arial" w:eastAsia="Arial" w:hAnsi="Arial"/>
                <w:sz w:val="15"/>
                <w:szCs w:val="15"/>
                <w:color w:val="0000FF"/>
                <w:w w:val="93"/>
              </w:rPr>
              <w:t>12/08/2027</w:t>
            </w:r>
          </w:p>
        </w:tc>
        <w:tc>
          <w:tcPr>
            <w:tcW w:w="1920" w:type="dxa"/>
            <w:vAlign w:val="bottom"/>
          </w:tcPr>
          <w:p>
            <w:pPr>
              <w:ind w:left="400"/>
              <w:spacing w:after="0"/>
              <w:rPr>
                <w:sz w:val="20"/>
                <w:szCs w:val="20"/>
                <w:color w:val="auto"/>
              </w:rPr>
            </w:pPr>
            <w:r>
              <w:rPr>
                <w:rFonts w:ascii="Arial" w:cs="Arial" w:eastAsia="Arial" w:hAnsi="Arial"/>
                <w:sz w:val="20"/>
                <w:szCs w:val="20"/>
                <w:color w:val="0000FF"/>
              </w:rPr>
              <w:t>Common Stock</w:t>
            </w:r>
          </w:p>
        </w:tc>
        <w:tc>
          <w:tcPr>
            <w:tcW w:w="740" w:type="dxa"/>
            <w:vAlign w:val="bottom"/>
          </w:tcPr>
          <w:p>
            <w:pPr>
              <w:ind w:left="160"/>
              <w:spacing w:after="0"/>
              <w:rPr>
                <w:sz w:val="20"/>
                <w:szCs w:val="20"/>
                <w:color w:val="auto"/>
              </w:rPr>
            </w:pPr>
            <w:r>
              <w:rPr>
                <w:rFonts w:ascii="Arial" w:cs="Arial" w:eastAsia="Arial" w:hAnsi="Arial"/>
                <w:sz w:val="20"/>
                <w:szCs w:val="20"/>
                <w:color w:val="0000FF"/>
              </w:rPr>
              <w:t>1,400</w:t>
            </w:r>
          </w:p>
        </w:tc>
        <w:tc>
          <w:tcPr>
            <w:tcW w:w="40" w:type="dxa"/>
            <w:vAlign w:val="bottom"/>
          </w:tcPr>
          <w:p>
            <w:pPr>
              <w:spacing w:after="0"/>
              <w:rPr>
                <w:sz w:val="24"/>
                <w:szCs w:val="24"/>
                <w:color w:val="auto"/>
              </w:rPr>
            </w:pPr>
          </w:p>
        </w:tc>
        <w:tc>
          <w:tcPr>
            <w:tcW w:w="980" w:type="dxa"/>
            <w:vAlign w:val="bottom"/>
            <w:gridSpan w:val="2"/>
          </w:tcPr>
          <w:p>
            <w:pPr>
              <w:jc w:val="center"/>
              <w:ind w:right="14"/>
              <w:spacing w:after="0"/>
              <w:rPr>
                <w:sz w:val="20"/>
                <w:szCs w:val="20"/>
                <w:color w:val="auto"/>
              </w:rPr>
            </w:pPr>
            <w:r>
              <w:rPr>
                <w:rFonts w:ascii="Arial" w:cs="Arial" w:eastAsia="Arial" w:hAnsi="Arial"/>
                <w:sz w:val="20"/>
                <w:szCs w:val="20"/>
                <w:color w:val="0000FF"/>
                <w:w w:val="87"/>
              </w:rPr>
              <w:t>65.93</w:t>
            </w:r>
          </w:p>
        </w:tc>
        <w:tc>
          <w:tcPr>
            <w:tcW w:w="900" w:type="dxa"/>
            <w:vAlign w:val="bottom"/>
          </w:tcPr>
          <w:p>
            <w:pPr>
              <w:ind w:left="36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9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Non-Qualified Stock Option</w:t>
            </w:r>
          </w:p>
        </w:tc>
        <w:tc>
          <w:tcPr>
            <w:tcW w:w="1280" w:type="dxa"/>
            <w:vAlign w:val="bottom"/>
            <w:gridSpan w:val="2"/>
          </w:tcPr>
          <w:p>
            <w:pPr>
              <w:jc w:val="center"/>
              <w:ind w:left="235"/>
              <w:spacing w:after="0"/>
              <w:rPr>
                <w:sz w:val="20"/>
                <w:szCs w:val="20"/>
                <w:color w:val="auto"/>
              </w:rPr>
            </w:pPr>
            <w:r>
              <w:rPr>
                <w:rFonts w:ascii="Arial" w:cs="Arial" w:eastAsia="Arial" w:hAnsi="Arial"/>
                <w:sz w:val="13"/>
                <w:szCs w:val="13"/>
                <w:color w:val="008000"/>
                <w:w w:val="94"/>
              </w:rPr>
              <w:t>(10)</w:t>
            </w:r>
          </w:p>
        </w:tc>
        <w:tc>
          <w:tcPr>
            <w:tcW w:w="820" w:type="dxa"/>
            <w:vAlign w:val="bottom"/>
          </w:tcPr>
          <w:p>
            <w:pPr>
              <w:ind w:left="100"/>
              <w:spacing w:after="0"/>
              <w:rPr>
                <w:sz w:val="20"/>
                <w:szCs w:val="20"/>
                <w:color w:val="auto"/>
              </w:rPr>
            </w:pPr>
            <w:r>
              <w:rPr>
                <w:rFonts w:ascii="Arial" w:cs="Arial" w:eastAsia="Arial" w:hAnsi="Arial"/>
                <w:sz w:val="15"/>
                <w:szCs w:val="15"/>
                <w:color w:val="0000FF"/>
                <w:w w:val="93"/>
              </w:rPr>
              <w:t>12/07/2028</w:t>
            </w:r>
          </w:p>
        </w:tc>
        <w:tc>
          <w:tcPr>
            <w:tcW w:w="1920" w:type="dxa"/>
            <w:vAlign w:val="bottom"/>
          </w:tcPr>
          <w:p>
            <w:pPr>
              <w:ind w:left="400"/>
              <w:spacing w:after="0"/>
              <w:rPr>
                <w:sz w:val="20"/>
                <w:szCs w:val="20"/>
                <w:color w:val="auto"/>
              </w:rPr>
            </w:pPr>
            <w:r>
              <w:rPr>
                <w:rFonts w:ascii="Arial" w:cs="Arial" w:eastAsia="Arial" w:hAnsi="Arial"/>
                <w:sz w:val="20"/>
                <w:szCs w:val="20"/>
                <w:color w:val="0000FF"/>
              </w:rPr>
              <w:t>Common Stock</w:t>
            </w:r>
          </w:p>
        </w:tc>
        <w:tc>
          <w:tcPr>
            <w:tcW w:w="740" w:type="dxa"/>
            <w:vAlign w:val="bottom"/>
          </w:tcPr>
          <w:p>
            <w:pPr>
              <w:ind w:left="160"/>
              <w:spacing w:after="0"/>
              <w:rPr>
                <w:sz w:val="20"/>
                <w:szCs w:val="20"/>
                <w:color w:val="auto"/>
              </w:rPr>
            </w:pPr>
            <w:r>
              <w:rPr>
                <w:rFonts w:ascii="Arial" w:cs="Arial" w:eastAsia="Arial" w:hAnsi="Arial"/>
                <w:sz w:val="20"/>
                <w:szCs w:val="20"/>
                <w:color w:val="0000FF"/>
              </w:rPr>
              <w:t>5,800</w:t>
            </w:r>
          </w:p>
        </w:tc>
        <w:tc>
          <w:tcPr>
            <w:tcW w:w="40" w:type="dxa"/>
            <w:vAlign w:val="bottom"/>
          </w:tcPr>
          <w:p>
            <w:pPr>
              <w:spacing w:after="0"/>
              <w:rPr>
                <w:sz w:val="24"/>
                <w:szCs w:val="24"/>
                <w:color w:val="auto"/>
              </w:rPr>
            </w:pPr>
          </w:p>
        </w:tc>
        <w:tc>
          <w:tcPr>
            <w:tcW w:w="980" w:type="dxa"/>
            <w:vAlign w:val="bottom"/>
            <w:gridSpan w:val="2"/>
          </w:tcPr>
          <w:p>
            <w:pPr>
              <w:jc w:val="center"/>
              <w:ind w:right="14"/>
              <w:spacing w:after="0"/>
              <w:rPr>
                <w:sz w:val="20"/>
                <w:szCs w:val="20"/>
                <w:color w:val="auto"/>
              </w:rPr>
            </w:pPr>
            <w:r>
              <w:rPr>
                <w:rFonts w:ascii="Arial" w:cs="Arial" w:eastAsia="Arial" w:hAnsi="Arial"/>
                <w:sz w:val="20"/>
                <w:szCs w:val="20"/>
                <w:color w:val="0000FF"/>
                <w:w w:val="87"/>
              </w:rPr>
              <w:t>58.53</w:t>
            </w:r>
          </w:p>
        </w:tc>
        <w:tc>
          <w:tcPr>
            <w:tcW w:w="900" w:type="dxa"/>
            <w:vAlign w:val="bottom"/>
          </w:tcPr>
          <w:p>
            <w:pPr>
              <w:ind w:left="36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9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Non-Qualified Stock Option</w:t>
            </w:r>
          </w:p>
        </w:tc>
        <w:tc>
          <w:tcPr>
            <w:tcW w:w="1280" w:type="dxa"/>
            <w:vAlign w:val="bottom"/>
            <w:gridSpan w:val="2"/>
          </w:tcPr>
          <w:p>
            <w:pPr>
              <w:jc w:val="center"/>
              <w:ind w:left="235"/>
              <w:spacing w:after="0"/>
              <w:rPr>
                <w:sz w:val="20"/>
                <w:szCs w:val="20"/>
                <w:color w:val="auto"/>
              </w:rPr>
            </w:pPr>
            <w:r>
              <w:rPr>
                <w:rFonts w:ascii="Arial" w:cs="Arial" w:eastAsia="Arial" w:hAnsi="Arial"/>
                <w:sz w:val="13"/>
                <w:szCs w:val="13"/>
                <w:color w:val="008000"/>
                <w:w w:val="94"/>
              </w:rPr>
              <w:t>(11)</w:t>
            </w:r>
          </w:p>
        </w:tc>
        <w:tc>
          <w:tcPr>
            <w:tcW w:w="820" w:type="dxa"/>
            <w:vAlign w:val="bottom"/>
          </w:tcPr>
          <w:p>
            <w:pPr>
              <w:ind w:left="100"/>
              <w:spacing w:after="0"/>
              <w:rPr>
                <w:sz w:val="20"/>
                <w:szCs w:val="20"/>
                <w:color w:val="auto"/>
              </w:rPr>
            </w:pPr>
            <w:r>
              <w:rPr>
                <w:rFonts w:ascii="Arial" w:cs="Arial" w:eastAsia="Arial" w:hAnsi="Arial"/>
                <w:sz w:val="15"/>
                <w:szCs w:val="15"/>
                <w:color w:val="0000FF"/>
                <w:w w:val="93"/>
              </w:rPr>
              <w:t>12/19/2029</w:t>
            </w:r>
          </w:p>
        </w:tc>
        <w:tc>
          <w:tcPr>
            <w:tcW w:w="1920" w:type="dxa"/>
            <w:vAlign w:val="bottom"/>
          </w:tcPr>
          <w:p>
            <w:pPr>
              <w:ind w:left="400"/>
              <w:spacing w:after="0"/>
              <w:rPr>
                <w:sz w:val="20"/>
                <w:szCs w:val="20"/>
                <w:color w:val="auto"/>
              </w:rPr>
            </w:pPr>
            <w:r>
              <w:rPr>
                <w:rFonts w:ascii="Arial" w:cs="Arial" w:eastAsia="Arial" w:hAnsi="Arial"/>
                <w:sz w:val="20"/>
                <w:szCs w:val="20"/>
                <w:color w:val="0000FF"/>
              </w:rPr>
              <w:t>Common Stock</w:t>
            </w:r>
          </w:p>
        </w:tc>
        <w:tc>
          <w:tcPr>
            <w:tcW w:w="740" w:type="dxa"/>
            <w:vAlign w:val="bottom"/>
          </w:tcPr>
          <w:p>
            <w:pPr>
              <w:ind w:left="160"/>
              <w:spacing w:after="0"/>
              <w:rPr>
                <w:sz w:val="20"/>
                <w:szCs w:val="20"/>
                <w:color w:val="auto"/>
              </w:rPr>
            </w:pPr>
            <w:r>
              <w:rPr>
                <w:rFonts w:ascii="Arial" w:cs="Arial" w:eastAsia="Arial" w:hAnsi="Arial"/>
                <w:sz w:val="20"/>
                <w:szCs w:val="20"/>
                <w:color w:val="0000FF"/>
              </w:rPr>
              <w:t>6,300</w:t>
            </w:r>
          </w:p>
        </w:tc>
        <w:tc>
          <w:tcPr>
            <w:tcW w:w="40" w:type="dxa"/>
            <w:vAlign w:val="bottom"/>
          </w:tcPr>
          <w:p>
            <w:pPr>
              <w:spacing w:after="0"/>
              <w:rPr>
                <w:sz w:val="24"/>
                <w:szCs w:val="24"/>
                <w:color w:val="auto"/>
              </w:rPr>
            </w:pPr>
          </w:p>
        </w:tc>
        <w:tc>
          <w:tcPr>
            <w:tcW w:w="980" w:type="dxa"/>
            <w:vAlign w:val="bottom"/>
            <w:gridSpan w:val="2"/>
          </w:tcPr>
          <w:p>
            <w:pPr>
              <w:jc w:val="center"/>
              <w:ind w:right="14"/>
              <w:spacing w:after="0"/>
              <w:rPr>
                <w:sz w:val="20"/>
                <w:szCs w:val="20"/>
                <w:color w:val="auto"/>
              </w:rPr>
            </w:pPr>
            <w:r>
              <w:rPr>
                <w:rFonts w:ascii="Arial" w:cs="Arial" w:eastAsia="Arial" w:hAnsi="Arial"/>
                <w:sz w:val="20"/>
                <w:szCs w:val="20"/>
                <w:color w:val="0000FF"/>
                <w:w w:val="87"/>
              </w:rPr>
              <w:t>76.53</w:t>
            </w:r>
          </w:p>
        </w:tc>
        <w:tc>
          <w:tcPr>
            <w:tcW w:w="900" w:type="dxa"/>
            <w:vAlign w:val="bottom"/>
          </w:tcPr>
          <w:p>
            <w:pPr>
              <w:ind w:left="36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9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Non-Qualified Stock Option</w:t>
            </w:r>
          </w:p>
        </w:tc>
        <w:tc>
          <w:tcPr>
            <w:tcW w:w="1280" w:type="dxa"/>
            <w:vAlign w:val="bottom"/>
            <w:gridSpan w:val="2"/>
          </w:tcPr>
          <w:p>
            <w:pPr>
              <w:jc w:val="center"/>
              <w:ind w:left="235"/>
              <w:spacing w:after="0"/>
              <w:rPr>
                <w:sz w:val="20"/>
                <w:szCs w:val="20"/>
                <w:color w:val="auto"/>
              </w:rPr>
            </w:pPr>
            <w:r>
              <w:rPr>
                <w:rFonts w:ascii="Arial" w:cs="Arial" w:eastAsia="Arial" w:hAnsi="Arial"/>
                <w:sz w:val="13"/>
                <w:szCs w:val="13"/>
                <w:color w:val="008000"/>
                <w:w w:val="94"/>
              </w:rPr>
              <w:t>(12)</w:t>
            </w:r>
          </w:p>
        </w:tc>
        <w:tc>
          <w:tcPr>
            <w:tcW w:w="820" w:type="dxa"/>
            <w:vAlign w:val="bottom"/>
          </w:tcPr>
          <w:p>
            <w:pPr>
              <w:ind w:left="100"/>
              <w:spacing w:after="0"/>
              <w:rPr>
                <w:sz w:val="20"/>
                <w:szCs w:val="20"/>
                <w:color w:val="auto"/>
              </w:rPr>
            </w:pPr>
            <w:r>
              <w:rPr>
                <w:rFonts w:ascii="Arial" w:cs="Arial" w:eastAsia="Arial" w:hAnsi="Arial"/>
                <w:sz w:val="15"/>
                <w:szCs w:val="15"/>
                <w:color w:val="0000FF"/>
                <w:w w:val="93"/>
              </w:rPr>
              <w:t>12/17/2030</w:t>
            </w:r>
          </w:p>
        </w:tc>
        <w:tc>
          <w:tcPr>
            <w:tcW w:w="1920" w:type="dxa"/>
            <w:vAlign w:val="bottom"/>
          </w:tcPr>
          <w:p>
            <w:pPr>
              <w:ind w:left="400"/>
              <w:spacing w:after="0"/>
              <w:rPr>
                <w:sz w:val="20"/>
                <w:szCs w:val="20"/>
                <w:color w:val="auto"/>
              </w:rPr>
            </w:pPr>
            <w:r>
              <w:rPr>
                <w:rFonts w:ascii="Arial" w:cs="Arial" w:eastAsia="Arial" w:hAnsi="Arial"/>
                <w:sz w:val="20"/>
                <w:szCs w:val="20"/>
                <w:color w:val="0000FF"/>
              </w:rPr>
              <w:t>Common Stock</w:t>
            </w:r>
          </w:p>
        </w:tc>
        <w:tc>
          <w:tcPr>
            <w:tcW w:w="740" w:type="dxa"/>
            <w:vAlign w:val="bottom"/>
          </w:tcPr>
          <w:p>
            <w:pPr>
              <w:ind w:left="160"/>
              <w:spacing w:after="0"/>
              <w:rPr>
                <w:sz w:val="20"/>
                <w:szCs w:val="20"/>
                <w:color w:val="auto"/>
              </w:rPr>
            </w:pPr>
            <w:r>
              <w:rPr>
                <w:rFonts w:ascii="Arial" w:cs="Arial" w:eastAsia="Arial" w:hAnsi="Arial"/>
                <w:sz w:val="20"/>
                <w:szCs w:val="20"/>
                <w:color w:val="0000FF"/>
              </w:rPr>
              <w:t>5,800</w:t>
            </w:r>
          </w:p>
        </w:tc>
        <w:tc>
          <w:tcPr>
            <w:tcW w:w="40" w:type="dxa"/>
            <w:vAlign w:val="bottom"/>
          </w:tcPr>
          <w:p>
            <w:pPr>
              <w:spacing w:after="0"/>
              <w:rPr>
                <w:sz w:val="24"/>
                <w:szCs w:val="24"/>
                <w:color w:val="auto"/>
              </w:rPr>
            </w:pPr>
          </w:p>
        </w:tc>
        <w:tc>
          <w:tcPr>
            <w:tcW w:w="980" w:type="dxa"/>
            <w:vAlign w:val="bottom"/>
            <w:gridSpan w:val="2"/>
          </w:tcPr>
          <w:p>
            <w:pPr>
              <w:jc w:val="center"/>
              <w:ind w:right="14"/>
              <w:spacing w:after="0"/>
              <w:rPr>
                <w:sz w:val="20"/>
                <w:szCs w:val="20"/>
                <w:color w:val="auto"/>
              </w:rPr>
            </w:pPr>
            <w:r>
              <w:rPr>
                <w:rFonts w:ascii="Arial" w:cs="Arial" w:eastAsia="Arial" w:hAnsi="Arial"/>
                <w:sz w:val="20"/>
                <w:szCs w:val="20"/>
                <w:color w:val="0000FF"/>
                <w:w w:val="87"/>
              </w:rPr>
              <w:t>93.33</w:t>
            </w:r>
          </w:p>
        </w:tc>
        <w:tc>
          <w:tcPr>
            <w:tcW w:w="900" w:type="dxa"/>
            <w:vAlign w:val="bottom"/>
          </w:tcPr>
          <w:p>
            <w:pPr>
              <w:ind w:left="36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9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5" w:lineRule="exact"/>
        <w:rPr>
          <w:sz w:val="24"/>
          <w:szCs w:val="24"/>
          <w:color w:val="auto"/>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option vested in full on the third anniversary of the date of grant, which was December 11, 2012.</w:t>
      </w:r>
    </w:p>
    <w:p>
      <w:pPr>
        <w:spacing w:after="0" w:line="52"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option vested in three equal annual installments commencing on the first anniversary of the date of grant, which was December 5, 2014.</w:t>
      </w:r>
    </w:p>
    <w:p>
      <w:pPr>
        <w:spacing w:after="0" w:line="52"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option vested in full on the third anniversary of the date of grant, which was December 5, 2014.</w:t>
      </w:r>
    </w:p>
    <w:p>
      <w:pPr>
        <w:spacing w:after="0" w:line="52"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option vested in full on the third anniversary of the date of grant, which was December 4, 2015.</w:t>
      </w:r>
    </w:p>
    <w:p>
      <w:pPr>
        <w:spacing w:after="0" w:line="52"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option vested in three equal annual installments commencing on the first anniversary of the date of grant, which was December 4, 2015.</w:t>
      </w:r>
    </w:p>
    <w:p>
      <w:pPr>
        <w:spacing w:after="0" w:line="52"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option vested in three equal annual installments commencing on the first anniversary of the date of grant, which was December 9, 2016.</w:t>
      </w:r>
    </w:p>
    <w:p>
      <w:pPr>
        <w:spacing w:after="0" w:line="52"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option vested in full on the third anniversary of the date of grant, which was December 9, 2016.</w:t>
      </w:r>
    </w:p>
    <w:p>
      <w:pPr>
        <w:sectPr>
          <w:pgSz w:w="11900" w:h="16874" w:orient="portrait"/>
          <w:cols w:equalWidth="0" w:num="1">
            <w:col w:w="10940"/>
          </w:cols>
          <w:pgMar w:left="480" w:top="236" w:right="479" w:bottom="0" w:gutter="0" w:footer="0" w:header="0"/>
          <w:type w:val="continuous"/>
        </w:sectPr>
      </w:pPr>
    </w:p>
    <w:bookmarkStart w:id="1" w:name="page2"/>
    <w:bookmarkEnd w:id="1"/>
    <w:p>
      <w:pPr>
        <w:ind w:left="160" w:hanging="155"/>
        <w:spacing w:after="0"/>
        <w:tabs>
          <w:tab w:leader="none" w:pos="16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The option vested in three equal annual installments commencing on the first anniversary of the date of grant, which was December 8, 2017.</w:t>
      </w:r>
    </w:p>
    <w:p>
      <w:pPr>
        <w:spacing w:after="0" w:line="52" w:lineRule="exact"/>
        <w:rPr>
          <w:rFonts w:ascii="Arial" w:cs="Arial" w:eastAsia="Arial" w:hAnsi="Arial"/>
          <w:sz w:val="15"/>
          <w:szCs w:val="15"/>
          <w:color w:val="008000"/>
        </w:rPr>
      </w:pPr>
    </w:p>
    <w:p>
      <w:pPr>
        <w:ind w:left="160" w:hanging="155"/>
        <w:spacing w:after="0"/>
        <w:tabs>
          <w:tab w:leader="none" w:pos="16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The option vested in full on the third anniversary of the date of grant, which was December 8, 2017.</w:t>
      </w:r>
    </w:p>
    <w:p>
      <w:pPr>
        <w:spacing w:after="0" w:line="52" w:lineRule="exact"/>
        <w:rPr>
          <w:rFonts w:ascii="Arial" w:cs="Arial" w:eastAsia="Arial" w:hAnsi="Arial"/>
          <w:sz w:val="15"/>
          <w:szCs w:val="15"/>
          <w:color w:val="008000"/>
        </w:rPr>
      </w:pPr>
    </w:p>
    <w:p>
      <w:pPr>
        <w:ind w:left="240" w:hanging="235"/>
        <w:spacing w:after="0"/>
        <w:tabs>
          <w:tab w:leader="none" w:pos="24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The option vested in three equal annual installments commencing on the first anniversary of the date of grant, which was December 7, 2018.</w:t>
      </w:r>
    </w:p>
    <w:p>
      <w:pPr>
        <w:spacing w:after="0" w:line="52" w:lineRule="exact"/>
        <w:rPr>
          <w:rFonts w:ascii="Arial" w:cs="Arial" w:eastAsia="Arial" w:hAnsi="Arial"/>
          <w:sz w:val="15"/>
          <w:szCs w:val="15"/>
          <w:color w:val="008000"/>
        </w:rPr>
      </w:pPr>
    </w:p>
    <w:p>
      <w:pPr>
        <w:ind w:left="220" w:hanging="215"/>
        <w:spacing w:after="0"/>
        <w:tabs>
          <w:tab w:leader="none" w:pos="22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The option vests in three equal annual installments commencing on the first anniversary of the date of grant, which was December 19, 2019.</w:t>
      </w:r>
    </w:p>
    <w:p>
      <w:pPr>
        <w:spacing w:after="0" w:line="52" w:lineRule="exact"/>
        <w:rPr>
          <w:rFonts w:ascii="Arial" w:cs="Arial" w:eastAsia="Arial" w:hAnsi="Arial"/>
          <w:sz w:val="15"/>
          <w:szCs w:val="15"/>
          <w:color w:val="008000"/>
        </w:rPr>
      </w:pPr>
    </w:p>
    <w:p>
      <w:pPr>
        <w:ind w:left="240" w:hanging="235"/>
        <w:spacing w:after="0"/>
        <w:tabs>
          <w:tab w:leader="none" w:pos="24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The option vests in three equal annual installments commencing on the first anniversary of the date of grant, which was December 17, 2020.</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Arial" w:cs="Arial" w:eastAsia="Arial" w:hAnsi="Arial"/>
                <w:sz w:val="20"/>
                <w:szCs w:val="20"/>
                <w:color w:val="0000FF"/>
              </w:rPr>
              <w:t>/s/ Angela D. Snavely,</w:t>
            </w: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12/22/2021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74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44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740" w:type="dxa"/>
            <w:vAlign w:val="bottom"/>
            <w:gridSpan w:val="2"/>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jc w:val="both"/>
        <w:ind w:right="2160" w:firstLine="5"/>
        <w:spacing w:after="0" w:line="334" w:lineRule="auto"/>
        <w:tabs>
          <w:tab w:leader="none" w:pos="159" w:val="left"/>
        </w:tabs>
        <w:numPr>
          <w:ilvl w:val="0"/>
          <w:numId w:val="6"/>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159" w:right="559"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20"/>
          <w:szCs w:val="20"/>
          <w:color w:val="auto"/>
        </w:rPr>
        <w:t>Exhibit 24</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LIMITED POWER OF ATTORNEY</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Know all by these presents, that the undersigned hereby constitutes</w:t>
      </w:r>
    </w:p>
    <w:p>
      <w:pPr>
        <w:spacing w:after="0" w:line="5" w:lineRule="exact"/>
        <w:rPr>
          <w:sz w:val="20"/>
          <w:szCs w:val="20"/>
          <w:color w:val="auto"/>
        </w:rPr>
      </w:pPr>
    </w:p>
    <w:p>
      <w:pPr>
        <w:ind w:right="1439"/>
        <w:spacing w:after="0" w:line="271" w:lineRule="auto"/>
        <w:rPr>
          <w:sz w:val="20"/>
          <w:szCs w:val="20"/>
          <w:color w:val="auto"/>
        </w:rPr>
      </w:pPr>
      <w:r>
        <w:rPr>
          <w:rFonts w:ascii="Courier New" w:cs="Courier New" w:eastAsia="Courier New" w:hAnsi="Courier New"/>
          <w:sz w:val="18"/>
          <w:szCs w:val="18"/>
          <w:color w:val="auto"/>
        </w:rPr>
        <w:t>and appoints each of Amy E. Dahl, Angela D. Snavely and Timothy C. Quist, signing singly, true and lawful attorneys-in-fact relative to the filings identified below in connection with the undersigned's derivative and non-derivative securities ofThe Toro Company (the ?Company?) to:</w:t>
      </w:r>
    </w:p>
    <w:p>
      <w:pPr>
        <w:spacing w:after="0" w:line="205" w:lineRule="exact"/>
        <w:rPr>
          <w:sz w:val="20"/>
          <w:szCs w:val="20"/>
          <w:color w:val="auto"/>
        </w:rPr>
      </w:pPr>
    </w:p>
    <w:p>
      <w:pPr>
        <w:ind w:right="2019"/>
        <w:spacing w:after="0" w:line="237" w:lineRule="auto"/>
        <w:tabs>
          <w:tab w:leader="none" w:pos="937" w:val="left"/>
        </w:tabs>
        <w:numPr>
          <w:ilvl w:val="0"/>
          <w:numId w:val="7"/>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and execute for and on behalf of the undersigned, in the undersigned?s capacity as an officer of the Company, Forms 3, 4 and 5 in accordance with Section 16(a) of the Securities Exchange Act of 1934, as amended, and the rules and regulations thereunder (the ?Exchange Act?);</w:t>
      </w:r>
    </w:p>
    <w:p>
      <w:pPr>
        <w:spacing w:after="0" w:line="231" w:lineRule="exact"/>
        <w:rPr>
          <w:rFonts w:ascii="Courier New" w:cs="Courier New" w:eastAsia="Courier New" w:hAnsi="Courier New"/>
          <w:sz w:val="20"/>
          <w:szCs w:val="20"/>
          <w:color w:val="auto"/>
        </w:rPr>
      </w:pPr>
    </w:p>
    <w:p>
      <w:pPr>
        <w:ind w:right="2379"/>
        <w:spacing w:after="0" w:line="237" w:lineRule="auto"/>
        <w:tabs>
          <w:tab w:leader="none" w:pos="937" w:val="left"/>
        </w:tabs>
        <w:numPr>
          <w:ilvl w:val="0"/>
          <w:numId w:val="7"/>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and execute for and on behalf of the undersigned, in the undersigned?s capacity as an officer of the Company, any Form 144 in accordance with Rule 144 under the Securities Act of 1933, as amended, and the rules and regulations thereunder (the ?Securities Act?);</w:t>
      </w:r>
    </w:p>
    <w:p>
      <w:pPr>
        <w:spacing w:after="0" w:line="231" w:lineRule="exact"/>
        <w:rPr>
          <w:rFonts w:ascii="Courier New" w:cs="Courier New" w:eastAsia="Courier New" w:hAnsi="Courier New"/>
          <w:sz w:val="20"/>
          <w:szCs w:val="20"/>
          <w:color w:val="auto"/>
        </w:rPr>
      </w:pPr>
    </w:p>
    <w:p>
      <w:pPr>
        <w:ind w:right="2019"/>
        <w:spacing w:after="0" w:line="237" w:lineRule="auto"/>
        <w:tabs>
          <w:tab w:leader="none" w:pos="937" w:val="left"/>
        </w:tabs>
        <w:numPr>
          <w:ilvl w:val="0"/>
          <w:numId w:val="7"/>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Forms 3, 4, 5 and 144 and the timely filing of such forms with the United States Securities and Exchange Commission and any stock exchange or similar authority; and</w:t>
      </w:r>
    </w:p>
    <w:p>
      <w:pPr>
        <w:spacing w:after="0" w:line="231" w:lineRule="exact"/>
        <w:rPr>
          <w:rFonts w:ascii="Courier New" w:cs="Courier New" w:eastAsia="Courier New" w:hAnsi="Courier New"/>
          <w:sz w:val="20"/>
          <w:szCs w:val="20"/>
          <w:color w:val="auto"/>
        </w:rPr>
      </w:pPr>
    </w:p>
    <w:p>
      <w:pPr>
        <w:ind w:right="2019"/>
        <w:spacing w:after="0" w:line="237" w:lineRule="auto"/>
        <w:tabs>
          <w:tab w:leader="none" w:pos="937" w:val="left"/>
        </w:tabs>
        <w:numPr>
          <w:ilvl w:val="0"/>
          <w:numId w:val="7"/>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236" w:lineRule="exact"/>
        <w:rPr>
          <w:sz w:val="20"/>
          <w:szCs w:val="20"/>
          <w:color w:val="auto"/>
        </w:rPr>
      </w:pPr>
    </w:p>
    <w:p>
      <w:pPr>
        <w:ind w:right="1899"/>
        <w:spacing w:after="0" w:line="266"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all and every act and thing whatsoever requisite, necessary, or proper to be done in the exercise of any of the rights and powers herein granted, as fully to all intents and purposes as such attorney-in-fact might or could do if personally present, with full power of substitution or revocation, hereby ratifying and confirming all that each such attorney-in-fact, or any substitute or substitutes, shall lawfully do or cause to be done by virtue of this Limited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the Securities Act and Exchange Act, including Section 16 of the Exchange Act and Rule 144 under the Securities Act.</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620" w:type="dxa"/>
            <w:vAlign w:val="bottom"/>
            <w:gridSpan w:val="2"/>
          </w:tcPr>
          <w:p>
            <w:pPr>
              <w:spacing w:after="0"/>
              <w:rPr>
                <w:sz w:val="20"/>
                <w:szCs w:val="20"/>
                <w:color w:val="auto"/>
              </w:rPr>
            </w:pPr>
            <w:r>
              <w:rPr>
                <w:rFonts w:ascii="Courier New" w:cs="Courier New" w:eastAsia="Courier New" w:hAnsi="Courier New"/>
                <w:sz w:val="20"/>
                <w:szCs w:val="20"/>
                <w:color w:val="auto"/>
                <w:w w:val="98"/>
              </w:rPr>
              <w:t>IN WITNESS WHEREOF, the undersigned has</w:t>
            </w:r>
          </w:p>
        </w:tc>
        <w:tc>
          <w:tcPr>
            <w:tcW w:w="820" w:type="dxa"/>
            <w:vAlign w:val="bottom"/>
          </w:tcPr>
          <w:p>
            <w:pPr>
              <w:ind w:left="60"/>
              <w:spacing w:after="0"/>
              <w:rPr>
                <w:sz w:val="20"/>
                <w:szCs w:val="20"/>
                <w:color w:val="auto"/>
              </w:rPr>
            </w:pPr>
            <w:r>
              <w:rPr>
                <w:rFonts w:ascii="Courier New" w:cs="Courier New" w:eastAsia="Courier New" w:hAnsi="Courier New"/>
                <w:sz w:val="20"/>
                <w:szCs w:val="20"/>
                <w:color w:val="auto"/>
              </w:rPr>
              <w:t>caused</w:t>
            </w:r>
          </w:p>
        </w:tc>
        <w:tc>
          <w:tcPr>
            <w:tcW w:w="2520" w:type="dxa"/>
            <w:vAlign w:val="bottom"/>
          </w:tcPr>
          <w:p>
            <w:pPr>
              <w:ind w:left="60"/>
              <w:spacing w:after="0"/>
              <w:rPr>
                <w:sz w:val="20"/>
                <w:szCs w:val="20"/>
                <w:color w:val="auto"/>
              </w:rPr>
            </w:pPr>
            <w:r>
              <w:rPr>
                <w:rFonts w:ascii="Courier New" w:cs="Courier New" w:eastAsia="Courier New" w:hAnsi="Courier New"/>
                <w:sz w:val="20"/>
                <w:szCs w:val="20"/>
                <w:color w:val="auto"/>
              </w:rPr>
              <w:t>this Limited Power</w:t>
            </w:r>
          </w:p>
        </w:tc>
      </w:tr>
      <w:tr>
        <w:trPr>
          <w:trHeight w:val="225"/>
        </w:trPr>
        <w:tc>
          <w:tcPr>
            <w:tcW w:w="4620" w:type="dxa"/>
            <w:vAlign w:val="bottom"/>
            <w:gridSpan w:val="2"/>
          </w:tcPr>
          <w:p>
            <w:pPr>
              <w:spacing w:after="0" w:line="225" w:lineRule="exact"/>
              <w:rPr>
                <w:sz w:val="20"/>
                <w:szCs w:val="20"/>
                <w:color w:val="auto"/>
              </w:rPr>
            </w:pPr>
            <w:r>
              <w:rPr>
                <w:rFonts w:ascii="Courier New" w:cs="Courier New" w:eastAsia="Courier New" w:hAnsi="Courier New"/>
                <w:sz w:val="20"/>
                <w:szCs w:val="20"/>
                <w:color w:val="auto"/>
                <w:w w:val="98"/>
              </w:rPr>
              <w:t>of Attorney to be executed effective as</w:t>
            </w:r>
          </w:p>
        </w:tc>
        <w:tc>
          <w:tcPr>
            <w:tcW w:w="820" w:type="dxa"/>
            <w:vAlign w:val="bottom"/>
          </w:tcPr>
          <w:p>
            <w:pPr>
              <w:ind w:left="60"/>
              <w:spacing w:after="0" w:line="225" w:lineRule="exact"/>
              <w:rPr>
                <w:sz w:val="20"/>
                <w:szCs w:val="20"/>
                <w:color w:val="auto"/>
              </w:rPr>
            </w:pPr>
            <w:r>
              <w:rPr>
                <w:rFonts w:ascii="Courier New" w:cs="Courier New" w:eastAsia="Courier New" w:hAnsi="Courier New"/>
                <w:sz w:val="20"/>
                <w:szCs w:val="20"/>
                <w:color w:val="auto"/>
              </w:rPr>
              <w:t>of the</w:t>
            </w:r>
          </w:p>
        </w:tc>
        <w:tc>
          <w:tcPr>
            <w:tcW w:w="2520" w:type="dxa"/>
            <w:vAlign w:val="bottom"/>
          </w:tcPr>
          <w:p>
            <w:pPr>
              <w:ind w:left="60"/>
              <w:spacing w:after="0" w:line="225" w:lineRule="exact"/>
              <w:rPr>
                <w:sz w:val="20"/>
                <w:szCs w:val="20"/>
                <w:color w:val="auto"/>
              </w:rPr>
            </w:pPr>
            <w:r>
              <w:rPr>
                <w:rFonts w:ascii="Courier New" w:cs="Courier New" w:eastAsia="Courier New" w:hAnsi="Courier New"/>
                <w:sz w:val="20"/>
                <w:szCs w:val="20"/>
                <w:color w:val="auto"/>
                <w:w w:val="96"/>
              </w:rPr>
              <w:t>date indicated below,</w:t>
            </w:r>
          </w:p>
        </w:tc>
      </w:tr>
      <w:tr>
        <w:trPr>
          <w:trHeight w:val="225"/>
        </w:trPr>
        <w:tc>
          <w:tcPr>
            <w:tcW w:w="4620" w:type="dxa"/>
            <w:vAlign w:val="bottom"/>
            <w:gridSpan w:val="2"/>
          </w:tcPr>
          <w:p>
            <w:pPr>
              <w:spacing w:after="0" w:line="225" w:lineRule="exact"/>
              <w:rPr>
                <w:sz w:val="20"/>
                <w:szCs w:val="20"/>
                <w:color w:val="auto"/>
              </w:rPr>
            </w:pPr>
            <w:r>
              <w:rPr>
                <w:rFonts w:ascii="Courier New" w:cs="Courier New" w:eastAsia="Courier New" w:hAnsi="Courier New"/>
                <w:sz w:val="20"/>
                <w:szCs w:val="20"/>
                <w:color w:val="auto"/>
                <w:w w:val="98"/>
              </w:rPr>
              <w:t>and said Power of Attorney shall remain</w:t>
            </w:r>
          </w:p>
        </w:tc>
        <w:tc>
          <w:tcPr>
            <w:tcW w:w="3340" w:type="dxa"/>
            <w:vAlign w:val="bottom"/>
            <w:gridSpan w:val="2"/>
          </w:tcPr>
          <w:p>
            <w:pPr>
              <w:ind w:left="60"/>
              <w:spacing w:after="0" w:line="225" w:lineRule="exact"/>
              <w:rPr>
                <w:sz w:val="20"/>
                <w:szCs w:val="20"/>
                <w:color w:val="auto"/>
              </w:rPr>
            </w:pPr>
            <w:r>
              <w:rPr>
                <w:rFonts w:ascii="Courier New" w:cs="Courier New" w:eastAsia="Courier New" w:hAnsi="Courier New"/>
                <w:sz w:val="20"/>
                <w:szCs w:val="20"/>
                <w:color w:val="auto"/>
              </w:rPr>
              <w:t>in effect until revoked by</w:t>
            </w:r>
          </w:p>
        </w:tc>
      </w:tr>
      <w:tr>
        <w:trPr>
          <w:trHeight w:val="225"/>
        </w:trPr>
        <w:tc>
          <w:tcPr>
            <w:tcW w:w="5440" w:type="dxa"/>
            <w:vAlign w:val="bottom"/>
            <w:gridSpan w:val="3"/>
          </w:tcPr>
          <w:p>
            <w:pPr>
              <w:spacing w:after="0" w:line="225" w:lineRule="exact"/>
              <w:rPr>
                <w:sz w:val="20"/>
                <w:szCs w:val="20"/>
                <w:color w:val="auto"/>
              </w:rPr>
            </w:pPr>
            <w:r>
              <w:rPr>
                <w:rFonts w:ascii="Courier New" w:cs="Courier New" w:eastAsia="Courier New" w:hAnsi="Courier New"/>
                <w:sz w:val="20"/>
                <w:szCs w:val="20"/>
                <w:color w:val="auto"/>
                <w:w w:val="98"/>
              </w:rPr>
              <w:t>the undersigned in writing, or at such time as</w:t>
            </w:r>
          </w:p>
        </w:tc>
        <w:tc>
          <w:tcPr>
            <w:tcW w:w="2520" w:type="dxa"/>
            <w:vAlign w:val="bottom"/>
          </w:tcPr>
          <w:p>
            <w:pPr>
              <w:ind w:left="60"/>
              <w:spacing w:after="0" w:line="225" w:lineRule="exact"/>
              <w:rPr>
                <w:sz w:val="20"/>
                <w:szCs w:val="20"/>
                <w:color w:val="auto"/>
              </w:rPr>
            </w:pPr>
            <w:r>
              <w:rPr>
                <w:rFonts w:ascii="Courier New" w:cs="Courier New" w:eastAsia="Courier New" w:hAnsi="Courier New"/>
                <w:sz w:val="20"/>
                <w:szCs w:val="20"/>
                <w:color w:val="auto"/>
              </w:rPr>
              <w:t>the undersigned is</w:t>
            </w:r>
          </w:p>
        </w:tc>
      </w:tr>
      <w:tr>
        <w:trPr>
          <w:trHeight w:val="225"/>
        </w:trPr>
        <w:tc>
          <w:tcPr>
            <w:tcW w:w="5440" w:type="dxa"/>
            <w:vAlign w:val="bottom"/>
            <w:gridSpan w:val="3"/>
          </w:tcPr>
          <w:p>
            <w:pPr>
              <w:spacing w:after="0" w:line="225" w:lineRule="exact"/>
              <w:rPr>
                <w:sz w:val="20"/>
                <w:szCs w:val="20"/>
                <w:color w:val="auto"/>
              </w:rPr>
            </w:pPr>
            <w:r>
              <w:rPr>
                <w:rFonts w:ascii="Courier New" w:cs="Courier New" w:eastAsia="Courier New" w:hAnsi="Courier New"/>
                <w:sz w:val="20"/>
                <w:szCs w:val="20"/>
                <w:color w:val="auto"/>
                <w:w w:val="98"/>
              </w:rPr>
              <w:t>no longer an officer of the Company, whichever</w:t>
            </w:r>
          </w:p>
        </w:tc>
        <w:tc>
          <w:tcPr>
            <w:tcW w:w="2520" w:type="dxa"/>
            <w:vAlign w:val="bottom"/>
          </w:tcPr>
          <w:p>
            <w:pPr>
              <w:ind w:left="60"/>
              <w:spacing w:after="0" w:line="225" w:lineRule="exact"/>
              <w:rPr>
                <w:sz w:val="20"/>
                <w:szCs w:val="20"/>
                <w:color w:val="auto"/>
              </w:rPr>
            </w:pPr>
            <w:r>
              <w:rPr>
                <w:rFonts w:ascii="Courier New" w:cs="Courier New" w:eastAsia="Courier New" w:hAnsi="Courier New"/>
                <w:sz w:val="20"/>
                <w:szCs w:val="20"/>
                <w:color w:val="auto"/>
              </w:rPr>
              <w:t>first occurs.</w:t>
            </w:r>
          </w:p>
        </w:tc>
      </w:tr>
      <w:tr>
        <w:trPr>
          <w:trHeight w:val="675"/>
        </w:trPr>
        <w:tc>
          <w:tcPr>
            <w:tcW w:w="880" w:type="dxa"/>
            <w:vAlign w:val="bottom"/>
          </w:tcPr>
          <w:p>
            <w:pPr>
              <w:spacing w:after="0"/>
              <w:rPr>
                <w:sz w:val="20"/>
                <w:szCs w:val="20"/>
                <w:color w:val="auto"/>
              </w:rPr>
            </w:pPr>
            <w:r>
              <w:rPr>
                <w:rFonts w:ascii="Courier New" w:cs="Courier New" w:eastAsia="Courier New" w:hAnsi="Courier New"/>
                <w:sz w:val="20"/>
                <w:szCs w:val="20"/>
                <w:color w:val="auto"/>
              </w:rPr>
              <w:t>Signed:</w:t>
            </w:r>
          </w:p>
        </w:tc>
        <w:tc>
          <w:tcPr>
            <w:tcW w:w="3740" w:type="dxa"/>
            <w:vAlign w:val="bottom"/>
          </w:tcPr>
          <w:p>
            <w:pPr>
              <w:ind w:left="1000"/>
              <w:spacing w:after="0"/>
              <w:rPr>
                <w:sz w:val="20"/>
                <w:szCs w:val="20"/>
                <w:color w:val="auto"/>
              </w:rPr>
            </w:pPr>
            <w:r>
              <w:rPr>
                <w:rFonts w:ascii="Courier New" w:cs="Courier New" w:eastAsia="Courier New" w:hAnsi="Courier New"/>
                <w:sz w:val="20"/>
                <w:szCs w:val="20"/>
                <w:color w:val="auto"/>
              </w:rPr>
              <w:t>/s/ Daryn A. Walters</w:t>
            </w:r>
          </w:p>
        </w:tc>
        <w:tc>
          <w:tcPr>
            <w:tcW w:w="82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25"/>
        </w:trPr>
        <w:tc>
          <w:tcPr>
            <w:tcW w:w="880" w:type="dxa"/>
            <w:vAlign w:val="bottom"/>
          </w:tcPr>
          <w:p>
            <w:pPr>
              <w:spacing w:after="0"/>
              <w:rPr>
                <w:sz w:val="19"/>
                <w:szCs w:val="19"/>
                <w:color w:val="auto"/>
              </w:rPr>
            </w:pPr>
          </w:p>
        </w:tc>
        <w:tc>
          <w:tcPr>
            <w:tcW w:w="3740" w:type="dxa"/>
            <w:vAlign w:val="bottom"/>
          </w:tcPr>
          <w:p>
            <w:pPr>
              <w:ind w:left="1000"/>
              <w:spacing w:after="0" w:line="225" w:lineRule="exact"/>
              <w:rPr>
                <w:sz w:val="20"/>
                <w:szCs w:val="20"/>
                <w:color w:val="auto"/>
              </w:rPr>
            </w:pPr>
            <w:r>
              <w:rPr>
                <w:rFonts w:ascii="Courier New" w:cs="Courier New" w:eastAsia="Courier New" w:hAnsi="Courier New"/>
                <w:sz w:val="20"/>
                <w:szCs w:val="20"/>
                <w:color w:val="auto"/>
              </w:rPr>
              <w:t>Daryn A. Walters</w:t>
            </w:r>
          </w:p>
        </w:tc>
        <w:tc>
          <w:tcPr>
            <w:tcW w:w="820" w:type="dxa"/>
            <w:vAlign w:val="bottom"/>
          </w:tcPr>
          <w:p>
            <w:pPr>
              <w:spacing w:after="0"/>
              <w:rPr>
                <w:sz w:val="19"/>
                <w:szCs w:val="19"/>
                <w:color w:val="auto"/>
              </w:rPr>
            </w:pPr>
          </w:p>
        </w:tc>
        <w:tc>
          <w:tcPr>
            <w:tcW w:w="2520" w:type="dxa"/>
            <w:vAlign w:val="bottom"/>
          </w:tcPr>
          <w:p>
            <w:pPr>
              <w:spacing w:after="0"/>
              <w:rPr>
                <w:sz w:val="19"/>
                <w:szCs w:val="19"/>
                <w:color w:val="auto"/>
              </w:rPr>
            </w:pPr>
          </w:p>
        </w:tc>
      </w:tr>
      <w:tr>
        <w:trPr>
          <w:trHeight w:val="450"/>
        </w:trPr>
        <w:tc>
          <w:tcPr>
            <w:tcW w:w="880" w:type="dxa"/>
            <w:vAlign w:val="bottom"/>
          </w:tcPr>
          <w:p>
            <w:pPr>
              <w:spacing w:after="0"/>
              <w:rPr>
                <w:sz w:val="20"/>
                <w:szCs w:val="20"/>
                <w:color w:val="auto"/>
              </w:rPr>
            </w:pPr>
            <w:r>
              <w:rPr>
                <w:rFonts w:ascii="Courier New" w:cs="Courier New" w:eastAsia="Courier New" w:hAnsi="Courier New"/>
                <w:sz w:val="20"/>
                <w:szCs w:val="20"/>
                <w:color w:val="auto"/>
              </w:rPr>
              <w:t>Dated:</w:t>
            </w:r>
          </w:p>
        </w:tc>
        <w:tc>
          <w:tcPr>
            <w:tcW w:w="3740" w:type="dxa"/>
            <w:vAlign w:val="bottom"/>
          </w:tcPr>
          <w:p>
            <w:pPr>
              <w:jc w:val="right"/>
              <w:ind w:right="2422"/>
              <w:spacing w:after="0"/>
              <w:rPr>
                <w:sz w:val="20"/>
                <w:szCs w:val="20"/>
                <w:color w:val="auto"/>
              </w:rPr>
            </w:pPr>
            <w:r>
              <w:rPr>
                <w:rFonts w:ascii="Courier New" w:cs="Courier New" w:eastAsia="Courier New" w:hAnsi="Courier New"/>
                <w:sz w:val="20"/>
                <w:szCs w:val="20"/>
                <w:color w:val="auto"/>
                <w:w w:val="99"/>
              </w:rPr>
              <w:t>12/16/2021</w:t>
            </w:r>
          </w:p>
        </w:tc>
        <w:tc>
          <w:tcPr>
            <w:tcW w:w="820" w:type="dxa"/>
            <w:vAlign w:val="bottom"/>
          </w:tcPr>
          <w:p>
            <w:pPr>
              <w:spacing w:after="0"/>
              <w:rPr>
                <w:sz w:val="24"/>
                <w:szCs w:val="24"/>
                <w:color w:val="auto"/>
              </w:rPr>
            </w:pPr>
          </w:p>
        </w:tc>
        <w:tc>
          <w:tcPr>
            <w:tcW w:w="252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4"/>
    </w:lvl>
  </w:abstractNum>
  <w:abstractNum w:abstractNumId="1">
    <w:nsid w:val="238E1F29"/>
    <w:multiLevelType w:val="hybridMultilevel"/>
    <w:lvl w:ilvl="0">
      <w:lvlJc w:val="left"/>
      <w:lvlText w:val="%1."/>
      <w:numFmt w:val="decimal"/>
      <w:start w:val="5"/>
    </w:lvl>
  </w:abstractNum>
  <w:abstractNum w:abstractNumId="2">
    <w:nsid w:val="46E87CCD"/>
    <w:multiLevelType w:val="hybridMultilevel"/>
    <w:lvl w:ilvl="0">
      <w:lvlJc w:val="left"/>
      <w:lvlText w:val="X"/>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8"/>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900729" TargetMode="External"/><Relationship Id="rId11"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2021-12-22T13:51:41Z</dcterms:created>
  <dcterms:modified xsi:type="dcterms:W3CDTF">2021-12-22T13:51:41Z</dcterms:modified>
</cp:coreProperties>
</file>