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91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916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904"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STEINHAFEL GREGG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02/22/2016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904"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904"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jc w:val="right"/>
              <w:ind w:right="157"/>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20" w:type="dxa"/>
            <w:vAlign w:val="bottom"/>
            <w:gridSpan w:val="2"/>
          </w:tcPr>
          <w:p>
            <w:pPr>
              <w:jc w:val="center"/>
              <w:ind w:left="468"/>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620" w:type="dxa"/>
            <w:vAlign w:val="bottom"/>
            <w:gridSpan w:val="2"/>
          </w:tcPr>
          <w:p>
            <w:pPr>
              <w:jc w:val="center"/>
              <w:ind w:left="468"/>
              <w:spacing w:after="0"/>
              <w:rPr>
                <w:sz w:val="20"/>
                <w:szCs w:val="20"/>
                <w:color w:val="auto"/>
              </w:rPr>
            </w:pPr>
            <w:r>
              <w:rPr>
                <w:rFonts w:ascii="Arial" w:cs="Arial" w:eastAsia="Arial" w:hAnsi="Arial"/>
                <w:sz w:val="18"/>
                <w:szCs w:val="18"/>
                <w:color w:val="0000FF"/>
                <w:w w:val="88"/>
              </w:rPr>
              <w:t>02/22/2016</w:t>
            </w: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jc w:val="center"/>
              <w:ind w:right="278"/>
              <w:spacing w:after="0"/>
              <w:rPr>
                <w:sz w:val="20"/>
                <w:szCs w:val="20"/>
                <w:color w:val="auto"/>
              </w:rPr>
            </w:pPr>
            <w:r>
              <w:rPr>
                <w:rFonts w:ascii="Arial" w:cs="Arial" w:eastAsia="Arial" w:hAnsi="Arial"/>
                <w:sz w:val="14"/>
                <w:szCs w:val="14"/>
                <w:color w:val="0000FF"/>
              </w:rPr>
              <w:t>M</w:t>
            </w:r>
          </w:p>
        </w:tc>
        <w:tc>
          <w:tcPr>
            <w:tcW w:w="740" w:type="dxa"/>
            <w:vAlign w:val="bottom"/>
          </w:tcPr>
          <w:p>
            <w:pPr>
              <w:jc w:val="right"/>
              <w:ind w:right="28"/>
              <w:spacing w:after="0"/>
              <w:rPr>
                <w:sz w:val="20"/>
                <w:szCs w:val="20"/>
                <w:color w:val="auto"/>
              </w:rPr>
            </w:pPr>
            <w:r>
              <w:rPr>
                <w:rFonts w:ascii="Arial" w:cs="Arial" w:eastAsia="Arial" w:hAnsi="Arial"/>
                <w:sz w:val="18"/>
                <w:szCs w:val="18"/>
                <w:color w:val="0000FF"/>
              </w:rPr>
              <w:t>5,024</w:t>
            </w:r>
          </w:p>
        </w:tc>
        <w:tc>
          <w:tcPr>
            <w:tcW w:w="680" w:type="dxa"/>
            <w:vAlign w:val="bottom"/>
          </w:tcPr>
          <w:p>
            <w:pPr>
              <w:ind w:left="300"/>
              <w:spacing w:after="0"/>
              <w:rPr>
                <w:sz w:val="20"/>
                <w:szCs w:val="20"/>
                <w:color w:val="auto"/>
              </w:rPr>
            </w:pPr>
            <w:r>
              <w:rPr>
                <w:rFonts w:ascii="Arial" w:cs="Arial" w:eastAsia="Arial" w:hAnsi="Arial"/>
                <w:sz w:val="18"/>
                <w:szCs w:val="18"/>
                <w:color w:val="0000FF"/>
              </w:rPr>
              <w:t>A</w:t>
            </w:r>
          </w:p>
        </w:tc>
        <w:tc>
          <w:tcPr>
            <w:tcW w:w="6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26.48</w:t>
            </w:r>
          </w:p>
        </w:tc>
        <w:tc>
          <w:tcPr>
            <w:tcW w:w="14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color w:val="0000FF"/>
                <w:w w:val="87"/>
              </w:rPr>
              <w:t>32,972</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620" w:type="dxa"/>
            <w:vAlign w:val="bottom"/>
            <w:gridSpan w:val="2"/>
          </w:tcPr>
          <w:p>
            <w:pPr>
              <w:jc w:val="center"/>
              <w:ind w:left="468"/>
              <w:spacing w:after="0"/>
              <w:rPr>
                <w:sz w:val="20"/>
                <w:szCs w:val="20"/>
                <w:color w:val="auto"/>
              </w:rPr>
            </w:pPr>
            <w:r>
              <w:rPr>
                <w:rFonts w:ascii="Arial" w:cs="Arial" w:eastAsia="Arial" w:hAnsi="Arial"/>
                <w:sz w:val="18"/>
                <w:szCs w:val="18"/>
                <w:color w:val="0000FF"/>
                <w:w w:val="88"/>
              </w:rPr>
              <w:t>02/22/2016</w:t>
            </w: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jc w:val="center"/>
              <w:ind w:right="278"/>
              <w:spacing w:after="0"/>
              <w:rPr>
                <w:sz w:val="20"/>
                <w:szCs w:val="20"/>
                <w:color w:val="auto"/>
              </w:rPr>
            </w:pPr>
            <w:r>
              <w:rPr>
                <w:rFonts w:ascii="Arial" w:cs="Arial" w:eastAsia="Arial" w:hAnsi="Arial"/>
                <w:sz w:val="14"/>
                <w:szCs w:val="14"/>
                <w:color w:val="0000FF"/>
                <w:w w:val="85"/>
              </w:rPr>
              <w:t>S</w:t>
            </w:r>
          </w:p>
        </w:tc>
        <w:tc>
          <w:tcPr>
            <w:tcW w:w="740" w:type="dxa"/>
            <w:vAlign w:val="bottom"/>
          </w:tcPr>
          <w:p>
            <w:pPr>
              <w:jc w:val="right"/>
              <w:ind w:right="28"/>
              <w:spacing w:after="0"/>
              <w:rPr>
                <w:sz w:val="20"/>
                <w:szCs w:val="20"/>
                <w:color w:val="auto"/>
              </w:rPr>
            </w:pPr>
            <w:r>
              <w:rPr>
                <w:rFonts w:ascii="Arial" w:cs="Arial" w:eastAsia="Arial" w:hAnsi="Arial"/>
                <w:sz w:val="18"/>
                <w:szCs w:val="18"/>
                <w:color w:val="0000FF"/>
              </w:rPr>
              <w:t>5,024</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64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79.466</w:t>
            </w:r>
          </w:p>
        </w:tc>
        <w:tc>
          <w:tcPr>
            <w:tcW w:w="14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color w:val="0000FF"/>
                <w:w w:val="87"/>
              </w:rPr>
              <w:t>27,948</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620" w:type="dxa"/>
            <w:vAlign w:val="bottom"/>
            <w:gridSpan w:val="2"/>
          </w:tcPr>
          <w:p>
            <w:pPr>
              <w:jc w:val="center"/>
              <w:ind w:left="468"/>
              <w:spacing w:after="0"/>
              <w:rPr>
                <w:sz w:val="20"/>
                <w:szCs w:val="20"/>
                <w:color w:val="auto"/>
              </w:rPr>
            </w:pPr>
            <w:r>
              <w:rPr>
                <w:rFonts w:ascii="Arial" w:cs="Arial" w:eastAsia="Arial" w:hAnsi="Arial"/>
                <w:sz w:val="18"/>
                <w:szCs w:val="18"/>
                <w:color w:val="0000FF"/>
                <w:w w:val="88"/>
              </w:rPr>
              <w:t>02/22/2016</w:t>
            </w: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jc w:val="center"/>
              <w:ind w:right="278"/>
              <w:spacing w:after="0"/>
              <w:rPr>
                <w:sz w:val="20"/>
                <w:szCs w:val="20"/>
                <w:color w:val="auto"/>
              </w:rPr>
            </w:pPr>
            <w:r>
              <w:rPr>
                <w:rFonts w:ascii="Arial" w:cs="Arial" w:eastAsia="Arial" w:hAnsi="Arial"/>
                <w:sz w:val="14"/>
                <w:szCs w:val="14"/>
                <w:color w:val="0000FF"/>
              </w:rPr>
              <w:t>M</w:t>
            </w:r>
          </w:p>
        </w:tc>
        <w:tc>
          <w:tcPr>
            <w:tcW w:w="740" w:type="dxa"/>
            <w:vAlign w:val="bottom"/>
          </w:tcPr>
          <w:p>
            <w:pPr>
              <w:jc w:val="right"/>
              <w:ind w:right="28"/>
              <w:spacing w:after="0"/>
              <w:rPr>
                <w:sz w:val="20"/>
                <w:szCs w:val="20"/>
                <w:color w:val="auto"/>
              </w:rPr>
            </w:pPr>
            <w:r>
              <w:rPr>
                <w:rFonts w:ascii="Arial" w:cs="Arial" w:eastAsia="Arial" w:hAnsi="Arial"/>
                <w:sz w:val="18"/>
                <w:szCs w:val="18"/>
                <w:color w:val="0000FF"/>
              </w:rPr>
              <w:t>4,622</w:t>
            </w:r>
          </w:p>
        </w:tc>
        <w:tc>
          <w:tcPr>
            <w:tcW w:w="680" w:type="dxa"/>
            <w:vAlign w:val="bottom"/>
          </w:tcPr>
          <w:p>
            <w:pPr>
              <w:ind w:left="300"/>
              <w:spacing w:after="0"/>
              <w:rPr>
                <w:sz w:val="20"/>
                <w:szCs w:val="20"/>
                <w:color w:val="auto"/>
              </w:rPr>
            </w:pPr>
            <w:r>
              <w:rPr>
                <w:rFonts w:ascii="Arial" w:cs="Arial" w:eastAsia="Arial" w:hAnsi="Arial"/>
                <w:sz w:val="18"/>
                <w:szCs w:val="18"/>
                <w:color w:val="0000FF"/>
              </w:rPr>
              <w:t>A</w:t>
            </w:r>
          </w:p>
        </w:tc>
        <w:tc>
          <w:tcPr>
            <w:tcW w:w="6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28.24</w:t>
            </w:r>
          </w:p>
        </w:tc>
        <w:tc>
          <w:tcPr>
            <w:tcW w:w="14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color w:val="0000FF"/>
                <w:w w:val="87"/>
              </w:rPr>
              <w:t>32,570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center"/>
              <w:ind w:left="468"/>
              <w:spacing w:after="0"/>
              <w:rPr>
                <w:sz w:val="20"/>
                <w:szCs w:val="20"/>
                <w:color w:val="auto"/>
              </w:rPr>
            </w:pPr>
            <w:r>
              <w:rPr>
                <w:rFonts w:ascii="Arial" w:cs="Arial" w:eastAsia="Arial" w:hAnsi="Arial"/>
                <w:sz w:val="18"/>
                <w:szCs w:val="18"/>
                <w:color w:val="0000FF"/>
                <w:w w:val="88"/>
              </w:rPr>
              <w:t>02/22/2016</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Arial" w:cs="Arial" w:eastAsia="Arial" w:hAnsi="Arial"/>
                <w:sz w:val="14"/>
                <w:szCs w:val="14"/>
                <w:color w:val="0000FF"/>
                <w:w w:val="85"/>
              </w:rPr>
              <w:t>S</w:t>
            </w:r>
          </w:p>
        </w:tc>
        <w:tc>
          <w:tcPr>
            <w:tcW w:w="740" w:type="dxa"/>
            <w:vAlign w:val="bottom"/>
            <w:tcBorders>
              <w:bottom w:val="single" w:sz="8" w:color="2C2C2C"/>
            </w:tcBorders>
          </w:tcPr>
          <w:p>
            <w:pPr>
              <w:jc w:val="right"/>
              <w:ind w:right="28"/>
              <w:spacing w:after="0"/>
              <w:rPr>
                <w:sz w:val="20"/>
                <w:szCs w:val="20"/>
                <w:color w:val="auto"/>
              </w:rPr>
            </w:pPr>
            <w:r>
              <w:rPr>
                <w:rFonts w:ascii="Arial" w:cs="Arial" w:eastAsia="Arial" w:hAnsi="Arial"/>
                <w:sz w:val="18"/>
                <w:szCs w:val="18"/>
                <w:color w:val="0000FF"/>
              </w:rPr>
              <w:t>4,622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3"/>
          </w:tcPr>
          <w:p>
            <w:pPr>
              <w:jc w:val="center"/>
              <w:ind w:right="1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79.486</w:t>
            </w:r>
            <w:r>
              <w:rPr>
                <w:rFonts w:ascii="Arial" w:cs="Arial" w:eastAsia="Arial" w:hAnsi="Arial"/>
                <w:sz w:val="22"/>
                <w:szCs w:val="22"/>
                <w:color w:val="008000"/>
                <w:w w:val="84"/>
                <w:vertAlign w:val="superscript"/>
              </w:rPr>
              <w:t>(1)</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27,948</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89"/>
              </w:rPr>
              <w:t>Common Stock Units</w:t>
            </w:r>
          </w:p>
        </w:tc>
        <w:tc>
          <w:tcPr>
            <w:tcW w:w="10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2,715.894</w:t>
            </w:r>
            <w:r>
              <w:rPr>
                <w:rFonts w:ascii="Arial" w:cs="Arial" w:eastAsia="Arial" w:hAnsi="Arial"/>
                <w:sz w:val="22"/>
                <w:szCs w:val="22"/>
                <w:color w:val="008000"/>
                <w:w w:val="85"/>
                <w:vertAlign w:val="superscript"/>
              </w:rPr>
              <w:t>(2)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40" w:type="dxa"/>
            <w:vAlign w:val="bottom"/>
            <w:gridSpan w:val="9"/>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Amount of</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8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26.48</w:t>
            </w:r>
          </w:p>
        </w:tc>
        <w:tc>
          <w:tcPr>
            <w:tcW w:w="1080" w:type="dxa"/>
            <w:vAlign w:val="bottom"/>
          </w:tcPr>
          <w:p>
            <w:pPr>
              <w:jc w:val="right"/>
              <w:ind w:right="192"/>
              <w:spacing w:after="0"/>
              <w:rPr>
                <w:sz w:val="20"/>
                <w:szCs w:val="20"/>
                <w:color w:val="auto"/>
              </w:rPr>
            </w:pPr>
            <w:r>
              <w:rPr>
                <w:rFonts w:ascii="Arial" w:cs="Arial" w:eastAsia="Arial" w:hAnsi="Arial"/>
                <w:sz w:val="14"/>
                <w:szCs w:val="14"/>
                <w:color w:val="0000FF"/>
              </w:rPr>
              <w:t>02/22/2016</w:t>
            </w:r>
          </w:p>
        </w:tc>
        <w:tc>
          <w:tcPr>
            <w:tcW w:w="1140" w:type="dxa"/>
            <w:vAlign w:val="bottom"/>
          </w:tcPr>
          <w:p>
            <w:pPr>
              <w:spacing w:after="0"/>
              <w:rPr>
                <w:sz w:val="17"/>
                <w:szCs w:val="17"/>
                <w:color w:val="auto"/>
              </w:rPr>
            </w:pPr>
          </w:p>
        </w:tc>
        <w:tc>
          <w:tcPr>
            <w:tcW w:w="480" w:type="dxa"/>
            <w:vAlign w:val="bottom"/>
          </w:tcPr>
          <w:p>
            <w:pPr>
              <w:jc w:val="right"/>
              <w:ind w:right="137"/>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Arial" w:cs="Arial" w:eastAsia="Arial" w:hAnsi="Arial"/>
                <w:sz w:val="14"/>
                <w:szCs w:val="14"/>
                <w:color w:val="0000FF"/>
              </w:rPr>
              <w:t>5,024</w:t>
            </w:r>
          </w:p>
        </w:tc>
        <w:tc>
          <w:tcPr>
            <w:tcW w:w="780" w:type="dxa"/>
            <w:vAlign w:val="bottom"/>
          </w:tcPr>
          <w:p>
            <w:pPr>
              <w:ind w:left="280"/>
              <w:spacing w:after="0"/>
              <w:rPr>
                <w:sz w:val="20"/>
                <w:szCs w:val="20"/>
                <w:color w:val="auto"/>
              </w:rPr>
            </w:pPr>
            <w:r>
              <w:rPr>
                <w:rFonts w:ascii="Arial" w:cs="Arial" w:eastAsia="Arial" w:hAnsi="Arial"/>
                <w:sz w:val="11"/>
                <w:szCs w:val="11"/>
                <w:color w:val="008000"/>
              </w:rPr>
              <w:t>(3)</w:t>
            </w:r>
          </w:p>
        </w:tc>
        <w:tc>
          <w:tcPr>
            <w:tcW w:w="740" w:type="dxa"/>
            <w:vAlign w:val="bottom"/>
          </w:tcPr>
          <w:p>
            <w:pPr>
              <w:ind w:left="60"/>
              <w:spacing w:after="0"/>
              <w:rPr>
                <w:sz w:val="20"/>
                <w:szCs w:val="20"/>
                <w:color w:val="auto"/>
              </w:rPr>
            </w:pPr>
            <w:r>
              <w:rPr>
                <w:rFonts w:ascii="Arial" w:cs="Arial" w:eastAsia="Arial" w:hAnsi="Arial"/>
                <w:sz w:val="14"/>
                <w:szCs w:val="14"/>
                <w:color w:val="0000FF"/>
                <w:w w:val="94"/>
              </w:rPr>
              <w:t>11/01/2021</w:t>
            </w: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580" w:type="dxa"/>
            <w:vAlign w:val="bottom"/>
          </w:tcPr>
          <w:p>
            <w:pPr>
              <w:ind w:left="80"/>
              <w:spacing w:after="0" w:line="200" w:lineRule="exact"/>
              <w:rPr>
                <w:sz w:val="20"/>
                <w:szCs w:val="20"/>
                <w:color w:val="auto"/>
              </w:rPr>
            </w:pPr>
            <w:r>
              <w:rPr>
                <w:rFonts w:ascii="Arial" w:cs="Arial" w:eastAsia="Arial" w:hAnsi="Arial"/>
                <w:sz w:val="18"/>
                <w:szCs w:val="18"/>
                <w:color w:val="0000FF"/>
              </w:rPr>
              <w:t>5,024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80" w:type="dxa"/>
            <w:vAlign w:val="bottom"/>
          </w:tcPr>
          <w:p>
            <w:pPr>
              <w:ind w:left="460"/>
              <w:spacing w:after="0"/>
              <w:rPr>
                <w:sz w:val="20"/>
                <w:szCs w:val="20"/>
                <w:color w:val="auto"/>
              </w:rPr>
            </w:pPr>
            <w:r>
              <w:rPr>
                <w:rFonts w:ascii="Arial" w:cs="Arial" w:eastAsia="Arial" w:hAnsi="Arial"/>
                <w:sz w:val="14"/>
                <w:szCs w:val="14"/>
                <w:color w:val="0000FF"/>
              </w:rPr>
              <w:t>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Stock</w:t>
            </w: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Option</w:t>
            </w: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8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28.24</w:t>
            </w:r>
          </w:p>
        </w:tc>
        <w:tc>
          <w:tcPr>
            <w:tcW w:w="1080" w:type="dxa"/>
            <w:vAlign w:val="bottom"/>
          </w:tcPr>
          <w:p>
            <w:pPr>
              <w:jc w:val="right"/>
              <w:ind w:right="192"/>
              <w:spacing w:after="0"/>
              <w:rPr>
                <w:sz w:val="20"/>
                <w:szCs w:val="20"/>
                <w:color w:val="auto"/>
              </w:rPr>
            </w:pPr>
            <w:r>
              <w:rPr>
                <w:rFonts w:ascii="Arial" w:cs="Arial" w:eastAsia="Arial" w:hAnsi="Arial"/>
                <w:sz w:val="14"/>
                <w:szCs w:val="14"/>
                <w:color w:val="0000FF"/>
              </w:rPr>
              <w:t>02/22/2016</w:t>
            </w:r>
          </w:p>
        </w:tc>
        <w:tc>
          <w:tcPr>
            <w:tcW w:w="1140" w:type="dxa"/>
            <w:vAlign w:val="bottom"/>
          </w:tcPr>
          <w:p>
            <w:pPr>
              <w:spacing w:after="0"/>
              <w:rPr>
                <w:sz w:val="17"/>
                <w:szCs w:val="17"/>
                <w:color w:val="auto"/>
              </w:rPr>
            </w:pPr>
          </w:p>
        </w:tc>
        <w:tc>
          <w:tcPr>
            <w:tcW w:w="480" w:type="dxa"/>
            <w:vAlign w:val="bottom"/>
          </w:tcPr>
          <w:p>
            <w:pPr>
              <w:jc w:val="right"/>
              <w:ind w:right="137"/>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Arial" w:cs="Arial" w:eastAsia="Arial" w:hAnsi="Arial"/>
                <w:sz w:val="14"/>
                <w:szCs w:val="14"/>
                <w:color w:val="0000FF"/>
              </w:rPr>
              <w:t>4,622</w:t>
            </w:r>
          </w:p>
        </w:tc>
        <w:tc>
          <w:tcPr>
            <w:tcW w:w="780" w:type="dxa"/>
            <w:vAlign w:val="bottom"/>
          </w:tcPr>
          <w:p>
            <w:pPr>
              <w:ind w:left="280"/>
              <w:spacing w:after="0"/>
              <w:rPr>
                <w:sz w:val="20"/>
                <w:szCs w:val="20"/>
                <w:color w:val="auto"/>
              </w:rPr>
            </w:pPr>
            <w:r>
              <w:rPr>
                <w:rFonts w:ascii="Arial" w:cs="Arial" w:eastAsia="Arial" w:hAnsi="Arial"/>
                <w:sz w:val="11"/>
                <w:szCs w:val="11"/>
                <w:color w:val="008000"/>
              </w:rPr>
              <w:t>(4)</w:t>
            </w:r>
          </w:p>
        </w:tc>
        <w:tc>
          <w:tcPr>
            <w:tcW w:w="740" w:type="dxa"/>
            <w:vAlign w:val="bottom"/>
          </w:tcPr>
          <w:p>
            <w:pPr>
              <w:ind w:left="60"/>
              <w:spacing w:after="0"/>
              <w:rPr>
                <w:sz w:val="20"/>
                <w:szCs w:val="20"/>
                <w:color w:val="auto"/>
              </w:rPr>
            </w:pPr>
            <w:r>
              <w:rPr>
                <w:rFonts w:ascii="Arial" w:cs="Arial" w:eastAsia="Arial" w:hAnsi="Arial"/>
                <w:sz w:val="14"/>
                <w:szCs w:val="14"/>
                <w:color w:val="0000FF"/>
                <w:w w:val="94"/>
              </w:rPr>
              <w:t>11/01/2020</w:t>
            </w: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580" w:type="dxa"/>
            <w:vAlign w:val="bottom"/>
          </w:tcPr>
          <w:p>
            <w:pPr>
              <w:ind w:left="80"/>
              <w:spacing w:after="0" w:line="200" w:lineRule="exact"/>
              <w:rPr>
                <w:sz w:val="20"/>
                <w:szCs w:val="20"/>
                <w:color w:val="auto"/>
              </w:rPr>
            </w:pPr>
            <w:r>
              <w:rPr>
                <w:rFonts w:ascii="Arial" w:cs="Arial" w:eastAsia="Arial" w:hAnsi="Arial"/>
                <w:sz w:val="18"/>
                <w:szCs w:val="18"/>
                <w:color w:val="0000FF"/>
              </w:rPr>
              <w:t>4,622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80" w:type="dxa"/>
            <w:vAlign w:val="bottom"/>
          </w:tcPr>
          <w:p>
            <w:pPr>
              <w:ind w:left="460"/>
              <w:spacing w:after="0"/>
              <w:rPr>
                <w:sz w:val="20"/>
                <w:szCs w:val="20"/>
                <w:color w:val="auto"/>
              </w:rPr>
            </w:pPr>
            <w:r>
              <w:rPr>
                <w:rFonts w:ascii="Arial" w:cs="Arial" w:eastAsia="Arial" w:hAnsi="Arial"/>
                <w:sz w:val="14"/>
                <w:szCs w:val="14"/>
                <w:color w:val="0000FF"/>
              </w:rPr>
              <w:t>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60"/>
              <w:spacing w:after="0" w:line="110" w:lineRule="exact"/>
              <w:rPr>
                <w:sz w:val="20"/>
                <w:szCs w:val="20"/>
                <w:color w:val="auto"/>
              </w:rPr>
            </w:pPr>
            <w:r>
              <w:rPr>
                <w:rFonts w:ascii="Arial" w:cs="Arial" w:eastAsia="Arial" w:hAnsi="Arial"/>
                <w:sz w:val="12"/>
                <w:szCs w:val="12"/>
                <w:color w:val="0000FF"/>
              </w:rPr>
              <w:t>Stock</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$79.47 to $79.486,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11.862 common stock units acquired by the reporting person under the dividend reinvestment feature of The Toro Company Deferred Compensation Plan for Non-Employee Directors since the date of his last report.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November 1,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November 1, 2010.</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02/24/2016</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90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172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2019-12-23T20:57:39Z</dcterms:created>
  <dcterms:modified xsi:type="dcterms:W3CDTF">2019-12-23T20:57:39Z</dcterms:modified>
</cp:coreProperties>
</file>