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8"/>
              </w:rPr>
              <w:t>DE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Completion of Acquisition or Disposition of Assets.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December 8, 2025, The Toro Company, a Delaware corporation (“TTC”), completed its previously announced acquisition of all of the issued and outstanding securities of Tornado Infrastructure Equipment Ltd. (TSX-V: TGH), a corporation existing under the laws of the Province of Alberta (“Tornado”) (the “Acquisition”). Based in Calgary, Alberta, Tornado is a publicly held manufacturer of vacuum trucks and industrial equipment solutions for the underground construction, power transmission and energy markets.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Pursuant to the terms of the Arrangement Agreement, dated October 6, 2025, Tornado Acquisition Company ULC, an unlimited liability corporation incorporated under the laws of Alberta (“Purchaser”), all common shares of Tornado were transferred to the Purchaser (free and clear of all liens), and Tornado became a wholly-owned subsidiary of the Purchaser. TTC purchased all outstanding shares of Tornado for CAD $1.92 per share for a total fully diluted equity value of $279 million (CAD), which was financed with cash on hand, borrowings from TTC’s unsecured senior revolving credit facility, and additional financial arrangements.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Arrangement Agreement, a copy of which is filed as Exhibit 2.1 to the Current Report on Form 8-K that was filed by TTC with the Securities and Exchange Commission (the “SEC”) on October 8, 2025, and is incorporated herein by reference, and the foregoing description of the Arrangement Agreement are intended to provide information regarding the terms of the Arrangement Agreement and are not intended to modify or supplement any factual disclosures about TTC in its reports filed with the SEC. In particular, the Arrangement Agreement and related description are not intended to be, and should not be relied upon as, disclosures regarding any facts and circumstances relating to TTC, Tornado or the Purchaser. The representations and warranties have been negotiated with the principal purpose of not establishing matters of fact, but rather for purposes of allocating risk between each party. As is customary, the assertions embodied in the representations and warranties are qualified by schedules and other disclosures made by each party. The representations and warranties also may be subject to a contractual standard of materiality different from those generally applicable under the securities laws. Shareholders of TTC are not third-party beneficiaries under the Arrangement Agreement and should not rely on the representations, warranties, and covenants, or any descriptions thereof, as characterizations of the actual state of facts or condition of TTC, Tornado or the Purchaser.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7—Regulation FD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December 8, 2025, TTC announced the completion of the Acquisition described in Item 2.01 above. A copy of the press release is furnished as Exhibit 99.1 to this Current Report on Form 8-K and is incorporated herein by reference.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TTC under the Securities Act of 1933, as amended, or the Exchange Act, except as shall be expressly set forth by specific reference in such filing.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 – Other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December 9, 2025, TTC announced that its Board of Directors authorized a new stock repurchase program of up to an additional 6,000,000 shares of TTC’s common stock in open-market or in privately negotiated transactions. This new authorized stock repurchase program has no expiration date and may be suspended, resumed or terminated by TTC’s Board of Directors at any time. TTC now has a total share repurchase authorization of 10,391,790 shares of TTC’s common stock as of December 9, 2025.</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 copy of the press release announcing the new stock repurchase program is filed as Exhibit 99.2 to this Current Report on Form 8-K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  Exhibits.</w:t>
            </w:r>
          </w:p>
        </w:tc>
        <w:tc>
          <w:tcPr>
            <w:tcW w:w="57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12"/>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2.1*</w:t>
            </w:r>
          </w:p>
        </w:tc>
        <w:tc>
          <w:tcPr>
            <w:tcW w:w="9280" w:type="dxa"/>
            <w:vAlign w:val="bottom"/>
            <w:gridSpan w:val="5"/>
          </w:tcPr>
          <w:p>
            <w:pPr>
              <w:ind w:left="20"/>
              <w:spacing w:after="0" w:line="212" w:lineRule="exact"/>
              <w:rPr>
                <w:rFonts w:ascii="Times New Roman" w:cs="Times New Roman" w:eastAsia="Times New Roman" w:hAnsi="Times New Roman"/>
                <w:sz w:val="20"/>
                <w:szCs w:val="20"/>
                <w:color w:val="0000FF"/>
              </w:rPr>
            </w:pPr>
            <w:hyperlink r:id="rId19">
              <w:r>
                <w:rPr>
                  <w:rFonts w:ascii="Times New Roman" w:cs="Times New Roman" w:eastAsia="Times New Roman" w:hAnsi="Times New Roman"/>
                  <w:sz w:val="20"/>
                  <w:szCs w:val="20"/>
                  <w:color w:val="0000FF"/>
                </w:rPr>
                <w:t>Arrangement Agreement dated as of October 6, 2025 among The Toro Company, Tornado</w:t>
              </w:r>
            </w:hyperlink>
          </w:p>
        </w:tc>
        <w:tc>
          <w:tcPr>
            <w:tcW w:w="0" w:type="dxa"/>
            <w:vAlign w:val="bottom"/>
          </w:tcPr>
          <w:p>
            <w:pPr>
              <w:spacing w:after="0"/>
              <w:rPr>
                <w:sz w:val="1"/>
                <w:szCs w:val="1"/>
                <w:color w:val="auto"/>
              </w:rPr>
            </w:pPr>
          </w:p>
        </w:tc>
      </w:tr>
      <w:tr>
        <w:trPr>
          <w:trHeight w:val="169"/>
        </w:trPr>
        <w:tc>
          <w:tcPr>
            <w:tcW w:w="1960" w:type="dxa"/>
            <w:vAlign w:val="bottom"/>
            <w:vMerge w:val="continue"/>
          </w:tcPr>
          <w:p>
            <w:pPr>
              <w:spacing w:after="0"/>
              <w:rPr>
                <w:sz w:val="14"/>
                <w:szCs w:val="14"/>
                <w:color w:val="auto"/>
              </w:rPr>
            </w:pPr>
          </w:p>
        </w:tc>
        <w:tc>
          <w:tcPr>
            <w:tcW w:w="7760" w:type="dxa"/>
            <w:vAlign w:val="bottom"/>
            <w:tcBorders>
              <w:top w:val="single" w:sz="8" w:color="0000FF"/>
            </w:tcBorders>
            <w:gridSpan w:val="4"/>
          </w:tcPr>
          <w:p>
            <w:pPr>
              <w:ind w:left="20"/>
              <w:spacing w:after="0" w:line="169" w:lineRule="exact"/>
              <w:rPr>
                <w:rFonts w:ascii="Times New Roman" w:cs="Times New Roman" w:eastAsia="Times New Roman" w:hAnsi="Times New Roman"/>
                <w:sz w:val="19"/>
                <w:szCs w:val="19"/>
                <w:color w:val="0000FF"/>
              </w:rPr>
            </w:pPr>
            <w:hyperlink r:id="rId19">
              <w:r>
                <w:rPr>
                  <w:rFonts w:ascii="Times New Roman" w:cs="Times New Roman" w:eastAsia="Times New Roman" w:hAnsi="Times New Roman"/>
                  <w:sz w:val="19"/>
                  <w:szCs w:val="19"/>
                  <w:color w:val="0000FF"/>
                </w:rPr>
                <w:t>Acquisition Company ULC, and Tornado Infrastructure Equipment Ltd.</w:t>
              </w:r>
            </w:hyperlink>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71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w w:val="98"/>
              </w:rPr>
              <w:t>Press Release dated December 8, 2025 issued by The Toro Company (furnished herewith)</w:t>
            </w:r>
          </w:p>
        </w:tc>
        <w:tc>
          <w:tcPr>
            <w:tcW w:w="2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99.2</w:t>
            </w:r>
          </w:p>
        </w:tc>
        <w:tc>
          <w:tcPr>
            <w:tcW w:w="71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98"/>
              </w:rPr>
              <w:t>Press release dated December 9, 2025 issued by The Toro Company (furnished herewith).</w:t>
            </w:r>
          </w:p>
        </w:tc>
        <w:tc>
          <w:tcPr>
            <w:tcW w:w="21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257"/>
        </w:trPr>
        <w:tc>
          <w:tcPr>
            <w:tcW w:w="1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Certain exhibits and schedules to the Arrangement Agreement have been omitted</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pursuant to Item 601(b)(2) of Regulation S-K. The Company will furnish the omitted</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exhibits and schedules to the SEC upon request by the SEC.</w:t>
            </w:r>
          </w:p>
        </w:tc>
        <w:tc>
          <w:tcPr>
            <w:tcW w:w="0" w:type="dxa"/>
            <w:vAlign w:val="bottom"/>
          </w:tcPr>
          <w:p>
            <w:pPr>
              <w:spacing w:after="0"/>
              <w:rPr>
                <w:sz w:val="1"/>
                <w:szCs w:val="1"/>
                <w:color w:val="auto"/>
              </w:rPr>
            </w:pPr>
          </w:p>
        </w:tc>
      </w:tr>
      <w:tr>
        <w:trPr>
          <w:trHeight w:val="1459"/>
        </w:trPr>
        <w:tc>
          <w:tcPr>
            <w:tcW w:w="19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56"/>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TORO COMPANY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9, 2025</w:t>
            </w:r>
          </w:p>
        </w:tc>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Joanna M. Totsky</w:t>
            </w:r>
          </w:p>
        </w:tc>
      </w:tr>
      <w:tr>
        <w:trPr>
          <w:trHeight w:val="244"/>
        </w:trPr>
        <w:tc>
          <w:tcPr>
            <w:tcW w:w="430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Joanna M. Totsky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tc>
      </w:tr>
    </w:tbl>
    <w:p>
      <w:pPr>
        <w:sectPr>
          <w:pgSz w:w="11900" w:h="16838" w:orient="portrait"/>
          <w:cols w:equalWidth="0" w:num="1">
            <w:col w:w="11020"/>
          </w:cols>
          <w:pgMar w:left="320" w:top="1372" w:right="5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468880" cy="642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6888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Heather Hille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 Corporate Affairs</w:t>
      </w:r>
    </w:p>
    <w:p>
      <w:pPr>
        <w:ind w:left="520" w:hanging="512"/>
        <w:spacing w:after="0"/>
        <w:tabs>
          <w:tab w:leader="none" w:pos="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887-8923, </w:t>
      </w:r>
      <w:r>
        <w:rPr>
          <w:rFonts w:ascii="Arial" w:cs="Arial" w:eastAsia="Arial" w:hAnsi="Arial"/>
          <w:sz w:val="20"/>
          <w:szCs w:val="20"/>
          <w:u w:val="single" w:color="auto"/>
          <w:color w:val="0E32E1"/>
        </w:rPr>
        <w:t>heather.hille@toro.com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Branden Happel</w:t>
      </w:r>
    </w:p>
    <w:p>
      <w:pPr>
        <w:spacing w:after="0"/>
        <w:rPr>
          <w:sz w:val="20"/>
          <w:szCs w:val="20"/>
          <w:color w:val="auto"/>
        </w:rPr>
      </w:pPr>
      <w:r>
        <w:rPr>
          <w:rFonts w:ascii="Arial" w:cs="Arial" w:eastAsia="Arial" w:hAnsi="Arial"/>
          <w:sz w:val="20"/>
          <w:szCs w:val="20"/>
          <w:color w:val="auto"/>
        </w:rPr>
        <w:t>Senior Manager, Public Relations</w:t>
      </w:r>
    </w:p>
    <w:p>
      <w:pPr>
        <w:spacing w:after="0" w:line="13" w:lineRule="exact"/>
        <w:rPr>
          <w:sz w:val="20"/>
          <w:szCs w:val="20"/>
          <w:color w:val="auto"/>
        </w:rPr>
      </w:pPr>
    </w:p>
    <w:p>
      <w:pPr>
        <w:ind w:left="520" w:hanging="512"/>
        <w:spacing w:after="0"/>
        <w:tabs>
          <w:tab w:leader="none" w:pos="52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887-8930, </w:t>
      </w:r>
      <w:r>
        <w:rPr>
          <w:rFonts w:ascii="Arial" w:cs="Arial" w:eastAsia="Arial" w:hAnsi="Arial"/>
          <w:sz w:val="20"/>
          <w:szCs w:val="20"/>
          <w:u w:val="single" w:color="auto"/>
          <w:color w:val="0E32E1"/>
        </w:rPr>
        <w:t>branden.happel@toro.com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Immediate Release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Completes Acquisition of Tornado Infrastructure Equipment Ltd.</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BLOOMINGTON, Minn. (December 8, 2025) – The Toro Company (NYSE: TTC) today announced that it has successfully</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completed its acquisition of publicly held Tornado Infrastructure Equipment Ltd. (TSX-V: TGH). Based in Calgary, Alberta, Tornado is a leading manufacturer in hydrovac excavation solutions for the underground construction, power transmission and energy markets.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Known for producing powerful, high-quality and versatile equipment designed to safely excavate in urban areas and around critical infrastructure, this acquisition complements The Toro Company’s innovative construction product portfolio and capitalizes on accelerated growth in vacuum excavation. With the addition of Tornado, alongside Ditch Witch and other leading underground construction brands, The Toro Company is strategically positioned to further its market reach and reinforce its leadership within the industry.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addition of Tornado significantly strengthens our leadership in underground and enables The Toro Company, along with our extensive portfolio of leading construction brands, to capture a greater share of the rapidly growing infrastructure space and deliver sustained value to our shareholders,” said Richard Olson, chairman and chief executive officer. “We have long regarded Tornado for their innovation in the marketplace, and we are pleased to welcome their talented team to The Toro Company and build on our continued success. We are confident that our combined commitment to innovation, operational excellence, and serving customers will further enhance our position in the industry.”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purchase price was $279 million (CAD), which was financed with debt from existing credit facilities and additional financial arrangements. The transaction is expected to be neutral to adjusted earnings per share in the first year after closing and will be increasingly accretive thereafter. As previously communicated, the company expects to realize annual run-rate cost synergies of $3 million (USD) over three years through purchasing and manufacturing efficiencies. In addition, there are revenue synergies and working capital improvements anticipated over time.</w:t>
      </w:r>
    </w:p>
    <w:p>
      <w:pPr>
        <w:sectPr>
          <w:pgSz w:w="11900" w:h="16838" w:orient="portrait"/>
          <w:cols w:equalWidth="0" w:num="1">
            <w:col w:w="11240"/>
          </w:cols>
          <w:pgMar w:left="320" w:top="1440" w:right="339" w:bottom="1440" w:gutter="0" w:footer="0" w:header="0"/>
        </w:sectPr>
      </w:pPr>
    </w:p>
    <w:bookmarkStart w:id="5" w:name="page6"/>
    <w:bookmarkEnd w:id="5"/>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trailing 12 months ended September 30, 2025, Tornado generated net sales of approximately $161 million (CAD). The Toro Company expects to provide guidance regarding the anticipated contribution of the acquisition to its fiscal year 2026 financial results at the time of its fourth quarter earnings call, scheduled for December 17, 2025.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Toro Company (NYSE: TTC) is a leading global provider of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family of brands that includes Toro, Ditch Witch, Exmark, Spartan, BOSS, Ventrac, Tornado, American Augers,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www.thetorocompany.com.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Tornado Infrastructure Equipment</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Tornado is a pioneer and leader in the vacuum truck industry and has been a choice of utility and oilfield professionals with over 1,900 hydrovacs sold since 2008. The Company designs and manufactures hydrovac trucks as well as provides heavy duty truck maintenance operations in central Alberta. It sells hydrovac trucks to excavation service providers in the infrastructure and industrial construction and oil and gas markets. Hydrovac trucks use high pressure water and vacuum to safely penetrate and cut soil to expose critical infrastructure for repair and installation without damage. Hydrovac excavation methods are quickly becoming a standard in North America to safely excavate in urban areas and around critical infrastructure greatly reducing infrastructure damage and related fatalities. For more information about Tornado Infrastructure Equipment Ltd., visit www.tornadotrucks.com.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news release contains not only historical information, but also forward-looking statements within the meaning of Section 27A of the Securities Act of 1933 and Section 21E of the Securities Exchange Act of 1934, and that are subject to the safe harbor created by those sections. Statements that are not historical are forward-looking and reflect expectations and assumptions.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Some of the forward-looking statements in this release about The Toro Company’s acquisition of Tornado Infrastructure Equipment Ltd. include The Toro Company’s expected earnings contribution from the Acquisition and expected value to be achieved through synergies and working capital improvements. Forward-looking statements</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49" w:lineRule="auto"/>
        <w:rPr>
          <w:sz w:val="20"/>
          <w:szCs w:val="20"/>
          <w:color w:val="auto"/>
        </w:rPr>
      </w:pPr>
      <w:r>
        <w:rPr>
          <w:rFonts w:ascii="Arial" w:cs="Arial" w:eastAsia="Arial" w:hAnsi="Arial"/>
          <w:sz w:val="20"/>
          <w:szCs w:val="20"/>
          <w:color w:val="auto"/>
        </w:rPr>
        <w:t>involve risks and uncertainties that could cause actual events and results to differ materially from those projected or implied. The following are some of the factors known to The Toro Company that could cause The Toro Company’s actual results to differ materially from what The Toro Company has anticipated in its forward-looking statements: the failure by The Toro Company to achieve the net sales, earnings and any cost or revenue synergies and any working capital improvements expected from the acquisition or delays in the realization thereof; delays and challenges in integrating the businesses after the acquisition is completed; business disruption as a result of the completion of the acquisition; loss of key personnel; unanticipated liabilities or exposures for which The Toro Company has not been indemnified or may not recover; infringement of intellectual property rights of others associated with the rights acquired in the acquisition; and general adverse business, economic or competitive conditions. For more information regarding these and other uncertainties and factors that could cause The Toro Company’s actual results to differ materially from what it has anticipated in its forward-looking statements or otherwise could materially adversely affect its business, financial condition or operating results, see The Toro Company’s most recent annual report on Form 10-K, Part I, Item 1A, “Risk Factors”, Quarterly Report on Form 10-Q, Part II, Item IA, “Risk Factors” and other filings with the Securities and Exchange Commission (“SEC”).   All forward-looking statements included in this release are expressly qualified in their entirety by the foregoing cautionary statements. The Toro Company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The Toro Company’s most recent Annual Report on Form 10-K, Part I, Item 1A, “Risk Factors”, Quarterly Report on Form 10-Q, Part II, Item IA, “Risk Factors,” other filings with the SEC as well as others that The Toro Company may consider immaterial or does not anticipate at this time. The foregoing risks and uncertainties are not exclusive and further information concerning The Toro Company and its businesses, including factors that potentially could materially affect The Toro Company’s financial results or condition, may emerge from time to time. The Toro Company makes no commitment to revise or update any forward-looking statements in order to reflect events or circumstances occurring or existing after the date any forward-looking statement is made. The Toro Company advises you, however, to consult any further disclosures it makes on related subjects in its future Annual Reports on Form 10-K, Quarterly Reports on Form 10-Q, and Current Reports on Form 8-K that The Toro Company may file with, or furnish to, the SEC.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1414"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46888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688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Heather Hille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 Corporate Affairs</w:t>
      </w:r>
    </w:p>
    <w:p>
      <w:pPr>
        <w:ind w:left="520" w:hanging="512"/>
        <w:spacing w:after="0"/>
        <w:tabs>
          <w:tab w:leader="none" w:pos="52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887-8923, </w:t>
      </w:r>
      <w:r>
        <w:rPr>
          <w:rFonts w:ascii="Arial" w:cs="Arial" w:eastAsia="Arial" w:hAnsi="Arial"/>
          <w:sz w:val="20"/>
          <w:szCs w:val="20"/>
          <w:u w:val="single" w:color="auto"/>
          <w:color w:val="0E32E1"/>
        </w:rPr>
        <w:t>heather.hille@toro.com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Branden Happel</w:t>
      </w:r>
    </w:p>
    <w:p>
      <w:pPr>
        <w:spacing w:after="0"/>
        <w:rPr>
          <w:sz w:val="20"/>
          <w:szCs w:val="20"/>
          <w:color w:val="auto"/>
        </w:rPr>
      </w:pPr>
      <w:r>
        <w:rPr>
          <w:rFonts w:ascii="Arial" w:cs="Arial" w:eastAsia="Arial" w:hAnsi="Arial"/>
          <w:sz w:val="20"/>
          <w:szCs w:val="20"/>
          <w:color w:val="auto"/>
        </w:rPr>
        <w:t>Senior Manager, Public Relations</w:t>
      </w:r>
    </w:p>
    <w:p>
      <w:pPr>
        <w:spacing w:after="0" w:line="1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887-8930, </w:t>
      </w:r>
      <w:r>
        <w:rPr>
          <w:rFonts w:ascii="Arial" w:cs="Arial" w:eastAsia="Arial" w:hAnsi="Arial"/>
          <w:sz w:val="20"/>
          <w:szCs w:val="20"/>
          <w:u w:val="single" w:color="auto"/>
          <w:color w:val="0E32E1"/>
        </w:rPr>
        <w:t>branden.happel@toro.com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Immediate Release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Toro Company Declares Regular Quarterly Cash Dividend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Authorizes repurchase of up to additional 6 million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BLOOMINGTON, Minn. (December 9, 2025) – The Toro Company (NYSE: TTC), a leading global provider of solutions for the outdoor environment, today announced that its Board of Directors has declared a regular quarterly cash dividend of $ 0.39 per share of TTC’s common stock, an increase over the previous $0.38 per share. This dividend is payable on January 12, 2026, to shareholders of record at the close of business on December 22, 2025.</w:t>
      </w:r>
    </w:p>
    <w:p>
      <w:pPr>
        <w:spacing w:after="0" w:line="209"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Additionally, the Board of Directors authorized the repurchase of up to an additional 6 million shares of TTC’s common stock in open-market or in privately negotiated transactions from time to time and in such amounts as management deems appropriate.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Toro Company (NYSE: TTC) is a leading global provider of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family of brands that includes Toro, Ditch Witch, Exmark, Spartan, BOSS, Ventrac, Tornado, American Augers,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www.thetorocompany.com.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52"/>
    </w:lvl>
  </w:abstractNum>
  <w:abstractNum w:abstractNumId="2">
    <w:nsid w:val="625558EC"/>
    <w:multiLevelType w:val="hybridMultilevel"/>
    <w:lvl w:ilvl="0">
      <w:lvlJc w:val="left"/>
      <w:lvlText w:val="(%1)"/>
      <w:numFmt w:val="decimal"/>
      <w:start w:val="952"/>
    </w:lvl>
  </w:abstractNum>
  <w:abstractNum w:abstractNumId="3">
    <w:nsid w:val="238E1F29"/>
    <w:multiLevelType w:val="hybridMultilevel"/>
    <w:lvl w:ilvl="0">
      <w:lvlJc w:val="left"/>
      <w:lvlText w:val="(%1)"/>
      <w:numFmt w:val="decimal"/>
      <w:start w:val="952"/>
    </w:lvl>
  </w:abstractNum>
  <w:abstractNum w:abstractNumId="4">
    <w:nsid w:val="46E87CCD"/>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19" Type="http://schemas.openxmlformats.org/officeDocument/2006/relationships/hyperlink" Target="https://www.sec.gov/Archives/edgar/data/737758/000162828025044620/cyclonearrange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2025-12-09T16:08:21Z</dcterms:created>
  <dcterms:modified xsi:type="dcterms:W3CDTF">2025-12-09T16:08:21Z</dcterms:modified>
</cp:coreProperties>
</file>