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TORO CO</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891092108</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12/31/2024</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16" w:type="dxa"/>
        <w:jc w:val="left"/>
        <w:tblInd w:w="0" w:type="dxa"/>
        <w:tblLayout w:type="fixed"/>
        <w:tblCellMar>
          <w:top w:w="28" w:type="dxa"/>
          <w:left w:w="28" w:type="dxa"/>
          <w:bottom w:w="28" w:type="dxa"/>
          <w:right w:w="28" w:type="dxa"/>
        </w:tblCellMar>
      </w:tblPr>
      <w:tblGrid>
        <w:gridCol w:w="1279"/>
        <w:gridCol w:w="3837"/>
      </w:tblGrid>
      <w:tr>
        <w:trPr/>
        <w:tc>
          <w:tcPr>
            <w:tcW w:w="1279" w:type="dxa"/>
            <w:tcBorders/>
            <w:vAlign w:val="center"/>
          </w:tcPr>
          <w:p>
            <w:pPr>
              <w:pStyle w:val="TableContents"/>
              <w:bidi w:val="0"/>
              <w:spacing w:before="0" w:after="283"/>
              <w:jc w:val="left"/>
              <w:rPr>
                <w:b/>
              </w:rPr>
            </w:pPr>
            <w:r>
              <w:rPr>
                <w:b/>
              </w:rPr>
              <w:t>CUSIP No.</w:t>
            </w:r>
          </w:p>
        </w:tc>
        <w:tc>
          <w:tcPr>
            <w:tcW w:w="3837" w:type="dxa"/>
            <w:tcBorders/>
            <w:vAlign w:val="center"/>
          </w:tcPr>
          <w:p>
            <w:pPr>
              <w:pStyle w:val="TableContents"/>
              <w:bidi w:val="0"/>
              <w:spacing w:before="0" w:after="0"/>
              <w:jc w:val="left"/>
              <w:rPr/>
            </w:pPr>
            <w:r>
              <w:rPr/>
              <w:t>891092108</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2"/>
        <w:gridCol w:w="8023"/>
      </w:tblGrid>
      <w:tr>
        <w:trPr/>
        <w:tc>
          <w:tcPr>
            <w:tcW w:w="2182" w:type="dxa"/>
            <w:tcBorders/>
            <w:vAlign w:val="center"/>
          </w:tcPr>
          <w:p>
            <w:pPr>
              <w:pStyle w:val="TableContents"/>
              <w:bidi w:val="0"/>
              <w:spacing w:before="0" w:after="283"/>
              <w:jc w:val="left"/>
              <w:rPr/>
            </w:pPr>
            <w:r>
              <w:rPr/>
              <w:t>1</w:t>
            </w:r>
          </w:p>
        </w:tc>
        <w:tc>
          <w:tcPr>
            <w:tcW w:w="802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Kayne Anderson Rudnick Investment Management, LLC</w:t>
            </w:r>
          </w:p>
        </w:tc>
      </w:tr>
      <w:tr>
        <w:trPr/>
        <w:tc>
          <w:tcPr>
            <w:tcW w:w="2182" w:type="dxa"/>
            <w:tcBorders/>
            <w:vAlign w:val="center"/>
          </w:tcPr>
          <w:p>
            <w:pPr>
              <w:pStyle w:val="TableContents"/>
              <w:bidi w:val="0"/>
              <w:spacing w:before="0" w:after="283"/>
              <w:jc w:val="left"/>
              <w:rPr/>
            </w:pPr>
            <w:r>
              <w:rPr/>
              <w:t>2</w:t>
            </w:r>
          </w:p>
        </w:tc>
        <w:tc>
          <w:tcPr>
            <w:tcW w:w="802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2" w:type="dxa"/>
            <w:tcBorders/>
            <w:vAlign w:val="center"/>
          </w:tcPr>
          <w:p>
            <w:pPr>
              <w:pStyle w:val="TableContents"/>
              <w:bidi w:val="0"/>
              <w:spacing w:before="0" w:after="283"/>
              <w:jc w:val="left"/>
              <w:rPr/>
            </w:pPr>
            <w:r>
              <w:rPr/>
              <w:t>3</w:t>
            </w:r>
          </w:p>
        </w:tc>
        <w:tc>
          <w:tcPr>
            <w:tcW w:w="8023" w:type="dxa"/>
            <w:tcBorders/>
            <w:vAlign w:val="center"/>
          </w:tcPr>
          <w:p>
            <w:pPr>
              <w:pStyle w:val="TableContents"/>
              <w:bidi w:val="0"/>
              <w:spacing w:before="0" w:after="283"/>
              <w:jc w:val="left"/>
              <w:rPr/>
            </w:pPr>
            <w:r>
              <w:rPr/>
              <w:t>Sec Use Only</w:t>
            </w:r>
          </w:p>
        </w:tc>
      </w:tr>
      <w:tr>
        <w:trPr/>
        <w:tc>
          <w:tcPr>
            <w:tcW w:w="2182" w:type="dxa"/>
            <w:tcBorders/>
            <w:vAlign w:val="center"/>
          </w:tcPr>
          <w:p>
            <w:pPr>
              <w:pStyle w:val="TableContents"/>
              <w:bidi w:val="0"/>
              <w:spacing w:before="0" w:after="283"/>
              <w:jc w:val="left"/>
              <w:rPr/>
            </w:pPr>
            <w:r>
              <w:rPr/>
              <w:t>4</w:t>
            </w:r>
          </w:p>
        </w:tc>
        <w:tc>
          <w:tcPr>
            <w:tcW w:w="802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CALIFORNIA </w:t>
            </w:r>
          </w:p>
        </w:tc>
      </w:tr>
      <w:tr>
        <w:trPr/>
        <w:tc>
          <w:tcPr>
            <w:tcW w:w="218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4,846,195.00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1,532,235.00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5,499,165.00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1,532,235.00</w:t>
                  </w:r>
                </w:p>
              </w:tc>
            </w:tr>
          </w:tbl>
          <w:p>
            <w:pPr>
              <w:pStyle w:val="TableContents"/>
              <w:bidi w:val="0"/>
              <w:spacing w:before="0" w:after="283"/>
              <w:jc w:val="left"/>
              <w:rPr/>
            </w:pPr>
            <w:r>
              <w:rPr/>
            </w:r>
          </w:p>
        </w:tc>
        <w:tc>
          <w:tcPr>
            <w:tcW w:w="8023" w:type="dxa"/>
            <w:tcBorders/>
            <w:vAlign w:val="center"/>
          </w:tcPr>
          <w:p>
            <w:pPr>
              <w:pStyle w:val="TableContents"/>
              <w:bidi w:val="0"/>
              <w:spacing w:before="0" w:after="283"/>
              <w:jc w:val="left"/>
              <w:rPr>
                <w:sz w:val="4"/>
                <w:szCs w:val="4"/>
              </w:rPr>
            </w:pPr>
            <w:r>
              <w:rPr>
                <w:sz w:val="4"/>
                <w:szCs w:val="4"/>
              </w:rPr>
            </w:r>
          </w:p>
        </w:tc>
      </w:tr>
      <w:tr>
        <w:trPr/>
        <w:tc>
          <w:tcPr>
            <w:tcW w:w="2182" w:type="dxa"/>
            <w:tcBorders/>
            <w:vAlign w:val="center"/>
          </w:tcPr>
          <w:p>
            <w:pPr>
              <w:pStyle w:val="TableContents"/>
              <w:bidi w:val="0"/>
              <w:spacing w:before="0" w:after="283"/>
              <w:jc w:val="left"/>
              <w:rPr/>
            </w:pPr>
            <w:r>
              <w:rPr/>
              <w:t>9</w:t>
            </w:r>
          </w:p>
        </w:tc>
        <w:tc>
          <w:tcPr>
            <w:tcW w:w="802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7,031,400.00</w:t>
            </w:r>
          </w:p>
        </w:tc>
      </w:tr>
      <w:tr>
        <w:trPr/>
        <w:tc>
          <w:tcPr>
            <w:tcW w:w="2182" w:type="dxa"/>
            <w:tcBorders/>
            <w:vAlign w:val="center"/>
          </w:tcPr>
          <w:p>
            <w:pPr>
              <w:pStyle w:val="TableContents"/>
              <w:bidi w:val="0"/>
              <w:spacing w:before="0" w:after="283"/>
              <w:jc w:val="left"/>
              <w:rPr/>
            </w:pPr>
            <w:r>
              <w:rPr/>
              <w:t>10</w:t>
            </w:r>
          </w:p>
        </w:tc>
        <w:tc>
          <w:tcPr>
            <w:tcW w:w="802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2" w:type="dxa"/>
            <w:tcBorders/>
            <w:vAlign w:val="center"/>
          </w:tcPr>
          <w:p>
            <w:pPr>
              <w:pStyle w:val="TableContents"/>
              <w:bidi w:val="0"/>
              <w:spacing w:before="0" w:after="283"/>
              <w:jc w:val="left"/>
              <w:rPr/>
            </w:pPr>
            <w:r>
              <w:rPr/>
              <w:t>11</w:t>
            </w:r>
          </w:p>
        </w:tc>
        <w:tc>
          <w:tcPr>
            <w:tcW w:w="802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6.95 % </w:t>
            </w:r>
          </w:p>
        </w:tc>
      </w:tr>
      <w:tr>
        <w:trPr/>
        <w:tc>
          <w:tcPr>
            <w:tcW w:w="2182" w:type="dxa"/>
            <w:tcBorders/>
            <w:vAlign w:val="center"/>
          </w:tcPr>
          <w:p>
            <w:pPr>
              <w:pStyle w:val="TableContents"/>
              <w:bidi w:val="0"/>
              <w:spacing w:before="0" w:after="283"/>
              <w:jc w:val="left"/>
              <w:rPr/>
            </w:pPr>
            <w:r>
              <w:rPr/>
              <w:t>12</w:t>
            </w:r>
          </w:p>
        </w:tc>
        <w:tc>
          <w:tcPr>
            <w:tcW w:w="802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TORO CO</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8111 LYNDALE AVENUE SOUTH, BLOOMINGTON, MN, 55420</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Kayne Anderson Rudnick Investment Management, LLC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2000 Avenue of the Stars, Suite 1110, Los Angeles, CA 90067</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A California Limited Liability Company</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jc w:val="left"/>
              <w:rPr/>
            </w:pPr>
            <w:r>
              <w:rPr/>
              <w:t xml:space="preserve">CUSIP No.: </w:t>
            </w:r>
          </w:p>
          <w:p>
            <w:pPr>
              <w:pStyle w:val="TableContents"/>
              <w:bidi w:val="0"/>
              <w:spacing w:before="0" w:after="0"/>
              <w:jc w:val="left"/>
              <w:rPr/>
            </w:pPr>
            <w:r>
              <w:rPr/>
              <w:t>891092108</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7031400</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6.95  %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4846195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1532235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5499165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1532235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10205" w:type="dxa"/>
        <w:jc w:val="left"/>
        <w:tblInd w:w="0" w:type="dxa"/>
        <w:tblLayout w:type="fixed"/>
        <w:tblCellMar>
          <w:top w:w="28" w:type="dxa"/>
          <w:left w:w="28" w:type="dxa"/>
          <w:bottom w:w="28" w:type="dxa"/>
          <w:right w:w="28" w:type="dxa"/>
        </w:tblCellMar>
      </w:tblPr>
      <w:tblGrid>
        <w:gridCol w:w="5197"/>
        <w:gridCol w:w="5008"/>
      </w:tblGrid>
      <w:tr>
        <w:trPr/>
        <w:tc>
          <w:tcPr>
            <w:tcW w:w="5197" w:type="dxa"/>
            <w:tcBorders/>
            <w:vAlign w:val="center"/>
          </w:tcPr>
          <w:p>
            <w:pPr>
              <w:pStyle w:val="TableContents"/>
              <w:bidi w:val="0"/>
              <w:spacing w:before="0" w:after="0"/>
              <w:jc w:val="left"/>
              <w:rPr/>
            </w:pPr>
            <w:r>
              <w:rPr/>
              <w:t> </w:t>
            </w:r>
          </w:p>
          <w:tbl>
            <w:tblPr>
              <w:tblW w:w="5626" w:type="dxa"/>
              <w:jc w:val="left"/>
              <w:tblInd w:w="0" w:type="dxa"/>
              <w:tblLayout w:type="fixed"/>
              <w:tblCellMar>
                <w:top w:w="28" w:type="dxa"/>
                <w:left w:w="28" w:type="dxa"/>
                <w:bottom w:w="28" w:type="dxa"/>
                <w:right w:w="28" w:type="dxa"/>
              </w:tblCellMar>
            </w:tblPr>
            <w:tblGrid>
              <w:gridCol w:w="5626"/>
            </w:tblGrid>
            <w:tr>
              <w:trPr/>
              <w:tc>
                <w:tcPr>
                  <w:tcW w:w="5626" w:type="dxa"/>
                  <w:tcBorders/>
                  <w:vAlign w:val="center"/>
                </w:tcPr>
                <w:p>
                  <w:pPr>
                    <w:pStyle w:val="TableContents"/>
                    <w:bidi w:val="0"/>
                    <w:spacing w:before="0" w:after="0"/>
                    <w:jc w:val="left"/>
                    <w:rPr/>
                  </w:pPr>
                  <w:r>
                    <w:rPr/>
                    <w:t>Kayne Anderson Rudnick Investment Management, LLC</w:t>
                  </w:r>
                </w:p>
              </w:tc>
            </w:tr>
          </w:tbl>
          <w:p>
            <w:pPr>
              <w:pStyle w:val="TableContents"/>
              <w:bidi w:val="0"/>
              <w:spacing w:before="0" w:after="283"/>
              <w:jc w:val="left"/>
              <w:rPr/>
            </w:pPr>
            <w:r>
              <w:rPr/>
            </w:r>
          </w:p>
        </w:tc>
        <w:tc>
          <w:tcPr>
            <w:tcW w:w="500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1"/>
        <w:gridCol w:w="4264"/>
      </w:tblGrid>
      <w:tr>
        <w:trPr/>
        <w:tc>
          <w:tcPr>
            <w:tcW w:w="594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Michael Shoemaker</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Michael Shoemaker, Chief Compliance Officer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02/14/2025</w:t>
                  </w:r>
                </w:p>
              </w:tc>
            </w:tr>
          </w:tbl>
          <w:p>
            <w:pPr>
              <w:pStyle w:val="TableContents"/>
              <w:bidi w:val="0"/>
              <w:spacing w:before="0" w:after="283"/>
              <w:jc w:val="left"/>
              <w:rPr/>
            </w:pPr>
            <w:r>
              <w:rPr/>
            </w:r>
          </w:p>
        </w:tc>
        <w:tc>
          <w:tcPr>
            <w:tcW w:w="426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733</Words>
  <Characters>3845</Characters>
  <CharactersWithSpaces>4566</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