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003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039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Ramstad Peter M</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12/06/2011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66"/>
        <w:spacing w:after="0"/>
        <w:rPr>
          <w:sz w:val="20"/>
          <w:szCs w:val="20"/>
          <w:color w:val="auto"/>
        </w:rPr>
      </w:pPr>
      <w:r>
        <w:rPr>
          <w:rFonts w:ascii="Arial" w:cs="Arial" w:eastAsia="Arial" w:hAnsi="Arial"/>
          <w:sz w:val="17"/>
          <w:szCs w:val="17"/>
          <w:color w:val="0000FF"/>
        </w:rPr>
        <w:t>VP, HR and Bus. Development</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20"/>
              <w:spacing w:after="0" w:line="132"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1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440" w:type="dxa"/>
            <w:vAlign w:val="bottom"/>
          </w:tcPr>
          <w:p>
            <w:pPr>
              <w:spacing w:after="0"/>
              <w:rPr>
                <w:sz w:val="11"/>
                <w:szCs w:val="11"/>
                <w:color w:val="auto"/>
              </w:rPr>
            </w:pPr>
          </w:p>
        </w:tc>
        <w:tc>
          <w:tcPr>
            <w:tcW w:w="9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8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82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12/06/2011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89"/>
              </w:rPr>
              <w:t>2,500</w:t>
            </w:r>
            <w:r>
              <w:rPr>
                <w:rFonts w:ascii="Arial" w:cs="Arial" w:eastAsia="Arial" w:hAnsi="Arial"/>
                <w:sz w:val="22"/>
                <w:szCs w:val="22"/>
                <w:color w:val="008000"/>
                <w:w w:val="89"/>
                <w:vertAlign w:val="superscript"/>
              </w:rPr>
              <w:t>(1)</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right="13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780" w:type="dxa"/>
            <w:vAlign w:val="bottom"/>
            <w:tcBorders>
              <w:bottom w:val="single" w:sz="8" w:color="2C2C2C"/>
            </w:tcBorders>
          </w:tcPr>
          <w:p>
            <w:pPr>
              <w:jc w:val="center"/>
              <w:ind w:left="314"/>
              <w:spacing w:after="0"/>
              <w:rPr>
                <w:sz w:val="20"/>
                <w:szCs w:val="20"/>
                <w:color w:val="auto"/>
              </w:rPr>
            </w:pPr>
            <w:r>
              <w:rPr>
                <w:rFonts w:ascii="Arial" w:cs="Arial" w:eastAsia="Arial" w:hAnsi="Arial"/>
                <w:sz w:val="17"/>
                <w:szCs w:val="17"/>
                <w:color w:val="0000FF"/>
                <w:w w:val="93"/>
              </w:rPr>
              <w:t>2,500</w:t>
            </w:r>
          </w:p>
        </w:tc>
        <w:tc>
          <w:tcPr>
            <w:tcW w:w="4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1"/>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3,289.51</w:t>
            </w:r>
            <w:r>
              <w:rPr>
                <w:rFonts w:ascii="Arial" w:cs="Arial" w:eastAsia="Arial" w:hAnsi="Arial"/>
                <w:sz w:val="22"/>
                <w:szCs w:val="22"/>
                <w:color w:val="008000"/>
                <w:w w:val="87"/>
                <w:vertAlign w:val="superscript"/>
              </w:rPr>
              <w:t>(2)</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1"/>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8"/>
              </w:rPr>
              <w:t>217.892</w:t>
            </w:r>
            <w:r>
              <w:rPr>
                <w:rFonts w:ascii="Arial" w:cs="Arial" w:eastAsia="Arial" w:hAnsi="Arial"/>
                <w:sz w:val="22"/>
                <w:szCs w:val="22"/>
                <w:color w:val="008000"/>
                <w:w w:val="88"/>
                <w:vertAlign w:val="superscript"/>
              </w:rPr>
              <w:t>(3)</w:t>
            </w:r>
          </w:p>
        </w:tc>
        <w:tc>
          <w:tcPr>
            <w:tcW w:w="340" w:type="dxa"/>
            <w:vAlign w:val="bottom"/>
          </w:tcPr>
          <w:p>
            <w:pPr>
              <w:spacing w:after="0"/>
              <w:rPr>
                <w:sz w:val="18"/>
                <w:szCs w:val="18"/>
                <w:color w:val="auto"/>
              </w:rPr>
            </w:pPr>
          </w:p>
        </w:tc>
        <w:tc>
          <w:tcPr>
            <w:tcW w:w="600" w:type="dxa"/>
            <w:vAlign w:val="bottom"/>
          </w:tcPr>
          <w:p>
            <w:pPr>
              <w:jc w:val="center"/>
              <w:ind w:right="351"/>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6460" w:type="dxa"/>
            <w:vAlign w:val="bottom"/>
            <w:tcBorders>
              <w:bottom w:val="single" w:sz="8" w:color="2C2C2C"/>
            </w:tcBorders>
            <w:gridSpan w:val="10"/>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0"/>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5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780" w:type="dxa"/>
            <w:vAlign w:val="bottom"/>
          </w:tcPr>
          <w:p>
            <w:pPr>
              <w:spacing w:after="0"/>
              <w:rPr>
                <w:sz w:val="11"/>
                <w:szCs w:val="11"/>
                <w:color w:val="auto"/>
              </w:rPr>
            </w:pPr>
          </w:p>
        </w:tc>
        <w:tc>
          <w:tcPr>
            <w:tcW w:w="44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(Instr. 4)</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56.45</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12/07/2011</w:t>
            </w:r>
          </w:p>
        </w:tc>
        <w:tc>
          <w:tcPr>
            <w:tcW w:w="1180" w:type="dxa"/>
            <w:vAlign w:val="bottom"/>
          </w:tcPr>
          <w:p>
            <w:pPr>
              <w:spacing w:after="0"/>
              <w:rPr>
                <w:sz w:val="17"/>
                <w:szCs w:val="17"/>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17"/>
                <w:szCs w:val="17"/>
                <w:color w:val="auto"/>
              </w:rPr>
            </w:pPr>
          </w:p>
        </w:tc>
        <w:tc>
          <w:tcPr>
            <w:tcW w:w="560" w:type="dxa"/>
            <w:vAlign w:val="bottom"/>
          </w:tcPr>
          <w:p>
            <w:pPr>
              <w:ind w:left="80"/>
              <w:spacing w:after="0"/>
              <w:rPr>
                <w:sz w:val="20"/>
                <w:szCs w:val="20"/>
                <w:color w:val="auto"/>
              </w:rPr>
            </w:pPr>
            <w:r>
              <w:rPr>
                <w:rFonts w:ascii="Arial" w:cs="Arial" w:eastAsia="Arial" w:hAnsi="Arial"/>
                <w:sz w:val="13"/>
                <w:szCs w:val="13"/>
                <w:color w:val="0000FF"/>
              </w:rPr>
              <w:t>10,200</w:t>
            </w:r>
          </w:p>
        </w:tc>
        <w:tc>
          <w:tcPr>
            <w:tcW w:w="340" w:type="dxa"/>
            <w:vAlign w:val="bottom"/>
          </w:tcPr>
          <w:p>
            <w:pPr>
              <w:spacing w:after="0"/>
              <w:rPr>
                <w:sz w:val="17"/>
                <w:szCs w:val="17"/>
                <w:color w:val="auto"/>
              </w:rPr>
            </w:pPr>
          </w:p>
        </w:tc>
        <w:tc>
          <w:tcPr>
            <w:tcW w:w="780" w:type="dxa"/>
            <w:vAlign w:val="bottom"/>
          </w:tcPr>
          <w:p>
            <w:pPr>
              <w:ind w:left="260"/>
              <w:spacing w:after="0"/>
              <w:rPr>
                <w:sz w:val="20"/>
                <w:szCs w:val="20"/>
                <w:color w:val="auto"/>
              </w:rPr>
            </w:pPr>
            <w:r>
              <w:rPr>
                <w:rFonts w:ascii="Arial" w:cs="Arial" w:eastAsia="Arial" w:hAnsi="Arial"/>
                <w:sz w:val="11"/>
                <w:szCs w:val="11"/>
                <w:color w:val="008000"/>
              </w:rPr>
              <w:t>(4)</w:t>
            </w:r>
          </w:p>
        </w:tc>
        <w:tc>
          <w:tcPr>
            <w:tcW w:w="740" w:type="dxa"/>
            <w:vAlign w:val="bottom"/>
          </w:tcPr>
          <w:p>
            <w:pPr>
              <w:ind w:left="40"/>
              <w:spacing w:after="0"/>
              <w:rPr>
                <w:sz w:val="20"/>
                <w:szCs w:val="20"/>
                <w:color w:val="auto"/>
              </w:rPr>
            </w:pPr>
            <w:r>
              <w:rPr>
                <w:rFonts w:ascii="Arial" w:cs="Arial" w:eastAsia="Arial" w:hAnsi="Arial"/>
                <w:sz w:val="13"/>
                <w:szCs w:val="13"/>
                <w:color w:val="0000FF"/>
              </w:rPr>
              <w:t>12/07/2021</w:t>
            </w: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13"/>
              <w:spacing w:after="0"/>
              <w:rPr>
                <w:sz w:val="20"/>
                <w:szCs w:val="20"/>
                <w:color w:val="auto"/>
              </w:rPr>
            </w:pPr>
            <w:r>
              <w:rPr>
                <w:rFonts w:ascii="Arial" w:cs="Arial" w:eastAsia="Arial" w:hAnsi="Arial"/>
                <w:sz w:val="17"/>
                <w:szCs w:val="17"/>
                <w:color w:val="0000FF"/>
                <w:w w:val="88"/>
              </w:rPr>
              <w:t>10,200</w:t>
            </w:r>
          </w:p>
        </w:tc>
        <w:tc>
          <w:tcPr>
            <w:tcW w:w="78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gridSpan w:val="2"/>
          </w:tcPr>
          <w:p>
            <w:pPr>
              <w:ind w:left="240"/>
              <w:spacing w:after="0"/>
              <w:rPr>
                <w:sz w:val="20"/>
                <w:szCs w:val="20"/>
                <w:color w:val="auto"/>
              </w:rPr>
            </w:pPr>
            <w:r>
              <w:rPr>
                <w:rFonts w:ascii="Arial" w:cs="Arial" w:eastAsia="Arial" w:hAnsi="Arial"/>
                <w:sz w:val="13"/>
                <w:szCs w:val="13"/>
                <w:color w:val="0000FF"/>
              </w:rPr>
              <w:t>10,200</w:t>
            </w: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ind w:left="14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4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payout of a Performance Share Award for the Fiscal 2009 to Fiscal 2011 Performance Period under The Toro Company Performance Share Plan, as approved by the registrant's Compensation &amp; Human Resources Committee of its Board of Directors and conditioned upon and subject to confirmation by the registrant's Fiscal 2011 financial results released on December 6, 2011. The reporting person has deferred the payout of his Performance Share Award under The Toro Company Deferred Compensation Plan for Officers and, accordingly, the reporting person's Performance Share Award is paid in performance share units under that plan.</w:t>
      </w:r>
    </w:p>
    <w:p>
      <w:pPr>
        <w:spacing w:after="0" w:line="25"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43.832 shares of common stock acquired by the reporting person under The Toro Company Dividend Reinvestment Plan since the date of his last report.</w:t>
      </w:r>
    </w:p>
    <w:p>
      <w:pPr>
        <w:spacing w:after="0" w:line="51" w:lineRule="exact"/>
        <w:rPr>
          <w:rFonts w:ascii="Arial" w:cs="Arial" w:eastAsia="Arial" w:hAnsi="Arial"/>
          <w:sz w:val="13"/>
          <w:szCs w:val="13"/>
          <w:color w:val="008000"/>
        </w:rPr>
      </w:pPr>
    </w:p>
    <w:p>
      <w:pPr>
        <w:ind w:left="40" w:right="7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the following shares of common stock acquired by the reporting person since the date of his last report: 2.529 shares acquired under the dividend reinvestment feature of The Toro Company Investment, Savings &amp; ESOP (IS&amp;ESOP); and 58.142 shares acquired through issuer annual investment fund contributions to the IS&amp;ESOP.</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12/08/2011</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Arial" w:cs="Arial" w:eastAsia="Arial" w:hAnsi="Arial"/>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210" w:lineRule="exact"/>
        <w:rPr>
          <w:sz w:val="20"/>
          <w:szCs w:val="20"/>
          <w:color w:val="auto"/>
        </w:rPr>
      </w:pPr>
    </w:p>
    <w:p>
      <w:pPr>
        <w:ind w:right="3099"/>
        <w:spacing w:after="0" w:line="251"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Amy E. Dahl, Timothy P. Dordell and Nancy A. McGrath, signing singly, true and lawful attorneys-in-fact relative to the filings identified below in connection with the undersigned's derivative and non-derivative securities of The Toro Company (the ?Company?) to:</w:t>
      </w:r>
    </w:p>
    <w:p>
      <w:pPr>
        <w:spacing w:after="0" w:line="200" w:lineRule="exact"/>
        <w:rPr>
          <w:sz w:val="20"/>
          <w:szCs w:val="20"/>
          <w:color w:val="auto"/>
        </w:rPr>
      </w:pPr>
    </w:p>
    <w:p>
      <w:pPr>
        <w:ind w:right="3099" w:firstLine="7"/>
        <w:spacing w:after="0" w:line="252" w:lineRule="auto"/>
        <w:tabs>
          <w:tab w:leader="none" w:pos="83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196" w:lineRule="exact"/>
        <w:rPr>
          <w:rFonts w:ascii="Courier New" w:cs="Courier New" w:eastAsia="Courier New" w:hAnsi="Courier New"/>
          <w:sz w:val="17"/>
          <w:szCs w:val="17"/>
          <w:color w:val="auto"/>
        </w:rPr>
      </w:pPr>
    </w:p>
    <w:p>
      <w:pPr>
        <w:ind w:right="3419" w:firstLine="7"/>
        <w:spacing w:after="0" w:line="252" w:lineRule="auto"/>
        <w:tabs>
          <w:tab w:leader="none" w:pos="83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196" w:lineRule="exact"/>
        <w:rPr>
          <w:rFonts w:ascii="Courier New" w:cs="Courier New" w:eastAsia="Courier New" w:hAnsi="Courier New"/>
          <w:sz w:val="17"/>
          <w:szCs w:val="17"/>
          <w:color w:val="auto"/>
        </w:rPr>
      </w:pPr>
    </w:p>
    <w:p>
      <w:pPr>
        <w:ind w:right="3099" w:firstLine="7"/>
        <w:spacing w:after="0" w:line="252" w:lineRule="auto"/>
        <w:tabs>
          <w:tab w:leader="none" w:pos="83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196" w:lineRule="exact"/>
        <w:rPr>
          <w:rFonts w:ascii="Courier New" w:cs="Courier New" w:eastAsia="Courier New" w:hAnsi="Courier New"/>
          <w:sz w:val="17"/>
          <w:szCs w:val="17"/>
          <w:color w:val="auto"/>
        </w:rPr>
      </w:pPr>
    </w:p>
    <w:p>
      <w:pPr>
        <w:ind w:right="3099" w:firstLine="7"/>
        <w:spacing w:after="0" w:line="251" w:lineRule="auto"/>
        <w:tabs>
          <w:tab w:leader="none" w:pos="83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199" w:lineRule="exact"/>
        <w:rPr>
          <w:sz w:val="20"/>
          <w:szCs w:val="20"/>
          <w:color w:val="auto"/>
        </w:rPr>
      </w:pPr>
    </w:p>
    <w:p>
      <w:pPr>
        <w:ind w:right="2999"/>
        <w:spacing w:after="0" w:line="251"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198" w:lineRule="exact"/>
        <w:rPr>
          <w:sz w:val="20"/>
          <w:szCs w:val="20"/>
          <w:color w:val="auto"/>
        </w:rPr>
      </w:pPr>
    </w:p>
    <w:p>
      <w:pPr>
        <w:ind w:right="3099"/>
        <w:spacing w:after="0" w:line="252" w:lineRule="auto"/>
        <w:rPr>
          <w:sz w:val="20"/>
          <w:szCs w:val="20"/>
          <w:color w:val="auto"/>
        </w:rPr>
      </w:pPr>
      <w:r>
        <w:rPr>
          <w:rFonts w:ascii="Courier New" w:cs="Courier New" w:eastAsia="Courier New" w:hAnsi="Courier New"/>
          <w:sz w:val="17"/>
          <w:szCs w:val="17"/>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an officer of the Company, whichever first occurs.</w:t>
      </w:r>
    </w:p>
    <w:p>
      <w:pPr>
        <w:sectPr>
          <w:pgSz w:w="11900" w:h="16838" w:orient="portrait"/>
          <w:cols w:equalWidth="0" w:num="1">
            <w:col w:w="10219"/>
          </w:cols>
          <w:pgMar w:left="240" w:top="142" w:right="1440" w:bottom="1440" w:gutter="0" w:footer="0" w:header="0"/>
        </w:sect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Peter M. Ramstad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Peter M. Ramstad</w:t>
      </w:r>
    </w:p>
    <w:p>
      <w:pPr>
        <w:spacing w:after="0" w:line="200" w:lineRule="exact"/>
        <w:rPr>
          <w:sz w:val="20"/>
          <w:szCs w:val="20"/>
          <w:color w:val="auto"/>
        </w:rPr>
      </w:pPr>
    </w:p>
    <w:p>
      <w:pPr>
        <w:sectPr>
          <w:pgSz w:w="11900" w:h="16838" w:orient="portrait"/>
          <w:cols w:equalWidth="0" w:num="2">
            <w:col w:w="960" w:space="720"/>
            <w:col w:w="8539"/>
          </w:cols>
          <w:pgMar w:left="240" w:top="142"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03/25/2011</w:t>
      </w:r>
    </w:p>
    <w:sectPr>
      <w:pgSz w:w="11900" w:h="16838" w:orient="portrait"/>
      <w:cols w:equalWidth="0" w:num="2">
        <w:col w:w="640" w:space="200"/>
        <w:col w:w="937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1271"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2019-12-17T00:57:50Z</dcterms:created>
  <dcterms:modified xsi:type="dcterms:W3CDTF">2019-12-17T00:57:50Z</dcterms:modified>
</cp:coreProperties>
</file>