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December 7, 2017</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TORO COMPANY</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372" w:lineRule="exact"/>
        <w:rPr>
          <w:sz w:val="24"/>
          <w:szCs w:val="24"/>
          <w:color w:val="auto"/>
        </w:rPr>
      </w:pPr>
    </w:p>
    <w:tbl>
      <w:tblPr>
        <w:tblLayout w:type="fixed"/>
        <w:tblInd w:w="1000" w:type="dxa"/>
        <w:tblCellMar>
          <w:top w:w="0" w:type="dxa"/>
          <w:left w:w="0" w:type="dxa"/>
          <w:bottom w:w="0" w:type="dxa"/>
          <w:right w:w="0" w:type="dxa"/>
        </w:tblCellMar>
      </w:tblPr>
      <w:tr>
        <w:trPr>
          <w:trHeight w:val="256"/>
        </w:trPr>
        <w:tc>
          <w:tcPr>
            <w:tcW w:w="4060" w:type="dxa"/>
            <w:vAlign w:val="bottom"/>
            <w:gridSpan w:val="4"/>
          </w:tcPr>
          <w:p>
            <w:pPr>
              <w:jc w:val="center"/>
              <w:ind w:right="1820"/>
              <w:spacing w:after="0"/>
              <w:rPr>
                <w:sz w:val="20"/>
                <w:szCs w:val="20"/>
                <w:color w:val="auto"/>
              </w:rPr>
            </w:pPr>
            <w:r>
              <w:rPr>
                <w:rFonts w:ascii="Arial" w:cs="Arial" w:eastAsia="Arial" w:hAnsi="Arial"/>
                <w:sz w:val="20"/>
                <w:szCs w:val="20"/>
                <w:b w:val="1"/>
                <w:bCs w:val="1"/>
                <w:color w:val="auto"/>
                <w:w w:val="91"/>
              </w:rPr>
              <w:t>Delaware</w:t>
            </w:r>
          </w:p>
        </w:tc>
        <w:tc>
          <w:tcPr>
            <w:tcW w:w="2940" w:type="dxa"/>
            <w:vAlign w:val="bottom"/>
            <w:gridSpan w:val="2"/>
          </w:tcPr>
          <w:p>
            <w:pPr>
              <w:jc w:val="right"/>
              <w:ind w:right="1720"/>
              <w:spacing w:after="0"/>
              <w:rPr>
                <w:sz w:val="20"/>
                <w:szCs w:val="20"/>
                <w:color w:val="auto"/>
              </w:rPr>
            </w:pPr>
            <w:r>
              <w:rPr>
                <w:rFonts w:ascii="Arial" w:cs="Arial" w:eastAsia="Arial" w:hAnsi="Arial"/>
                <w:sz w:val="20"/>
                <w:szCs w:val="20"/>
                <w:b w:val="1"/>
                <w:bCs w:val="1"/>
                <w:color w:val="auto"/>
              </w:rPr>
              <w:t>1-8649</w:t>
            </w:r>
          </w:p>
        </w:tc>
        <w:tc>
          <w:tcPr>
            <w:tcW w:w="2920" w:type="dxa"/>
            <w:vAlign w:val="bottom"/>
            <w:gridSpan w:val="5"/>
          </w:tcPr>
          <w:p>
            <w:pPr>
              <w:jc w:val="right"/>
              <w:ind w:right="840"/>
              <w:spacing w:after="0"/>
              <w:rPr>
                <w:sz w:val="20"/>
                <w:szCs w:val="20"/>
                <w:color w:val="auto"/>
              </w:rPr>
            </w:pPr>
            <w:r>
              <w:rPr>
                <w:rFonts w:ascii="Arial" w:cs="Arial" w:eastAsia="Arial" w:hAnsi="Arial"/>
                <w:sz w:val="20"/>
                <w:szCs w:val="20"/>
                <w:b w:val="1"/>
                <w:bCs w:val="1"/>
                <w:color w:val="auto"/>
              </w:rPr>
              <w:t>41-0580470</w:t>
            </w:r>
          </w:p>
        </w:tc>
      </w:tr>
      <w:tr>
        <w:trPr>
          <w:trHeight w:val="247"/>
        </w:trPr>
        <w:tc>
          <w:tcPr>
            <w:tcW w:w="4060" w:type="dxa"/>
            <w:vAlign w:val="bottom"/>
            <w:gridSpan w:val="4"/>
          </w:tcPr>
          <w:p>
            <w:pPr>
              <w:jc w:val="center"/>
              <w:ind w:right="1820"/>
              <w:spacing w:after="0"/>
              <w:rPr>
                <w:sz w:val="20"/>
                <w:szCs w:val="20"/>
                <w:color w:val="auto"/>
              </w:rPr>
            </w:pPr>
            <w:r>
              <w:rPr>
                <w:rFonts w:ascii="Arial" w:cs="Arial" w:eastAsia="Arial" w:hAnsi="Arial"/>
                <w:sz w:val="16"/>
                <w:szCs w:val="16"/>
                <w:color w:val="auto"/>
                <w:w w:val="92"/>
              </w:rPr>
              <w:t>(State of Incorporation)</w:t>
            </w:r>
          </w:p>
        </w:tc>
        <w:tc>
          <w:tcPr>
            <w:tcW w:w="2940" w:type="dxa"/>
            <w:vAlign w:val="bottom"/>
            <w:gridSpan w:val="2"/>
          </w:tcPr>
          <w:p>
            <w:pPr>
              <w:jc w:val="center"/>
              <w:ind w:right="1060"/>
              <w:spacing w:after="0"/>
              <w:rPr>
                <w:sz w:val="20"/>
                <w:szCs w:val="20"/>
                <w:color w:val="auto"/>
              </w:rPr>
            </w:pPr>
            <w:r>
              <w:rPr>
                <w:rFonts w:ascii="Arial" w:cs="Arial" w:eastAsia="Arial" w:hAnsi="Arial"/>
                <w:sz w:val="16"/>
                <w:szCs w:val="16"/>
                <w:color w:val="auto"/>
                <w:w w:val="94"/>
              </w:rPr>
              <w:t>(Commission File Number)</w:t>
            </w:r>
          </w:p>
        </w:tc>
        <w:tc>
          <w:tcPr>
            <w:tcW w:w="2920" w:type="dxa"/>
            <w:vAlign w:val="bottom"/>
            <w:gridSpan w:val="5"/>
          </w:tcPr>
          <w:p>
            <w:pPr>
              <w:jc w:val="center"/>
              <w:ind w:left="187"/>
              <w:spacing w:after="0"/>
              <w:rPr>
                <w:sz w:val="20"/>
                <w:szCs w:val="20"/>
                <w:color w:val="auto"/>
              </w:rPr>
            </w:pPr>
            <w:r>
              <w:rPr>
                <w:rFonts w:ascii="Arial" w:cs="Arial" w:eastAsia="Arial" w:hAnsi="Arial"/>
                <w:sz w:val="16"/>
                <w:szCs w:val="16"/>
                <w:color w:val="auto"/>
                <w:w w:val="94"/>
              </w:rPr>
              <w:t>(I.R.S. Employer Identification Number)</w:t>
            </w:r>
          </w:p>
        </w:tc>
      </w:tr>
      <w:tr>
        <w:trPr>
          <w:trHeight w:val="618"/>
        </w:trPr>
        <w:tc>
          <w:tcPr>
            <w:tcW w:w="920" w:type="dxa"/>
            <w:vAlign w:val="bottom"/>
          </w:tcPr>
          <w:p>
            <w:pPr>
              <w:spacing w:after="0"/>
              <w:rPr>
                <w:sz w:val="24"/>
                <w:szCs w:val="24"/>
                <w:color w:val="auto"/>
              </w:rPr>
            </w:pPr>
          </w:p>
        </w:tc>
        <w:tc>
          <w:tcPr>
            <w:tcW w:w="3140" w:type="dxa"/>
            <w:vAlign w:val="bottom"/>
            <w:gridSpan w:val="3"/>
          </w:tcPr>
          <w:p>
            <w:pPr>
              <w:jc w:val="center"/>
              <w:ind w:right="560"/>
              <w:spacing w:after="0"/>
              <w:rPr>
                <w:sz w:val="20"/>
                <w:szCs w:val="20"/>
                <w:color w:val="auto"/>
              </w:rPr>
            </w:pPr>
            <w:r>
              <w:rPr>
                <w:rFonts w:ascii="Arial" w:cs="Arial" w:eastAsia="Arial" w:hAnsi="Arial"/>
                <w:sz w:val="20"/>
                <w:szCs w:val="20"/>
                <w:b w:val="1"/>
                <w:bCs w:val="1"/>
                <w:color w:val="auto"/>
                <w:w w:val="88"/>
              </w:rPr>
              <w:t>8111 Lyndale Avenue South</w:t>
            </w: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2"/>
        </w:trPr>
        <w:tc>
          <w:tcPr>
            <w:tcW w:w="920" w:type="dxa"/>
            <w:vAlign w:val="bottom"/>
          </w:tcPr>
          <w:p>
            <w:pPr>
              <w:spacing w:after="0"/>
              <w:rPr>
                <w:sz w:val="18"/>
                <w:szCs w:val="18"/>
                <w:color w:val="auto"/>
              </w:rPr>
            </w:pPr>
          </w:p>
        </w:tc>
        <w:tc>
          <w:tcPr>
            <w:tcW w:w="2580" w:type="dxa"/>
            <w:vAlign w:val="bottom"/>
            <w:tcBorders>
              <w:bottom w:val="single" w:sz="8" w:color="auto"/>
            </w:tcBorders>
            <w:gridSpan w:val="2"/>
          </w:tcPr>
          <w:p>
            <w:pPr>
              <w:jc w:val="center"/>
              <w:spacing w:after="0" w:line="212" w:lineRule="exact"/>
              <w:rPr>
                <w:sz w:val="20"/>
                <w:szCs w:val="20"/>
                <w:color w:val="auto"/>
              </w:rPr>
            </w:pPr>
            <w:r>
              <w:rPr>
                <w:rFonts w:ascii="Arial" w:cs="Arial" w:eastAsia="Arial" w:hAnsi="Arial"/>
                <w:sz w:val="20"/>
                <w:szCs w:val="20"/>
                <w:b w:val="1"/>
                <w:bCs w:val="1"/>
                <w:color w:val="auto"/>
                <w:w w:val="89"/>
              </w:rPr>
              <w:t>Bloomington, Minnesota</w:t>
            </w: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800" w:type="dxa"/>
            <w:vAlign w:val="bottom"/>
            <w:tcBorders>
              <w:bottom w:val="single" w:sz="8" w:color="auto"/>
            </w:tcBorders>
          </w:tcPr>
          <w:p>
            <w:pPr>
              <w:jc w:val="right"/>
              <w:ind w:right="61"/>
              <w:spacing w:after="0" w:line="212" w:lineRule="exact"/>
              <w:rPr>
                <w:sz w:val="20"/>
                <w:szCs w:val="20"/>
                <w:color w:val="auto"/>
              </w:rPr>
            </w:pPr>
            <w:r>
              <w:rPr>
                <w:rFonts w:ascii="Arial" w:cs="Arial" w:eastAsia="Arial" w:hAnsi="Arial"/>
                <w:sz w:val="20"/>
                <w:szCs w:val="20"/>
                <w:b w:val="1"/>
                <w:bCs w:val="1"/>
                <w:color w:val="auto"/>
              </w:rPr>
              <w:t>55420</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4"/>
        </w:trPr>
        <w:tc>
          <w:tcPr>
            <w:tcW w:w="4060" w:type="dxa"/>
            <w:vAlign w:val="bottom"/>
            <w:gridSpan w:val="4"/>
          </w:tcPr>
          <w:p>
            <w:pPr>
              <w:jc w:val="center"/>
              <w:ind w:left="265"/>
              <w:spacing w:after="0"/>
              <w:rPr>
                <w:sz w:val="20"/>
                <w:szCs w:val="20"/>
                <w:color w:val="auto"/>
              </w:rPr>
            </w:pPr>
            <w:r>
              <w:rPr>
                <w:rFonts w:ascii="Arial" w:cs="Arial" w:eastAsia="Arial" w:hAnsi="Arial"/>
                <w:sz w:val="20"/>
                <w:szCs w:val="20"/>
                <w:color w:val="auto"/>
                <w:w w:val="91"/>
              </w:rPr>
              <w:t>(Address of principal executive offices)</w:t>
            </w:r>
          </w:p>
        </w:tc>
        <w:tc>
          <w:tcPr>
            <w:tcW w:w="11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20" w:type="dxa"/>
            <w:vAlign w:val="bottom"/>
            <w:gridSpan w:val="4"/>
          </w:tcPr>
          <w:p>
            <w:pPr>
              <w:ind w:left="180"/>
              <w:spacing w:after="0"/>
              <w:rPr>
                <w:sz w:val="20"/>
                <w:szCs w:val="20"/>
                <w:color w:val="auto"/>
              </w:rPr>
            </w:pPr>
            <w:r>
              <w:rPr>
                <w:rFonts w:ascii="Arial" w:cs="Arial" w:eastAsia="Arial" w:hAnsi="Arial"/>
                <w:sz w:val="20"/>
                <w:szCs w:val="20"/>
                <w:color w:val="auto"/>
              </w:rPr>
              <w:t>(Zip Code)</w:t>
            </w:r>
          </w:p>
        </w:tc>
      </w:tr>
      <w:tr>
        <w:trPr>
          <w:trHeight w:val="752"/>
        </w:trPr>
        <w:tc>
          <w:tcPr>
            <w:tcW w:w="7000" w:type="dxa"/>
            <w:vAlign w:val="bottom"/>
            <w:gridSpan w:val="6"/>
          </w:tcPr>
          <w:p>
            <w:pPr>
              <w:jc w:val="center"/>
              <w:ind w:right="2600"/>
              <w:spacing w:after="0"/>
              <w:rPr>
                <w:sz w:val="20"/>
                <w:szCs w:val="20"/>
                <w:color w:val="auto"/>
              </w:rPr>
            </w:pPr>
            <w:r>
              <w:rPr>
                <w:rFonts w:ascii="Arial" w:cs="Arial" w:eastAsia="Arial" w:hAnsi="Arial"/>
                <w:sz w:val="20"/>
                <w:szCs w:val="20"/>
                <w:b w:val="1"/>
                <w:bCs w:val="1"/>
                <w:color w:val="auto"/>
                <w:w w:val="87"/>
              </w:rPr>
              <w:t>Registrant’s telephone number, including area code:</w:t>
            </w:r>
          </w:p>
        </w:tc>
        <w:tc>
          <w:tcPr>
            <w:tcW w:w="2920" w:type="dxa"/>
            <w:vAlign w:val="bottom"/>
            <w:gridSpan w:val="5"/>
          </w:tcPr>
          <w:p>
            <w:pPr>
              <w:jc w:val="right"/>
              <w:ind w:right="1380"/>
              <w:spacing w:after="0"/>
              <w:rPr>
                <w:sz w:val="20"/>
                <w:szCs w:val="20"/>
                <w:color w:val="auto"/>
              </w:rPr>
            </w:pPr>
            <w:r>
              <w:rPr>
                <w:rFonts w:ascii="Arial" w:cs="Arial" w:eastAsia="Arial" w:hAnsi="Arial"/>
                <w:sz w:val="20"/>
                <w:szCs w:val="20"/>
                <w:b w:val="1"/>
                <w:bCs w:val="1"/>
                <w:color w:val="auto"/>
              </w:rPr>
              <w:t>(952) 888-8801</w:t>
            </w:r>
          </w:p>
        </w:tc>
      </w:tr>
      <w:tr>
        <w:trPr>
          <w:trHeight w:val="466"/>
        </w:trPr>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60" w:type="dxa"/>
            <w:vAlign w:val="bottom"/>
            <w:tcBorders>
              <w:bottom w:val="single" w:sz="8" w:color="auto"/>
            </w:tcBorders>
            <w:gridSpan w:val="2"/>
          </w:tcPr>
          <w:p>
            <w:pPr>
              <w:ind w:left="980"/>
              <w:spacing w:after="0"/>
              <w:rPr>
                <w:sz w:val="20"/>
                <w:szCs w:val="20"/>
                <w:color w:val="auto"/>
              </w:rPr>
            </w:pPr>
            <w:r>
              <w:rPr>
                <w:rFonts w:ascii="Arial" w:cs="Arial" w:eastAsia="Arial" w:hAnsi="Arial"/>
                <w:sz w:val="20"/>
                <w:szCs w:val="20"/>
                <w:color w:val="auto"/>
                <w:w w:val="97"/>
              </w:rPr>
              <w:t>Not Applicable</w:t>
            </w:r>
          </w:p>
        </w:tc>
        <w:tc>
          <w:tcPr>
            <w:tcW w:w="114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r>
      <w:tr>
        <w:trPr>
          <w:trHeight w:val="217"/>
        </w:trPr>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0" w:type="dxa"/>
            <w:vAlign w:val="bottom"/>
            <w:gridSpan w:val="4"/>
          </w:tcPr>
          <w:p>
            <w:pPr>
              <w:ind w:left="900"/>
              <w:spacing w:after="0"/>
              <w:rPr>
                <w:sz w:val="20"/>
                <w:szCs w:val="20"/>
                <w:color w:val="auto"/>
              </w:rPr>
            </w:pPr>
            <w:r>
              <w:rPr>
                <w:rFonts w:ascii="Arial" w:cs="Arial" w:eastAsia="Arial" w:hAnsi="Arial"/>
                <w:sz w:val="16"/>
                <w:szCs w:val="16"/>
                <w:color w:val="auto"/>
                <w:w w:val="96"/>
              </w:rPr>
              <w:t>(Former name or former address, if changed since last report.)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spacing w:after="0" w:line="192"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16" w:lineRule="exact"/>
        <w:rPr>
          <w:sz w:val="24"/>
          <w:szCs w:val="24"/>
          <w:color w:val="auto"/>
        </w:rPr>
      </w:pPr>
    </w:p>
    <w:p>
      <w:pPr>
        <w:spacing w:after="0" w:line="250" w:lineRule="auto"/>
        <w:rPr>
          <w:sz w:val="20"/>
          <w:szCs w:val="20"/>
          <w:color w:val="auto"/>
        </w:rPr>
      </w:pPr>
      <w:r>
        <w:rPr>
          <w:rFonts w:ascii="Arial" w:cs="Arial" w:eastAsia="Arial" w:hAnsi="Arial"/>
          <w:sz w:val="20"/>
          <w:szCs w:val="20"/>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Arial" w:cs="Arial" w:eastAsia="Arial" w:hAnsi="Arial"/>
          <w:sz w:val="18"/>
          <w:szCs w:val="18"/>
          <w:color w:val="auto"/>
        </w:rPr>
        <w:t>o</w:t>
      </w:r>
    </w:p>
    <w:p>
      <w:pPr>
        <w:spacing w:after="0" w:line="18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277495</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19"/>
          <w:szCs w:val="19"/>
          <w:color w:val="auto"/>
        </w:rPr>
        <w:t>On December 7, 2017, The Toro Company announced its earnings for the three and twelve months ended October 31, 2017.</w:t>
      </w:r>
    </w:p>
    <w:p>
      <w:pPr>
        <w:spacing w:after="0" w:line="227" w:lineRule="exact"/>
        <w:rPr>
          <w:sz w:val="20"/>
          <w:szCs w:val="20"/>
          <w:color w:val="auto"/>
        </w:rPr>
      </w:pPr>
    </w:p>
    <w:p>
      <w:pPr>
        <w:jc w:val="both"/>
        <w:ind w:left="820"/>
        <w:spacing w:after="0" w:line="260" w:lineRule="auto"/>
        <w:rPr>
          <w:sz w:val="20"/>
          <w:szCs w:val="20"/>
          <w:color w:val="auto"/>
        </w:rPr>
      </w:pPr>
      <w:r>
        <w:rPr>
          <w:rFonts w:ascii="Arial" w:cs="Arial" w:eastAsia="Arial" w:hAnsi="Arial"/>
          <w:sz w:val="19"/>
          <w:szCs w:val="19"/>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2"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372" w:lineRule="exact"/>
        <w:rPr>
          <w:sz w:val="20"/>
          <w:szCs w:val="20"/>
          <w:color w:val="auto"/>
        </w:rPr>
      </w:pPr>
    </w:p>
    <w:tbl>
      <w:tblPr>
        <w:tblLayout w:type="fixed"/>
        <w:tblInd w:w="240" w:type="dxa"/>
        <w:tblCellMar>
          <w:top w:w="0" w:type="dxa"/>
          <w:left w:w="0" w:type="dxa"/>
          <w:bottom w:w="0" w:type="dxa"/>
          <w:right w:w="0" w:type="dxa"/>
        </w:tblCellMar>
      </w:tblPr>
      <w:tr>
        <w:trPr>
          <w:trHeight w:val="256"/>
        </w:trPr>
        <w:tc>
          <w:tcPr>
            <w:tcW w:w="2200" w:type="dxa"/>
            <w:vAlign w:val="bottom"/>
          </w:tcPr>
          <w:p>
            <w:pPr>
              <w:spacing w:after="0"/>
              <w:rPr>
                <w:sz w:val="20"/>
                <w:szCs w:val="20"/>
                <w:color w:val="auto"/>
              </w:rPr>
            </w:pPr>
            <w:r>
              <w:rPr>
                <w:rFonts w:ascii="Arial" w:cs="Arial" w:eastAsia="Arial" w:hAnsi="Arial"/>
                <w:sz w:val="20"/>
                <w:szCs w:val="20"/>
                <w:b w:val="1"/>
                <w:bCs w:val="1"/>
                <w:color w:val="auto"/>
              </w:rPr>
              <w:t>Exhibit No.</w:t>
            </w:r>
          </w:p>
        </w:tc>
        <w:tc>
          <w:tcPr>
            <w:tcW w:w="4720" w:type="dxa"/>
            <w:vAlign w:val="bottom"/>
          </w:tcPr>
          <w:p>
            <w:pPr>
              <w:spacing w:after="0"/>
              <w:rPr>
                <w:sz w:val="20"/>
                <w:szCs w:val="20"/>
                <w:color w:val="auto"/>
              </w:rPr>
            </w:pPr>
            <w:r>
              <w:rPr>
                <w:rFonts w:ascii="Arial" w:cs="Arial" w:eastAsia="Arial" w:hAnsi="Arial"/>
                <w:sz w:val="20"/>
                <w:szCs w:val="20"/>
                <w:b w:val="1"/>
                <w:bCs w:val="1"/>
                <w:color w:val="auto"/>
              </w:rPr>
              <w:t>Description</w:t>
            </w:r>
          </w:p>
        </w:tc>
      </w:tr>
      <w:tr>
        <w:trPr>
          <w:trHeight w:val="239"/>
        </w:trPr>
        <w:tc>
          <w:tcPr>
            <w:tcW w:w="2200" w:type="dxa"/>
            <w:vAlign w:val="bottom"/>
          </w:tcPr>
          <w:p>
            <w:pPr>
              <w:spacing w:after="0"/>
              <w:rPr>
                <w:sz w:val="20"/>
                <w:szCs w:val="20"/>
                <w:color w:val="auto"/>
              </w:rPr>
            </w:pPr>
            <w:r>
              <w:rPr>
                <w:rFonts w:ascii="Arial" w:cs="Arial" w:eastAsia="Arial" w:hAnsi="Arial"/>
                <w:sz w:val="20"/>
                <w:szCs w:val="20"/>
                <w:color w:val="auto"/>
              </w:rPr>
              <w:t>99.1</w:t>
            </w:r>
          </w:p>
        </w:tc>
        <w:tc>
          <w:tcPr>
            <w:tcW w:w="4720" w:type="dxa"/>
            <w:vAlign w:val="bottom"/>
            <w:tcBorders>
              <w:bottom w:val="single" w:sz="8" w:color="0000EE"/>
            </w:tcBorders>
          </w:tcPr>
          <w:p>
            <w:pPr>
              <w:spacing w:after="0"/>
              <w:rPr>
                <w:rFonts w:ascii="Arial" w:cs="Arial" w:eastAsia="Arial" w:hAnsi="Arial"/>
                <w:sz w:val="20"/>
                <w:szCs w:val="20"/>
                <w:color w:val="0000EE"/>
                <w:w w:val="87"/>
              </w:rPr>
            </w:pPr>
            <w:hyperlink w:anchor="page6">
              <w:r>
                <w:rPr>
                  <w:rFonts w:ascii="Arial" w:cs="Arial" w:eastAsia="Arial" w:hAnsi="Arial"/>
                  <w:sz w:val="20"/>
                  <w:szCs w:val="20"/>
                  <w:color w:val="0000EE"/>
                  <w:w w:val="87"/>
                </w:rPr>
                <w:t>Press release dated December 7, 2017 (furnished herewith).</w:t>
              </w:r>
            </w:hyperlink>
          </w:p>
        </w:tc>
      </w:tr>
    </w:tbl>
    <w:p>
      <w:pPr>
        <w:sectPr>
          <w:pgSz w:w="11900" w:h="16838" w:orient="portrait"/>
          <w:cols w:equalWidth="0" w:num="1">
            <w:col w:w="10219"/>
          </w:cols>
          <w:pgMar w:left="240" w:top="576"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5"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THE TORO COMPANY</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(Registrant)</w:t>
      </w:r>
    </w:p>
    <w:p>
      <w:pPr>
        <w:spacing w:after="0" w:line="378"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20"/>
          <w:szCs w:val="20"/>
          <w:color w:val="auto"/>
        </w:rPr>
        <w:t>Date: December 7, 2017</w:t>
      </w:r>
      <w:r>
        <w:rPr>
          <w:sz w:val="20"/>
          <w:szCs w:val="20"/>
          <w:color w:val="auto"/>
        </w:rPr>
        <w:tab/>
      </w:r>
      <w:r>
        <w:rPr>
          <w:rFonts w:ascii="Arial" w:cs="Arial" w:eastAsia="Arial" w:hAnsi="Arial"/>
          <w:sz w:val="16"/>
          <w:szCs w:val="16"/>
          <w:color w:val="auto"/>
        </w:rPr>
        <w:t>By /s/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Renee J. Peterson</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Vice President, Treasurer and</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380"/>
          </w:cols>
          <w:pgMar w:left="240" w:top="582" w:right="27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6"/>
        </w:trPr>
        <w:tc>
          <w:tcPr>
            <w:tcW w:w="2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20" w:type="dxa"/>
            <w:vAlign w:val="bottom"/>
            <w:gridSpan w:val="2"/>
          </w:tcPr>
          <w:p>
            <w:pPr>
              <w:ind w:left="2020"/>
              <w:spacing w:after="0"/>
              <w:rPr>
                <w:sz w:val="20"/>
                <w:szCs w:val="20"/>
                <w:color w:val="auto"/>
              </w:rPr>
            </w:pPr>
            <w:r>
              <w:rPr>
                <w:rFonts w:ascii="Arial" w:cs="Arial" w:eastAsia="Arial" w:hAnsi="Arial"/>
                <w:sz w:val="20"/>
                <w:szCs w:val="20"/>
                <w:b w:val="1"/>
                <w:bCs w:val="1"/>
                <w:color w:val="auto"/>
              </w:rPr>
              <w:t>EXHIBIT INDEX</w:t>
            </w:r>
          </w:p>
        </w:tc>
      </w:tr>
      <w:tr>
        <w:trPr>
          <w:trHeight w:val="347"/>
        </w:trPr>
        <w:tc>
          <w:tcPr>
            <w:tcW w:w="2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r>
        <w:trPr>
          <w:trHeight w:val="254"/>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EXHIBIT NUMBER</w:t>
            </w:r>
          </w:p>
        </w:tc>
        <w:tc>
          <w:tcPr>
            <w:tcW w:w="85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DESCRIPTION</w:t>
            </w: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10"/>
        </w:trPr>
        <w:tc>
          <w:tcPr>
            <w:tcW w:w="2900" w:type="dxa"/>
            <w:vAlign w:val="bottom"/>
            <w:tcBorders>
              <w:left w:val="single" w:sz="8" w:color="auto"/>
              <w:right w:val="single" w:sz="8" w:color="auto"/>
            </w:tcBorders>
          </w:tcPr>
          <w:p>
            <w:pPr>
              <w:ind w:left="40"/>
              <w:spacing w:after="0" w:line="209" w:lineRule="exact"/>
              <w:rPr>
                <w:sz w:val="20"/>
                <w:szCs w:val="20"/>
                <w:color w:val="auto"/>
              </w:rPr>
            </w:pPr>
            <w:r>
              <w:rPr>
                <w:rFonts w:ascii="Arial" w:cs="Arial" w:eastAsia="Arial" w:hAnsi="Arial"/>
                <w:sz w:val="20"/>
                <w:szCs w:val="20"/>
                <w:color w:val="auto"/>
              </w:rPr>
              <w:t>99.1</w:t>
            </w:r>
          </w:p>
        </w:tc>
        <w:tc>
          <w:tcPr>
            <w:tcW w:w="8540" w:type="dxa"/>
            <w:vAlign w:val="bottom"/>
            <w:tcBorders>
              <w:right w:val="single" w:sz="8" w:color="auto"/>
            </w:tcBorders>
            <w:gridSpan w:val="3"/>
          </w:tcPr>
          <w:p>
            <w:pPr>
              <w:ind w:left="20"/>
              <w:spacing w:after="0" w:line="209" w:lineRule="exact"/>
              <w:rPr>
                <w:rFonts w:ascii="Arial" w:cs="Arial" w:eastAsia="Arial" w:hAnsi="Arial"/>
                <w:sz w:val="20"/>
                <w:szCs w:val="20"/>
                <w:color w:val="0000EE"/>
              </w:rPr>
            </w:pPr>
            <w:hyperlink w:anchor="page6">
              <w:r>
                <w:rPr>
                  <w:rFonts w:ascii="Arial" w:cs="Arial" w:eastAsia="Arial" w:hAnsi="Arial"/>
                  <w:sz w:val="20"/>
                  <w:szCs w:val="20"/>
                  <w:color w:val="0000EE"/>
                </w:rPr>
                <w:t>Press release dated December 7, 2017 (furnished herewith).</w:t>
              </w:r>
            </w:hyperlink>
          </w:p>
        </w:tc>
      </w:tr>
      <w:tr>
        <w:trPr>
          <w:trHeight w:val="48"/>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720" w:type="dxa"/>
            <w:vAlign w:val="bottom"/>
            <w:tcBorders>
              <w:top w:val="single" w:sz="8" w:color="0000EE"/>
              <w:bottom w:val="single" w:sz="8" w:color="auto"/>
            </w:tcBorders>
          </w:tcPr>
          <w:p>
            <w:pPr>
              <w:spacing w:after="0"/>
              <w:rPr>
                <w:sz w:val="4"/>
                <w:szCs w:val="4"/>
                <w:color w:val="auto"/>
              </w:rPr>
            </w:pPr>
          </w:p>
        </w:tc>
        <w:tc>
          <w:tcPr>
            <w:tcW w:w="380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440"/>
          </w:cols>
          <w:pgMar w:left="240" w:top="576" w:right="219" w:bottom="1440" w:gutter="0" w:footer="0" w:header="0"/>
        </w:sectPr>
      </w:pPr>
    </w:p>
    <w:bookmarkStart w:id="5" w:name="page6"/>
    <w:bookmarkEnd w:id="5"/>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95045"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995045" cy="651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Toro Company Reports Record Fiscal 2017 Results</w:t>
      </w:r>
    </w:p>
    <w:p>
      <w:pPr>
        <w:spacing w:after="0" w:line="23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Net earnings per share for fiscal 2017 up 17.0 percent to a record $2.41</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Growth across several professional categories drove solid performance for the year</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Company completes Destination PRIME and launches Vision 2020</w:t>
      </w: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color w:val="auto"/>
        </w:rPr>
        <w:t>Quarterly cash dividend increased 14.3 percent to $0.20 per share</w:t>
      </w:r>
    </w:p>
    <w:p>
      <w:pPr>
        <w:spacing w:after="0" w:line="216" w:lineRule="exact"/>
        <w:rPr>
          <w:sz w:val="20"/>
          <w:szCs w:val="20"/>
          <w:color w:val="auto"/>
        </w:rPr>
      </w:pPr>
    </w:p>
    <w:p>
      <w:pPr>
        <w:jc w:val="both"/>
        <w:ind w:right="140"/>
        <w:spacing w:after="0" w:line="243" w:lineRule="auto"/>
        <w:rPr>
          <w:sz w:val="20"/>
          <w:szCs w:val="20"/>
          <w:color w:val="auto"/>
        </w:rPr>
      </w:pPr>
      <w:r>
        <w:rPr>
          <w:rFonts w:ascii="Arial" w:cs="Arial" w:eastAsia="Arial" w:hAnsi="Arial"/>
          <w:sz w:val="20"/>
          <w:szCs w:val="20"/>
          <w:color w:val="auto"/>
        </w:rPr>
        <w:t>BLOOMINGTON, Minn. (December 7, 2017) - The Toro Company (NYSE: TTC) today reported net earnings of $267.7 million, or $2.41 per share, on a net sales increase of 4.7 percent to $2.505 billion for its fiscal year ended October 31, 2017. In fiscal 2016, the company delivered net earnings of $231.0 million, or $2.06 per share for the year, on net sales of $2.392 billion.</w:t>
      </w:r>
    </w:p>
    <w:p>
      <w:pPr>
        <w:spacing w:after="0" w:line="206" w:lineRule="exact"/>
        <w:rPr>
          <w:sz w:val="20"/>
          <w:szCs w:val="20"/>
          <w:color w:val="auto"/>
        </w:rPr>
      </w:pPr>
    </w:p>
    <w:p>
      <w:pPr>
        <w:ind w:right="280"/>
        <w:spacing w:after="0" w:line="272" w:lineRule="auto"/>
        <w:rPr>
          <w:sz w:val="20"/>
          <w:szCs w:val="20"/>
          <w:color w:val="auto"/>
        </w:rPr>
      </w:pPr>
      <w:r>
        <w:rPr>
          <w:rFonts w:ascii="Arial" w:cs="Arial" w:eastAsia="Arial" w:hAnsi="Arial"/>
          <w:sz w:val="19"/>
          <w:szCs w:val="19"/>
          <w:color w:val="auto"/>
        </w:rPr>
        <w:t>For the fourth quarter, Toro reported net earnings of $33.8 million or $0.31 per share, on a net sales increase of 4.3 percent to $488.6 million. In the comparable 2016 period, the company posted net earnings of $30.2 million on net sales of $468.4 million.</w:t>
      </w:r>
    </w:p>
    <w:p>
      <w:pPr>
        <w:spacing w:after="0" w:line="180"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The company also announced that its board of directors has declared a quarterly cash dividend of $0.20 per share, a 14.3 percent increase from its previous quarterly dividend rate of $0.175 per share. This dividend is payable on January 10, 2018 to shareholders of record on December 22, 2017. For the fiscal year, the company returned nearly $236.0 million to shareholders through the payment of approximately $75.8 million in dividends and the repurchase of approximately 2.7 million shares of common stock.</w:t>
      </w:r>
    </w:p>
    <w:p>
      <w:pPr>
        <w:spacing w:after="0" w:line="20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 xml:space="preserve">“Fiscal 2017 was another record year for The Toro Company. We experienced solid sales growth fueled by new and innovative product offerings across our businesses,” said Richard M. Olson, Toro’s chairman and chief executive officer. “Strong performance in our golf, landscape contractor and rental businesses continued with the success of new products such as the Exmark® Radius® zero-turn riding mowers, the Greensmaster® series of greens mowers and the Dingo® TX 1000 compact utility loader. We continue to gain momentum in those markets and we are encouraged by retail trends. Our BOSS® snow and ice management business also had a strong year driven by the continued success of the EXT extendable plows and the </w:t>
      </w:r>
      <w:r>
        <w:rPr>
          <w:rFonts w:ascii="Arial" w:cs="Arial" w:eastAsia="Arial" w:hAnsi="Arial"/>
          <w:sz w:val="20"/>
          <w:szCs w:val="20"/>
          <w:color w:val="333333"/>
        </w:rPr>
        <w:t>V-Box spreaders, which</w:t>
      </w:r>
      <w:r>
        <w:rPr>
          <w:rFonts w:ascii="Arial" w:cs="Arial" w:eastAsia="Arial" w:hAnsi="Arial"/>
          <w:sz w:val="20"/>
          <w:szCs w:val="20"/>
          <w:color w:val="auto"/>
        </w:rPr>
        <w:t xml:space="preserve"> </w:t>
      </w:r>
      <w:r>
        <w:rPr>
          <w:rFonts w:ascii="Arial" w:cs="Arial" w:eastAsia="Arial" w:hAnsi="Arial"/>
          <w:sz w:val="20"/>
          <w:szCs w:val="20"/>
          <w:color w:val="333333"/>
        </w:rPr>
        <w:t>elevate performance and enhance productivity.”</w:t>
      </w:r>
    </w:p>
    <w:p>
      <w:pPr>
        <w:spacing w:after="0" w:line="207" w:lineRule="exact"/>
        <w:rPr>
          <w:sz w:val="20"/>
          <w:szCs w:val="20"/>
          <w:color w:val="auto"/>
        </w:rPr>
      </w:pPr>
    </w:p>
    <w:p>
      <w:pPr>
        <w:ind w:right="340"/>
        <w:spacing w:after="0" w:line="243" w:lineRule="auto"/>
        <w:rPr>
          <w:sz w:val="20"/>
          <w:szCs w:val="20"/>
          <w:color w:val="auto"/>
        </w:rPr>
      </w:pPr>
      <w:r>
        <w:rPr>
          <w:rFonts w:ascii="Arial" w:cs="Arial" w:eastAsia="Arial" w:hAnsi="Arial"/>
          <w:sz w:val="20"/>
          <w:szCs w:val="20"/>
          <w:color w:val="auto"/>
        </w:rPr>
        <w:t>“Sales in our international business were up 5.6 percent for the year driven by our Australia-based Pope® residential product offerings and by the newly acquired Perrot line of professional irrigation products. We are pleased with the integration of Perrot and we are optimistic about the growth opportunity for that business as we expand distribution more broadly.</w:t>
      </w:r>
    </w:p>
    <w:p>
      <w:pPr>
        <w:sectPr>
          <w:pgSz w:w="11900" w:h="16838" w:orient="portrait"/>
          <w:cols w:equalWidth="0" w:num="1">
            <w:col w:w="11400"/>
          </w:cols>
          <w:pgMar w:left="240" w:top="1440" w:right="25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color w:val="auto"/>
        </w:rPr>
        <w:t>2 - The Toro Company Reports Record Fiscal 2017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Balanced performance across our professional turf product categories also bolstered international sales.”</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“For the fourth quarter, our residential business generated solid growth with sales up 3.2 percent driven in part by the success of our Pope line and increased shipments of zero-turn riding mowers. Turning to our snow business, field inventory levels are in good shape and we are well prepared to address customers’ needs in the winter months ahead.”</w:t>
      </w:r>
    </w:p>
    <w:p>
      <w:pPr>
        <w:spacing w:after="0" w:line="206"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“Fiscal 2017 marks the end of our three-year Destination PRIME initiative. I am proud of our team’s accomplishments. We achieved record revenue, exceeded profitability goals and made significant progress on improving working capital. With the launch of our new initiative, </w:t>
      </w:r>
      <w:r>
        <w:rPr>
          <w:rFonts w:ascii="Arial" w:cs="Arial" w:eastAsia="Arial" w:hAnsi="Arial"/>
          <w:sz w:val="20"/>
          <w:szCs w:val="20"/>
          <w:i w:val="1"/>
          <w:iCs w:val="1"/>
          <w:color w:val="auto"/>
        </w:rPr>
        <w:t>Vision 2020</w:t>
      </w:r>
      <w:r>
        <w:rPr>
          <w:rFonts w:ascii="Arial" w:cs="Arial" w:eastAsia="Arial" w:hAnsi="Arial"/>
          <w:sz w:val="20"/>
          <w:szCs w:val="20"/>
          <w:color w:val="auto"/>
        </w:rPr>
        <w:t>, we will once again focus on driving profitable growth with an emphasis on innovation and serving our customers, which will generate further momentum for the organization. It is the collective efforts of our employees that make these initiatives a success. I look forward to working together as we kickoff the next chapter.”</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For fiscal 2018, the company expects revenue growth to exceed 4 percent, and net earnings to be about $2.57 to $2.63 per share.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For the first quarter, the company expects net earnings to be about $0.42 to $0.44 per share.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24" w:lineRule="exact"/>
        <w:rPr>
          <w:sz w:val="20"/>
          <w:szCs w:val="20"/>
          <w:color w:val="auto"/>
        </w:rPr>
      </w:pPr>
    </w:p>
    <w:p>
      <w:pPr>
        <w:ind w:left="340" w:right="40" w:hanging="332"/>
        <w:spacing w:after="0" w:line="24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Professional segment net sales for fiscal 2017 totaled $1.812 billion, up 6.2 percent from $1.705 billion last year. Strong performance across our professional businesses drove the positive results for the year. Solid demand for our Toro and Exmark branded landscape contractor equipment, golf, rental and specialty construction and our BOSS product line-ups were all contributing factors. For the fourth quarter, professional segment net sales were $360.4 million, up 4.9 percent from the comparable fiscal 2016 period. The growth was driven largely by the success of newly introduced products in our landscape contractor businesses and higher sales in our golf and specialty construction markets.</w:t>
      </w:r>
    </w:p>
    <w:p>
      <w:pPr>
        <w:spacing w:after="0" w:line="207" w:lineRule="exact"/>
        <w:rPr>
          <w:rFonts w:ascii="Arial" w:cs="Arial" w:eastAsia="Arial" w:hAnsi="Arial"/>
          <w:sz w:val="18"/>
          <w:szCs w:val="18"/>
          <w:color w:val="auto"/>
        </w:rPr>
      </w:pPr>
    </w:p>
    <w:p>
      <w:pPr>
        <w:ind w:left="340" w:right="200" w:hanging="332"/>
        <w:spacing w:after="0" w:line="24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color w:val="auto"/>
        </w:rPr>
        <w:t>Professional segment earnings for fiscal 2017 totaled $379.5 million, up 7.8 percent from $352.1 million from the prior year. For the fourth quarter, professional segment earnings were $65.0 million, up from $59.7 million in the comparable fiscal 2016 period.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24" w:lineRule="exact"/>
        <w:rPr>
          <w:sz w:val="20"/>
          <w:szCs w:val="20"/>
          <w:color w:val="auto"/>
        </w:rPr>
      </w:pPr>
    </w:p>
    <w:p>
      <w:pPr>
        <w:ind w:left="340" w:right="40" w:hanging="332"/>
        <w:spacing w:after="0" w:line="24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Residential segment net sales for fiscal 2017 were $673.2 million, up 0.6 percent from $669.1 million last year. Despite mild in-season winter conditions and an inconsistent start to the spring months, increased sales of our Pope products and higher shipments of snow products, contributed to the favorable full year results. For the fourth quarter, residential segment net sales were $122.6 million, up 3.2 percent from the comparable fiscal 2016 period. Momentum in our international business drove the performance for the quarter with increased sales of our Pope product line in Australia.</w:t>
      </w:r>
    </w:p>
    <w:p>
      <w:pPr>
        <w:spacing w:after="0" w:line="209" w:lineRule="exact"/>
        <w:rPr>
          <w:rFonts w:ascii="Arial" w:cs="Arial" w:eastAsia="Arial" w:hAnsi="Arial"/>
          <w:sz w:val="18"/>
          <w:szCs w:val="18"/>
          <w:color w:val="auto"/>
        </w:rPr>
      </w:pPr>
    </w:p>
    <w:p>
      <w:pPr>
        <w:ind w:left="340" w:right="520" w:hanging="332"/>
        <w:spacing w:after="0" w:line="24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20"/>
          <w:szCs w:val="20"/>
          <w:color w:val="auto"/>
        </w:rPr>
        <w:t>Residential segment earnings for fiscal 2017 totaled $74.7 million, up 1.4 percent from fiscal 2016. For the fourth quarter, residential segment earnings were $11.7 million, up from $9.2 million in the comparable fiscal 2016 period.</w:t>
      </w:r>
    </w:p>
    <w:p>
      <w:pPr>
        <w:sectPr>
          <w:pgSz w:w="11900" w:h="16838" w:orient="portrait"/>
          <w:cols w:equalWidth="0" w:num="1">
            <w:col w:w="11420"/>
          </w:cols>
          <w:pgMar w:left="240" w:top="760" w:right="23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color w:val="auto"/>
        </w:rPr>
        <w:t>3 - The Toro Company Reports Record Fiscal 2017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24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Gross margin as a percent of sales for fiscal 2017 was up 20 basis points from last year to 36.8 percent. Margin improvement for the year was driven by favorable operational productivity and segment mix, partially offset by commodity headwinds and increased freight costs. For the fourth quarter, gross margin as a percent of sales increased 90 basis points to 37.7 percent. Margin improvement for the quarter was driven by favorable operational productivity and foreign currency exchange rates, partially offset by higher commodity costs.</w:t>
      </w:r>
    </w:p>
    <w:p>
      <w:pPr>
        <w:spacing w:after="0" w:line="209" w:lineRule="exact"/>
        <w:rPr>
          <w:sz w:val="20"/>
          <w:szCs w:val="20"/>
          <w:color w:val="auto"/>
        </w:rPr>
      </w:pPr>
    </w:p>
    <w:p>
      <w:pPr>
        <w:ind w:right="340"/>
        <w:spacing w:after="0" w:line="243" w:lineRule="auto"/>
        <w:rPr>
          <w:sz w:val="20"/>
          <w:szCs w:val="20"/>
          <w:color w:val="auto"/>
        </w:rPr>
      </w:pPr>
      <w:r>
        <w:rPr>
          <w:rFonts w:ascii="Arial" w:cs="Arial" w:eastAsia="Arial" w:hAnsi="Arial"/>
          <w:sz w:val="20"/>
          <w:szCs w:val="20"/>
          <w:color w:val="auto"/>
        </w:rPr>
        <w:t>Selling, general and administrative (SG&amp;A) expense as a percent of sales for fiscal 2017 was 22.6 percent, consistent with last year. For the fourth quarter, SG&amp;A expense as a percent of sales increased 50 basis points to 28.0 percent. The quarterly increase was mainly driven by higher incentive program expenses.</w:t>
      </w:r>
    </w:p>
    <w:p>
      <w:pPr>
        <w:spacing w:after="0" w:line="206" w:lineRule="exact"/>
        <w:rPr>
          <w:sz w:val="20"/>
          <w:szCs w:val="20"/>
          <w:color w:val="auto"/>
        </w:rPr>
      </w:pPr>
    </w:p>
    <w:p>
      <w:pPr>
        <w:ind w:right="380"/>
        <w:spacing w:after="0" w:line="247" w:lineRule="auto"/>
        <w:rPr>
          <w:sz w:val="20"/>
          <w:szCs w:val="20"/>
          <w:color w:val="auto"/>
        </w:rPr>
      </w:pPr>
      <w:r>
        <w:rPr>
          <w:rFonts w:ascii="Arial" w:cs="Arial" w:eastAsia="Arial" w:hAnsi="Arial"/>
          <w:sz w:val="20"/>
          <w:szCs w:val="20"/>
          <w:color w:val="auto"/>
        </w:rPr>
        <w:t>Operating earnings as a percent of sales for fiscal 2017 improved 20 basis points from last year to 14.2 percent. For the fourth quarter, operating earnings improved 40 basis points to 9.7 percent of sales.</w:t>
      </w:r>
    </w:p>
    <w:p>
      <w:pPr>
        <w:spacing w:after="0" w:line="202"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The effective tax rate for fiscal 2017 was 24.2 percent, compared to 30.1 percent last year. The effective tax rate for the fourth quarter was 27.9 percent compared to 27.6 percent in the prior year. The change in the tax rate for the full year was mainly driven by adoption of the new share based accounting standard this fiscal year.</w:t>
      </w:r>
    </w:p>
    <w:p>
      <w:pPr>
        <w:spacing w:after="0" w:line="206" w:lineRule="exact"/>
        <w:rPr>
          <w:sz w:val="20"/>
          <w:szCs w:val="20"/>
          <w:color w:val="auto"/>
        </w:rPr>
      </w:pPr>
    </w:p>
    <w:p>
      <w:pPr>
        <w:ind w:right="260"/>
        <w:spacing w:after="0" w:line="272" w:lineRule="auto"/>
        <w:rPr>
          <w:sz w:val="20"/>
          <w:szCs w:val="20"/>
          <w:color w:val="auto"/>
        </w:rPr>
      </w:pPr>
      <w:r>
        <w:rPr>
          <w:rFonts w:ascii="Arial" w:cs="Arial" w:eastAsia="Arial" w:hAnsi="Arial"/>
          <w:sz w:val="19"/>
          <w:szCs w:val="19"/>
          <w:color w:val="auto"/>
        </w:rPr>
        <w:t>Accounts receivable at the end of fiscal 2017 totaled $183.1 million, up 12.1 percent from last year. Net inventories were $329.0 million, up 7.2 percent compared to the prior year. Trade payables were $211.8 million, up 21.2 percent from the prior year.</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24"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snow and ground engaging equipment and irrigation and outdoor lighting solutions. With sales of $2.5 billion in fiscal 2017, Toro’s global presence extends to more than 125 countries. Through constant innovation and caring relationships built on trust and integrity, Toro and its family of brands have built a legacy of excellence by helping customers care for golf courses, landscapes, sports fields, public green spaces, commercial and residential properties and agricultural fields. For more information, visit </w:t>
      </w:r>
      <w:r>
        <w:rPr>
          <w:rFonts w:ascii="Arial" w:cs="Arial" w:eastAsia="Arial" w:hAnsi="Arial"/>
          <w:sz w:val="20"/>
          <w:szCs w:val="20"/>
          <w:u w:val="single" w:color="auto"/>
          <w:color w:val="auto"/>
        </w:rPr>
        <w:t>www.thetorocompany.com.</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7, 2017 at 10:00 a.m. CST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96"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i w:val="1"/>
          <w:iCs w:val="1"/>
          <w:color w:val="auto"/>
        </w:rPr>
        <w:t xml:space="preserve">The Toro Company will conduct its earnings call and webcast for investors beginning at 10:00 a.m. CST on December 7, 2017. The webcast will be available at </w:t>
      </w:r>
      <w:r>
        <w:rPr>
          <w:rFonts w:ascii="Arial" w:cs="Arial" w:eastAsia="Arial" w:hAnsi="Arial"/>
          <w:sz w:val="20"/>
          <w:szCs w:val="20"/>
          <w:i w:val="1"/>
          <w:iCs w:val="1"/>
          <w:u w:val="single" w:color="auto"/>
          <w:color w:val="auto"/>
        </w:rPr>
        <w:t>www.streetevents.com</w:t>
      </w:r>
      <w:r>
        <w:rPr>
          <w:rFonts w:ascii="Arial" w:cs="Arial" w:eastAsia="Arial" w:hAnsi="Arial"/>
          <w:sz w:val="20"/>
          <w:szCs w:val="20"/>
          <w:i w:val="1"/>
          <w:iCs w:val="1"/>
          <w:color w:val="auto"/>
        </w:rPr>
        <w:t xml:space="preserve"> or at </w:t>
      </w:r>
      <w:r>
        <w:rPr>
          <w:rFonts w:ascii="Arial" w:cs="Arial" w:eastAsia="Arial" w:hAnsi="Arial"/>
          <w:sz w:val="20"/>
          <w:szCs w:val="20"/>
          <w:i w:val="1"/>
          <w:iCs w:val="1"/>
          <w:u w:val="single" w:color="auto"/>
          <w:color w:val="auto"/>
        </w:rPr>
        <w:t>www.thetorocompany.com/invest</w:t>
      </w:r>
      <w:r>
        <w:rPr>
          <w:rFonts w:ascii="Arial" w:cs="Arial" w:eastAsia="Arial" w:hAnsi="Arial"/>
          <w:sz w:val="20"/>
          <w:szCs w:val="20"/>
          <w:i w:val="1"/>
          <w:iCs w:val="1"/>
          <w:color w:val="auto"/>
        </w:rPr>
        <w:t>. Webcast participants will need to complete a brief registration form and should allocate extra time before the webcast begins to register and, if necessary, download and install audio software.</w:t>
      </w:r>
    </w:p>
    <w:p>
      <w:pPr>
        <w:sectPr>
          <w:pgSz w:w="11900" w:h="16838" w:orient="portrait"/>
          <w:cols w:equalWidth="0" w:num="1">
            <w:col w:w="11420"/>
          </w:cols>
          <w:pgMar w:left="240" w:top="760"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4 - The Toro Company Reports Record Fiscal 2017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8"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relations, operations and markets, including political, economic and/or social instability and conflict, tax and trade policies in the U.S. and other countries in which we manufacture or sell our products, and implications of the United Kingdom’s process for exiting the European Union; foreign currency exchange rate fluctuations; our relationships with our distribution channel partners, including the financial viability of our distributors and dealers; risks associated with acquisitions; management of our alliances or joint ventures, including Red Iron Acceptance, LLC; the costs and effects of enactment of, changes in and compliance with laws, regulations and standards, including those relating to consumer product safety, accounting,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400"/>
          </w:cols>
          <w:pgMar w:left="240" w:top="760" w:right="25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color w:val="auto"/>
        </w:rPr>
        <w:t>5 - The Toro Company Reports Record Fiscal 2017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108"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Condensed Consolidated Statements of Earnings (Unaudited)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794"/>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52"/>
        </w:trPr>
        <w:tc>
          <w:tcPr>
            <w:tcW w:w="4040" w:type="dxa"/>
            <w:vAlign w:val="bottom"/>
          </w:tcPr>
          <w:p>
            <w:pPr>
              <w:spacing w:after="0"/>
              <w:rPr>
                <w:sz w:val="13"/>
                <w:szCs w:val="13"/>
                <w:color w:val="auto"/>
              </w:rPr>
            </w:pPr>
          </w:p>
        </w:tc>
        <w:tc>
          <w:tcPr>
            <w:tcW w:w="2760" w:type="dxa"/>
            <w:vAlign w:val="bottom"/>
            <w:gridSpan w:val="2"/>
          </w:tcPr>
          <w:p>
            <w:pPr>
              <w:jc w:val="right"/>
              <w:ind w:right="395"/>
              <w:spacing w:after="0" w:line="153" w:lineRule="exact"/>
              <w:rPr>
                <w:sz w:val="20"/>
                <w:szCs w:val="20"/>
                <w:color w:val="auto"/>
              </w:rPr>
            </w:pPr>
            <w:r>
              <w:rPr>
                <w:rFonts w:ascii="Arial" w:cs="Arial" w:eastAsia="Arial" w:hAnsi="Arial"/>
                <w:sz w:val="14"/>
                <w:szCs w:val="14"/>
                <w:b w:val="1"/>
                <w:bCs w:val="1"/>
                <w:color w:val="auto"/>
              </w:rPr>
              <w:t>October 31,</w:t>
            </w:r>
          </w:p>
        </w:tc>
        <w:tc>
          <w:tcPr>
            <w:tcW w:w="340" w:type="dxa"/>
            <w:vAlign w:val="bottom"/>
          </w:tcPr>
          <w:p>
            <w:pPr>
              <w:spacing w:after="0"/>
              <w:rPr>
                <w:sz w:val="13"/>
                <w:szCs w:val="13"/>
                <w:color w:val="auto"/>
              </w:rPr>
            </w:pPr>
          </w:p>
        </w:tc>
        <w:tc>
          <w:tcPr>
            <w:tcW w:w="126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w w:val="90"/>
              </w:rPr>
              <w:t>October 31,</w:t>
            </w:r>
          </w:p>
        </w:tc>
        <w:tc>
          <w:tcPr>
            <w:tcW w:w="340" w:type="dxa"/>
            <w:vAlign w:val="bottom"/>
          </w:tcPr>
          <w:p>
            <w:pPr>
              <w:spacing w:after="0"/>
              <w:rPr>
                <w:sz w:val="13"/>
                <w:szCs w:val="13"/>
                <w:color w:val="auto"/>
              </w:rPr>
            </w:pPr>
          </w:p>
        </w:tc>
        <w:tc>
          <w:tcPr>
            <w:tcW w:w="1220" w:type="dxa"/>
            <w:vAlign w:val="bottom"/>
          </w:tcPr>
          <w:p>
            <w:pPr>
              <w:jc w:val="right"/>
              <w:ind w:right="375"/>
              <w:spacing w:after="0" w:line="153" w:lineRule="exact"/>
              <w:rPr>
                <w:sz w:val="20"/>
                <w:szCs w:val="20"/>
                <w:color w:val="auto"/>
              </w:rPr>
            </w:pPr>
            <w:r>
              <w:rPr>
                <w:rFonts w:ascii="Arial" w:cs="Arial" w:eastAsia="Arial" w:hAnsi="Arial"/>
                <w:sz w:val="14"/>
                <w:szCs w:val="14"/>
                <w:b w:val="1"/>
                <w:bCs w:val="1"/>
                <w:color w:val="auto"/>
                <w:w w:val="96"/>
              </w:rPr>
              <w:t>October 31,</w:t>
            </w:r>
          </w:p>
        </w:tc>
        <w:tc>
          <w:tcPr>
            <w:tcW w:w="300" w:type="dxa"/>
            <w:vAlign w:val="bottom"/>
          </w:tcPr>
          <w:p>
            <w:pPr>
              <w:spacing w:after="0"/>
              <w:rPr>
                <w:sz w:val="13"/>
                <w:szCs w:val="13"/>
                <w:color w:val="auto"/>
              </w:rPr>
            </w:pPr>
          </w:p>
        </w:tc>
        <w:tc>
          <w:tcPr>
            <w:tcW w:w="116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w w:val="98"/>
              </w:rPr>
              <w:t>October 31,</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488,627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468,356</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2,505,176</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2,392,175</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80" w:type="dxa"/>
            <w:vAlign w:val="bottom"/>
          </w:tcPr>
          <w:p>
            <w:pPr>
              <w:spacing w:after="0"/>
              <w:rPr>
                <w:sz w:val="21"/>
                <w:szCs w:val="21"/>
                <w:color w:val="auto"/>
              </w:rPr>
            </w:pPr>
          </w:p>
        </w:tc>
        <w:tc>
          <w:tcPr>
            <w:tcW w:w="1080" w:type="dxa"/>
            <w:vAlign w:val="bottom"/>
          </w:tcPr>
          <w:p>
            <w:pPr>
              <w:jc w:val="right"/>
              <w:ind w:right="215"/>
              <w:spacing w:after="0"/>
              <w:rPr>
                <w:sz w:val="20"/>
                <w:szCs w:val="20"/>
                <w:color w:val="auto"/>
              </w:rPr>
            </w:pPr>
            <w:r>
              <w:rPr>
                <w:rFonts w:ascii="Arial" w:cs="Arial" w:eastAsia="Arial" w:hAnsi="Arial"/>
                <w:sz w:val="18"/>
                <w:szCs w:val="18"/>
                <w:color w:val="auto"/>
              </w:rPr>
              <w:t>184,258</w:t>
            </w:r>
          </w:p>
        </w:tc>
        <w:tc>
          <w:tcPr>
            <w:tcW w:w="340" w:type="dxa"/>
            <w:vAlign w:val="bottom"/>
          </w:tcPr>
          <w:p>
            <w:pPr>
              <w:spacing w:after="0"/>
              <w:rPr>
                <w:sz w:val="21"/>
                <w:szCs w:val="21"/>
                <w:color w:val="auto"/>
              </w:rPr>
            </w:pPr>
          </w:p>
        </w:tc>
        <w:tc>
          <w:tcPr>
            <w:tcW w:w="1260" w:type="dxa"/>
            <w:vAlign w:val="bottom"/>
          </w:tcPr>
          <w:p>
            <w:pPr>
              <w:jc w:val="right"/>
              <w:ind w:right="274"/>
              <w:spacing w:after="0"/>
              <w:rPr>
                <w:sz w:val="20"/>
                <w:szCs w:val="20"/>
                <w:color w:val="auto"/>
              </w:rPr>
            </w:pPr>
            <w:r>
              <w:rPr>
                <w:rFonts w:ascii="Arial" w:cs="Arial" w:eastAsia="Arial" w:hAnsi="Arial"/>
                <w:sz w:val="18"/>
                <w:szCs w:val="18"/>
                <w:color w:val="auto"/>
              </w:rPr>
              <w:t>172,137</w:t>
            </w:r>
          </w:p>
        </w:tc>
        <w:tc>
          <w:tcPr>
            <w:tcW w:w="340" w:type="dxa"/>
            <w:vAlign w:val="bottom"/>
          </w:tcPr>
          <w:p>
            <w:pPr>
              <w:spacing w:after="0"/>
              <w:rPr>
                <w:sz w:val="21"/>
                <w:szCs w:val="21"/>
                <w:color w:val="auto"/>
              </w:rPr>
            </w:pP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920,837</w:t>
            </w:r>
          </w:p>
        </w:tc>
        <w:tc>
          <w:tcPr>
            <w:tcW w:w="30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874,595</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 percent</w:t>
            </w:r>
          </w:p>
        </w:tc>
        <w:tc>
          <w:tcPr>
            <w:tcW w:w="1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37.7%</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36.8%</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36.8%</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680" w:type="dxa"/>
            <w:vAlign w:val="bottom"/>
          </w:tcPr>
          <w:p>
            <w:pPr>
              <w:spacing w:after="0"/>
              <w:rPr>
                <w:sz w:val="21"/>
                <w:szCs w:val="21"/>
                <w:color w:val="auto"/>
              </w:rPr>
            </w:pPr>
          </w:p>
        </w:tc>
        <w:tc>
          <w:tcPr>
            <w:tcW w:w="1080" w:type="dxa"/>
            <w:vAlign w:val="bottom"/>
          </w:tcPr>
          <w:p>
            <w:pPr>
              <w:jc w:val="right"/>
              <w:ind w:right="215"/>
              <w:spacing w:after="0"/>
              <w:rPr>
                <w:sz w:val="20"/>
                <w:szCs w:val="20"/>
                <w:color w:val="auto"/>
              </w:rPr>
            </w:pPr>
            <w:r>
              <w:rPr>
                <w:rFonts w:ascii="Arial" w:cs="Arial" w:eastAsia="Arial" w:hAnsi="Arial"/>
                <w:sz w:val="18"/>
                <w:szCs w:val="18"/>
                <w:color w:val="auto"/>
              </w:rPr>
              <w:t>136,798</w:t>
            </w:r>
          </w:p>
        </w:tc>
        <w:tc>
          <w:tcPr>
            <w:tcW w:w="340" w:type="dxa"/>
            <w:vAlign w:val="bottom"/>
          </w:tcPr>
          <w:p>
            <w:pPr>
              <w:spacing w:after="0"/>
              <w:rPr>
                <w:sz w:val="21"/>
                <w:szCs w:val="21"/>
                <w:color w:val="auto"/>
              </w:rPr>
            </w:pPr>
          </w:p>
        </w:tc>
        <w:tc>
          <w:tcPr>
            <w:tcW w:w="1260" w:type="dxa"/>
            <w:vAlign w:val="bottom"/>
          </w:tcPr>
          <w:p>
            <w:pPr>
              <w:jc w:val="right"/>
              <w:ind w:right="274"/>
              <w:spacing w:after="0"/>
              <w:rPr>
                <w:sz w:val="20"/>
                <w:szCs w:val="20"/>
                <w:color w:val="auto"/>
              </w:rPr>
            </w:pPr>
            <w:r>
              <w:rPr>
                <w:rFonts w:ascii="Arial" w:cs="Arial" w:eastAsia="Arial" w:hAnsi="Arial"/>
                <w:sz w:val="18"/>
                <w:szCs w:val="18"/>
                <w:color w:val="auto"/>
              </w:rPr>
              <w:t>128,623</w:t>
            </w:r>
          </w:p>
        </w:tc>
        <w:tc>
          <w:tcPr>
            <w:tcW w:w="340" w:type="dxa"/>
            <w:vAlign w:val="bottom"/>
          </w:tcPr>
          <w:p>
            <w:pPr>
              <w:spacing w:after="0"/>
              <w:rPr>
                <w:sz w:val="21"/>
                <w:szCs w:val="21"/>
                <w:color w:val="auto"/>
              </w:rPr>
            </w:pP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565,727</w:t>
            </w:r>
          </w:p>
        </w:tc>
        <w:tc>
          <w:tcPr>
            <w:tcW w:w="30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540,199</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1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47,460</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43,514</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355,110</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334,396</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80" w:type="dxa"/>
            <w:vAlign w:val="bottom"/>
          </w:tcPr>
          <w:p>
            <w:pPr>
              <w:spacing w:after="0"/>
              <w:rPr>
                <w:sz w:val="21"/>
                <w:szCs w:val="21"/>
                <w:color w:val="auto"/>
              </w:rPr>
            </w:pPr>
          </w:p>
        </w:tc>
        <w:tc>
          <w:tcPr>
            <w:tcW w:w="1080" w:type="dxa"/>
            <w:vAlign w:val="bottom"/>
          </w:tcPr>
          <w:p>
            <w:pPr>
              <w:jc w:val="right"/>
              <w:ind w:right="155"/>
              <w:spacing w:after="0"/>
              <w:rPr>
                <w:sz w:val="20"/>
                <w:szCs w:val="20"/>
                <w:color w:val="auto"/>
              </w:rPr>
            </w:pPr>
            <w:r>
              <w:rPr>
                <w:rFonts w:ascii="Arial" w:cs="Arial" w:eastAsia="Arial" w:hAnsi="Arial"/>
                <w:sz w:val="18"/>
                <w:szCs w:val="18"/>
                <w:color w:val="auto"/>
              </w:rPr>
              <w:t>(4,804)</w:t>
            </w:r>
          </w:p>
        </w:tc>
        <w:tc>
          <w:tcPr>
            <w:tcW w:w="340" w:type="dxa"/>
            <w:vAlign w:val="bottom"/>
          </w:tcPr>
          <w:p>
            <w:pPr>
              <w:spacing w:after="0"/>
              <w:rPr>
                <w:sz w:val="21"/>
                <w:szCs w:val="21"/>
                <w:color w:val="auto"/>
              </w:rPr>
            </w:pPr>
          </w:p>
        </w:tc>
        <w:tc>
          <w:tcPr>
            <w:tcW w:w="1260" w:type="dxa"/>
            <w:vAlign w:val="bottom"/>
          </w:tcPr>
          <w:p>
            <w:pPr>
              <w:jc w:val="right"/>
              <w:ind w:right="214"/>
              <w:spacing w:after="0"/>
              <w:rPr>
                <w:sz w:val="20"/>
                <w:szCs w:val="20"/>
                <w:color w:val="auto"/>
              </w:rPr>
            </w:pPr>
            <w:r>
              <w:rPr>
                <w:rFonts w:ascii="Arial" w:cs="Arial" w:eastAsia="Arial" w:hAnsi="Arial"/>
                <w:sz w:val="18"/>
                <w:szCs w:val="18"/>
                <w:color w:val="auto"/>
              </w:rPr>
              <w:t>(5,315)</w:t>
            </w:r>
          </w:p>
        </w:tc>
        <w:tc>
          <w:tcPr>
            <w:tcW w:w="34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(19,113)</w:t>
            </w:r>
          </w:p>
        </w:tc>
        <w:tc>
          <w:tcPr>
            <w:tcW w:w="3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(19,336)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6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4,271</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3,535</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17,187</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37"/>
        </w:trPr>
        <w:tc>
          <w:tcPr>
            <w:tcW w:w="40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Earnings before income taxes</w:t>
            </w:r>
          </w:p>
        </w:tc>
        <w:tc>
          <w:tcPr>
            <w:tcW w:w="16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215"/>
              <w:spacing w:after="0"/>
              <w:rPr>
                <w:sz w:val="20"/>
                <w:szCs w:val="20"/>
                <w:color w:val="auto"/>
              </w:rPr>
            </w:pPr>
            <w:r>
              <w:rPr>
                <w:rFonts w:ascii="Arial" w:cs="Arial" w:eastAsia="Arial" w:hAnsi="Arial"/>
                <w:sz w:val="18"/>
                <w:szCs w:val="18"/>
                <w:color w:val="auto"/>
              </w:rPr>
              <w:t>46,927</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color w:val="auto"/>
              </w:rPr>
              <w:t>41,734</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75"/>
              <w:spacing w:after="0"/>
              <w:rPr>
                <w:sz w:val="20"/>
                <w:szCs w:val="20"/>
                <w:color w:val="auto"/>
              </w:rPr>
            </w:pPr>
            <w:r>
              <w:rPr>
                <w:rFonts w:ascii="Arial" w:cs="Arial" w:eastAsia="Arial" w:hAnsi="Arial"/>
                <w:sz w:val="18"/>
                <w:szCs w:val="18"/>
                <w:color w:val="auto"/>
              </w:rPr>
              <w:t>353,184</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330,460</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13,079</w:t>
            </w:r>
          </w:p>
        </w:tc>
        <w:tc>
          <w:tcPr>
            <w:tcW w:w="34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11,504</w:t>
            </w: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85,467</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99,466</w:t>
            </w:r>
          </w:p>
        </w:tc>
        <w:tc>
          <w:tcPr>
            <w:tcW w:w="0" w:type="dxa"/>
            <w:vAlign w:val="bottom"/>
          </w:tcPr>
          <w:p>
            <w:pPr>
              <w:spacing w:after="0"/>
              <w:rPr>
                <w:sz w:val="1"/>
                <w:szCs w:val="1"/>
                <w:color w:val="auto"/>
              </w:rPr>
            </w:pPr>
          </w:p>
        </w:tc>
      </w:tr>
      <w:tr>
        <w:trPr>
          <w:trHeight w:val="237"/>
        </w:trPr>
        <w:tc>
          <w:tcPr>
            <w:tcW w:w="40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earnings</w:t>
            </w:r>
          </w:p>
        </w:tc>
        <w:tc>
          <w:tcPr>
            <w:tcW w:w="16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215"/>
              <w:spacing w:after="0"/>
              <w:rPr>
                <w:sz w:val="20"/>
                <w:szCs w:val="20"/>
                <w:color w:val="auto"/>
              </w:rPr>
            </w:pPr>
            <w:r>
              <w:rPr>
                <w:rFonts w:ascii="Arial" w:cs="Arial" w:eastAsia="Arial" w:hAnsi="Arial"/>
                <w:sz w:val="18"/>
                <w:szCs w:val="18"/>
                <w:color w:val="auto"/>
              </w:rPr>
              <w:t>33,848</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color w:val="auto"/>
              </w:rPr>
              <w:t>30,230</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75"/>
              <w:spacing w:after="0"/>
              <w:rPr>
                <w:sz w:val="20"/>
                <w:szCs w:val="20"/>
                <w:color w:val="auto"/>
              </w:rPr>
            </w:pPr>
            <w:r>
              <w:rPr>
                <w:rFonts w:ascii="Arial" w:cs="Arial" w:eastAsia="Arial" w:hAnsi="Arial"/>
                <w:sz w:val="18"/>
                <w:szCs w:val="18"/>
                <w:color w:val="auto"/>
              </w:rPr>
              <w:t>267,717</w:t>
            </w:r>
          </w:p>
        </w:tc>
        <w:tc>
          <w:tcPr>
            <w:tcW w:w="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230,994</w:t>
            </w:r>
          </w:p>
        </w:tc>
        <w:tc>
          <w:tcPr>
            <w:tcW w:w="0" w:type="dxa"/>
            <w:vAlign w:val="bottom"/>
          </w:tcPr>
          <w:p>
            <w:pPr>
              <w:spacing w:after="0"/>
              <w:rPr>
                <w:sz w:val="1"/>
                <w:szCs w:val="1"/>
                <w:color w:val="auto"/>
              </w:rPr>
            </w:pPr>
          </w:p>
        </w:tc>
      </w:tr>
      <w:tr>
        <w:trPr>
          <w:trHeight w:val="67"/>
        </w:trPr>
        <w:tc>
          <w:tcPr>
            <w:tcW w:w="40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04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5"/>
              <w:spacing w:after="0"/>
              <w:rPr>
                <w:sz w:val="20"/>
                <w:szCs w:val="20"/>
                <w:color w:val="auto"/>
              </w:rPr>
            </w:pPr>
            <w:r>
              <w:rPr>
                <w:rFonts w:ascii="Arial" w:cs="Arial" w:eastAsia="Arial" w:hAnsi="Arial"/>
                <w:sz w:val="18"/>
                <w:szCs w:val="18"/>
                <w:color w:val="auto"/>
              </w:rPr>
              <w:t>0.31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74"/>
              <w:spacing w:after="0"/>
              <w:rPr>
                <w:sz w:val="20"/>
                <w:szCs w:val="20"/>
                <w:color w:val="auto"/>
              </w:rPr>
            </w:pPr>
            <w:r>
              <w:rPr>
                <w:rFonts w:ascii="Arial" w:cs="Arial" w:eastAsia="Arial" w:hAnsi="Arial"/>
                <w:sz w:val="18"/>
                <w:szCs w:val="18"/>
                <w:color w:val="auto"/>
              </w:rPr>
              <w:t>0.28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2.47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4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40" w:type="dxa"/>
            <w:vAlign w:val="bottom"/>
          </w:tcPr>
          <w:p>
            <w:pPr>
              <w:ind w:left="40"/>
              <w:spacing w:after="0"/>
              <w:rPr>
                <w:sz w:val="20"/>
                <w:szCs w:val="20"/>
                <w:color w:val="auto"/>
              </w:rPr>
            </w:pPr>
            <w:r>
              <w:rPr>
                <w:rFonts w:ascii="Arial" w:cs="Arial" w:eastAsia="Arial" w:hAnsi="Arial"/>
                <w:sz w:val="18"/>
                <w:szCs w:val="18"/>
                <w:color w:val="auto"/>
              </w:rPr>
              <w:t>Diluted net earnings per share of common stock</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5"/>
              <w:spacing w:after="0"/>
              <w:rPr>
                <w:sz w:val="20"/>
                <w:szCs w:val="20"/>
                <w:color w:val="auto"/>
              </w:rPr>
            </w:pPr>
            <w:r>
              <w:rPr>
                <w:rFonts w:ascii="Arial" w:cs="Arial" w:eastAsia="Arial" w:hAnsi="Arial"/>
                <w:sz w:val="18"/>
                <w:szCs w:val="18"/>
                <w:color w:val="auto"/>
              </w:rPr>
              <w:t>0.31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74"/>
              <w:spacing w:after="0"/>
              <w:rPr>
                <w:sz w:val="20"/>
                <w:szCs w:val="20"/>
                <w:color w:val="auto"/>
              </w:rPr>
            </w:pPr>
            <w:r>
              <w:rPr>
                <w:rFonts w:ascii="Arial" w:cs="Arial" w:eastAsia="Arial" w:hAnsi="Arial"/>
                <w:sz w:val="18"/>
                <w:szCs w:val="18"/>
                <w:color w:val="auto"/>
              </w:rPr>
              <w:t>0.27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2.41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Weighted-average number of shares of common stock outstanding —</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Basic</w:t>
            </w:r>
          </w:p>
        </w:tc>
        <w:tc>
          <w:tcPr>
            <w:tcW w:w="1680" w:type="dxa"/>
            <w:vAlign w:val="bottom"/>
          </w:tcPr>
          <w:p>
            <w:pPr>
              <w:spacing w:after="0"/>
              <w:rPr>
                <w:sz w:val="20"/>
                <w:szCs w:val="20"/>
                <w:color w:val="auto"/>
              </w:rPr>
            </w:pPr>
          </w:p>
        </w:tc>
        <w:tc>
          <w:tcPr>
            <w:tcW w:w="1080" w:type="dxa"/>
            <w:vAlign w:val="bottom"/>
          </w:tcPr>
          <w:p>
            <w:pPr>
              <w:jc w:val="right"/>
              <w:ind w:right="215"/>
              <w:spacing w:after="0"/>
              <w:rPr>
                <w:sz w:val="20"/>
                <w:szCs w:val="20"/>
                <w:color w:val="auto"/>
              </w:rPr>
            </w:pPr>
            <w:r>
              <w:rPr>
                <w:rFonts w:ascii="Arial" w:cs="Arial" w:eastAsia="Arial" w:hAnsi="Arial"/>
                <w:sz w:val="18"/>
                <w:szCs w:val="18"/>
                <w:color w:val="auto"/>
              </w:rPr>
              <w:t>107,929</w:t>
            </w:r>
          </w:p>
        </w:tc>
        <w:tc>
          <w:tcPr>
            <w:tcW w:w="340" w:type="dxa"/>
            <w:vAlign w:val="bottom"/>
          </w:tcPr>
          <w:p>
            <w:pPr>
              <w:spacing w:after="0"/>
              <w:rPr>
                <w:sz w:val="20"/>
                <w:szCs w:val="20"/>
                <w:color w:val="auto"/>
              </w:rPr>
            </w:pPr>
          </w:p>
        </w:tc>
        <w:tc>
          <w:tcPr>
            <w:tcW w:w="1260" w:type="dxa"/>
            <w:vAlign w:val="bottom"/>
          </w:tcPr>
          <w:p>
            <w:pPr>
              <w:jc w:val="right"/>
              <w:ind w:right="274"/>
              <w:spacing w:after="0"/>
              <w:rPr>
                <w:sz w:val="20"/>
                <w:szCs w:val="20"/>
                <w:color w:val="auto"/>
              </w:rPr>
            </w:pPr>
            <w:r>
              <w:rPr>
                <w:rFonts w:ascii="Arial" w:cs="Arial" w:eastAsia="Arial" w:hAnsi="Arial"/>
                <w:sz w:val="18"/>
                <w:szCs w:val="18"/>
                <w:color w:val="auto"/>
              </w:rPr>
              <w:t>109,546</w:t>
            </w:r>
          </w:p>
        </w:tc>
        <w:tc>
          <w:tcPr>
            <w:tcW w:w="340" w:type="dxa"/>
            <w:vAlign w:val="bottom"/>
          </w:tcPr>
          <w:p>
            <w:pPr>
              <w:spacing w:after="0"/>
              <w:rPr>
                <w:sz w:val="20"/>
                <w:szCs w:val="20"/>
                <w:color w:val="auto"/>
              </w:rPr>
            </w:pP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108,312</w:t>
            </w:r>
          </w:p>
        </w:tc>
        <w:tc>
          <w:tcPr>
            <w:tcW w:w="300" w:type="dxa"/>
            <w:vAlign w:val="bottom"/>
          </w:tcPr>
          <w:p>
            <w:pPr>
              <w:spacing w:after="0"/>
              <w:rPr>
                <w:sz w:val="20"/>
                <w:szCs w:val="20"/>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109,834</w:t>
            </w:r>
          </w:p>
        </w:tc>
        <w:tc>
          <w:tcPr>
            <w:tcW w:w="0" w:type="dxa"/>
            <w:vAlign w:val="bottom"/>
          </w:tcPr>
          <w:p>
            <w:pPr>
              <w:spacing w:after="0"/>
              <w:rPr>
                <w:sz w:val="1"/>
                <w:szCs w:val="1"/>
                <w:color w:val="auto"/>
              </w:rPr>
            </w:pPr>
          </w:p>
        </w:tc>
      </w:tr>
      <w:tr>
        <w:trPr>
          <w:trHeight w:val="27"/>
        </w:trPr>
        <w:tc>
          <w:tcPr>
            <w:tcW w:w="57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720" w:type="dxa"/>
            <w:vAlign w:val="bottom"/>
            <w:gridSpan w:val="2"/>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Weighted-average number of shares of common stock outstanding —</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Diluted</w:t>
            </w:r>
          </w:p>
        </w:tc>
        <w:tc>
          <w:tcPr>
            <w:tcW w:w="1680" w:type="dxa"/>
            <w:vAlign w:val="bottom"/>
          </w:tcPr>
          <w:p>
            <w:pPr>
              <w:spacing w:after="0"/>
              <w:rPr>
                <w:sz w:val="20"/>
                <w:szCs w:val="20"/>
                <w:color w:val="auto"/>
              </w:rPr>
            </w:pPr>
          </w:p>
        </w:tc>
        <w:tc>
          <w:tcPr>
            <w:tcW w:w="1080" w:type="dxa"/>
            <w:vAlign w:val="bottom"/>
          </w:tcPr>
          <w:p>
            <w:pPr>
              <w:jc w:val="right"/>
              <w:ind w:right="215"/>
              <w:spacing w:after="0"/>
              <w:rPr>
                <w:sz w:val="20"/>
                <w:szCs w:val="20"/>
                <w:color w:val="auto"/>
              </w:rPr>
            </w:pPr>
            <w:r>
              <w:rPr>
                <w:rFonts w:ascii="Arial" w:cs="Arial" w:eastAsia="Arial" w:hAnsi="Arial"/>
                <w:sz w:val="18"/>
                <w:szCs w:val="18"/>
                <w:color w:val="auto"/>
              </w:rPr>
              <w:t>110,731</w:t>
            </w:r>
          </w:p>
        </w:tc>
        <w:tc>
          <w:tcPr>
            <w:tcW w:w="340" w:type="dxa"/>
            <w:vAlign w:val="bottom"/>
          </w:tcPr>
          <w:p>
            <w:pPr>
              <w:spacing w:after="0"/>
              <w:rPr>
                <w:sz w:val="20"/>
                <w:szCs w:val="20"/>
                <w:color w:val="auto"/>
              </w:rPr>
            </w:pPr>
          </w:p>
        </w:tc>
        <w:tc>
          <w:tcPr>
            <w:tcW w:w="1260" w:type="dxa"/>
            <w:vAlign w:val="bottom"/>
          </w:tcPr>
          <w:p>
            <w:pPr>
              <w:jc w:val="right"/>
              <w:ind w:right="274"/>
              <w:spacing w:after="0"/>
              <w:rPr>
                <w:sz w:val="20"/>
                <w:szCs w:val="20"/>
                <w:color w:val="auto"/>
              </w:rPr>
            </w:pPr>
            <w:r>
              <w:rPr>
                <w:rFonts w:ascii="Arial" w:cs="Arial" w:eastAsia="Arial" w:hAnsi="Arial"/>
                <w:sz w:val="18"/>
                <w:szCs w:val="18"/>
                <w:color w:val="auto"/>
              </w:rPr>
              <w:t>111,667</w:t>
            </w:r>
          </w:p>
        </w:tc>
        <w:tc>
          <w:tcPr>
            <w:tcW w:w="340" w:type="dxa"/>
            <w:vAlign w:val="bottom"/>
          </w:tcPr>
          <w:p>
            <w:pPr>
              <w:spacing w:after="0"/>
              <w:rPr>
                <w:sz w:val="20"/>
                <w:szCs w:val="20"/>
                <w:color w:val="auto"/>
              </w:rPr>
            </w:pPr>
          </w:p>
        </w:tc>
        <w:tc>
          <w:tcPr>
            <w:tcW w:w="1220" w:type="dxa"/>
            <w:vAlign w:val="bottom"/>
          </w:tcPr>
          <w:p>
            <w:pPr>
              <w:jc w:val="right"/>
              <w:ind w:right="175"/>
              <w:spacing w:after="0"/>
              <w:rPr>
                <w:sz w:val="20"/>
                <w:szCs w:val="20"/>
                <w:color w:val="auto"/>
              </w:rPr>
            </w:pPr>
            <w:r>
              <w:rPr>
                <w:rFonts w:ascii="Arial" w:cs="Arial" w:eastAsia="Arial" w:hAnsi="Arial"/>
                <w:sz w:val="18"/>
                <w:szCs w:val="18"/>
                <w:color w:val="auto"/>
              </w:rPr>
              <w:t>111,252</w:t>
            </w:r>
          </w:p>
        </w:tc>
        <w:tc>
          <w:tcPr>
            <w:tcW w:w="300" w:type="dxa"/>
            <w:vAlign w:val="bottom"/>
          </w:tcPr>
          <w:p>
            <w:pPr>
              <w:spacing w:after="0"/>
              <w:rPr>
                <w:sz w:val="20"/>
                <w:szCs w:val="20"/>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111,987</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92"/>
        </w:trPr>
        <w:tc>
          <w:tcPr>
            <w:tcW w:w="4040" w:type="dxa"/>
            <w:vAlign w:val="bottom"/>
          </w:tcPr>
          <w:p>
            <w:pPr>
              <w:spacing w:after="0"/>
              <w:rPr>
                <w:sz w:val="24"/>
                <w:szCs w:val="24"/>
                <w:color w:val="auto"/>
              </w:rPr>
            </w:pPr>
          </w:p>
        </w:tc>
        <w:tc>
          <w:tcPr>
            <w:tcW w:w="3100" w:type="dxa"/>
            <w:vAlign w:val="bottom"/>
            <w:gridSpan w:val="3"/>
          </w:tcPr>
          <w:p>
            <w:pPr>
              <w:jc w:val="right"/>
              <w:ind w:right="210"/>
              <w:spacing w:after="0"/>
              <w:rPr>
                <w:sz w:val="20"/>
                <w:szCs w:val="20"/>
                <w:color w:val="auto"/>
              </w:rPr>
            </w:pPr>
            <w:r>
              <w:rPr>
                <w:rFonts w:ascii="Arial" w:cs="Arial" w:eastAsia="Arial" w:hAnsi="Arial"/>
                <w:sz w:val="20"/>
                <w:szCs w:val="20"/>
                <w:b w:val="1"/>
                <w:bCs w:val="1"/>
                <w:color w:val="auto"/>
              </w:rPr>
              <w:t>Segment Data (Unaudited)</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4"/>
                <w:szCs w:val="24"/>
                <w:color w:val="auto"/>
              </w:rPr>
            </w:pPr>
          </w:p>
        </w:tc>
        <w:tc>
          <w:tcPr>
            <w:tcW w:w="2760" w:type="dxa"/>
            <w:vAlign w:val="bottom"/>
            <w:gridSpan w:val="2"/>
          </w:tcPr>
          <w:p>
            <w:pPr>
              <w:jc w:val="right"/>
              <w:ind w:right="75"/>
              <w:spacing w:after="0"/>
              <w:rPr>
                <w:sz w:val="20"/>
                <w:szCs w:val="20"/>
                <w:color w:val="auto"/>
              </w:rPr>
            </w:pPr>
            <w:r>
              <w:rPr>
                <w:rFonts w:ascii="Arial" w:cs="Arial" w:eastAsia="Arial" w:hAnsi="Arial"/>
                <w:sz w:val="20"/>
                <w:szCs w:val="20"/>
                <w:b w:val="1"/>
                <w:bCs w:val="1"/>
                <w:color w:val="auto"/>
              </w:rPr>
              <w:t>(Dollars in thousands)</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40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734"/>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52"/>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 Net Sales</w:t>
            </w:r>
          </w:p>
        </w:tc>
        <w:tc>
          <w:tcPr>
            <w:tcW w:w="1680" w:type="dxa"/>
            <w:vAlign w:val="bottom"/>
          </w:tcPr>
          <w:p>
            <w:pPr>
              <w:spacing w:after="0"/>
              <w:rPr>
                <w:sz w:val="13"/>
                <w:szCs w:val="13"/>
                <w:color w:val="auto"/>
              </w:rPr>
            </w:pPr>
          </w:p>
        </w:tc>
        <w:tc>
          <w:tcPr>
            <w:tcW w:w="10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93"/>
              </w:rPr>
              <w:t>October 31,</w:t>
            </w:r>
          </w:p>
        </w:tc>
        <w:tc>
          <w:tcPr>
            <w:tcW w:w="340" w:type="dxa"/>
            <w:vAlign w:val="bottom"/>
          </w:tcPr>
          <w:p>
            <w:pPr>
              <w:spacing w:after="0"/>
              <w:rPr>
                <w:sz w:val="13"/>
                <w:szCs w:val="13"/>
                <w:color w:val="auto"/>
              </w:rPr>
            </w:pPr>
          </w:p>
        </w:tc>
        <w:tc>
          <w:tcPr>
            <w:tcW w:w="126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3"/>
              </w:rPr>
              <w:t>October 31,</w:t>
            </w:r>
          </w:p>
        </w:tc>
        <w:tc>
          <w:tcPr>
            <w:tcW w:w="340" w:type="dxa"/>
            <w:vAlign w:val="bottom"/>
          </w:tcPr>
          <w:p>
            <w:pPr>
              <w:spacing w:after="0"/>
              <w:rPr>
                <w:sz w:val="13"/>
                <w:szCs w:val="13"/>
                <w:color w:val="auto"/>
              </w:rPr>
            </w:pPr>
          </w:p>
        </w:tc>
        <w:tc>
          <w:tcPr>
            <w:tcW w:w="12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3"/>
              </w:rPr>
              <w:t>October 31,</w:t>
            </w:r>
          </w:p>
        </w:tc>
        <w:tc>
          <w:tcPr>
            <w:tcW w:w="300" w:type="dxa"/>
            <w:vAlign w:val="bottom"/>
          </w:tcPr>
          <w:p>
            <w:pPr>
              <w:spacing w:after="0"/>
              <w:rPr>
                <w:sz w:val="13"/>
                <w:szCs w:val="13"/>
                <w:color w:val="auto"/>
              </w:rPr>
            </w:pPr>
          </w:p>
        </w:tc>
        <w:tc>
          <w:tcPr>
            <w:tcW w:w="116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2016</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360,436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343,483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1,811,705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1,705,312</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6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122,596</w:t>
            </w:r>
          </w:p>
        </w:tc>
        <w:tc>
          <w:tcPr>
            <w:tcW w:w="34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118,801</w:t>
            </w:r>
          </w:p>
        </w:tc>
        <w:tc>
          <w:tcPr>
            <w:tcW w:w="34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673,247</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669,131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6,072</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20,224</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17,732</w:t>
            </w:r>
          </w:p>
        </w:tc>
        <w:tc>
          <w:tcPr>
            <w:tcW w:w="0" w:type="dxa"/>
            <w:vAlign w:val="bottom"/>
          </w:tcPr>
          <w:p>
            <w:pPr>
              <w:spacing w:after="0"/>
              <w:rPr>
                <w:sz w:val="1"/>
                <w:szCs w:val="1"/>
                <w:color w:val="auto"/>
              </w:rPr>
            </w:pPr>
          </w:p>
        </w:tc>
      </w:tr>
      <w:tr>
        <w:trPr>
          <w:trHeight w:val="237"/>
        </w:trPr>
        <w:tc>
          <w:tcPr>
            <w:tcW w:w="40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488,627</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468,356</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2,505,176</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2,392,175</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*Includes International Sales of:</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139,610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129,011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611,927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579,588</w:t>
            </w:r>
          </w:p>
        </w:tc>
        <w:tc>
          <w:tcPr>
            <w:tcW w:w="0" w:type="dxa"/>
            <w:vAlign w:val="bottom"/>
          </w:tcPr>
          <w:p>
            <w:pPr>
              <w:spacing w:after="0"/>
              <w:rPr>
                <w:sz w:val="1"/>
                <w:szCs w:val="1"/>
                <w:color w:val="auto"/>
              </w:rPr>
            </w:pPr>
          </w:p>
        </w:tc>
      </w:tr>
      <w:tr>
        <w:trPr>
          <w:trHeight w:val="393"/>
        </w:trPr>
        <w:tc>
          <w:tcPr>
            <w:tcW w:w="4040" w:type="dxa"/>
            <w:vAlign w:val="bottom"/>
            <w:tcBorders>
              <w:top w:val="single" w:sz="8" w:color="auto"/>
              <w:bottom w:val="single" w:sz="8" w:color="auto"/>
            </w:tcBorders>
          </w:tcPr>
          <w:p>
            <w:pPr>
              <w:spacing w:after="0"/>
              <w:rPr>
                <w:sz w:val="24"/>
                <w:szCs w:val="24"/>
                <w:color w:val="auto"/>
              </w:rPr>
            </w:pPr>
          </w:p>
        </w:tc>
        <w:tc>
          <w:tcPr>
            <w:tcW w:w="1680" w:type="dxa"/>
            <w:vAlign w:val="bottom"/>
            <w:tcBorders>
              <w:top w:val="single" w:sz="8" w:color="auto"/>
              <w:bottom w:val="single" w:sz="8" w:color="auto"/>
            </w:tcBorders>
          </w:tcPr>
          <w:p>
            <w:pPr>
              <w:spacing w:after="0"/>
              <w:rPr>
                <w:sz w:val="24"/>
                <w:szCs w:val="24"/>
                <w:color w:val="auto"/>
              </w:rPr>
            </w:pPr>
          </w:p>
        </w:tc>
        <w:tc>
          <w:tcPr>
            <w:tcW w:w="2680" w:type="dxa"/>
            <w:vAlign w:val="bottom"/>
            <w:tcBorders>
              <w:top w:val="single" w:sz="8" w:color="auto"/>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top w:val="single" w:sz="8" w:color="auto"/>
              <w:bottom w:val="single" w:sz="8" w:color="auto"/>
            </w:tcBorders>
          </w:tcPr>
          <w:p>
            <w:pPr>
              <w:spacing w:after="0"/>
              <w:rPr>
                <w:sz w:val="24"/>
                <w:szCs w:val="24"/>
                <w:color w:val="auto"/>
              </w:rPr>
            </w:pPr>
          </w:p>
        </w:tc>
        <w:tc>
          <w:tcPr>
            <w:tcW w:w="2680" w:type="dxa"/>
            <w:vAlign w:val="bottom"/>
            <w:tcBorders>
              <w:top w:val="single" w:sz="8" w:color="auto"/>
              <w:bottom w:val="single" w:sz="8" w:color="auto"/>
            </w:tcBorders>
            <w:gridSpan w:val="3"/>
          </w:tcPr>
          <w:p>
            <w:pPr>
              <w:jc w:val="right"/>
              <w:ind w:right="734"/>
              <w:spacing w:after="0"/>
              <w:rPr>
                <w:sz w:val="20"/>
                <w:szCs w:val="20"/>
                <w:color w:val="auto"/>
              </w:rPr>
            </w:pPr>
            <w:r>
              <w:rPr>
                <w:rFonts w:ascii="Arial" w:cs="Arial" w:eastAsia="Arial" w:hAnsi="Arial"/>
                <w:sz w:val="14"/>
                <w:szCs w:val="14"/>
                <w:b w:val="1"/>
                <w:bCs w:val="1"/>
                <w:color w:val="auto"/>
              </w:rPr>
              <w:t>Fiscal Years Ended</w:t>
            </w:r>
          </w:p>
        </w:tc>
        <w:tc>
          <w:tcPr>
            <w:tcW w:w="0" w:type="dxa"/>
            <w:vAlign w:val="bottom"/>
          </w:tcPr>
          <w:p>
            <w:pPr>
              <w:spacing w:after="0"/>
              <w:rPr>
                <w:sz w:val="1"/>
                <w:szCs w:val="1"/>
                <w:color w:val="auto"/>
              </w:rPr>
            </w:pPr>
          </w:p>
        </w:tc>
      </w:tr>
      <w:tr>
        <w:trPr>
          <w:trHeight w:val="152"/>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 Earnings (Loss) Before Income Taxes</w:t>
            </w:r>
          </w:p>
        </w:tc>
        <w:tc>
          <w:tcPr>
            <w:tcW w:w="1680" w:type="dxa"/>
            <w:vAlign w:val="bottom"/>
          </w:tcPr>
          <w:p>
            <w:pPr>
              <w:spacing w:after="0"/>
              <w:rPr>
                <w:sz w:val="13"/>
                <w:szCs w:val="13"/>
                <w:color w:val="auto"/>
              </w:rPr>
            </w:pPr>
          </w:p>
        </w:tc>
        <w:tc>
          <w:tcPr>
            <w:tcW w:w="1080" w:type="dxa"/>
            <w:vAlign w:val="bottom"/>
          </w:tcPr>
          <w:p>
            <w:pPr>
              <w:jc w:val="center"/>
              <w:ind w:right="75"/>
              <w:spacing w:after="0" w:line="153" w:lineRule="exact"/>
              <w:rPr>
                <w:sz w:val="20"/>
                <w:szCs w:val="20"/>
                <w:color w:val="auto"/>
              </w:rPr>
            </w:pPr>
            <w:r>
              <w:rPr>
                <w:rFonts w:ascii="Arial" w:cs="Arial" w:eastAsia="Arial" w:hAnsi="Arial"/>
                <w:sz w:val="14"/>
                <w:szCs w:val="14"/>
                <w:b w:val="1"/>
                <w:bCs w:val="1"/>
                <w:color w:val="auto"/>
                <w:w w:val="93"/>
              </w:rPr>
              <w:t>October 31,</w:t>
            </w:r>
          </w:p>
        </w:tc>
        <w:tc>
          <w:tcPr>
            <w:tcW w:w="340" w:type="dxa"/>
            <w:vAlign w:val="bottom"/>
          </w:tcPr>
          <w:p>
            <w:pPr>
              <w:spacing w:after="0"/>
              <w:rPr>
                <w:sz w:val="13"/>
                <w:szCs w:val="13"/>
                <w:color w:val="auto"/>
              </w:rPr>
            </w:pPr>
          </w:p>
        </w:tc>
        <w:tc>
          <w:tcPr>
            <w:tcW w:w="126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3"/>
              </w:rPr>
              <w:t>October 31,</w:t>
            </w:r>
          </w:p>
        </w:tc>
        <w:tc>
          <w:tcPr>
            <w:tcW w:w="340" w:type="dxa"/>
            <w:vAlign w:val="bottom"/>
          </w:tcPr>
          <w:p>
            <w:pPr>
              <w:spacing w:after="0"/>
              <w:rPr>
                <w:sz w:val="13"/>
                <w:szCs w:val="13"/>
                <w:color w:val="auto"/>
              </w:rPr>
            </w:pPr>
          </w:p>
        </w:tc>
        <w:tc>
          <w:tcPr>
            <w:tcW w:w="12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3"/>
              </w:rPr>
              <w:t>October 31,</w:t>
            </w:r>
          </w:p>
        </w:tc>
        <w:tc>
          <w:tcPr>
            <w:tcW w:w="300" w:type="dxa"/>
            <w:vAlign w:val="bottom"/>
          </w:tcPr>
          <w:p>
            <w:pPr>
              <w:spacing w:after="0"/>
              <w:rPr>
                <w:sz w:val="13"/>
                <w:szCs w:val="13"/>
                <w:color w:val="auto"/>
              </w:rPr>
            </w:pPr>
          </w:p>
        </w:tc>
        <w:tc>
          <w:tcPr>
            <w:tcW w:w="116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2016</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59,749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379,496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352,060</w:t>
            </w:r>
          </w:p>
        </w:tc>
        <w:tc>
          <w:tcPr>
            <w:tcW w:w="0" w:type="dxa"/>
            <w:vAlign w:val="bottom"/>
          </w:tcPr>
          <w:p>
            <w:pPr>
              <w:spacing w:after="0"/>
              <w:rPr>
                <w:sz w:val="1"/>
                <w:szCs w:val="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6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11,739</w:t>
            </w:r>
          </w:p>
        </w:tc>
        <w:tc>
          <w:tcPr>
            <w:tcW w:w="34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9,197</w:t>
            </w:r>
          </w:p>
        </w:tc>
        <w:tc>
          <w:tcPr>
            <w:tcW w:w="34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74,704</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73,691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(29,763)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(27,212)</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(101,016)</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(95,291)</w:t>
            </w:r>
          </w:p>
        </w:tc>
        <w:tc>
          <w:tcPr>
            <w:tcW w:w="0" w:type="dxa"/>
            <w:vAlign w:val="bottom"/>
          </w:tcPr>
          <w:p>
            <w:pPr>
              <w:spacing w:after="0"/>
              <w:rPr>
                <w:sz w:val="1"/>
                <w:szCs w:val="1"/>
                <w:color w:val="auto"/>
              </w:rPr>
            </w:pPr>
          </w:p>
        </w:tc>
      </w:tr>
      <w:tr>
        <w:trPr>
          <w:trHeight w:val="237"/>
        </w:trPr>
        <w:tc>
          <w:tcPr>
            <w:tcW w:w="40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46,927</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41,734</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353,184</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330,460</w:t>
            </w:r>
          </w:p>
        </w:tc>
        <w:tc>
          <w:tcPr>
            <w:tcW w:w="0" w:type="dxa"/>
            <w:vAlign w:val="bottom"/>
          </w:tcPr>
          <w:p>
            <w:pPr>
              <w:spacing w:after="0"/>
              <w:rPr>
                <w:sz w:val="1"/>
                <w:szCs w:val="1"/>
                <w:color w:val="auto"/>
              </w:rPr>
            </w:pPr>
          </w:p>
        </w:tc>
      </w:tr>
      <w:tr>
        <w:trPr>
          <w:trHeight w:val="27"/>
        </w:trPr>
        <w:tc>
          <w:tcPr>
            <w:tcW w:w="4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color w:val="auto"/>
        </w:rPr>
        <w:t>6 - The Toro Company Reports Record Fiscal 2017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108"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60" w:type="dxa"/>
            <w:vAlign w:val="bottom"/>
          </w:tcPr>
          <w:p>
            <w:pPr>
              <w:jc w:val="right"/>
              <w:ind w:right="272"/>
              <w:spacing w:after="0"/>
              <w:rPr>
                <w:sz w:val="20"/>
                <w:szCs w:val="20"/>
                <w:color w:val="auto"/>
              </w:rPr>
            </w:pPr>
            <w:r>
              <w:rPr>
                <w:rFonts w:ascii="Arial" w:cs="Arial" w:eastAsia="Arial" w:hAnsi="Arial"/>
                <w:sz w:val="14"/>
                <w:szCs w:val="14"/>
                <w:b w:val="1"/>
                <w:bCs w:val="1"/>
                <w:color w:val="auto"/>
              </w:rPr>
              <w:t>October 31,</w:t>
            </w:r>
          </w:p>
        </w:tc>
        <w:tc>
          <w:tcPr>
            <w:tcW w:w="300" w:type="dxa"/>
            <w:vAlign w:val="bottom"/>
          </w:tcPr>
          <w:p>
            <w:pPr>
              <w:spacing w:after="0"/>
              <w:rPr>
                <w:sz w:val="14"/>
                <w:szCs w:val="14"/>
                <w:color w:val="auto"/>
              </w:rPr>
            </w:pPr>
          </w:p>
        </w:tc>
        <w:tc>
          <w:tcPr>
            <w:tcW w:w="1160" w:type="dxa"/>
            <w:vAlign w:val="bottom"/>
          </w:tcPr>
          <w:p>
            <w:pPr>
              <w:jc w:val="right"/>
              <w:ind w:right="252"/>
              <w:spacing w:after="0"/>
              <w:rPr>
                <w:sz w:val="20"/>
                <w:szCs w:val="20"/>
                <w:color w:val="auto"/>
              </w:rPr>
            </w:pPr>
            <w:r>
              <w:rPr>
                <w:rFonts w:ascii="Arial" w:cs="Arial" w:eastAsia="Arial" w:hAnsi="Arial"/>
                <w:sz w:val="14"/>
                <w:szCs w:val="14"/>
                <w:b w:val="1"/>
                <w:bCs w:val="1"/>
                <w:color w:val="auto"/>
              </w:rPr>
              <w:t>October 31,</w:t>
            </w:r>
          </w:p>
        </w:tc>
      </w:tr>
      <w:tr>
        <w:trPr>
          <w:trHeight w:val="192"/>
        </w:trPr>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02"/>
        </w:trPr>
        <w:tc>
          <w:tcPr>
            <w:tcW w:w="61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ASSETS</w:t>
            </w:r>
          </w:p>
        </w:tc>
        <w:tc>
          <w:tcPr>
            <w:tcW w:w="2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6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310,256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273,555</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183,073</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163,265</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6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328,992</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307,034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6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37,565</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35,155</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Total current assets</w:t>
            </w:r>
          </w:p>
        </w:tc>
        <w:tc>
          <w:tcPr>
            <w:tcW w:w="26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859,886</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779,009</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26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235,230</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222,038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deferred income taxes</w:t>
            </w:r>
          </w:p>
        </w:tc>
        <w:tc>
          <w:tcPr>
            <w:tcW w:w="2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64,083</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57,228</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Goodwill and other assets, net</w:t>
            </w:r>
          </w:p>
        </w:tc>
        <w:tc>
          <w:tcPr>
            <w:tcW w:w="26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334,588</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326,297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1,493,787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1,384,572</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1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LIABILITIES AND STOCKHOLDERS’ EQUITY</w:t>
            </w:r>
          </w:p>
        </w:tc>
        <w:tc>
          <w:tcPr>
            <w:tcW w:w="26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auto"/>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6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Current portion of long-term debt</w:t>
            </w:r>
          </w:p>
        </w:tc>
        <w:tc>
          <w:tcPr>
            <w:tcW w:w="2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26,258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22,484</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211,752</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174,668</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Accrued liabilities</w:t>
            </w:r>
          </w:p>
        </w:tc>
        <w:tc>
          <w:tcPr>
            <w:tcW w:w="26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283,786</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266,687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26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521,796</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463,839</w:t>
            </w:r>
          </w:p>
        </w:tc>
      </w:tr>
      <w:tr>
        <w:trPr>
          <w:trHeight w:val="318"/>
        </w:trPr>
        <w:tc>
          <w:tcPr>
            <w:tcW w:w="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305,629</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328,477</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Deferred revenue</w:t>
            </w:r>
          </w:p>
        </w:tc>
        <w:tc>
          <w:tcPr>
            <w:tcW w:w="26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24,761</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11,830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deferred income taxes</w:t>
            </w:r>
          </w:p>
        </w:tc>
        <w:tc>
          <w:tcPr>
            <w:tcW w:w="26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1,726</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Other long-term liabilities</w:t>
            </w:r>
          </w:p>
        </w:tc>
        <w:tc>
          <w:tcPr>
            <w:tcW w:w="262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22,783</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30,391</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6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617,092</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550,035</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1,493,787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1,384,572</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color w:val="auto"/>
        </w:rPr>
        <w:t>7 - The Toro Company Reports Record Fiscal 2017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108"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29"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jc w:val="right"/>
              <w:ind w:right="311"/>
              <w:spacing w:after="0"/>
              <w:rPr>
                <w:sz w:val="20"/>
                <w:szCs w:val="20"/>
                <w:color w:val="auto"/>
              </w:rPr>
            </w:pPr>
            <w:r>
              <w:rPr>
                <w:rFonts w:ascii="Arial" w:cs="Arial" w:eastAsia="Arial" w:hAnsi="Arial"/>
                <w:sz w:val="14"/>
                <w:szCs w:val="14"/>
                <w:b w:val="1"/>
                <w:bCs w:val="1"/>
                <w:color w:val="auto"/>
              </w:rPr>
              <w:t>October 31,</w:t>
            </w:r>
          </w:p>
        </w:tc>
        <w:tc>
          <w:tcPr>
            <w:tcW w:w="260" w:type="dxa"/>
            <w:vAlign w:val="bottom"/>
          </w:tcPr>
          <w:p>
            <w:pPr>
              <w:spacing w:after="0"/>
              <w:rPr>
                <w:sz w:val="14"/>
                <w:szCs w:val="14"/>
                <w:color w:val="auto"/>
              </w:rPr>
            </w:pPr>
          </w:p>
        </w:tc>
        <w:tc>
          <w:tcPr>
            <w:tcW w:w="1160" w:type="dxa"/>
            <w:vAlign w:val="bottom"/>
          </w:tcPr>
          <w:p>
            <w:pPr>
              <w:jc w:val="right"/>
              <w:ind w:right="251"/>
              <w:spacing w:after="0"/>
              <w:rPr>
                <w:sz w:val="20"/>
                <w:szCs w:val="20"/>
                <w:color w:val="auto"/>
              </w:rPr>
            </w:pPr>
            <w:r>
              <w:rPr>
                <w:rFonts w:ascii="Arial" w:cs="Arial" w:eastAsia="Arial" w:hAnsi="Arial"/>
                <w:sz w:val="14"/>
                <w:szCs w:val="14"/>
                <w:b w:val="1"/>
                <w:bCs w:val="1"/>
                <w:color w:val="auto"/>
              </w:rPr>
              <w:t>October 31,</w:t>
            </w:r>
          </w:p>
        </w:tc>
      </w:tr>
      <w:tr>
        <w:trPr>
          <w:trHeight w:val="192"/>
        </w:trPr>
        <w:tc>
          <w:tcPr>
            <w:tcW w:w="7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267,717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230,994</w:t>
            </w:r>
          </w:p>
        </w:tc>
      </w:tr>
      <w:tr>
        <w:trPr>
          <w:trHeight w:val="27"/>
        </w:trPr>
        <w:tc>
          <w:tcPr>
            <w:tcW w:w="7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Adjustments to reconcile net earnings to net cash provided by operating activities:</w:t>
            </w:r>
          </w:p>
        </w:tc>
        <w:tc>
          <w:tcPr>
            <w:tcW w:w="1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3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(9,960)</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(9,588)</w:t>
            </w:r>
          </w:p>
        </w:tc>
      </w:tr>
      <w:tr>
        <w:trPr>
          <w:trHeight w:val="27"/>
        </w:trPr>
        <w:tc>
          <w:tcPr>
            <w:tcW w:w="7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Distributions from finance affiliate, net</w:t>
            </w:r>
          </w:p>
        </w:tc>
        <w:tc>
          <w:tcPr>
            <w:tcW w:w="1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8,050</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9,848</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13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64,986</w:t>
            </w:r>
          </w:p>
        </w:tc>
        <w:tc>
          <w:tcPr>
            <w:tcW w:w="2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64,097</w:t>
            </w:r>
          </w:p>
        </w:tc>
      </w:tr>
      <w:tr>
        <w:trPr>
          <w:trHeight w:val="27"/>
        </w:trPr>
        <w:tc>
          <w:tcPr>
            <w:tcW w:w="7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Stock-based compensation expense</w:t>
            </w:r>
          </w:p>
        </w:tc>
        <w:tc>
          <w:tcPr>
            <w:tcW w:w="1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13,517</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10,637</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Provision for deferred income taxes</w:t>
            </w:r>
          </w:p>
        </w:tc>
        <w:tc>
          <w:tcPr>
            <w:tcW w:w="13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(6,887)</w:t>
            </w:r>
          </w:p>
        </w:tc>
        <w:tc>
          <w:tcPr>
            <w:tcW w:w="2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10,075</w:t>
            </w:r>
          </w:p>
        </w:tc>
      </w:tr>
      <w:tr>
        <w:trPr>
          <w:trHeight w:val="27"/>
        </w:trPr>
        <w:tc>
          <w:tcPr>
            <w:tcW w:w="7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Other</w:t>
            </w:r>
          </w:p>
        </w:tc>
        <w:tc>
          <w:tcPr>
            <w:tcW w:w="1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Receivables, net</w:t>
            </w:r>
          </w:p>
        </w:tc>
        <w:tc>
          <w:tcPr>
            <w:tcW w:w="1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15,785</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3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(15,611)</w:t>
            </w:r>
          </w:p>
        </w:tc>
        <w:tc>
          <w:tcPr>
            <w:tcW w:w="2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23,192</w:t>
            </w:r>
          </w:p>
        </w:tc>
      </w:tr>
      <w:tr>
        <w:trPr>
          <w:trHeight w:val="27"/>
        </w:trPr>
        <w:tc>
          <w:tcPr>
            <w:tcW w:w="7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Prepaid expenses and other assets</w:t>
            </w:r>
          </w:p>
        </w:tc>
        <w:tc>
          <w:tcPr>
            <w:tcW w:w="1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(3,424)</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13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59,859</w:t>
            </w:r>
          </w:p>
        </w:tc>
        <w:tc>
          <w:tcPr>
            <w:tcW w:w="2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30,614</w:t>
            </w:r>
          </w:p>
        </w:tc>
      </w:tr>
      <w:tr>
        <w:trPr>
          <w:trHeight w:val="27"/>
        </w:trPr>
        <w:tc>
          <w:tcPr>
            <w:tcW w:w="7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360,748</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384,285</w:t>
            </w:r>
          </w:p>
        </w:tc>
      </w:tr>
      <w:tr>
        <w:trPr>
          <w:trHeight w:val="237"/>
        </w:trPr>
        <w:tc>
          <w:tcPr>
            <w:tcW w:w="7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flows from investing activities:</w:t>
            </w:r>
          </w:p>
        </w:tc>
        <w:tc>
          <w:tcPr>
            <w:tcW w:w="1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7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Purchases of property, plant and equipment</w:t>
            </w:r>
          </w:p>
        </w:tc>
        <w:tc>
          <w:tcPr>
            <w:tcW w:w="1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(58,276)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(50,723)</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Proceeds from asset disposals</w:t>
            </w:r>
          </w:p>
        </w:tc>
        <w:tc>
          <w:tcPr>
            <w:tcW w:w="13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310</w:t>
            </w:r>
          </w:p>
        </w:tc>
      </w:tr>
      <w:tr>
        <w:trPr>
          <w:trHeight w:val="27"/>
        </w:trPr>
        <w:tc>
          <w:tcPr>
            <w:tcW w:w="7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Proceeds from sale of a business</w:t>
            </w:r>
          </w:p>
        </w:tc>
        <w:tc>
          <w:tcPr>
            <w:tcW w:w="1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Purchase of noncontrolling interest</w:t>
            </w:r>
          </w:p>
        </w:tc>
        <w:tc>
          <w:tcPr>
            <w:tcW w:w="13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net of cash acquired</w:t>
            </w:r>
          </w:p>
        </w:tc>
        <w:tc>
          <w:tcPr>
            <w:tcW w:w="1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(24,181)</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4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(83,758)</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(48,913)</w:t>
            </w:r>
          </w:p>
        </w:tc>
      </w:tr>
      <w:tr>
        <w:trPr>
          <w:trHeight w:val="27"/>
        </w:trPr>
        <w:tc>
          <w:tcPr>
            <w:tcW w:w="7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Short-term debt repayments, net</w:t>
            </w:r>
          </w:p>
        </w:tc>
        <w:tc>
          <w:tcPr>
            <w:tcW w:w="13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(1,161)</w:t>
            </w:r>
          </w:p>
        </w:tc>
      </w:tr>
      <w:tr>
        <w:trPr>
          <w:trHeight w:val="27"/>
        </w:trPr>
        <w:tc>
          <w:tcPr>
            <w:tcW w:w="7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Payments on long-term debt</w:t>
            </w:r>
          </w:p>
        </w:tc>
        <w:tc>
          <w:tcPr>
            <w:tcW w:w="1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(19,136)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(24,107)</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340" w:type="dxa"/>
            <w:vAlign w:val="bottom"/>
          </w:tcPr>
          <w:p>
            <w:pPr>
              <w:spacing w:after="0"/>
              <w:rPr>
                <w:sz w:val="21"/>
                <w:szCs w:val="21"/>
                <w:color w:val="auto"/>
              </w:rPr>
            </w:pPr>
          </w:p>
        </w:tc>
        <w:tc>
          <w:tcPr>
            <w:tcW w:w="1200" w:type="dxa"/>
            <w:vAlign w:val="bottom"/>
          </w:tcPr>
          <w:p>
            <w:pPr>
              <w:jc w:val="right"/>
              <w:ind w:right="71"/>
              <w:spacing w:after="0"/>
              <w:rPr>
                <w:sz w:val="20"/>
                <w:szCs w:val="20"/>
                <w:color w:val="auto"/>
              </w:rPr>
            </w:pPr>
            <w:r>
              <w:rPr>
                <w:rFonts w:ascii="Arial" w:cs="Arial" w:eastAsia="Arial" w:hAnsi="Arial"/>
                <w:sz w:val="18"/>
                <w:szCs w:val="18"/>
                <w:color w:val="auto"/>
              </w:rPr>
              <w:t>10,274</w:t>
            </w:r>
          </w:p>
        </w:tc>
        <w:tc>
          <w:tcPr>
            <w:tcW w:w="2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20,226</w:t>
            </w:r>
          </w:p>
        </w:tc>
      </w:tr>
      <w:tr>
        <w:trPr>
          <w:trHeight w:val="27"/>
        </w:trPr>
        <w:tc>
          <w:tcPr>
            <w:tcW w:w="7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Payments of withholding taxes for stock awards</w:t>
            </w:r>
          </w:p>
        </w:tc>
        <w:tc>
          <w:tcPr>
            <w:tcW w:w="1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Purchases of Toro common stock</w:t>
            </w:r>
          </w:p>
        </w:tc>
        <w:tc>
          <w:tcPr>
            <w:tcW w:w="13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(159,354)</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(109,986)</w:t>
            </w:r>
          </w:p>
        </w:tc>
      </w:tr>
      <w:tr>
        <w:trPr>
          <w:trHeight w:val="27"/>
        </w:trPr>
        <w:tc>
          <w:tcPr>
            <w:tcW w:w="7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Dividends paid on Toro common stock</w:t>
            </w:r>
          </w:p>
        </w:tc>
        <w:tc>
          <w:tcPr>
            <w:tcW w:w="1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(75,758)</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(65,890)</w:t>
            </w:r>
          </w:p>
        </w:tc>
      </w:tr>
      <w:tr>
        <w:trPr>
          <w:trHeight w:val="237"/>
        </w:trPr>
        <w:tc>
          <w:tcPr>
            <w:tcW w:w="74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cash used in financing activities</w:t>
            </w:r>
          </w:p>
        </w:tc>
        <w:tc>
          <w:tcPr>
            <w:tcW w:w="1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(245,268)</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(182,931)</w:t>
            </w:r>
          </w:p>
        </w:tc>
      </w:tr>
      <w:tr>
        <w:trPr>
          <w:trHeight w:val="27"/>
        </w:trPr>
        <w:tc>
          <w:tcPr>
            <w:tcW w:w="7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15"/>
        </w:trPr>
        <w:tc>
          <w:tcPr>
            <w:tcW w:w="74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275"/>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4,979</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(5,161)</w:t>
            </w:r>
          </w:p>
        </w:tc>
      </w:tr>
      <w:tr>
        <w:trPr>
          <w:trHeight w:val="237"/>
        </w:trPr>
        <w:tc>
          <w:tcPr>
            <w:tcW w:w="7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36,701</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147,280</w:t>
            </w:r>
          </w:p>
        </w:tc>
      </w:tr>
      <w:tr>
        <w:trPr>
          <w:trHeight w:val="27"/>
        </w:trPr>
        <w:tc>
          <w:tcPr>
            <w:tcW w:w="7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273,555</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126,275</w:t>
            </w:r>
          </w:p>
        </w:tc>
      </w:tr>
      <w:tr>
        <w:trPr>
          <w:trHeight w:val="237"/>
        </w:trPr>
        <w:tc>
          <w:tcPr>
            <w:tcW w:w="7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as of the end of the fiscal period</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310,256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273,555</w:t>
            </w:r>
          </w:p>
        </w:tc>
      </w:tr>
      <w:tr>
        <w:trPr>
          <w:trHeight w:val="27"/>
        </w:trPr>
        <w:tc>
          <w:tcPr>
            <w:tcW w:w="7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spacing w:after="0" w:line="388" w:lineRule="auto"/>
        <w:rPr>
          <w:sz w:val="20"/>
          <w:szCs w:val="20"/>
          <w:color w:val="auto"/>
        </w:rPr>
      </w:pPr>
      <w:r>
        <w:rPr>
          <w:rFonts w:ascii="Arial" w:cs="Arial" w:eastAsia="Arial" w:hAnsi="Arial"/>
          <w:sz w:val="13"/>
          <w:szCs w:val="13"/>
          <w:color w:val="auto"/>
        </w:rPr>
        <w:t xml:space="preserve">The company early adopted ASU No. 2016-15, </w:t>
      </w:r>
      <w:r>
        <w:rPr>
          <w:rFonts w:ascii="Arial" w:cs="Arial" w:eastAsia="Arial" w:hAnsi="Arial"/>
          <w:sz w:val="13"/>
          <w:szCs w:val="13"/>
          <w:i w:val="1"/>
          <w:iCs w:val="1"/>
          <w:color w:val="auto"/>
        </w:rPr>
        <w:t>Statement of Cash Flows (Topic 230): Classification of Certain Cash Receipts and Cash Payments</w:t>
      </w:r>
      <w:r>
        <w:rPr>
          <w:rFonts w:ascii="Arial" w:cs="Arial" w:eastAsia="Arial" w:hAnsi="Arial"/>
          <w:sz w:val="13"/>
          <w:szCs w:val="13"/>
          <w:color w:val="auto"/>
        </w:rPr>
        <w:t>, retrospectively effective November 1, 2016. The adoption of this guidance changed the classification for "Distributions from finance affiliate, net" from an investing activity to an operating activity on the Consolidated Statements of Cash Flows. The adoption of this guidance resulted in a $8,050 and $9,848 increase in cash flows from operating activities for the twelve months ended October 31, 2017 and October 31, 2016, respectively.</w:t>
      </w:r>
    </w:p>
    <w:p>
      <w:pPr>
        <w:jc w:val="center"/>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952"/>
    </w:lvl>
  </w:abstractNum>
  <w:abstractNum w:abstractNumId="2">
    <w:nsid w:val="238E1F29"/>
    <w:multiLevelType w:val="hybridMultilevel"/>
    <w:lvl w:ilvl="0">
      <w:lvlJc w:val="left"/>
      <w:lvlText w:val="(%1)"/>
      <w:numFmt w:val="decimal"/>
      <w:start w:val="952"/>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2019-12-29T02:48:24Z</dcterms:created>
  <dcterms:modified xsi:type="dcterms:W3CDTF">2019-12-29T02:48:24Z</dcterms:modified>
</cp:coreProperties>
</file>