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18, 2016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208"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208"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208"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February 18, 2016, The Toro Company announced its earnings for the three months ended January 29, 2016.</w:t>
      </w:r>
    </w:p>
    <w:p>
      <w:pPr>
        <w:spacing w:after="0" w:line="225" w:lineRule="exact"/>
        <w:rPr>
          <w:sz w:val="24"/>
          <w:szCs w:val="24"/>
          <w:color w:val="auto"/>
        </w:rPr>
      </w:pPr>
    </w:p>
    <w:p>
      <w:pPr>
        <w:ind w:left="820" w:right="1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20" w:hanging="502"/>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700" w:type="dxa"/>
            <w:vAlign w:val="bottom"/>
            <w:gridSpan w:val="3"/>
          </w:tcPr>
          <w:p>
            <w:pPr>
              <w:ind w:left="980"/>
              <w:spacing w:after="0"/>
              <w:rPr>
                <w:sz w:val="20"/>
                <w:szCs w:val="20"/>
                <w:color w:val="auto"/>
              </w:rPr>
            </w:pPr>
            <w:r>
              <w:rPr>
                <w:rFonts w:ascii="Arial" w:cs="Arial" w:eastAsia="Arial" w:hAnsi="Arial"/>
                <w:sz w:val="14"/>
                <w:szCs w:val="14"/>
                <w:b w:val="1"/>
                <w:bCs w:val="1"/>
                <w:color w:val="auto"/>
              </w:rPr>
              <w:t>Exhibit No.</w:t>
            </w:r>
          </w:p>
        </w:tc>
        <w:tc>
          <w:tcPr>
            <w:tcW w:w="8540" w:type="dxa"/>
            <w:vAlign w:val="bottom"/>
          </w:tcPr>
          <w:p>
            <w:pPr>
              <w:jc w:val="right"/>
              <w:ind w:right="3836"/>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4"/>
                <w:szCs w:val="14"/>
                <w:color w:val="auto"/>
              </w:rPr>
            </w:pPr>
          </w:p>
        </w:tc>
      </w:tr>
      <w:tr>
        <w:trPr>
          <w:trHeight w:val="224"/>
        </w:trPr>
        <w:tc>
          <w:tcPr>
            <w:tcW w:w="980" w:type="dxa"/>
            <w:vAlign w:val="bottom"/>
          </w:tcPr>
          <w:p>
            <w:pPr>
              <w:spacing w:after="0"/>
              <w:rPr>
                <w:sz w:val="19"/>
                <w:szCs w:val="19"/>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8540" w:type="dxa"/>
            <w:vAlign w:val="bottom"/>
            <w:tcBorders>
              <w:top w:val="single" w:sz="8" w:color="auto"/>
            </w:tcBorders>
          </w:tcPr>
          <w:p>
            <w:pPr>
              <w:jc w:val="right"/>
              <w:ind w:right="4176"/>
              <w:spacing w:after="0"/>
              <w:rPr>
                <w:sz w:val="20"/>
                <w:szCs w:val="20"/>
                <w:color w:val="auto"/>
              </w:rPr>
            </w:pPr>
            <w:r>
              <w:rPr>
                <w:rFonts w:ascii="Arial" w:cs="Arial" w:eastAsia="Arial" w:hAnsi="Arial"/>
                <w:sz w:val="18"/>
                <w:szCs w:val="18"/>
                <w:color w:val="auto"/>
                <w:w w:val="88"/>
              </w:rPr>
              <w:t>Press release dated February 18, 2016 (furnished herewith).</w:t>
            </w:r>
          </w:p>
        </w:tc>
        <w:tc>
          <w:tcPr>
            <w:tcW w:w="220" w:type="dxa"/>
            <w:vAlign w:val="bottom"/>
          </w:tcPr>
          <w:p>
            <w:pPr>
              <w:spacing w:after="0"/>
              <w:rPr>
                <w:sz w:val="19"/>
                <w:szCs w:val="19"/>
                <w:color w:val="auto"/>
              </w:rPr>
            </w:pPr>
          </w:p>
        </w:tc>
      </w:tr>
      <w:tr>
        <w:trPr>
          <w:trHeight w:val="418"/>
        </w:trPr>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40" w:type="dxa"/>
            <w:vAlign w:val="bottom"/>
          </w:tcPr>
          <w:p>
            <w:pPr>
              <w:jc w:val="right"/>
              <w:ind w:right="5396"/>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5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208"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0" w:type="dxa"/>
            <w:vAlign w:val="bottom"/>
            <w:gridSpan w:val="2"/>
          </w:tcPr>
          <w:p>
            <w:pPr>
              <w:ind w:left="400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0" w:type="dxa"/>
            <w:vAlign w:val="bottom"/>
            <w:gridSpan w:val="2"/>
          </w:tcPr>
          <w:p>
            <w:pPr>
              <w:ind w:left="400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1820" w:type="dxa"/>
            <w:vAlign w:val="bottom"/>
            <w:gridSpan w:val="3"/>
          </w:tcPr>
          <w:p>
            <w:pPr>
              <w:spacing w:after="0"/>
              <w:rPr>
                <w:sz w:val="20"/>
                <w:szCs w:val="20"/>
                <w:color w:val="auto"/>
              </w:rPr>
            </w:pPr>
            <w:r>
              <w:rPr>
                <w:rFonts w:ascii="Arial" w:cs="Arial" w:eastAsia="Arial" w:hAnsi="Arial"/>
                <w:sz w:val="18"/>
                <w:szCs w:val="18"/>
                <w:color w:val="auto"/>
                <w:w w:val="92"/>
              </w:rPr>
              <w:t>Date: February 18, 2016</w:t>
            </w:r>
          </w:p>
        </w:tc>
        <w:tc>
          <w:tcPr>
            <w:tcW w:w="9600" w:type="dxa"/>
            <w:vAlign w:val="bottom"/>
            <w:gridSpan w:val="2"/>
          </w:tcPr>
          <w:p>
            <w:pPr>
              <w:ind w:left="400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380" w:type="dxa"/>
            <w:vAlign w:val="bottom"/>
          </w:tcPr>
          <w:p>
            <w:pPr>
              <w:ind w:left="4000"/>
              <w:spacing w:after="0" w:line="182" w:lineRule="exact"/>
              <w:rPr>
                <w:sz w:val="20"/>
                <w:szCs w:val="20"/>
                <w:color w:val="auto"/>
              </w:rPr>
            </w:pPr>
            <w:r>
              <w:rPr>
                <w:rFonts w:ascii="Arial" w:cs="Arial" w:eastAsia="Arial" w:hAnsi="Arial"/>
                <w:sz w:val="17"/>
                <w:szCs w:val="17"/>
                <w:color w:val="auto"/>
                <w:w w:val="71"/>
              </w:rPr>
              <w:t>Renee</w:t>
            </w:r>
          </w:p>
        </w:tc>
        <w:tc>
          <w:tcPr>
            <w:tcW w:w="522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0" w:type="dxa"/>
            <w:vAlign w:val="bottom"/>
            <w:gridSpan w:val="2"/>
          </w:tcPr>
          <w:p>
            <w:pPr>
              <w:ind w:left="4000"/>
              <w:spacing w:after="0"/>
              <w:rPr>
                <w:sz w:val="20"/>
                <w:szCs w:val="20"/>
                <w:color w:val="auto"/>
              </w:rPr>
            </w:pPr>
            <w:r>
              <w:rPr>
                <w:rFonts w:ascii="Arial" w:cs="Arial" w:eastAsia="Arial" w:hAnsi="Arial"/>
                <w:sz w:val="18"/>
                <w:szCs w:val="18"/>
                <w:color w:val="auto"/>
              </w:rPr>
              <w:t>Vice President, Treasurer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0" w:type="dxa"/>
            <w:vAlign w:val="bottom"/>
            <w:gridSpan w:val="2"/>
          </w:tcPr>
          <w:p>
            <w:pPr>
              <w:ind w:left="400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80" w:type="dxa"/>
            <w:vAlign w:val="bottom"/>
          </w:tcPr>
          <w:p>
            <w:pPr>
              <w:ind w:left="3840"/>
              <w:spacing w:after="0"/>
              <w:rPr>
                <w:sz w:val="20"/>
                <w:szCs w:val="20"/>
                <w:color w:val="auto"/>
              </w:rPr>
            </w:pPr>
            <w:r>
              <w:rPr>
                <w:rFonts w:ascii="Arial" w:cs="Arial" w:eastAsia="Arial" w:hAnsi="Arial"/>
                <w:sz w:val="18"/>
                <w:szCs w:val="18"/>
                <w:color w:val="auto"/>
              </w:rPr>
              <w:t>4</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60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0" w:type="dxa"/>
            <w:vAlign w:val="bottom"/>
            <w:gridSpan w:val="2"/>
          </w:tcPr>
          <w:p>
            <w:pPr>
              <w:ind w:left="320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9600" w:type="dxa"/>
            <w:vAlign w:val="bottom"/>
            <w:gridSpan w:val="2"/>
          </w:tcPr>
          <w:p>
            <w:pPr>
              <w:ind w:left="43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9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February 18, 2016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80" w:type="dxa"/>
            <w:vAlign w:val="bottom"/>
          </w:tcPr>
          <w:p>
            <w:pPr>
              <w:ind w:left="3840"/>
              <w:spacing w:after="0"/>
              <w:rPr>
                <w:sz w:val="20"/>
                <w:szCs w:val="20"/>
                <w:color w:val="auto"/>
              </w:rPr>
            </w:pPr>
            <w:r>
              <w:rPr>
                <w:rFonts w:ascii="Arial" w:cs="Arial" w:eastAsia="Arial" w:hAnsi="Arial"/>
                <w:sz w:val="18"/>
                <w:szCs w:val="18"/>
                <w:color w:val="auto"/>
              </w:rPr>
              <w:t>5</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38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7188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887-8923, heather.hille@toro.com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Record First Quarter Results</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 quarter sales increase 2.6 percent to a record $486.4 million</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for the first quarter up 29.6 percent to a record $0.70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is well positioned as it enters key selling season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Full-year earnings guidance raised</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BLOOMINGTON, Minn. (February 18, 2016) — The Toro Company (NYSE: TTC) today reported net earnings of $39.3 million, or $0.70 per share, on a net sales increase of 2.6 percent to $486.4 million for its first quarter ended January 29, 2016. In the comparable fiscal 2015 period, the company delivered net earnings of $31.0 million, or $0.54 per share, on net sales of $474.2 million.</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very encouraged by the positive start to the fiscal year, delivering record results for the first quarter,” said Michael J Hoffman, Toro’s chairman and chief executive officer. “Our residential business benefitted from strong demand for zero turn riding mowers. Strong sales of our landscape contractor equipment, increased demand for our specialty construction equipment and higher sales of golf irrigation products also contributed to the positive start to the fiscal year.”</w:t>
      </w:r>
    </w:p>
    <w:p>
      <w:pPr>
        <w:spacing w:after="0" w:line="18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“With an ongoing focus on innovation, we are excited about our new product lineup across our businesses for fiscal 2016. Most recently, our new golf equipment and irrigation products received a positive reception at the Golf Industry Show in San Diego, California last week. New products such as the Workman® light duty vehicle and the enhanced product offerings for our INFINITY® Series golf sprinkler were well received by those attending the show. We were also pleased by the excitement surrounding our new product offerings at the 2016 Sports Turf Managers Show that also took place in San Diego, California. Similarly, in the days ahead, the team will be busy preparing for the upcoming Rental Show in the end of February, where we expect to see positive opportunities in a key growth market.”</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“Looking ahead to our primary selling season, we are well positioned across our businesses to drive retail sales and gain market share with our strong product portfolio. We remain optimistic as we prepare to execute on this positive momentum, while acknowledging the challenges we could encounter from a deteriorating economic environment or unfavorable weather conditions. However, as always, we will remain focused on those things within our control — delivering new product innovation, providing strong customer service and driving solid market performance.”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continues to expect revenue growth for fiscal 2016 to be about 4 percent, and now expects net earnings per share to be about $3.85 to $3.95 for the year. For the second quarter, the company expects net earnings per share to be about $1.75 to $1.80.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180" w:hanging="332"/>
        <w:spacing w:after="0" w:line="259"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net sales for the first quarter were $338.8 million, flat to $339.7 million in the same period last year. Strong sales of landscape contractor equipment contributed positively to the results however, this momentum was negatively impacted by unfavorable foreign currency exchange rates. Demand for the BOSS® snow and ice management products was lower due to a lack of snowfall in the early winter months, which also affected the first quarter results.</w:t>
      </w:r>
    </w:p>
    <w:p>
      <w:pPr>
        <w:spacing w:after="0" w:line="186"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earnings for the first quarter were $61.6 million, up $5.9 million from $55.7 million in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left="340" w:right="240"/>
        <w:spacing w:after="0" w:line="312" w:lineRule="auto"/>
        <w:rPr>
          <w:sz w:val="20"/>
          <w:szCs w:val="20"/>
          <w:color w:val="auto"/>
        </w:rPr>
      </w:pPr>
      <w:r>
        <w:rPr>
          <w:rFonts w:ascii="Arial" w:cs="Arial" w:eastAsia="Arial" w:hAnsi="Arial"/>
          <w:sz w:val="16"/>
          <w:szCs w:val="16"/>
          <w:color w:val="auto"/>
        </w:rPr>
        <w:t>Residential segment net sales for the first quarter were $144.3 million, up 7.1 percent from $134.7 million in the same period last year. This increase is primarily due to higher shipments of zero turn riding mowers both domestically and internationally over the comparable period last fiscal year. Somewhat offsetting these increases were lower sales of snow product and walk power mowers compared to the same period last year.</w:t>
      </w:r>
    </w:p>
    <w:p>
      <w:pPr>
        <w:spacing w:after="0" w:line="147"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segment earnings for the first quarter were $16.7 million, up $3.0 million from $13.7 million in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ectPr>
          <w:pgSz w:w="11900" w:h="16838" w:orient="portrait"/>
          <w:cols w:equalWidth="0" w:num="1">
            <w:col w:w="11420"/>
          </w:cols>
          <w:pgMar w:left="240" w:top="121" w:right="239" w:bottom="77" w:gutter="0" w:footer="0" w:header="0"/>
        </w:sectPr>
      </w:pPr>
    </w:p>
    <w:bookmarkStart w:id="3" w:name="page4"/>
    <w:bookmarkEnd w:id="3"/>
    <w:p>
      <w:pPr>
        <w:spacing w:after="0" w:line="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Gross margin as a percent of sales for the first quarter was 37.6 percent, an increase of 200 basis points from the same period last year. This increase was primarily due to the BOSS acquisition purchase accounting, which impacted the first quarter of fiscal 2015, resulting in a onetime adjustment. Productivity improvements as well as lower commodity prices also drove the improvement.</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Selling, general and administrative (SG&amp;A) expense as a percent of sales for the first quarter was 26.5 percent, an increase of 30 basis points from the same period last year. This increase was due to slightly higher expense across various categories, primarily including advertising, warehousing and employee incentive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operating earnings as a percent of sales were 11.1 percent, compared to 9.4 percent for the same period last year.</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effective tax rate for the first quarter was 26.9 percent, compared to 26.3 percent in the same period last year. The benefit received from the retroactive reenactment of the Federal Research and Engineering Tax Credit for calendar year 2015 was consistent with the prior year.</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Accounts receivable at the end of the first quarter were $190.3 million, down 7.3 percent from the same period last year. Net inventories were $422.0 million, up 15.8 percent from the same period last year due to both residential snow throwers and BOSS snow plows and residential and landscape contractor riding mower products. Trade payables were $211.2 million, up 8.0 percent from the same period last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Toro Company (NYSE: TTC) is a leading worldwide provider of innovative solutions for the outdoor environment, including turf, snow and ground engaging equipment and irrigation and outdoor lighting solutions. With sales of $2.4 billion in fiscal 2015,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t>
      </w:r>
      <w:r>
        <w:rPr>
          <w:rFonts w:ascii="Arial" w:cs="Arial" w:eastAsia="Arial" w:hAnsi="Arial"/>
          <w:sz w:val="17"/>
          <w:szCs w:val="17"/>
          <w:color w:val="auto"/>
        </w:rPr>
        <w:t>www.thetorocompany.com.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18, 2016 at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Toro Company will conduct its earnings call and webcast for investors beginning at 10:00 a.m. CST on February 18, 2016.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and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operations and markets, including political, economic and/or social instability and tax policies in the countries in which we manufacture or sell our products; foreign currency exchange rate fluctuations; our relationships with our distribution channel partners, including the financial viability of our distributors and dealers; risks associated with acquisitions, including our acquisition of the</w:t>
      </w:r>
    </w:p>
    <w:p>
      <w:pPr>
        <w:spacing w:after="0" w:line="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BOSS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professional snow and ice management business; management of our alliances or joint ventures, including Red Iron Acceptance, LLC; the costs and effects of enactment of, changes in and compliance with laws, regulations and standards, including those relating to consumer product safety, conflict mineral disclosure, taxation,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undertake no obligation to update forward-looking statements made herein to reflect events or circumstances after the date hereof.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tables follow)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980" w:type="dxa"/>
        <w:tblCellMar>
          <w:top w:w="0" w:type="dxa"/>
          <w:left w:w="0" w:type="dxa"/>
          <w:bottom w:w="0" w:type="dxa"/>
          <w:right w:w="0" w:type="dxa"/>
        </w:tblCellMar>
      </w:tblPr>
      <w:tr>
        <w:trPr>
          <w:trHeight w:val="119"/>
        </w:trPr>
        <w:tc>
          <w:tcPr>
            <w:tcW w:w="598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January 29,</w:t>
            </w:r>
          </w:p>
        </w:tc>
        <w:tc>
          <w:tcPr>
            <w:tcW w:w="13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January 30,</w:t>
            </w:r>
          </w:p>
        </w:tc>
        <w:tc>
          <w:tcPr>
            <w:tcW w:w="160" w:type="dxa"/>
            <w:vAlign w:val="bottom"/>
          </w:tcPr>
          <w:p>
            <w:pPr>
              <w:spacing w:after="0"/>
              <w:rPr>
                <w:sz w:val="10"/>
                <w:szCs w:val="10"/>
                <w:color w:val="auto"/>
              </w:rPr>
            </w:pPr>
          </w:p>
        </w:tc>
      </w:tr>
      <w:tr>
        <w:trPr>
          <w:trHeight w:val="171"/>
        </w:trPr>
        <w:tc>
          <w:tcPr>
            <w:tcW w:w="7340" w:type="dxa"/>
            <w:vAlign w:val="bottom"/>
            <w:gridSpan w:val="2"/>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3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172"/>
        </w:trPr>
        <w:tc>
          <w:tcPr>
            <w:tcW w:w="59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bl>
    <w:p>
      <w:pPr>
        <w:sectPr>
          <w:pgSz w:w="11900" w:h="16900"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486,398</w:t>
            </w:r>
          </w:p>
        </w:tc>
        <w:tc>
          <w:tcPr>
            <w:tcW w:w="2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474,211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182,654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168,999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Gross profit percent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128,815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124,577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88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53,839</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44,422</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(4,654)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(4,716)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880" w:type="dxa"/>
            <w:vAlign w:val="bottom"/>
            <w:gridSpan w:val="3"/>
          </w:tcPr>
          <w:p>
            <w:pPr>
              <w:ind w:left="180"/>
              <w:spacing w:after="0"/>
              <w:rPr>
                <w:sz w:val="20"/>
                <w:szCs w:val="20"/>
                <w:color w:val="auto"/>
              </w:rPr>
            </w:pPr>
            <w:r>
              <w:rPr>
                <w:rFonts w:ascii="Arial" w:cs="Arial" w:eastAsia="Arial" w:hAnsi="Arial"/>
                <w:sz w:val="18"/>
                <w:szCs w:val="18"/>
                <w:color w:val="auto"/>
              </w:rPr>
              <w:t>Earnings before income taxes</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53,697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41,973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88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Net earnings</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39,261</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gridSpan w:val="3"/>
          </w:tcPr>
          <w:p>
            <w:pPr>
              <w:jc w:val="right"/>
              <w:ind w:right="11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30,950</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980" w:type="dxa"/>
            <w:vAlign w:val="bottom"/>
            <w:vMerge w:val="restart"/>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Basic net earnings per share</w:t>
            </w: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0.71</w:t>
            </w:r>
          </w:p>
        </w:tc>
        <w:tc>
          <w:tcPr>
            <w:tcW w:w="240" w:type="dxa"/>
            <w:vAlign w:val="bottom"/>
          </w:tcPr>
          <w:p>
            <w:pPr>
              <w:spacing w:after="0"/>
              <w:rPr>
                <w:sz w:val="22"/>
                <w:szCs w:val="22"/>
                <w:color w:val="auto"/>
              </w:rPr>
            </w:pPr>
          </w:p>
        </w:tc>
        <w:tc>
          <w:tcPr>
            <w:tcW w:w="240" w:type="dxa"/>
            <w:vAlign w:val="bottom"/>
            <w:gridSpan w:val="3"/>
          </w:tcPr>
          <w:p>
            <w:pPr>
              <w:jc w:val="right"/>
              <w:ind w:right="11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980" w:type="dxa"/>
            <w:vAlign w:val="bottom"/>
            <w:vMerge w:val="restart"/>
          </w:tcPr>
          <w:p>
            <w:pPr>
              <w:spacing w:after="0"/>
              <w:rPr>
                <w:sz w:val="17"/>
                <w:szCs w:val="17"/>
                <w:color w:val="auto"/>
              </w:rPr>
            </w:pPr>
          </w:p>
        </w:tc>
        <w:tc>
          <w:tcPr>
            <w:tcW w:w="1900" w:type="dxa"/>
            <w:vAlign w:val="bottom"/>
            <w:tcBorders>
              <w:top w:val="single" w:sz="8" w:color="CCEEFF"/>
            </w:tcBorders>
            <w:shd w:val="clear" w:color="auto" w:fill="CCEEFF"/>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Diluted net earnings per share</w:t>
            </w: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0.70</w:t>
            </w:r>
          </w:p>
        </w:tc>
        <w:tc>
          <w:tcPr>
            <w:tcW w:w="240" w:type="dxa"/>
            <w:vAlign w:val="bottom"/>
          </w:tcPr>
          <w:p>
            <w:pPr>
              <w:spacing w:after="0"/>
              <w:rPr>
                <w:sz w:val="22"/>
                <w:szCs w:val="22"/>
                <w:color w:val="auto"/>
              </w:rPr>
            </w:pPr>
          </w:p>
        </w:tc>
        <w:tc>
          <w:tcPr>
            <w:tcW w:w="240" w:type="dxa"/>
            <w:vAlign w:val="bottom"/>
            <w:gridSpan w:val="3"/>
          </w:tcPr>
          <w:p>
            <w:pPr>
              <w:jc w:val="right"/>
              <w:ind w:right="11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0.54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980" w:type="dxa"/>
            <w:vAlign w:val="bottom"/>
            <w:vMerge w:val="restart"/>
          </w:tcPr>
          <w:p>
            <w:pPr>
              <w:spacing w:after="0"/>
              <w:rPr>
                <w:sz w:val="17"/>
                <w:szCs w:val="17"/>
                <w:color w:val="auto"/>
              </w:rPr>
            </w:pPr>
          </w:p>
        </w:tc>
        <w:tc>
          <w:tcPr>
            <w:tcW w:w="1900" w:type="dxa"/>
            <w:vAlign w:val="bottom"/>
            <w:tcBorders>
              <w:top w:val="single" w:sz="8" w:color="CCEEFF"/>
            </w:tcBorders>
            <w:shd w:val="clear" w:color="auto" w:fill="CCEEFF"/>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w w:val="97"/>
              </w:rPr>
              <w:t>Weighted average number of shares of common stock outstanding — Basic</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55,014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56,043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w w:val="95"/>
              </w:rPr>
              <w:t>Weighted average number of shares of common stock outstanding — Diluted</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56,163</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57,242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98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1"/>
              </w:rPr>
              <w:t>Segment Data (Unaudited)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98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89"/>
              </w:rPr>
              <w:t>(Dollars in thousands)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10"/>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860" w:type="dxa"/>
            <w:vAlign w:val="bottom"/>
            <w:gridSpan w:val="4"/>
            <w:vMerge w:val="restart"/>
          </w:tcPr>
          <w:p>
            <w:pPr>
              <w:ind w:left="980"/>
              <w:spacing w:after="0"/>
              <w:rPr>
                <w:sz w:val="20"/>
                <w:szCs w:val="20"/>
                <w:color w:val="auto"/>
              </w:rPr>
            </w:pPr>
            <w:r>
              <w:rPr>
                <w:rFonts w:ascii="Arial" w:cs="Arial" w:eastAsia="Arial" w:hAnsi="Arial"/>
                <w:sz w:val="14"/>
                <w:szCs w:val="14"/>
                <w:b w:val="1"/>
                <w:bCs w:val="1"/>
                <w:color w:val="auto"/>
              </w:rPr>
              <w:t>Segment Net Sales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January 29,</w:t>
            </w: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January 30,</w:t>
            </w:r>
          </w:p>
        </w:tc>
        <w:tc>
          <w:tcPr>
            <w:tcW w:w="100" w:type="dxa"/>
            <w:vAlign w:val="bottom"/>
            <w:gridSpan w:val="2"/>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338,836</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339,706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144,284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134,743</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3,278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88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486,398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474,211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880" w:type="dxa"/>
            <w:vAlign w:val="bottom"/>
            <w:tcBorders>
              <w:bottom w:val="single" w:sz="8" w:color="808080"/>
            </w:tcBorders>
            <w:gridSpan w:val="2"/>
          </w:tcPr>
          <w:p>
            <w:pPr>
              <w:spacing w:after="0"/>
              <w:rPr>
                <w:sz w:val="24"/>
                <w:szCs w:val="24"/>
                <w:color w:val="auto"/>
              </w:rPr>
            </w:pPr>
          </w:p>
        </w:tc>
        <w:tc>
          <w:tcPr>
            <w:tcW w:w="3980" w:type="dxa"/>
            <w:vAlign w:val="bottom"/>
            <w:gridSpan w:val="2"/>
          </w:tcPr>
          <w:p>
            <w:pPr>
              <w:spacing w:after="0"/>
              <w:rPr>
                <w:sz w:val="24"/>
                <w:szCs w:val="24"/>
                <w:color w:val="auto"/>
              </w:rPr>
            </w:pPr>
          </w:p>
        </w:tc>
        <w:tc>
          <w:tcPr>
            <w:tcW w:w="340" w:type="dxa"/>
            <w:vAlign w:val="bottom"/>
            <w:gridSpan w:val="3"/>
          </w:tcPr>
          <w:p>
            <w:pPr>
              <w:spacing w:after="0"/>
              <w:rPr>
                <w:sz w:val="24"/>
                <w:szCs w:val="24"/>
                <w:color w:val="auto"/>
              </w:rPr>
            </w:pPr>
          </w:p>
        </w:tc>
        <w:tc>
          <w:tcPr>
            <w:tcW w:w="1400" w:type="dxa"/>
            <w:vAlign w:val="bottom"/>
            <w:gridSpan w:val="3"/>
          </w:tcPr>
          <w:p>
            <w:pPr>
              <w:spacing w:after="0"/>
              <w:rPr>
                <w:sz w:val="24"/>
                <w:szCs w:val="24"/>
                <w:color w:val="auto"/>
              </w:rPr>
            </w:pPr>
          </w:p>
        </w:tc>
        <w:tc>
          <w:tcPr>
            <w:tcW w:w="240" w:type="dxa"/>
            <w:vAlign w:val="bottom"/>
            <w:gridSpan w:val="3"/>
          </w:tcPr>
          <w:p>
            <w:pPr>
              <w:spacing w:after="0"/>
              <w:rPr>
                <w:sz w:val="24"/>
                <w:szCs w:val="24"/>
                <w:color w:val="auto"/>
              </w:rPr>
            </w:pPr>
          </w:p>
        </w:tc>
        <w:tc>
          <w:tcPr>
            <w:tcW w:w="11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80" w:type="dxa"/>
            <w:vAlign w:val="bottom"/>
            <w:vMerge w:val="restart"/>
          </w:tcPr>
          <w:p>
            <w:pPr>
              <w:spacing w:after="0"/>
              <w:rPr>
                <w:sz w:val="8"/>
                <w:szCs w:val="8"/>
                <w:color w:val="auto"/>
              </w:rPr>
            </w:pPr>
          </w:p>
        </w:tc>
        <w:tc>
          <w:tcPr>
            <w:tcW w:w="5880" w:type="dxa"/>
            <w:vAlign w:val="bottom"/>
            <w:gridSpan w:val="3"/>
          </w:tcPr>
          <w:p>
            <w:pPr>
              <w:spacing w:after="0"/>
              <w:rPr>
                <w:sz w:val="8"/>
                <w:szCs w:val="8"/>
                <w:color w:val="auto"/>
              </w:rPr>
            </w:pPr>
          </w:p>
        </w:tc>
        <w:tc>
          <w:tcPr>
            <w:tcW w:w="340" w:type="dxa"/>
            <w:vAlign w:val="bottom"/>
            <w:gridSpan w:val="3"/>
          </w:tcPr>
          <w:p>
            <w:pPr>
              <w:spacing w:after="0"/>
              <w:rPr>
                <w:sz w:val="8"/>
                <w:szCs w:val="8"/>
                <w:color w:val="auto"/>
              </w:rPr>
            </w:pPr>
          </w:p>
        </w:tc>
        <w:tc>
          <w:tcPr>
            <w:tcW w:w="1400" w:type="dxa"/>
            <w:vAlign w:val="bottom"/>
            <w:gridSpan w:val="3"/>
          </w:tcPr>
          <w:p>
            <w:pPr>
              <w:spacing w:after="0"/>
              <w:rPr>
                <w:sz w:val="8"/>
                <w:szCs w:val="8"/>
                <w:color w:val="auto"/>
              </w:rPr>
            </w:pPr>
          </w:p>
        </w:tc>
        <w:tc>
          <w:tcPr>
            <w:tcW w:w="240" w:type="dxa"/>
            <w:vAlign w:val="bottom"/>
            <w:gridSpan w:val="3"/>
          </w:tcPr>
          <w:p>
            <w:pPr>
              <w:spacing w:after="0"/>
              <w:rPr>
                <w:sz w:val="8"/>
                <w:szCs w:val="8"/>
                <w:color w:val="auto"/>
              </w:rPr>
            </w:pPr>
          </w:p>
        </w:tc>
        <w:tc>
          <w:tcPr>
            <w:tcW w:w="118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127,246</w:t>
            </w:r>
          </w:p>
        </w:tc>
        <w:tc>
          <w:tcPr>
            <w:tcW w:w="2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142,901</w:t>
            </w: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10"/>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860" w:type="dxa"/>
            <w:vAlign w:val="bottom"/>
            <w:gridSpan w:val="4"/>
            <w:vMerge w:val="restart"/>
          </w:tcPr>
          <w:p>
            <w:pPr>
              <w:ind w:left="980"/>
              <w:spacing w:after="0"/>
              <w:rPr>
                <w:sz w:val="20"/>
                <w:szCs w:val="20"/>
                <w:color w:val="auto"/>
              </w:rPr>
            </w:pPr>
            <w:r>
              <w:rPr>
                <w:rFonts w:ascii="Arial" w:cs="Arial" w:eastAsia="Arial" w:hAnsi="Arial"/>
                <w:sz w:val="14"/>
                <w:szCs w:val="14"/>
                <w:b w:val="1"/>
                <w:bCs w:val="1"/>
                <w:color w:val="auto"/>
              </w:rPr>
              <w:t>Segment Earnings (Loss) Before Income Taxes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January 29,</w:t>
            </w: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January 30,</w:t>
            </w:r>
          </w:p>
        </w:tc>
        <w:tc>
          <w:tcPr>
            <w:tcW w:w="100" w:type="dxa"/>
            <w:vAlign w:val="bottom"/>
            <w:gridSpan w:val="2"/>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61,592</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55,659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16,739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13,727</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(24,634)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(27,413)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88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53,697</w:t>
            </w:r>
          </w:p>
        </w:tc>
        <w:tc>
          <w:tcPr>
            <w:tcW w:w="2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41,973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98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30,</w:t>
            </w:r>
          </w:p>
        </w:tc>
      </w:tr>
      <w:tr>
        <w:trPr>
          <w:trHeight w:val="171"/>
        </w:trPr>
        <w:tc>
          <w:tcPr>
            <w:tcW w:w="640" w:type="dxa"/>
            <w:vAlign w:val="bottom"/>
            <w:tcBorders>
              <w:bottom w:val="single" w:sz="8" w:color="CCEEFF"/>
            </w:tcBorders>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156"/>
        </w:trPr>
        <w:tc>
          <w:tcPr>
            <w:tcW w:w="748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21"/>
        </w:trPr>
        <w:tc>
          <w:tcPr>
            <w:tcW w:w="640" w:type="dxa"/>
            <w:vAlign w:val="bottom"/>
            <w:tcBorders>
              <w:top w:val="single" w:sz="8" w:color="auto"/>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118,140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82,914</w:t>
            </w: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190,297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205,287</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422,036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364,390</w:t>
            </w:r>
          </w:p>
        </w:tc>
        <w:tc>
          <w:tcPr>
            <w:tcW w:w="120" w:type="dxa"/>
            <w:vAlign w:val="bottom"/>
          </w:tcPr>
          <w:p>
            <w:pPr>
              <w:spacing w:after="0"/>
              <w:rPr>
                <w:sz w:val="18"/>
                <w:szCs w:val="18"/>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36,983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41,084</w:t>
            </w: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37,633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40,414</w:t>
            </w:r>
          </w:p>
        </w:tc>
      </w:tr>
      <w:tr>
        <w:trPr>
          <w:trHeight w:val="210"/>
        </w:trPr>
        <w:tc>
          <w:tcPr>
            <w:tcW w:w="748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805,089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734,089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221,523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214,783</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28,367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25,629</w:t>
            </w: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338,855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347,667</w:t>
            </w:r>
          </w:p>
        </w:tc>
        <w:tc>
          <w:tcPr>
            <w:tcW w:w="120" w:type="dxa"/>
            <w:vAlign w:val="bottom"/>
            <w:shd w:val="clear" w:color="auto" w:fill="CCEEFF"/>
          </w:tcPr>
          <w:p>
            <w:pPr>
              <w:spacing w:after="0"/>
              <w:rPr>
                <w:sz w:val="18"/>
                <w:szCs w:val="18"/>
                <w:color w:val="auto"/>
              </w:rPr>
            </w:pPr>
          </w:p>
        </w:tc>
      </w:tr>
      <w:tr>
        <w:trPr>
          <w:trHeight w:val="250"/>
        </w:trPr>
        <w:tc>
          <w:tcPr>
            <w:tcW w:w="748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1,393,834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1,322,168</w:t>
            </w:r>
          </w:p>
        </w:tc>
        <w:tc>
          <w:tcPr>
            <w:tcW w:w="120" w:type="dxa"/>
            <w:vAlign w:val="bottom"/>
            <w:tcBorders>
              <w:bottom w:val="single" w:sz="8" w:color="CCEEFF"/>
            </w:tcBorders>
          </w:tcPr>
          <w:p>
            <w:pPr>
              <w:spacing w:after="0"/>
              <w:rPr>
                <w:sz w:val="21"/>
                <w:szCs w:val="21"/>
                <w:color w:val="auto"/>
              </w:rPr>
            </w:pPr>
          </w:p>
        </w:tc>
      </w:tr>
      <w:tr>
        <w:trPr>
          <w:trHeight w:val="197"/>
        </w:trPr>
        <w:tc>
          <w:tcPr>
            <w:tcW w:w="64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76"/>
        </w:trPr>
        <w:tc>
          <w:tcPr>
            <w:tcW w:w="748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306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23,398</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20,340</w:t>
            </w: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52,912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47,000</w:t>
            </w: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211,216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195,569</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262,888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245,299</w:t>
            </w:r>
          </w:p>
        </w:tc>
        <w:tc>
          <w:tcPr>
            <w:tcW w:w="120" w:type="dxa"/>
            <w:vAlign w:val="bottom"/>
          </w:tcPr>
          <w:p>
            <w:pPr>
              <w:spacing w:after="0"/>
              <w:rPr>
                <w:sz w:val="18"/>
                <w:szCs w:val="18"/>
                <w:color w:val="auto"/>
              </w:rPr>
            </w:pPr>
          </w:p>
        </w:tc>
      </w:tr>
      <w:tr>
        <w:trPr>
          <w:trHeight w:val="210"/>
        </w:trPr>
        <w:tc>
          <w:tcPr>
            <w:tcW w:w="748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550,414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508,208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341,127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364,662</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11,246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10,812</w:t>
            </w: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24,646</w:t>
            </w: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459,929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413,840</w:t>
            </w:r>
          </w:p>
        </w:tc>
        <w:tc>
          <w:tcPr>
            <w:tcW w:w="120" w:type="dxa"/>
            <w:vAlign w:val="bottom"/>
          </w:tcPr>
          <w:p>
            <w:pPr>
              <w:spacing w:after="0"/>
              <w:rPr>
                <w:sz w:val="18"/>
                <w:szCs w:val="18"/>
                <w:color w:val="auto"/>
              </w:rPr>
            </w:pPr>
          </w:p>
        </w:tc>
      </w:tr>
      <w:tr>
        <w:trPr>
          <w:trHeight w:val="210"/>
        </w:trPr>
        <w:tc>
          <w:tcPr>
            <w:tcW w:w="748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1,393,834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1,322,168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60"/>
          </w:cols>
          <w:pgMar w:left="240" w:top="140" w:right="199" w:bottom="0" w:gutter="0" w:footer="0" w:header="0"/>
        </w:sectPr>
      </w:pPr>
    </w:p>
    <w:bookmarkStart w:id="5" w:name="page6"/>
    <w:bookmarkEnd w:id="5"/>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January 29,</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1"/>
              <w:spacing w:after="0" w:line="119" w:lineRule="exact"/>
              <w:rPr>
                <w:sz w:val="20"/>
                <w:szCs w:val="20"/>
                <w:color w:val="auto"/>
              </w:rPr>
            </w:pPr>
            <w:r>
              <w:rPr>
                <w:rFonts w:ascii="Arial" w:cs="Arial" w:eastAsia="Arial" w:hAnsi="Arial"/>
                <w:sz w:val="13"/>
                <w:szCs w:val="13"/>
                <w:b w:val="1"/>
                <w:bCs w:val="1"/>
                <w:color w:val="auto"/>
              </w:rPr>
              <w:t>January 30,</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7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earnings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39,261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30,950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net cash provided by (used in) operating activities: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(1,460)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14,849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deferred income taxes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(12,614)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(50,390)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(80,283)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(4,584)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(4,745)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65,177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(23,391)</w:t>
            </w:r>
          </w:p>
        </w:tc>
        <w:tc>
          <w:tcPr>
            <w:tcW w:w="120" w:type="dxa"/>
            <w:vAlign w:val="bottom"/>
            <w:tcBorders>
              <w:bottom w:val="single" w:sz="8" w:color="CCEEFF"/>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Proceeds from asset disposals</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from (contributions to) finance affiliate, net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Proceeds from sale of a business</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net of cash acquired</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(197,782)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(208,243)</w:t>
            </w:r>
          </w:p>
        </w:tc>
        <w:tc>
          <w:tcPr>
            <w:tcW w:w="120" w:type="dxa"/>
            <w:vAlign w:val="bottom"/>
            <w:tcBorders>
              <w:bottom w:val="single" w:sz="8" w:color="CCEEFF"/>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short-term debt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25,717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Repayments of long-term debt</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(13,442)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benefits from stock-based awards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Toro common stock</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(14,678)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Dividends paid on Toro common stock</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(16,496)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(14,014)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(231,959)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126,275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314,873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118,140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82,914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80" w:type="dxa"/>
            <w:vAlign w:val="bottom"/>
            <w:vMerge w:val="restart"/>
          </w:tcPr>
          <w:p>
            <w:pPr>
              <w:jc w:val="right"/>
              <w:ind w:right="189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7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480" w:type="dxa"/>
            <w:vAlign w:val="bottom"/>
          </w:tcPr>
          <w:p>
            <w:pPr>
              <w:jc w:val="right"/>
              <w:ind w:right="197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74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2019-12-05T16:35:32Z</dcterms:created>
  <dcterms:modified xsi:type="dcterms:W3CDTF">2019-12-05T16:35:32Z</dcterms:modified>
</cp:coreProperties>
</file>