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10, 2010</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3440" w:type="dxa"/>
            <w:vAlign w:val="bottom"/>
            <w:gridSpan w:val="3"/>
          </w:tcPr>
          <w:p>
            <w:pPr>
              <w:jc w:val="center"/>
              <w:ind w:right="176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right"/>
              <w:ind w:right="1330"/>
              <w:spacing w:after="0"/>
              <w:rPr>
                <w:sz w:val="20"/>
                <w:szCs w:val="20"/>
                <w:color w:val="auto"/>
              </w:rPr>
            </w:pPr>
            <w:r>
              <w:rPr>
                <w:rFonts w:ascii="Arial" w:cs="Arial" w:eastAsia="Arial" w:hAnsi="Arial"/>
                <w:sz w:val="18"/>
                <w:szCs w:val="18"/>
                <w:b w:val="1"/>
                <w:bCs w:val="1"/>
                <w:color w:val="auto"/>
              </w:rPr>
              <w:t>1-8649</w:t>
            </w:r>
          </w:p>
        </w:tc>
        <w:tc>
          <w:tcPr>
            <w:tcW w:w="360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3440" w:type="dxa"/>
            <w:vAlign w:val="bottom"/>
            <w:gridSpan w:val="3"/>
          </w:tcPr>
          <w:p>
            <w:pPr>
              <w:jc w:val="center"/>
              <w:ind w:right="1740"/>
              <w:spacing w:after="0"/>
              <w:rPr>
                <w:sz w:val="20"/>
                <w:szCs w:val="20"/>
                <w:color w:val="auto"/>
              </w:rPr>
            </w:pPr>
            <w:r>
              <w:rPr>
                <w:rFonts w:ascii="Arial" w:cs="Arial" w:eastAsia="Arial" w:hAnsi="Arial"/>
                <w:sz w:val="18"/>
                <w:szCs w:val="18"/>
                <w:color w:val="auto"/>
                <w:w w:val="92"/>
              </w:rPr>
              <w:t>(State of Incorporation)</w:t>
            </w:r>
          </w:p>
        </w:tc>
        <w:tc>
          <w:tcPr>
            <w:tcW w:w="2880" w:type="dxa"/>
            <w:vAlign w:val="bottom"/>
          </w:tcPr>
          <w:p>
            <w:pPr>
              <w:jc w:val="center"/>
              <w:ind w:right="37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gridSpan w:val="3"/>
          </w:tcPr>
          <w:p>
            <w:pPr>
              <w:jc w:val="center"/>
              <w:ind w:left="570"/>
              <w:spacing w:after="0"/>
              <w:rPr>
                <w:sz w:val="20"/>
                <w:szCs w:val="20"/>
                <w:color w:val="auto"/>
              </w:rPr>
            </w:pPr>
            <w:r>
              <w:rPr>
                <w:rFonts w:ascii="Arial" w:cs="Arial" w:eastAsia="Arial" w:hAnsi="Arial"/>
                <w:sz w:val="18"/>
                <w:szCs w:val="18"/>
                <w:color w:val="auto"/>
                <w:w w:val="93"/>
              </w:rPr>
              <w:t>(I.R.S. Employer Identification Number)</w:t>
            </w:r>
          </w:p>
        </w:tc>
      </w:tr>
      <w:tr>
        <w:trPr>
          <w:trHeight w:val="684"/>
        </w:trPr>
        <w:tc>
          <w:tcPr>
            <w:tcW w:w="700" w:type="dxa"/>
            <w:vAlign w:val="bottom"/>
          </w:tcPr>
          <w:p>
            <w:pPr>
              <w:spacing w:after="0"/>
              <w:rPr>
                <w:sz w:val="24"/>
                <w:szCs w:val="24"/>
                <w:color w:val="auto"/>
              </w:rPr>
            </w:pPr>
          </w:p>
        </w:tc>
        <w:tc>
          <w:tcPr>
            <w:tcW w:w="27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8111 Lyndale Avenue South</w:t>
            </w:r>
          </w:p>
        </w:tc>
        <w:tc>
          <w:tcPr>
            <w:tcW w:w="2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4"/>
        </w:trPr>
        <w:tc>
          <w:tcPr>
            <w:tcW w:w="700" w:type="dxa"/>
            <w:vAlign w:val="bottom"/>
          </w:tcPr>
          <w:p>
            <w:pPr>
              <w:spacing w:after="0"/>
              <w:rPr>
                <w:sz w:val="16"/>
                <w:szCs w:val="16"/>
                <w:color w:val="auto"/>
              </w:rPr>
            </w:pPr>
          </w:p>
        </w:tc>
        <w:tc>
          <w:tcPr>
            <w:tcW w:w="22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9"/>
              </w:rPr>
              <w:t>Bloomington, Minnesota</w:t>
            </w:r>
          </w:p>
        </w:tc>
        <w:tc>
          <w:tcPr>
            <w:tcW w:w="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55420</w:t>
            </w:r>
          </w:p>
        </w:tc>
        <w:tc>
          <w:tcPr>
            <w:tcW w:w="2080" w:type="dxa"/>
            <w:vAlign w:val="bottom"/>
          </w:tcPr>
          <w:p>
            <w:pPr>
              <w:spacing w:after="0"/>
              <w:rPr>
                <w:sz w:val="16"/>
                <w:szCs w:val="16"/>
                <w:color w:val="auto"/>
              </w:rPr>
            </w:pPr>
          </w:p>
        </w:tc>
      </w:tr>
      <w:tr>
        <w:trPr>
          <w:trHeight w:val="237"/>
        </w:trPr>
        <w:tc>
          <w:tcPr>
            <w:tcW w:w="344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3600" w:type="dxa"/>
            <w:vAlign w:val="bottom"/>
            <w:gridSpan w:val="3"/>
          </w:tcPr>
          <w:p>
            <w:pPr>
              <w:jc w:val="center"/>
              <w:ind w:right="124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2073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327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913130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3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52"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 May 10, 2010, The Toro Company announced its expected earnings for its second quarter ended April 30, 2010.</w:t>
      </w:r>
    </w:p>
    <w:p>
      <w:pPr>
        <w:spacing w:after="0" w:line="252"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709930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20" w:hanging="61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4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May 10, 2010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THE TORO COMPANY</w:t>
            </w:r>
          </w:p>
        </w:tc>
      </w:tr>
      <w:tr>
        <w:trPr>
          <w:trHeight w:val="230"/>
        </w:trPr>
        <w:tc>
          <w:tcPr>
            <w:tcW w:w="2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(Registrant)</w:t>
            </w:r>
          </w:p>
        </w:tc>
      </w:tr>
      <w:tr>
        <w:trPr>
          <w:trHeight w:val="419"/>
        </w:trPr>
        <w:tc>
          <w:tcPr>
            <w:tcW w:w="2520" w:type="dxa"/>
            <w:vAlign w:val="bottom"/>
          </w:tcPr>
          <w:p>
            <w:pPr>
              <w:spacing w:after="0"/>
              <w:rPr>
                <w:sz w:val="20"/>
                <w:szCs w:val="20"/>
                <w:color w:val="auto"/>
              </w:rPr>
            </w:pPr>
            <w:r>
              <w:rPr>
                <w:rFonts w:ascii="Arial" w:cs="Arial" w:eastAsia="Arial" w:hAnsi="Arial"/>
                <w:sz w:val="18"/>
                <w:szCs w:val="18"/>
                <w:color w:val="auto"/>
              </w:rPr>
              <w:t>Date: May 10, 2010</w:t>
            </w:r>
          </w:p>
        </w:tc>
        <w:tc>
          <w:tcPr>
            <w:tcW w:w="8900" w:type="dxa"/>
            <w:vAlign w:val="bottom"/>
            <w:gridSpan w:val="3"/>
          </w:tcPr>
          <w:p>
            <w:pPr>
              <w:ind w:left="1020"/>
              <w:spacing w:after="0"/>
              <w:rPr>
                <w:sz w:val="20"/>
                <w:szCs w:val="20"/>
                <w:color w:val="auto"/>
              </w:rPr>
            </w:pPr>
            <w:r>
              <w:rPr>
                <w:rFonts w:ascii="Arial" w:cs="Arial" w:eastAsia="Arial" w:hAnsi="Arial"/>
                <w:sz w:val="18"/>
                <w:szCs w:val="18"/>
                <w:color w:val="auto"/>
              </w:rPr>
              <w:t>By /s/ Stephen P. Wolfe</w:t>
            </w:r>
          </w:p>
        </w:tc>
      </w:tr>
      <w:tr>
        <w:trPr>
          <w:trHeight w:val="20"/>
        </w:trPr>
        <w:tc>
          <w:tcPr>
            <w:tcW w:w="2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22"/>
        </w:trPr>
        <w:tc>
          <w:tcPr>
            <w:tcW w:w="2520" w:type="dxa"/>
            <w:vAlign w:val="bottom"/>
          </w:tcPr>
          <w:p>
            <w:pPr>
              <w:spacing w:after="0"/>
              <w:rPr>
                <w:sz w:val="19"/>
                <w:szCs w:val="19"/>
                <w:color w:val="auto"/>
              </w:rPr>
            </w:pPr>
          </w:p>
        </w:tc>
        <w:tc>
          <w:tcPr>
            <w:tcW w:w="8900" w:type="dxa"/>
            <w:vAlign w:val="bottom"/>
            <w:gridSpan w:val="3"/>
          </w:tcPr>
          <w:p>
            <w:pPr>
              <w:ind w:left="1020"/>
              <w:spacing w:after="0"/>
              <w:rPr>
                <w:sz w:val="20"/>
                <w:szCs w:val="20"/>
                <w:color w:val="auto"/>
              </w:rPr>
            </w:pPr>
            <w:r>
              <w:rPr>
                <w:rFonts w:ascii="Arial" w:cs="Arial" w:eastAsia="Arial" w:hAnsi="Arial"/>
                <w:sz w:val="18"/>
                <w:szCs w:val="18"/>
                <w:color w:val="auto"/>
              </w:rPr>
              <w:t>Stephen P. Wolfe</w:t>
            </w:r>
          </w:p>
        </w:tc>
      </w:tr>
      <w:tr>
        <w:trPr>
          <w:trHeight w:val="230"/>
        </w:trPr>
        <w:tc>
          <w:tcPr>
            <w:tcW w:w="2520" w:type="dxa"/>
            <w:vAlign w:val="bottom"/>
          </w:tcPr>
          <w:p>
            <w:pPr>
              <w:spacing w:after="0"/>
              <w:rPr>
                <w:sz w:val="20"/>
                <w:szCs w:val="20"/>
                <w:color w:val="auto"/>
              </w:rPr>
            </w:pPr>
          </w:p>
        </w:tc>
        <w:tc>
          <w:tcPr>
            <w:tcW w:w="8900" w:type="dxa"/>
            <w:vAlign w:val="bottom"/>
            <w:gridSpan w:val="3"/>
          </w:tcPr>
          <w:p>
            <w:pPr>
              <w:ind w:left="1020"/>
              <w:spacing w:after="0"/>
              <w:rPr>
                <w:sz w:val="20"/>
                <w:szCs w:val="20"/>
                <w:color w:val="auto"/>
              </w:rPr>
            </w:pPr>
            <w:r>
              <w:rPr>
                <w:rFonts w:ascii="Arial" w:cs="Arial" w:eastAsia="Arial" w:hAnsi="Arial"/>
                <w:sz w:val="18"/>
                <w:szCs w:val="18"/>
                <w:color w:val="auto"/>
              </w:rPr>
              <w:t>Vice President, Finance and Chief Financial Officer</w:t>
            </w:r>
          </w:p>
        </w:tc>
      </w:tr>
      <w:tr>
        <w:trPr>
          <w:trHeight w:val="902"/>
        </w:trPr>
        <w:tc>
          <w:tcPr>
            <w:tcW w:w="25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6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86"/>
        </w:trPr>
        <w:tc>
          <w:tcPr>
            <w:tcW w:w="20" w:type="dxa"/>
            <w:vAlign w:val="bottom"/>
            <w:vMerge w:val="restart"/>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60" w:type="dxa"/>
            <w:vAlign w:val="bottom"/>
          </w:tcPr>
          <w:p>
            <w:pPr>
              <w:spacing w:after="0" w:line="170" w:lineRule="exact"/>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8"/>
              </w:rPr>
              <w:t>NUMBER</w:t>
            </w: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0" w:type="dxa"/>
            <w:vAlign w:val="bottom"/>
            <w:gridSpan w:val="2"/>
          </w:tcPr>
          <w:p>
            <w:pPr>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Press release dated May 10, 2010 (furnished herewith).</w:t>
            </w:r>
          </w:p>
        </w:tc>
        <w:tc>
          <w:tcPr>
            <w:tcW w:w="0" w:type="dxa"/>
            <w:vAlign w:val="bottom"/>
          </w:tcPr>
          <w:p>
            <w:pPr>
              <w:spacing w:after="0"/>
              <w:rPr>
                <w:sz w:val="1"/>
                <w:szCs w:val="1"/>
                <w:color w:val="auto"/>
              </w:rPr>
            </w:pPr>
          </w:p>
        </w:tc>
      </w:tr>
      <w:tr>
        <w:trPr>
          <w:trHeight w:val="686"/>
        </w:trPr>
        <w:tc>
          <w:tcPr>
            <w:tcW w:w="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8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929765" cy="1269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pr@toro.com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Toro Increases Full-Year Guidance Based on Preliminary Second Quarter Results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BLOOMINGTON, Minn. (May 10, 2010) – The Toro Company (NYSE: TTC) today announced that its second quarter results are expected to exceed prior guidance. The company now expects year-to-date revenue growth of about 6% and second quarter earnings per share to be approximately $1.30 to $1.35, up from its previous guidance of about $1.15 per share. Final results remain subject to the regular quarterly review process. Given this strong second quarter performance, Toro now anticipates earnings for fiscal 2010 to be about $2.40 per share on a revenue increase of about 7%. The company’s prior guidance for fiscal 2010 was about $2.15 on revenues comparable to fiscal 2009.</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experienced a strong start to the spring selling season and the second quarter exceeded our expectations,” stated Michael J. Hoffman, Toro’s chairman and chief executive officer. “Our performance reflects solid end user demand, including for our innovative new products. We have also benefited from gross margin improvement, disciplined spending and a leaner cost structure. Additionally, the fundamentals of our business have improved and we are working diligently to align production with increased demand. We look forward to discussing our actual results on the upcoming second quarter earnings call scheduled for May 20, 2010.”</w:t>
      </w:r>
    </w:p>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Toro Company is a leading worldwide provider of outdoor maintenance equipment and beautification products to help customers care for golf courses, sports fields, public green spaces, commercial and residential properties, and agricultural fields.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20,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www.thetorocompany.com/invest</w:t>
      </w:r>
    </w:p>
    <w:p>
      <w:pPr>
        <w:spacing w:after="0" w:line="238"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 xml:space="preserve">The Toro Company will conduct a conference call and webcast for investors beginning at 10:00 a.m. Central Daylight Time (CDT) on May 20, 2010. The webcast will be available at </w:t>
      </w:r>
      <w:r>
        <w:rPr>
          <w:rFonts w:ascii="Arial" w:cs="Arial" w:eastAsia="Arial" w:hAnsi="Arial"/>
          <w:sz w:val="17"/>
          <w:szCs w:val="17"/>
          <w:u w:val="single" w:color="auto"/>
          <w:color w:val="auto"/>
        </w:rPr>
        <w:t>www.streetevents.com</w:t>
      </w:r>
      <w:r>
        <w:rPr>
          <w:rFonts w:ascii="Arial" w:cs="Arial" w:eastAsia="Arial" w:hAnsi="Arial"/>
          <w:sz w:val="17"/>
          <w:szCs w:val="17"/>
          <w:color w:val="auto"/>
        </w:rPr>
        <w:t xml:space="preserve"> or at </w:t>
      </w:r>
      <w:r>
        <w:rPr>
          <w:rFonts w:ascii="Arial" w:cs="Arial" w:eastAsia="Arial" w:hAnsi="Arial"/>
          <w:sz w:val="17"/>
          <w:szCs w:val="17"/>
          <w:u w:val="single" w:color="auto"/>
          <w:color w:val="auto"/>
        </w:rPr>
        <w:t>www.thetorocompany.com/invest</w:t>
      </w:r>
      <w:r>
        <w:rPr>
          <w:rFonts w:ascii="Arial" w:cs="Arial" w:eastAsia="Arial" w:hAnsi="Arial"/>
          <w:sz w:val="17"/>
          <w:szCs w:val="17"/>
          <w:color w:val="auto"/>
        </w:rPr>
        <w:t>. Webcast participants will need to complete a brief registration form and should allocate extra time before the webcast begins to register and, if necessary, download and install audio software.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drug cartel-relat ed violence, which may disrupt our production activities and maquiladora operations based in Juarez, Mexico; fluctuations in the cost and availability of raw materials, including steel, resins and other commodities; fluctuating fuel and other costs of transportation; the impact of abnormal weather patterns, natural disasters and global pandemics; the level of growth or contraction in our markets, including the golf market;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profitability goal for our one-year initiative called “5 in ONE, Back on Course!” ; which is intended to improve our after-tax return on sales; our increased dependence on international sales and the risks attendant to international operations;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 ts; our reliance on our intellectual property rights and the absence of infringement of the intellectual property rights of others; the occurrence of litigation or claims, including the previously disclosed pending settlement of the litigation against the company and other defendants that challenges the horsepower ratings of lawnmowers, of which, if the settlement does not become final, the company is currently unable to assess whether the litigation would have a material adverse effect on the company’s annual consolidated operating results or financial condition, although an adverse result might be material to operating results in a particular reporting period. In addition to the factors set forth in this paragraph, market, economic, financial, competitive, legislative, governmental, weather, production and other factors identified in Toro's quarterly and annual reports filed with the Securities and Exchange Commission,</w:t>
      </w:r>
    </w:p>
    <w:p>
      <w:pPr>
        <w:sectPr>
          <w:pgSz w:w="11900" w:h="16838" w:orient="portrait"/>
          <w:cols w:equalWidth="0" w:num="1">
            <w:col w:w="11400"/>
          </w:cols>
          <w:pgMar w:left="240" w:top="1440" w:right="259" w:bottom="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could affect the forward-looking statements in this press release. Tor o undertakes no obligation to update forward-looking statements made in this release to reflect events or circumstances after the date of this release.</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952"/>
    </w:lvl>
  </w:abstractNum>
  <w:abstractNum w:abstractNumId="3">
    <w:nsid w:val="625558EC"/>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2019-12-10T05:38:57Z</dcterms:created>
  <dcterms:modified xsi:type="dcterms:W3CDTF">2019-12-10T05:38:57Z</dcterms:modified>
</cp:coreProperties>
</file>