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94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94550"/>
                    </a:xfrm>
                    <a:prstGeom prst="rect">
                      <a:avLst/>
                    </a:prstGeom>
                    <a:noFill/>
                  </pic:spPr>
                </pic:pic>
              </a:graphicData>
            </a:graphic>
          </wp:anchor>
        </w:drawing>
      </w:r>
    </w:p>
    <w:p>
      <w:pPr>
        <w:spacing w:after="0" w:line="96" w:lineRule="exact"/>
        <w:rPr>
          <w:sz w:val="24"/>
          <w:szCs w:val="24"/>
          <w:color w:val="auto"/>
        </w:rPr>
      </w:pPr>
    </w:p>
    <w:p>
      <w:pPr>
        <w:sectPr>
          <w:pgSz w:w="11900" w:h="16924"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HIMAN DENNIS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Vice President, Group</w:t>
      </w:r>
    </w:p>
    <w:p>
      <w:pPr>
        <w:spacing w:after="0" w:line="315" w:lineRule="exact"/>
        <w:rPr>
          <w:sz w:val="24"/>
          <w:szCs w:val="24"/>
          <w:color w:val="auto"/>
        </w:rPr>
      </w:pPr>
    </w:p>
    <w:p>
      <w:pPr>
        <w:sectPr>
          <w:pgSz w:w="11900" w:h="16924" w:orient="portrait"/>
          <w:cols w:equalWidth="0" w:num="3">
            <w:col w:w="3360" w:space="720"/>
            <w:col w:w="3257" w:space="720"/>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924"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jc w:val="center"/>
              <w:ind w:left="564"/>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center"/>
              <w:ind w:left="564"/>
              <w:spacing w:after="0"/>
              <w:rPr>
                <w:sz w:val="20"/>
                <w:szCs w:val="20"/>
                <w:color w:val="auto"/>
              </w:rPr>
            </w:pPr>
            <w:r>
              <w:rPr>
                <w:rFonts w:ascii="Arial" w:cs="Arial" w:eastAsia="Arial" w:hAnsi="Arial"/>
                <w:sz w:val="18"/>
                <w:szCs w:val="18"/>
                <w:color w:val="0000FF"/>
                <w:w w:val="88"/>
              </w:rPr>
              <w:t>12/09/2008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1,825</w:t>
            </w:r>
            <w:r>
              <w:rPr>
                <w:rFonts w:ascii="Arial" w:cs="Arial" w:eastAsia="Arial" w:hAnsi="Arial"/>
                <w:sz w:val="22"/>
                <w:szCs w:val="22"/>
                <w:color w:val="008000"/>
                <w:w w:val="82"/>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1,825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12/09/2008</w:t>
            </w:r>
          </w:p>
        </w:tc>
        <w:tc>
          <w:tcPr>
            <w:tcW w:w="11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G</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1,229</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596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64"/>
              <w:spacing w:after="0"/>
              <w:rPr>
                <w:sz w:val="20"/>
                <w:szCs w:val="20"/>
                <w:color w:val="auto"/>
              </w:rPr>
            </w:pPr>
            <w:r>
              <w:rPr>
                <w:rFonts w:ascii="Arial" w:cs="Arial" w:eastAsia="Arial" w:hAnsi="Arial"/>
                <w:sz w:val="18"/>
                <w:szCs w:val="18"/>
                <w:color w:val="0000FF"/>
                <w:w w:val="88"/>
              </w:rPr>
              <w:t>12/09/2008</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596</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31.28</w:t>
            </w:r>
          </w:p>
        </w:tc>
        <w:tc>
          <w:tcPr>
            <w:tcW w:w="1180" w:type="dxa"/>
            <w:vAlign w:val="bottom"/>
          </w:tcPr>
          <w:p>
            <w:pPr>
              <w:jc w:val="center"/>
              <w:spacing w:after="0"/>
              <w:rPr>
                <w:sz w:val="20"/>
                <w:szCs w:val="20"/>
                <w:color w:val="auto"/>
              </w:rPr>
            </w:pPr>
            <w:r>
              <w:rPr>
                <w:rFonts w:ascii="Arial" w:cs="Arial" w:eastAsia="Arial" w:hAnsi="Arial"/>
                <w:sz w:val="18"/>
                <w:szCs w:val="18"/>
                <w:color w:val="0000FF"/>
                <w:w w:val="99"/>
              </w:rPr>
              <w:t>0</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Units</w:t>
            </w: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14,989.699</w:t>
            </w:r>
            <w:r>
              <w:rPr>
                <w:rFonts w:ascii="Arial" w:cs="Arial" w:eastAsia="Arial" w:hAnsi="Arial"/>
                <w:sz w:val="22"/>
                <w:szCs w:val="22"/>
                <w:color w:val="008000"/>
                <w:w w:val="85"/>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Matching Units</w:t>
            </w: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7,494.84</w:t>
            </w:r>
            <w:r>
              <w:rPr>
                <w:rFonts w:ascii="Arial" w:cs="Arial" w:eastAsia="Arial" w:hAnsi="Arial"/>
                <w:sz w:val="22"/>
                <w:szCs w:val="22"/>
                <w:color w:val="008000"/>
                <w:w w:val="84"/>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86,147.858</w:t>
            </w:r>
            <w:r>
              <w:rPr>
                <w:rFonts w:ascii="Arial" w:cs="Arial" w:eastAsia="Arial" w:hAnsi="Arial"/>
                <w:sz w:val="22"/>
                <w:szCs w:val="22"/>
                <w:color w:val="008000"/>
                <w:w w:val="85"/>
                <w:vertAlign w:val="superscript"/>
              </w:rPr>
              <w:t>(4)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64"/>
              <w:spacing w:after="0"/>
              <w:rPr>
                <w:sz w:val="20"/>
                <w:szCs w:val="20"/>
                <w:color w:val="auto"/>
              </w:rPr>
            </w:pPr>
            <w:r>
              <w:rPr>
                <w:rFonts w:ascii="Arial" w:cs="Arial" w:eastAsia="Arial" w:hAnsi="Arial"/>
                <w:sz w:val="18"/>
                <w:szCs w:val="18"/>
                <w:color w:val="0000FF"/>
                <w:w w:val="88"/>
              </w:rPr>
              <w:t>12/09/2008</w:t>
            </w:r>
          </w:p>
        </w:tc>
        <w:tc>
          <w:tcPr>
            <w:tcW w:w="114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1,229</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23,419</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3"/>
              </w:rPr>
              <w:t>1,168.871</w:t>
            </w:r>
            <w:r>
              <w:rPr>
                <w:rFonts w:ascii="Arial" w:cs="Arial" w:eastAsia="Arial" w:hAnsi="Arial"/>
                <w:sz w:val="22"/>
                <w:szCs w:val="22"/>
                <w:color w:val="008000"/>
                <w:w w:val="83"/>
                <w:vertAlign w:val="superscript"/>
              </w:rPr>
              <w:t>(5)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Common Stock Units acquired by the reporting person under the dividend reinvestment feature of The Toro Company Deferred Compensation Plan for Officers since the date of his last report: 72.095 Common Stock Units acquired on July 11, 2008 and 69.374 Common Stock Units acquired on October 17, 2008.</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Matching Units acquired by the reporting person under the dividend reinvestment feature of The Toro Company Deferred Compensation Plan for Officers since the date of his last report: 36.047 Matching Units acquired on July 11, 2008 and 34.687 Matching Units acquired on October 17, 2008.</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Performance Share Units acquired by the reporting person under the dividend reinvestment feature of The Toro Company Deferred Plan for Officers since the date of his last report: 414.341 Performance Share Units acquired on July 11, 2008 and 398.696 Performance Share Units acquired on October 17, 2008.</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since the date of his last report:</w:t>
      </w:r>
    </w:p>
    <w:p>
      <w:pPr>
        <w:spacing w:after="0" w:line="22"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4"/>
          <w:szCs w:val="14"/>
          <w:color w:val="008000"/>
        </w:rPr>
        <w:t>5.608 shares of common stock acquired on July 11, 2008 and 5.441 shares of common stock acquired on October 17, 2008.</w:t>
      </w:r>
    </w:p>
    <w:p>
      <w:pPr>
        <w:spacing w:after="0" w:line="36"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0000FF"/>
                <w:w w:val="84"/>
              </w:rPr>
              <w:t>12/11/2008</w:t>
            </w:r>
          </w:p>
        </w:tc>
      </w:tr>
      <w:tr>
        <w:trPr>
          <w:trHeight w:val="20"/>
        </w:trPr>
        <w:tc>
          <w:tcPr>
            <w:tcW w:w="68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00" w:type="dxa"/>
            <w:vAlign w:val="bottom"/>
            <w:gridSpan w:val="3"/>
          </w:tcPr>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ectPr>
          <w:pgSz w:w="11900" w:h="16924"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2019-12-16T04:24:15Z</dcterms:created>
  <dcterms:modified xsi:type="dcterms:W3CDTF">2019-12-16T04:24:15Z</dcterms:modified>
</cp:coreProperties>
</file>