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6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700" cy="5067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50679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Carpenter Kevin N</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11/30/2022</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tbl>
      <w:tblPr>
        <w:tblLayout w:type="fixed"/>
        <w:tblInd w:w="191"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0"/>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00" w:type="dxa"/>
            <w:vAlign w:val="bottom"/>
          </w:tcPr>
          <w:p>
            <w:pPr>
              <w:ind w:left="3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1"/>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531"/>
        <w:spacing w:after="0"/>
        <w:rPr>
          <w:sz w:val="20"/>
          <w:szCs w:val="20"/>
          <w:color w:val="auto"/>
        </w:rPr>
      </w:pPr>
      <w:r>
        <w:rPr>
          <w:rFonts w:ascii="Times New Roman" w:cs="Times New Roman" w:eastAsia="Times New Roman" w:hAnsi="Times New Roman"/>
          <w:sz w:val="16"/>
          <w:szCs w:val="16"/>
          <w:color w:val="0000FF"/>
        </w:rPr>
        <w:t>VP, Global Ops &amp; Supply Chain</w:t>
      </w:r>
    </w:p>
    <w:p>
      <w:pPr>
        <w:spacing w:after="0" w:line="325" w:lineRule="exact"/>
        <w:rPr>
          <w:sz w:val="24"/>
          <w:szCs w:val="24"/>
          <w:color w:val="auto"/>
        </w:rPr>
      </w:pPr>
    </w:p>
    <w:p>
      <w:pPr>
        <w:sectPr>
          <w:pgSz w:w="11900" w:h="16838" w:orient="portrait"/>
          <w:cols w:equalWidth="0" w:num="3">
            <w:col w:w="3180" w:space="720"/>
            <w:col w:w="3109" w:space="720"/>
            <w:col w:w="3351"/>
          </w:cols>
          <w:pgMar w:left="460" w:top="214" w:right="359" w:bottom="1440" w:gutter="0" w:footer="0" w:header="0"/>
          <w:type w:val="continuous"/>
        </w:sectPr>
      </w:pP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40" w:type="dxa"/>
            <w:vAlign w:val="bottom"/>
            <w:gridSpan w:val="6"/>
          </w:tcPr>
          <w:p>
            <w:pPr>
              <w:jc w:val="center"/>
              <w:ind w:right="12"/>
              <w:spacing w:after="0"/>
              <w:rPr>
                <w:sz w:val="20"/>
                <w:szCs w:val="20"/>
                <w:color w:val="auto"/>
              </w:rPr>
            </w:pPr>
            <w:r>
              <w:rPr>
                <w:rFonts w:ascii="Arial" w:cs="Arial" w:eastAsia="Arial" w:hAnsi="Arial"/>
                <w:sz w:val="13"/>
                <w:szCs w:val="13"/>
                <w:color w:val="auto"/>
                <w:w w:val="96"/>
              </w:rPr>
              <w:t>4. If Amendment, Date of Original Filed (Month/Day/Year)</w:t>
            </w:r>
          </w:p>
        </w:tc>
        <w:tc>
          <w:tcPr>
            <w:tcW w:w="378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restart"/>
          </w:tcPr>
          <w:p>
            <w:pPr>
              <w:ind w:left="42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BLOOMINGTON MN</w:t>
            </w:r>
          </w:p>
        </w:tc>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55420</w:t>
            </w: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60" w:type="dxa"/>
            <w:vAlign w:val="bottom"/>
            <w:gridSpan w:val="6"/>
            <w:vMerge w:val="restart"/>
          </w:tcPr>
          <w:p>
            <w:pPr>
              <w:ind w:left="6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60" w:type="dxa"/>
            <w:vAlign w:val="bottom"/>
            <w:gridSpan w:val="6"/>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30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0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432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2"/>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2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6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3"/>
          </w:tcPr>
          <w:p>
            <w:pPr>
              <w:ind w:left="7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2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gridSpan w:val="4"/>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4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0000FF"/>
              </w:rPr>
              <w:t>11/30/2022</w:t>
            </w:r>
          </w:p>
        </w:tc>
        <w:tc>
          <w:tcPr>
            <w:tcW w:w="1020" w:type="dxa"/>
            <w:vAlign w:val="bottom"/>
          </w:tcPr>
          <w:p>
            <w:pPr>
              <w:spacing w:after="0"/>
              <w:rPr>
                <w:sz w:val="21"/>
                <w:szCs w:val="21"/>
                <w:color w:val="auto"/>
              </w:rPr>
            </w:pPr>
          </w:p>
        </w:tc>
        <w:tc>
          <w:tcPr>
            <w:tcW w:w="740" w:type="dxa"/>
            <w:vAlign w:val="bottom"/>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rPr>
              <w:t>5,878.264</w:t>
            </w:r>
          </w:p>
        </w:tc>
        <w:tc>
          <w:tcPr>
            <w:tcW w:w="48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Pr>
          <w:p>
            <w:pPr>
              <w:ind w:left="1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110.99</w:t>
            </w:r>
          </w:p>
        </w:tc>
        <w:tc>
          <w:tcPr>
            <w:tcW w:w="1520" w:type="dxa"/>
            <w:vAlign w:val="bottom"/>
            <w:gridSpan w:val="3"/>
          </w:tcPr>
          <w:p>
            <w:pPr>
              <w:jc w:val="center"/>
              <w:ind w:right="343"/>
              <w:spacing w:after="0"/>
              <w:rPr>
                <w:sz w:val="20"/>
                <w:szCs w:val="20"/>
                <w:color w:val="auto"/>
              </w:rPr>
            </w:pPr>
            <w:r>
              <w:rPr>
                <w:rFonts w:ascii="Times New Roman" w:cs="Times New Roman" w:eastAsia="Times New Roman" w:hAnsi="Times New Roman"/>
                <w:sz w:val="16"/>
                <w:szCs w:val="16"/>
                <w:color w:val="0000FF"/>
                <w:w w:val="99"/>
              </w:rPr>
              <w:t>5,878.264</w:t>
            </w:r>
          </w:p>
        </w:tc>
        <w:tc>
          <w:tcPr>
            <w:tcW w:w="540" w:type="dxa"/>
            <w:vAlign w:val="bottom"/>
          </w:tcPr>
          <w:p>
            <w:pPr>
              <w:jc w:val="center"/>
              <w:ind w:right="316"/>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0000FF"/>
              </w:rPr>
              <w:t>11/30/2022</w:t>
            </w:r>
          </w:p>
        </w:tc>
        <w:tc>
          <w:tcPr>
            <w:tcW w:w="1020" w:type="dxa"/>
            <w:vAlign w:val="bottom"/>
          </w:tcPr>
          <w:p>
            <w:pPr>
              <w:spacing w:after="0"/>
              <w:rPr>
                <w:sz w:val="21"/>
                <w:szCs w:val="21"/>
                <w:color w:val="auto"/>
              </w:rPr>
            </w:pPr>
          </w:p>
        </w:tc>
        <w:tc>
          <w:tcPr>
            <w:tcW w:w="740" w:type="dxa"/>
            <w:vAlign w:val="bottom"/>
          </w:tcPr>
          <w:p>
            <w:pPr>
              <w:jc w:val="center"/>
              <w:ind w:right="24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1,799</w:t>
            </w:r>
          </w:p>
        </w:tc>
        <w:tc>
          <w:tcPr>
            <w:tcW w:w="120" w:type="dxa"/>
            <w:vAlign w:val="bottom"/>
          </w:tcPr>
          <w:p>
            <w:pPr>
              <w:spacing w:after="0"/>
              <w:rPr>
                <w:sz w:val="21"/>
                <w:szCs w:val="21"/>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Pr>
          <w:p>
            <w:pPr>
              <w:ind w:left="1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110.99</w:t>
            </w:r>
          </w:p>
        </w:tc>
        <w:tc>
          <w:tcPr>
            <w:tcW w:w="1520" w:type="dxa"/>
            <w:vAlign w:val="bottom"/>
            <w:gridSpan w:val="3"/>
          </w:tcPr>
          <w:p>
            <w:pPr>
              <w:jc w:val="center"/>
              <w:ind w:right="343"/>
              <w:spacing w:after="0"/>
              <w:rPr>
                <w:sz w:val="20"/>
                <w:szCs w:val="20"/>
                <w:color w:val="auto"/>
              </w:rPr>
            </w:pPr>
            <w:r>
              <w:rPr>
                <w:rFonts w:ascii="Times New Roman" w:cs="Times New Roman" w:eastAsia="Times New Roman" w:hAnsi="Times New Roman"/>
                <w:sz w:val="16"/>
                <w:szCs w:val="16"/>
                <w:color w:val="0000FF"/>
                <w:w w:val="99"/>
              </w:rPr>
              <w:t>4,079.264</w:t>
            </w:r>
          </w:p>
        </w:tc>
        <w:tc>
          <w:tcPr>
            <w:tcW w:w="540" w:type="dxa"/>
            <w:vAlign w:val="bottom"/>
          </w:tcPr>
          <w:p>
            <w:pPr>
              <w:jc w:val="center"/>
              <w:ind w:right="316"/>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The Toro</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20" w:type="dxa"/>
            <w:vAlign w:val="bottom"/>
            <w:gridSpan w:val="3"/>
            <w:vMerge w:val="restart"/>
          </w:tcPr>
          <w:p>
            <w:pPr>
              <w:jc w:val="center"/>
              <w:ind w:right="343"/>
              <w:spacing w:after="0"/>
              <w:rPr>
                <w:sz w:val="20"/>
                <w:szCs w:val="20"/>
                <w:color w:val="auto"/>
              </w:rPr>
            </w:pPr>
            <w:r>
              <w:rPr>
                <w:rFonts w:ascii="Times New Roman" w:cs="Times New Roman" w:eastAsia="Times New Roman" w:hAnsi="Times New Roman"/>
                <w:sz w:val="16"/>
                <w:szCs w:val="16"/>
                <w:color w:val="0000FF"/>
                <w:w w:val="93"/>
              </w:rPr>
              <w:t>1.002</w:t>
            </w:r>
            <w:r>
              <w:rPr>
                <w:rFonts w:ascii="Times New Roman" w:cs="Times New Roman" w:eastAsia="Times New Roman" w:hAnsi="Times New Roman"/>
                <w:sz w:val="20"/>
                <w:szCs w:val="20"/>
                <w:color w:val="008000"/>
                <w:w w:val="93"/>
                <w:vertAlign w:val="superscript"/>
              </w:rPr>
              <w:t>(1)</w:t>
            </w:r>
          </w:p>
        </w:tc>
        <w:tc>
          <w:tcPr>
            <w:tcW w:w="540" w:type="dxa"/>
            <w:vAlign w:val="bottom"/>
            <w:vMerge w:val="restart"/>
          </w:tcPr>
          <w:p>
            <w:pPr>
              <w:jc w:val="center"/>
              <w:ind w:right="336"/>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Company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6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Retirement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0"/>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1"/>
          </w:tcPr>
          <w:p>
            <w:pPr>
              <w:jc w:val="right"/>
              <w:ind w:right="2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9"/>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5,878.264</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0"/>
                <w:szCs w:val="10"/>
                <w:color w:val="auto"/>
              </w:rPr>
            </w:pPr>
          </w:p>
        </w:tc>
        <w:tc>
          <w:tcPr>
            <w:tcW w:w="1040" w:type="dxa"/>
            <w:vAlign w:val="bottom"/>
          </w:tcPr>
          <w:p>
            <w:pPr>
              <w:jc w:val="right"/>
              <w:ind w:right="177"/>
              <w:spacing w:after="0" w:line="126" w:lineRule="exact"/>
              <w:rPr>
                <w:sz w:val="20"/>
                <w:szCs w:val="20"/>
                <w:color w:val="auto"/>
              </w:rPr>
            </w:pPr>
            <w:r>
              <w:rPr>
                <w:rFonts w:ascii="Times New Roman" w:cs="Times New Roman" w:eastAsia="Times New Roman" w:hAnsi="Times New Roman"/>
                <w:sz w:val="13"/>
                <w:szCs w:val="13"/>
                <w:color w:val="0000FF"/>
              </w:rPr>
              <w:t>11/30/2022</w:t>
            </w:r>
          </w:p>
        </w:tc>
        <w:tc>
          <w:tcPr>
            <w:tcW w:w="1060" w:type="dxa"/>
            <w:vAlign w:val="bottom"/>
          </w:tcPr>
          <w:p>
            <w:pPr>
              <w:spacing w:after="0"/>
              <w:rPr>
                <w:sz w:val="10"/>
                <w:szCs w:val="10"/>
                <w:color w:val="auto"/>
              </w:rPr>
            </w:pPr>
          </w:p>
        </w:tc>
        <w:tc>
          <w:tcPr>
            <w:tcW w:w="72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1020" w:type="dxa"/>
            <w:vAlign w:val="bottom"/>
          </w:tcPr>
          <w:p>
            <w:pPr>
              <w:ind w:left="420"/>
              <w:spacing w:after="0" w:line="126" w:lineRule="exact"/>
              <w:rPr>
                <w:sz w:val="20"/>
                <w:szCs w:val="20"/>
                <w:color w:val="auto"/>
              </w:rPr>
            </w:pPr>
            <w:r>
              <w:rPr>
                <w:rFonts w:ascii="Times New Roman" w:cs="Times New Roman" w:eastAsia="Times New Roman" w:hAnsi="Times New Roman"/>
                <w:sz w:val="13"/>
                <w:szCs w:val="13"/>
                <w:color w:val="0000FF"/>
              </w:rPr>
              <w:t>5,878.264</w:t>
            </w: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gridSpan w:val="2"/>
          </w:tcPr>
          <w:p>
            <w:pPr>
              <w:jc w:val="right"/>
              <w:ind w:right="283"/>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tcPr>
          <w:p>
            <w:pPr>
              <w:ind w:left="120"/>
              <w:spacing w:after="0" w:line="126" w:lineRule="exact"/>
              <w:rPr>
                <w:sz w:val="20"/>
                <w:szCs w:val="20"/>
                <w:color w:val="auto"/>
              </w:rPr>
            </w:pPr>
            <w:r>
              <w:rPr>
                <w:rFonts w:ascii="Times New Roman" w:cs="Times New Roman" w:eastAsia="Times New Roman" w:hAnsi="Times New Roman"/>
                <w:sz w:val="13"/>
                <w:szCs w:val="13"/>
                <w:color w:val="0000FF"/>
              </w:rPr>
              <w:t>11,758.554</w:t>
            </w:r>
          </w:p>
        </w:tc>
        <w:tc>
          <w:tcPr>
            <w:tcW w:w="540" w:type="dxa"/>
            <w:vAlign w:val="bottom"/>
          </w:tcPr>
          <w:p>
            <w:pPr>
              <w:ind w:left="38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-1631950</wp:posOffset>
            </wp:positionV>
            <wp:extent cx="28575" cy="1637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3766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32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his last report: 1 share acquired through a standard issuer contribution to The Toro Company Retirement Plan (the "Plan") and 0.002 net shares acquired under the dividend reinvestment feature of the Plan less non-discretionary quarterly administrative fees.</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restricted stock units and related dividend equivalents vest and become non-forfeitable in three equal annual installments commencing on November 30, 2022, which is the first anniversary of the date of grant.</w:t>
      </w:r>
    </w:p>
    <w:p>
      <w:pPr>
        <w:spacing w:after="0" w:line="6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restricted stock units and related dividend equivalents vest and become non-forfeitable in three equal annual installments commencing on November 30, 2022, which is the first anniversary of the date of grant.</w:t>
      </w:r>
    </w:p>
    <w:p>
      <w:pPr>
        <w:spacing w:after="0" w:line="7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Amy E. Dahl, Attorney-in-</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8"/>
              </w:rPr>
              <w:t>12/02/2022</w:t>
            </w:r>
          </w:p>
        </w:tc>
        <w:tc>
          <w:tcPr>
            <w:tcW w:w="0" w:type="dxa"/>
            <w:vAlign w:val="bottom"/>
          </w:tcPr>
          <w:p>
            <w:pPr>
              <w:spacing w:after="0"/>
              <w:rPr>
                <w:sz w:val="1"/>
                <w:szCs w:val="1"/>
                <w:color w:val="auto"/>
              </w:rPr>
            </w:pPr>
          </w:p>
        </w:tc>
      </w:tr>
      <w:tr>
        <w:trPr>
          <w:trHeight w:val="80"/>
        </w:trPr>
        <w:tc>
          <w:tcPr>
            <w:tcW w:w="280" w:type="dxa"/>
            <w:vAlign w:val="bottom"/>
            <w:tcBorders>
              <w:top w:val="single" w:sz="8" w:color="auto"/>
            </w:tcBorders>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4"/>
              </w:rPr>
              <w:t>Fact</w:t>
            </w:r>
          </w:p>
        </w:tc>
        <w:tc>
          <w:tcPr>
            <w:tcW w:w="166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continue"/>
          </w:tcPr>
          <w:p>
            <w:pPr>
              <w:spacing w:after="0"/>
              <w:rPr>
                <w:sz w:val="6"/>
                <w:szCs w:val="6"/>
                <w:color w:val="auto"/>
              </w:rPr>
            </w:pPr>
          </w:p>
        </w:tc>
        <w:tc>
          <w:tcPr>
            <w:tcW w:w="166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POWER OF ATTORNEY</w:t>
      </w:r>
    </w:p>
    <w:p>
      <w:pPr>
        <w:spacing w:after="0" w:line="194" w:lineRule="exact"/>
        <w:rPr>
          <w:sz w:val="20"/>
          <w:szCs w:val="20"/>
          <w:color w:val="auto"/>
        </w:rPr>
      </w:pPr>
    </w:p>
    <w:p>
      <w:pPr>
        <w:ind w:right="3459"/>
        <w:spacing w:after="0" w:line="27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72" w:lineRule="exact"/>
        <w:rPr>
          <w:sz w:val="20"/>
          <w:szCs w:val="20"/>
          <w:color w:val="auto"/>
        </w:rPr>
      </w:pPr>
    </w:p>
    <w:p>
      <w:pPr>
        <w:ind w:right="3359"/>
        <w:spacing w:after="0" w:line="279" w:lineRule="auto"/>
        <w:tabs>
          <w:tab w:leader="none" w:pos="7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71" w:lineRule="exact"/>
        <w:rPr>
          <w:rFonts w:ascii="Courier New" w:cs="Courier New" w:eastAsia="Courier New" w:hAnsi="Courier New"/>
          <w:sz w:val="16"/>
          <w:szCs w:val="16"/>
          <w:color w:val="auto"/>
        </w:rPr>
      </w:pPr>
    </w:p>
    <w:p>
      <w:pPr>
        <w:ind w:right="3659"/>
        <w:spacing w:after="0" w:line="279" w:lineRule="auto"/>
        <w:tabs>
          <w:tab w:leader="none" w:pos="7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71" w:lineRule="exact"/>
        <w:rPr>
          <w:rFonts w:ascii="Courier New" w:cs="Courier New" w:eastAsia="Courier New" w:hAnsi="Courier New"/>
          <w:sz w:val="16"/>
          <w:szCs w:val="16"/>
          <w:color w:val="auto"/>
        </w:rPr>
      </w:pPr>
    </w:p>
    <w:p>
      <w:pPr>
        <w:ind w:right="3359"/>
        <w:spacing w:after="0" w:line="279" w:lineRule="auto"/>
        <w:tabs>
          <w:tab w:leader="none" w:pos="7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71" w:lineRule="exact"/>
        <w:rPr>
          <w:rFonts w:ascii="Courier New" w:cs="Courier New" w:eastAsia="Courier New" w:hAnsi="Courier New"/>
          <w:sz w:val="16"/>
          <w:szCs w:val="16"/>
          <w:color w:val="auto"/>
        </w:rPr>
      </w:pPr>
    </w:p>
    <w:p>
      <w:pPr>
        <w:ind w:right="3359"/>
        <w:spacing w:after="0" w:line="266" w:lineRule="auto"/>
        <w:tabs>
          <w:tab w:leader="none" w:pos="7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81" w:lineRule="exact"/>
        <w:rPr>
          <w:sz w:val="20"/>
          <w:szCs w:val="20"/>
          <w:color w:val="auto"/>
        </w:rPr>
      </w:pPr>
    </w:p>
    <w:p>
      <w:pPr>
        <w:ind w:right="3259"/>
        <w:spacing w:after="0" w:line="254"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w:t>
      </w:r>
    </w:p>
    <w:tbl>
      <w:tblPr>
        <w:tblLayout w:type="fixed"/>
        <w:tblInd w:w="0" w:type="dxa"/>
        <w:tblCellMar>
          <w:top w:w="0" w:type="dxa"/>
          <w:left w:w="0" w:type="dxa"/>
          <w:bottom w:w="0" w:type="dxa"/>
          <w:right w:w="0" w:type="dxa"/>
        </w:tblCellMar>
      </w:tblPr>
      <w:tr>
        <w:trPr>
          <w:trHeight w:val="158"/>
        </w:trPr>
        <w:tc>
          <w:tcPr>
            <w:tcW w:w="3860" w:type="dxa"/>
            <w:vAlign w:val="bottom"/>
            <w:gridSpan w:val="2"/>
          </w:tcPr>
          <w:p>
            <w:pPr>
              <w:spacing w:after="0" w:line="158" w:lineRule="exact"/>
              <w:rPr>
                <w:sz w:val="20"/>
                <w:szCs w:val="20"/>
                <w:color w:val="auto"/>
              </w:rPr>
            </w:pPr>
            <w:r>
              <w:rPr>
                <w:rFonts w:ascii="Courier New" w:cs="Courier New" w:eastAsia="Courier New" w:hAnsi="Courier New"/>
                <w:sz w:val="16"/>
                <w:szCs w:val="16"/>
                <w:color w:val="auto"/>
              </w:rPr>
              <w:t>or any substitute or substitutes, shall</w:t>
            </w:r>
          </w:p>
        </w:tc>
        <w:tc>
          <w:tcPr>
            <w:tcW w:w="1160" w:type="dxa"/>
            <w:vAlign w:val="bottom"/>
            <w:gridSpan w:val="2"/>
          </w:tcPr>
          <w:p>
            <w:pPr>
              <w:ind w:left="40"/>
              <w:spacing w:after="0" w:line="158" w:lineRule="exact"/>
              <w:rPr>
                <w:sz w:val="20"/>
                <w:szCs w:val="20"/>
                <w:color w:val="auto"/>
              </w:rPr>
            </w:pPr>
            <w:r>
              <w:rPr>
                <w:rFonts w:ascii="Courier New" w:cs="Courier New" w:eastAsia="Courier New" w:hAnsi="Courier New"/>
                <w:sz w:val="16"/>
                <w:szCs w:val="16"/>
                <w:color w:val="auto"/>
              </w:rPr>
              <w:t>lawfully do</w:t>
            </w:r>
          </w:p>
        </w:tc>
        <w:tc>
          <w:tcPr>
            <w:tcW w:w="1620" w:type="dxa"/>
            <w:vAlign w:val="bottom"/>
          </w:tcPr>
          <w:p>
            <w:pPr>
              <w:ind w:left="60"/>
              <w:spacing w:after="0" w:line="158" w:lineRule="exact"/>
              <w:rPr>
                <w:sz w:val="20"/>
                <w:szCs w:val="20"/>
                <w:color w:val="auto"/>
              </w:rPr>
            </w:pPr>
            <w:r>
              <w:rPr>
                <w:rFonts w:ascii="Courier New" w:cs="Courier New" w:eastAsia="Courier New" w:hAnsi="Courier New"/>
                <w:sz w:val="16"/>
                <w:szCs w:val="16"/>
                <w:color w:val="auto"/>
              </w:rPr>
              <w:t>or cause to be</w:t>
            </w:r>
          </w:p>
        </w:tc>
      </w:tr>
      <w:tr>
        <w:trPr>
          <w:trHeight w:val="188"/>
        </w:trPr>
        <w:tc>
          <w:tcPr>
            <w:tcW w:w="1420" w:type="dxa"/>
            <w:vAlign w:val="bottom"/>
          </w:tcPr>
          <w:p>
            <w:pPr>
              <w:spacing w:after="0"/>
              <w:rPr>
                <w:sz w:val="20"/>
                <w:szCs w:val="20"/>
                <w:color w:val="auto"/>
              </w:rPr>
            </w:pPr>
            <w:r>
              <w:rPr>
                <w:rFonts w:ascii="Courier New" w:cs="Courier New" w:eastAsia="Courier New" w:hAnsi="Courier New"/>
                <w:sz w:val="16"/>
                <w:szCs w:val="16"/>
                <w:color w:val="auto"/>
              </w:rPr>
              <w:t>done by virtue</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of this Limited Power of</w:t>
            </w:r>
          </w:p>
        </w:tc>
        <w:tc>
          <w:tcPr>
            <w:tcW w:w="27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Attorney and the rights and</w:t>
            </w:r>
          </w:p>
        </w:tc>
      </w:tr>
      <w:tr>
        <w:trPr>
          <w:trHeight w:val="188"/>
        </w:trPr>
        <w:tc>
          <w:tcPr>
            <w:tcW w:w="3860" w:type="dxa"/>
            <w:vAlign w:val="bottom"/>
            <w:gridSpan w:val="2"/>
          </w:tcPr>
          <w:p>
            <w:pPr>
              <w:spacing w:after="0"/>
              <w:rPr>
                <w:sz w:val="20"/>
                <w:szCs w:val="20"/>
                <w:color w:val="auto"/>
              </w:rPr>
            </w:pPr>
            <w:r>
              <w:rPr>
                <w:rFonts w:ascii="Courier New" w:cs="Courier New" w:eastAsia="Courier New" w:hAnsi="Courier New"/>
                <w:sz w:val="16"/>
                <w:szCs w:val="16"/>
                <w:color w:val="auto"/>
              </w:rPr>
              <w:t>powers herein granted.  The undersigned</w:t>
            </w:r>
          </w:p>
        </w:tc>
        <w:tc>
          <w:tcPr>
            <w:tcW w:w="27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acknowledges that the</w:t>
            </w:r>
          </w:p>
        </w:tc>
      </w:tr>
      <w:tr>
        <w:trPr>
          <w:trHeight w:val="188"/>
        </w:trPr>
        <w:tc>
          <w:tcPr>
            <w:tcW w:w="4540" w:type="dxa"/>
            <w:vAlign w:val="bottom"/>
            <w:gridSpan w:val="3"/>
          </w:tcPr>
          <w:p>
            <w:pPr>
              <w:spacing w:after="0"/>
              <w:rPr>
                <w:sz w:val="20"/>
                <w:szCs w:val="20"/>
                <w:color w:val="auto"/>
              </w:rPr>
            </w:pPr>
            <w:r>
              <w:rPr>
                <w:rFonts w:ascii="Courier New" w:cs="Courier New" w:eastAsia="Courier New" w:hAnsi="Courier New"/>
                <w:sz w:val="16"/>
                <w:szCs w:val="16"/>
                <w:color w:val="auto"/>
              </w:rPr>
              <w:t>foregoing attorney-in-fact, in serving in such</w:t>
            </w:r>
          </w:p>
        </w:tc>
        <w:tc>
          <w:tcPr>
            <w:tcW w:w="2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capacity at the</w:t>
            </w:r>
          </w:p>
        </w:tc>
      </w:tr>
      <w:tr>
        <w:trPr>
          <w:trHeight w:val="188"/>
        </w:trPr>
        <w:tc>
          <w:tcPr>
            <w:tcW w:w="1420" w:type="dxa"/>
            <w:vAlign w:val="bottom"/>
          </w:tcPr>
          <w:p>
            <w:pPr>
              <w:spacing w:after="0"/>
              <w:rPr>
                <w:sz w:val="20"/>
                <w:szCs w:val="20"/>
                <w:color w:val="auto"/>
              </w:rPr>
            </w:pPr>
            <w:r>
              <w:rPr>
                <w:rFonts w:ascii="Courier New" w:cs="Courier New" w:eastAsia="Courier New" w:hAnsi="Courier New"/>
                <w:sz w:val="16"/>
                <w:szCs w:val="16"/>
                <w:color w:val="auto"/>
              </w:rPr>
              <w:t>request of the</w:t>
            </w:r>
          </w:p>
        </w:tc>
        <w:tc>
          <w:tcPr>
            <w:tcW w:w="36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undersigned, is not assuming, nor is</w:t>
            </w:r>
          </w:p>
        </w:tc>
        <w:tc>
          <w:tcPr>
            <w:tcW w:w="1620" w:type="dxa"/>
            <w:vAlign w:val="bottom"/>
          </w:tcPr>
          <w:p>
            <w:pPr>
              <w:ind w:left="60"/>
              <w:spacing w:after="0"/>
              <w:rPr>
                <w:sz w:val="20"/>
                <w:szCs w:val="20"/>
                <w:color w:val="auto"/>
              </w:rPr>
            </w:pPr>
            <w:r>
              <w:rPr>
                <w:rFonts w:ascii="Courier New" w:cs="Courier New" w:eastAsia="Courier New" w:hAnsi="Courier New"/>
                <w:sz w:val="16"/>
                <w:szCs w:val="16"/>
                <w:color w:val="auto"/>
              </w:rPr>
              <w:t>the Company</w:t>
            </w:r>
          </w:p>
        </w:tc>
      </w:tr>
      <w:tr>
        <w:trPr>
          <w:trHeight w:val="188"/>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rPr>
              <w:t>assuming, any of the undersigned's responsibilities</w:t>
            </w:r>
          </w:p>
        </w:tc>
        <w:tc>
          <w:tcPr>
            <w:tcW w:w="1620" w:type="dxa"/>
            <w:vAlign w:val="bottom"/>
          </w:tcPr>
          <w:p>
            <w:pPr>
              <w:ind w:left="60"/>
              <w:spacing w:after="0"/>
              <w:rPr>
                <w:sz w:val="20"/>
                <w:szCs w:val="20"/>
                <w:color w:val="auto"/>
              </w:rPr>
            </w:pPr>
            <w:r>
              <w:rPr>
                <w:rFonts w:ascii="Courier New" w:cs="Courier New" w:eastAsia="Courier New" w:hAnsi="Courier New"/>
                <w:sz w:val="16"/>
                <w:szCs w:val="16"/>
                <w:color w:val="auto"/>
              </w:rPr>
              <w:t>to comply with</w:t>
            </w:r>
          </w:p>
        </w:tc>
      </w:tr>
      <w:tr>
        <w:trPr>
          <w:trHeight w:val="188"/>
        </w:trPr>
        <w:tc>
          <w:tcPr>
            <w:tcW w:w="1420" w:type="dxa"/>
            <w:vAlign w:val="bottom"/>
          </w:tcPr>
          <w:p>
            <w:pPr>
              <w:spacing w:after="0"/>
              <w:rPr>
                <w:sz w:val="20"/>
                <w:szCs w:val="20"/>
                <w:color w:val="auto"/>
              </w:rPr>
            </w:pPr>
            <w:r>
              <w:rPr>
                <w:rFonts w:ascii="Courier New" w:cs="Courier New" w:eastAsia="Courier New" w:hAnsi="Courier New"/>
                <w:sz w:val="16"/>
                <w:szCs w:val="16"/>
                <w:color w:val="auto"/>
              </w:rPr>
              <w:t>the Securities</w:t>
            </w:r>
          </w:p>
        </w:tc>
        <w:tc>
          <w:tcPr>
            <w:tcW w:w="3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Act and Exchange Act, including</w:t>
            </w:r>
          </w:p>
        </w:tc>
        <w:tc>
          <w:tcPr>
            <w:tcW w:w="2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Section 16 of the</w:t>
            </w:r>
          </w:p>
        </w:tc>
      </w:tr>
      <w:tr>
        <w:trPr>
          <w:trHeight w:val="275"/>
        </w:trPr>
        <w:tc>
          <w:tcPr>
            <w:tcW w:w="4540" w:type="dxa"/>
            <w:vAlign w:val="bottom"/>
            <w:gridSpan w:val="3"/>
          </w:tcPr>
          <w:p>
            <w:pPr>
              <w:spacing w:after="0"/>
              <w:rPr>
                <w:sz w:val="20"/>
                <w:szCs w:val="20"/>
                <w:color w:val="auto"/>
              </w:rPr>
            </w:pPr>
            <w:r>
              <w:rPr>
                <w:rFonts w:ascii="Courier New" w:cs="Courier New" w:eastAsia="Courier New" w:hAnsi="Courier New"/>
                <w:sz w:val="16"/>
                <w:szCs w:val="16"/>
                <w:color w:val="auto"/>
              </w:rPr>
              <w:t>Exchange Act and Rule 144 under the Securities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Act.</w:t>
            </w:r>
          </w:p>
        </w:tc>
        <w:tc>
          <w:tcPr>
            <w:tcW w:w="1620" w:type="dxa"/>
            <w:vAlign w:val="bottom"/>
          </w:tcPr>
          <w:p>
            <w:pPr>
              <w:spacing w:after="0"/>
              <w:rPr>
                <w:sz w:val="23"/>
                <w:szCs w:val="23"/>
                <w:color w:val="auto"/>
              </w:rPr>
            </w:pPr>
          </w:p>
        </w:tc>
      </w:tr>
      <w:tr>
        <w:trPr>
          <w:trHeight w:val="287"/>
        </w:trPr>
        <w:tc>
          <w:tcPr>
            <w:tcW w:w="3860" w:type="dxa"/>
            <w:vAlign w:val="bottom"/>
            <w:gridSpan w:val="2"/>
          </w:tcPr>
          <w:p>
            <w:pPr>
              <w:spacing w:after="0"/>
              <w:rPr>
                <w:sz w:val="20"/>
                <w:szCs w:val="20"/>
                <w:color w:val="auto"/>
              </w:rPr>
            </w:pPr>
            <w:r>
              <w:rPr>
                <w:rFonts w:ascii="Courier New" w:cs="Courier New" w:eastAsia="Courier New" w:hAnsi="Courier New"/>
                <w:sz w:val="16"/>
                <w:szCs w:val="16"/>
                <w:color w:val="auto"/>
              </w:rPr>
              <w:t>IN WITNESS WHEREOF, the undersigned has</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caused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this</w:t>
            </w:r>
          </w:p>
        </w:tc>
        <w:tc>
          <w:tcPr>
            <w:tcW w:w="1620" w:type="dxa"/>
            <w:vAlign w:val="bottom"/>
          </w:tcPr>
          <w:p>
            <w:pPr>
              <w:ind w:left="60"/>
              <w:spacing w:after="0"/>
              <w:rPr>
                <w:sz w:val="20"/>
                <w:szCs w:val="20"/>
                <w:color w:val="auto"/>
              </w:rPr>
            </w:pPr>
            <w:r>
              <w:rPr>
                <w:rFonts w:ascii="Courier New" w:cs="Courier New" w:eastAsia="Courier New" w:hAnsi="Courier New"/>
                <w:sz w:val="16"/>
                <w:szCs w:val="16"/>
                <w:color w:val="auto"/>
              </w:rPr>
              <w:t>Limited Power</w:t>
            </w:r>
          </w:p>
        </w:tc>
      </w:tr>
      <w:tr>
        <w:trPr>
          <w:trHeight w:val="218"/>
        </w:trPr>
        <w:tc>
          <w:tcPr>
            <w:tcW w:w="1420" w:type="dxa"/>
            <w:vAlign w:val="bottom"/>
          </w:tcPr>
          <w:p>
            <w:pPr>
              <w:spacing w:after="0"/>
              <w:rPr>
                <w:sz w:val="20"/>
                <w:szCs w:val="20"/>
                <w:color w:val="auto"/>
              </w:rPr>
            </w:pPr>
            <w:r>
              <w:rPr>
                <w:rFonts w:ascii="Courier New" w:cs="Courier New" w:eastAsia="Courier New" w:hAnsi="Courier New"/>
                <w:sz w:val="16"/>
                <w:szCs w:val="16"/>
                <w:color w:val="auto"/>
              </w:rPr>
              <w:t>of Attorney to</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be executed effective as</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of the</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date</w:t>
            </w:r>
          </w:p>
        </w:tc>
        <w:tc>
          <w:tcPr>
            <w:tcW w:w="1620" w:type="dxa"/>
            <w:vAlign w:val="bottom"/>
          </w:tcPr>
          <w:p>
            <w:pPr>
              <w:ind w:left="60"/>
              <w:spacing w:after="0"/>
              <w:rPr>
                <w:sz w:val="20"/>
                <w:szCs w:val="20"/>
                <w:color w:val="auto"/>
              </w:rPr>
            </w:pPr>
            <w:r>
              <w:rPr>
                <w:rFonts w:ascii="Courier New" w:cs="Courier New" w:eastAsia="Courier New" w:hAnsi="Courier New"/>
                <w:sz w:val="16"/>
                <w:szCs w:val="16"/>
                <w:color w:val="auto"/>
              </w:rPr>
              <w:t>indicated below,</w:t>
            </w:r>
          </w:p>
        </w:tc>
      </w:tr>
    </w:tbl>
    <w:p>
      <w:pPr>
        <w:ind w:right="3559"/>
        <w:spacing w:after="0" w:line="290" w:lineRule="auto"/>
        <w:rPr>
          <w:sz w:val="20"/>
          <w:szCs w:val="20"/>
          <w:color w:val="auto"/>
        </w:rPr>
      </w:pPr>
      <w:r>
        <w:rPr>
          <w:rFonts w:ascii="Courier New" w:cs="Courier New" w:eastAsia="Courier New" w:hAnsi="Courier New"/>
          <w:sz w:val="16"/>
          <w:szCs w:val="16"/>
          <w:color w:val="auto"/>
        </w:rPr>
        <w:t>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99"/>
          </w:cols>
          <w:pgMar w:left="460" w:top="112" w:right="1440" w:bottom="1440" w:gutter="0" w:footer="0" w:header="0"/>
        </w:sect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Kevin N. Carpenter</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Kevin N. Carpenter</w:t>
      </w:r>
    </w:p>
    <w:p>
      <w:pPr>
        <w:spacing w:after="0" w:line="164" w:lineRule="exact"/>
        <w:rPr>
          <w:sz w:val="20"/>
          <w:szCs w:val="20"/>
          <w:color w:val="auto"/>
        </w:rPr>
      </w:pPr>
    </w:p>
    <w:p>
      <w:pPr>
        <w:sectPr>
          <w:pgSz w:w="11900" w:h="16838" w:orient="portrait"/>
          <w:cols w:equalWidth="0" w:num="2">
            <w:col w:w="840" w:space="720"/>
            <w:col w:w="843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11/16/2022</w:t>
      </w:r>
    </w:p>
    <w:sectPr>
      <w:pgSz w:w="11900" w:h="16838" w:orient="portrait"/>
      <w:cols w:equalWidth="0" w:num="2">
        <w:col w:w="580" w:space="200"/>
        <w:col w:w="921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755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2022-12-02T11:02:38Z</dcterms:created>
  <dcterms:modified xsi:type="dcterms:W3CDTF">2022-12-02T11:02:38Z</dcterms:modified>
</cp:coreProperties>
</file>