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2110" w:right="4859" w:hanging="97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UNITED STATES SECURITIES AND EXCHANGE COMMISSION WASHINGTON, D.C. 20549</w:t>
      </w:r>
    </w:p>
    <w:p>
      <w:pPr>
        <w:spacing w:after="0" w:line="170"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4"/>
          <w:szCs w:val="24"/>
          <w:color w:val="auto"/>
        </w:rPr>
      </w:pPr>
    </w:p>
    <w:p>
      <w:pPr>
        <w:ind w:left="10" w:right="4319" w:hanging="10"/>
        <w:spacing w:after="0" w:line="235" w:lineRule="auto"/>
        <w:tabs>
          <w:tab w:leader="none" w:pos="3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July 31, 1995</w:t>
      </w:r>
    </w:p>
    <w:p>
      <w:pPr>
        <w:ind w:left="239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0" w:right="4939" w:hanging="10"/>
        <w:spacing w:after="0" w:line="235" w:lineRule="auto"/>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______________ to ____________</w:t>
      </w:r>
    </w:p>
    <w:p>
      <w:pPr>
        <w:sectPr>
          <w:pgSz w:w="11900" w:h="16838" w:orient="portrait"/>
          <w:cols w:equalWidth="0" w:num="1">
            <w:col w:w="10229"/>
          </w:cols>
          <w:pgMar w:left="230" w:top="571" w:right="1440" w:bottom="1440" w:gutter="0" w:footer="0" w:header="0"/>
        </w:sectPr>
      </w:pPr>
    </w:p>
    <w:p>
      <w:pPr>
        <w:spacing w:after="0" w:line="174" w:lineRule="exact"/>
        <w:rPr>
          <w:sz w:val="24"/>
          <w:szCs w:val="24"/>
          <w:color w:val="auto"/>
        </w:rPr>
      </w:pPr>
    </w:p>
    <w:p>
      <w:pPr>
        <w:ind w:left="185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1-8649</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3790" w:space="180"/>
            <w:col w:w="6259"/>
          </w:cols>
          <w:pgMar w:left="230" w:top="571" w:right="1440" w:bottom="1440" w:gutter="0" w:footer="0" w:header="0"/>
          <w:type w:val="continuous"/>
        </w:sectPr>
      </w:pPr>
    </w:p>
    <w:p>
      <w:pPr>
        <w:ind w:left="2110"/>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571" w:right="1440" w:bottom="1440" w:gutter="0" w:footer="0" w:header="0"/>
          <w:type w:val="continuous"/>
        </w:sectPr>
      </w:pPr>
    </w:p>
    <w:p>
      <w:pPr>
        <w:spacing w:after="0" w:line="175"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5" w:lineRule="exact"/>
        <w:rPr>
          <w:sz w:val="24"/>
          <w:szCs w:val="24"/>
          <w:color w:val="auto"/>
        </w:rPr>
      </w:pPr>
    </w:p>
    <w:p>
      <w:pPr>
        <w:sectPr>
          <w:pgSz w:w="11900" w:h="16838" w:orient="portrait"/>
          <w:cols w:equalWidth="0" w:num="2">
            <w:col w:w="2270" w:space="720"/>
            <w:col w:w="7239"/>
          </w:cols>
          <w:pgMar w:left="230" w:top="571" w:right="1440" w:bottom="1440" w:gutter="0" w:footer="0" w:header="0"/>
          <w:type w:val="continuous"/>
        </w:sectPr>
      </w:pPr>
    </w:p>
    <w:p>
      <w:pPr>
        <w:ind w:left="1850"/>
        <w:spacing w:after="0"/>
        <w:rPr>
          <w:sz w:val="20"/>
          <w:szCs w:val="20"/>
          <w:color w:val="auto"/>
        </w:rPr>
      </w:pPr>
      <w:r>
        <w:rPr>
          <w:rFonts w:ascii="Courier New" w:cs="Courier New" w:eastAsia="Courier New" w:hAnsi="Courier New"/>
          <w:sz w:val="15"/>
          <w:szCs w:val="15"/>
          <w:color w:val="auto"/>
        </w:rPr>
        <w:t>8111 LYNDALE AVENUE SOUTH</w:t>
      </w:r>
    </w:p>
    <w:p>
      <w:pPr>
        <w:ind w:left="1670"/>
        <w:spacing w:after="0"/>
        <w:tabs>
          <w:tab w:leader="none" w:pos="3769" w:val="left"/>
        </w:tabs>
        <w:rPr>
          <w:sz w:val="20"/>
          <w:szCs w:val="20"/>
          <w:color w:val="auto"/>
        </w:rPr>
      </w:pPr>
      <w:r>
        <w:rPr>
          <w:rFonts w:ascii="Courier New" w:cs="Courier New" w:eastAsia="Courier New" w:hAnsi="Courier New"/>
          <w:sz w:val="15"/>
          <w:szCs w:val="15"/>
          <w:color w:val="auto"/>
        </w:rPr>
        <w:t>BLOOMINGTON, MINNESOTA</w:t>
      </w:r>
      <w:r>
        <w:rPr>
          <w:sz w:val="20"/>
          <w:szCs w:val="20"/>
          <w:color w:val="auto"/>
        </w:rPr>
        <w:tab/>
      </w:r>
      <w:r>
        <w:rPr>
          <w:rFonts w:ascii="Courier New" w:cs="Courier New" w:eastAsia="Courier New" w:hAnsi="Courier New"/>
          <w:sz w:val="14"/>
          <w:szCs w:val="14"/>
          <w:color w:val="auto"/>
        </w:rPr>
        <w:t>55420</w:t>
      </w:r>
    </w:p>
    <w:p>
      <w:pPr>
        <w:spacing w:after="0" w:line="5" w:lineRule="exact"/>
        <w:rPr>
          <w:sz w:val="24"/>
          <w:szCs w:val="24"/>
          <w:color w:val="auto"/>
        </w:rPr>
      </w:pPr>
    </w:p>
    <w:p>
      <w:pPr>
        <w:ind w:left="1590"/>
        <w:spacing w:after="0"/>
        <w:rPr>
          <w:sz w:val="20"/>
          <w:szCs w:val="20"/>
          <w:color w:val="auto"/>
        </w:rPr>
      </w:pPr>
      <w:r>
        <w:rPr>
          <w:rFonts w:ascii="Courier New" w:cs="Courier New" w:eastAsia="Courier New" w:hAnsi="Courier New"/>
          <w:sz w:val="14"/>
          <w:szCs w:val="14"/>
          <w:color w:val="auto"/>
        </w:rPr>
        <w:t>TELEPHONE NUMBER: (612) 888-8801</w:t>
      </w:r>
    </w:p>
    <w:p>
      <w:pPr>
        <w:sectPr>
          <w:pgSz w:w="11900" w:h="16838" w:orient="portrait"/>
          <w:cols w:equalWidth="0" w:num="1">
            <w:col w:w="10229"/>
          </w:cols>
          <w:pgMar w:left="230" w:top="571" w:right="1440" w:bottom="1440" w:gutter="0" w:footer="0" w:header="0"/>
          <w:type w:val="continuous"/>
        </w:sectPr>
      </w:pPr>
    </w:p>
    <w:p>
      <w:pPr>
        <w:spacing w:after="0" w:line="11" w:lineRule="exact"/>
        <w:rPr>
          <w:sz w:val="24"/>
          <w:szCs w:val="24"/>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170"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571" w:right="1440" w:bottom="1440" w:gutter="0" w:footer="0" w:header="0"/>
          <w:type w:val="continuous"/>
        </w:sectPr>
      </w:pPr>
    </w:p>
    <w:p>
      <w:pPr>
        <w:spacing w:after="0" w:line="344" w:lineRule="exact"/>
        <w:rPr>
          <w:sz w:val="24"/>
          <w:szCs w:val="24"/>
          <w:color w:val="auto"/>
        </w:rPr>
      </w:pPr>
    </w:p>
    <w:p>
      <w:pPr>
        <w:ind w:left="10" w:right="780"/>
        <w:spacing w:after="0" w:line="237" w:lineRule="auto"/>
        <w:rPr>
          <w:sz w:val="20"/>
          <w:szCs w:val="20"/>
          <w:color w:val="auto"/>
        </w:rPr>
      </w:pPr>
      <w:r>
        <w:rPr>
          <w:rFonts w:ascii="Courier New" w:cs="Courier New" w:eastAsia="Courier New" w:hAnsi="Courier New"/>
          <w:sz w:val="15"/>
          <w:szCs w:val="15"/>
          <w:color w:val="auto"/>
        </w:rPr>
        <w:t>Title of Each Class - - ------------------- Common Stock</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 on</w:t>
      </w:r>
    </w:p>
    <w:p>
      <w:pPr>
        <w:ind w:left="340"/>
        <w:spacing w:after="0"/>
        <w:rPr>
          <w:sz w:val="20"/>
          <w:szCs w:val="20"/>
          <w:color w:val="auto"/>
        </w:rPr>
      </w:pPr>
      <w:r>
        <w:rPr>
          <w:rFonts w:ascii="Courier New" w:cs="Courier New" w:eastAsia="Courier New" w:hAnsi="Courier New"/>
          <w:sz w:val="15"/>
          <w:szCs w:val="15"/>
          <w:color w:val="auto"/>
        </w:rPr>
        <w:t>Which Registered</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5" w:lineRule="exact"/>
        <w:rPr>
          <w:sz w:val="24"/>
          <w:szCs w:val="24"/>
          <w:color w:val="auto"/>
        </w:rPr>
      </w:pPr>
    </w:p>
    <w:p>
      <w:pPr>
        <w:sectPr>
          <w:pgSz w:w="11900" w:h="16838" w:orient="portrait"/>
          <w:cols w:equalWidth="0" w:num="2">
            <w:col w:w="2810" w:space="720"/>
            <w:col w:w="6699"/>
          </w:cols>
          <w:pgMar w:left="230" w:top="57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par value $1.00 per share</w:t>
      </w:r>
    </w:p>
    <w:p>
      <w:pPr>
        <w:sectPr>
          <w:pgSz w:w="11900" w:h="16838" w:orient="portrait"/>
          <w:cols w:equalWidth="0" w:num="1">
            <w:col w:w="10229"/>
          </w:cols>
          <w:pgMar w:left="230" w:top="571" w:right="1440" w:bottom="1440" w:gutter="0" w:footer="0" w:header="0"/>
          <w:type w:val="continuous"/>
        </w:sectPr>
      </w:pPr>
    </w:p>
    <w:p>
      <w:pPr>
        <w:spacing w:after="0" w:line="11"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80" w:lineRule="exact"/>
        <w:rPr>
          <w:sz w:val="24"/>
          <w:szCs w:val="24"/>
          <w:color w:val="auto"/>
        </w:rPr>
      </w:pPr>
    </w:p>
    <w:p>
      <w:pPr>
        <w:sectPr>
          <w:pgSz w:w="11900" w:h="16838" w:orient="portrait"/>
          <w:cols w:equalWidth="0" w:num="2">
            <w:col w:w="2810" w:space="720"/>
            <w:col w:w="6699"/>
          </w:cols>
          <w:pgMar w:left="230" w:top="571" w:right="1440" w:bottom="1440" w:gutter="0" w:footer="0" w:header="0"/>
          <w:type w:val="continuous"/>
        </w:sectPr>
      </w:pPr>
    </w:p>
    <w:p>
      <w:pPr>
        <w:ind w:left="61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5"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29"/>
          </w:cols>
          <w:pgMar w:left="230" w:top="571" w:right="1440" w:bottom="1440" w:gutter="0" w:footer="0" w:header="0"/>
          <w:type w:val="continuous"/>
        </w:sectPr>
      </w:pPr>
    </w:p>
    <w:p>
      <w:pPr>
        <w:spacing w:after="0" w:line="175" w:lineRule="exact"/>
        <w:rPr>
          <w:sz w:val="24"/>
          <w:szCs w:val="24"/>
          <w:color w:val="auto"/>
        </w:rPr>
      </w:pPr>
    </w:p>
    <w:p>
      <w:pPr>
        <w:ind w:left="10" w:right="3619"/>
        <w:spacing w:after="0" w:line="256"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 (d) of the Securities Exchange Act of 1934 during the preceding 12 months and (2) has been subject to such</w:t>
      </w:r>
    </w:p>
    <w:p>
      <w:pPr>
        <w:sectPr>
          <w:pgSz w:w="11900" w:h="16838" w:orient="portrait"/>
          <w:cols w:equalWidth="0" w:num="1">
            <w:col w:w="10229"/>
          </w:cols>
          <w:pgMar w:left="230" w:top="571" w:right="1440" w:bottom="1440" w:gutter="0" w:footer="0" w:header="0"/>
          <w:type w:val="continuous"/>
        </w:sectPr>
      </w:pPr>
    </w:p>
    <w:p>
      <w:pPr>
        <w:spacing w:after="0" w:line="1" w:lineRule="exact"/>
        <w:rPr>
          <w:sz w:val="24"/>
          <w:szCs w:val="24"/>
          <w:color w:val="auto"/>
        </w:rPr>
      </w:pPr>
    </w:p>
    <w:p>
      <w:pPr>
        <w:ind w:left="4050" w:hanging="4406"/>
        <w:spacing w:after="0"/>
        <w:tabs>
          <w:tab w:leader="none" w:pos="4029" w:val="left"/>
        </w:tabs>
        <w:rPr>
          <w:sz w:val="20"/>
          <w:szCs w:val="20"/>
          <w:color w:val="auto"/>
        </w:rPr>
      </w:pPr>
      <w:r>
        <w:rPr>
          <w:rFonts w:ascii="Courier New" w:cs="Courier New" w:eastAsia="Courier New" w:hAnsi="Courier New"/>
          <w:sz w:val="15"/>
          <w:szCs w:val="15"/>
          <w:color w:val="auto"/>
        </w:rPr>
        <w:t>filing requirements for the past 90 days.</w:t>
      </w:r>
      <w:r>
        <w:rPr>
          <w:sz w:val="20"/>
          <w:szCs w:val="20"/>
          <w:color w:val="auto"/>
        </w:rPr>
        <w:tab/>
      </w:r>
      <w:r>
        <w:rPr>
          <w:rFonts w:ascii="Courier New" w:cs="Courier New" w:eastAsia="Courier New" w:hAnsi="Courier New"/>
          <w:sz w:val="15"/>
          <w:szCs w:val="15"/>
          <w:color w:val="auto"/>
        </w:rPr>
        <w:t>Yes X No ---------</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5810" w:space="0"/>
            <w:col w:w="4419"/>
          </w:cols>
          <w:pgMar w:left="230" w:top="571" w:right="1440" w:bottom="1440" w:gutter="0" w:footer="0" w:header="0"/>
          <w:type w:val="continuous"/>
        </w:sectPr>
      </w:pPr>
    </w:p>
    <w:p>
      <w:pPr>
        <w:ind w:left="10" w:right="369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based upon the close price of the Common Stock on September 29, 1995 as reported on the New York Stock Exchange, was approximately $329,859,590.</w:t>
      </w:r>
    </w:p>
    <w:p>
      <w:pPr>
        <w:spacing w:after="0" w:line="176" w:lineRule="exact"/>
        <w:rPr>
          <w:sz w:val="24"/>
          <w:szCs w:val="24"/>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The number of shares of Common Stock outstanding as of September 29, 1995 was 12,160,654.</w:t>
      </w:r>
    </w:p>
    <w:p>
      <w:pPr>
        <w:spacing w:after="0" w:line="170" w:lineRule="exact"/>
        <w:rPr>
          <w:sz w:val="24"/>
          <w:szCs w:val="24"/>
          <w:color w:val="auto"/>
        </w:rPr>
      </w:pPr>
    </w:p>
    <w:p>
      <w:pPr>
        <w:jc w:val="center"/>
        <w:ind w:right="379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799"/>
        <w:spacing w:after="0" w:line="237" w:lineRule="auto"/>
        <w:rPr>
          <w:sz w:val="20"/>
          <w:szCs w:val="20"/>
          <w:color w:val="auto"/>
        </w:rPr>
      </w:pPr>
      <w:r>
        <w:rPr>
          <w:rFonts w:ascii="Courier New" w:cs="Courier New" w:eastAsia="Courier New" w:hAnsi="Courier New"/>
          <w:sz w:val="15"/>
          <w:szCs w:val="15"/>
          <w:color w:val="auto"/>
        </w:rPr>
        <w:t>Portions of the Registrant's Annual Report to Stockholders for the fiscal year ended July 31, 1995, are incorporated by reference into Parts I, II and IV.</w:t>
      </w:r>
    </w:p>
    <w:p>
      <w:pPr>
        <w:spacing w:after="0" w:line="175" w:lineRule="exact"/>
        <w:rPr>
          <w:sz w:val="24"/>
          <w:szCs w:val="24"/>
          <w:color w:val="auto"/>
        </w:rPr>
      </w:pPr>
    </w:p>
    <w:p>
      <w:pPr>
        <w:ind w:left="10" w:right="3799"/>
        <w:spacing w:after="0" w:line="237" w:lineRule="auto"/>
        <w:rPr>
          <w:sz w:val="20"/>
          <w:szCs w:val="20"/>
          <w:color w:val="auto"/>
        </w:rPr>
      </w:pPr>
      <w:r>
        <w:rPr>
          <w:rFonts w:ascii="Courier New" w:cs="Courier New" w:eastAsia="Courier New" w:hAnsi="Courier New"/>
          <w:sz w:val="15"/>
          <w:szCs w:val="15"/>
          <w:color w:val="auto"/>
        </w:rPr>
        <w:t>Portions of the Registrant's Proxy Statement for the next meeting of stockholders which involve the election of directors to be filed pursuant to Regulation 14A are incorporated by reference into Part III.</w:t>
      </w:r>
    </w:p>
    <w:p>
      <w:pPr>
        <w:spacing w:after="0" w:line="17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571" w:right="1440" w:bottom="1440" w:gutter="0" w:footer="0" w:header="0"/>
          <w:type w:val="continuous"/>
        </w:sectPr>
      </w:pPr>
    </w:p>
    <w:bookmarkStart w:id="1" w:name="page2"/>
    <w:bookmarkEnd w:id="1"/>
    <w:p>
      <w:pPr>
        <w:jc w:val="right"/>
        <w:ind w:right="3619"/>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company designs, manufactures and markets consumer and commercial lawn and turf maintenance equipment, snow removal products and turf irrigation systems, including products for maintenance of golf courses, parks and other large turf areas. The company produced its first lawn mower for golf course fairways in 1922 and its first lawn mower for home use in 1939 and has continued to enhance its product lines and expand its market ever since.</w:t>
      </w:r>
    </w:p>
    <w:p>
      <w:pPr>
        <w:spacing w:after="0" w:line="177"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wholly-owned finance subsidiary.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YARD MAINTENANCE EQUIPMENT</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The company classifies its operations into one industry segment, yard maintenance equipment. The company has been a leader in transforming advanced technologies into products and services that provide solutions to lawn and turf care maintenance and beautification demands.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w:t>
      </w:r>
    </w:p>
    <w:p>
      <w:pPr>
        <w:spacing w:after="0" w:line="178"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In some areas of its business the company is primarily an assembler while in others it is a fully integrated manufacturer. Most of the components for the company's products are commercially available from a number of sources and the company is generally not dependent on any one supplier. The largest component costs are generally engines, transmissions and electric motors. The company purchases most of its engines and motors for consumer and commercial products from several suppliers. In addition, the company manufactures three types of two-cycle engines for its consumer products.</w:t>
      </w:r>
    </w:p>
    <w:p>
      <w:pPr>
        <w:spacing w:after="0" w:line="179"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Management continues to seek greater efficiencies and improve work processes throughout the company. Toro's total quality process is focused upon improving product quality, customer response time and reducing overall product cost.</w:t>
      </w:r>
    </w:p>
    <w:p>
      <w:pPr>
        <w:sectPr>
          <w:pgSz w:w="11900" w:h="16838" w:orient="portrait"/>
          <w:cols w:equalWidth="0" w:num="1">
            <w:col w:w="10219"/>
          </w:cols>
          <w:pgMar w:left="240" w:top="6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TRADEMARKS AND PATENTS</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 "Wheel Horse" and "Lawn-Boy", all of which are registered in the United States and in the principal foreign countries in which the company markets its products. The company holds patents for many of its products in the United States and foreign countries and applies for patents on new products as they are developed. Although management believes patents have value to the company, patent protection sometimes does not deter competitors from attempting to develop similar products. Management believes that factors such as innovation, quality and its distribution systems are significant in protecting its competitive position. Although patent protection is considered to be very beneficial, the company is not dependent on any one or more of its patents.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Sales of the company's consumer products, which accounted for approximately 52% of total sales in fiscal 1995, are seasonal with greater sales of yard maintenance equipment occurring in the spring and snow removal equipment in the fall and winter months. Opposite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third quarter. Historically, accounts receivable balances increase throughout the winter months as a result of extended payment terms made available to the company's customers. Accounts receivable balances decrease in the late spring when payments are made. The seasonal requirements of the business are financed from operations and with short-term bank lines of credit and off-balance sheet financing.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MARKETING</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company markets the majority of its products principally through approximately 44 domestic and 51 foreign distributors and mass merchandisers worldwide. Distributors resell consumer products such as walk power mowers and riders to retail and service dealers throughout the United States. Home appliance and Lawn-Boy products are sold directly to mass merchandisers and "do-it-yourself" home improvement retailers. Distributors sell commercial and irrigation products directly to end users, including irrigation contractors. Irrigation products are also sold through distributors to irrigation dealers and direct to general line distributors, mass merchandisers and "do-it-yourself" home improvement retailers for resale to contractors and end-users. Consumer products are sold to international distributors who resell to retail dealers outside the United States, principally in Canada, Western Europe, and Australia. Additionally, some irrigation and consumer products are sold directly to retail dealers in Canada, Australia and Western Europe.</w:t>
      </w:r>
    </w:p>
    <w:p>
      <w:pPr>
        <w:spacing w:after="0" w:line="185" w:lineRule="exact"/>
        <w:rPr>
          <w:sz w:val="20"/>
          <w:szCs w:val="20"/>
          <w:color w:val="auto"/>
        </w:rPr>
      </w:pPr>
    </w:p>
    <w:p>
      <w:pPr>
        <w:ind w:right="3979"/>
        <w:spacing w:after="0" w:line="237" w:lineRule="auto"/>
        <w:rPr>
          <w:sz w:val="20"/>
          <w:szCs w:val="20"/>
          <w:color w:val="auto"/>
        </w:rPr>
      </w:pPr>
      <w:r>
        <w:rPr>
          <w:rFonts w:ascii="Courier New" w:cs="Courier New" w:eastAsia="Courier New" w:hAnsi="Courier New"/>
          <w:sz w:val="15"/>
          <w:szCs w:val="15"/>
          <w:color w:val="auto"/>
        </w:rPr>
        <w:t>The company's current marketing strategy is to maintain distinct and separate brands and brand identification for Toro, Toro/Wheel Horse and Lawn-Boy products.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 company's distribution systems for the sale of its products are intended to assure quality of sales and market presence as well as effective after-market service. The company considers its distribution network to be a significant competitive asset in marketing Toro, Toro/Wheel Horse and Lawn-Boy products.</w:t>
      </w:r>
    </w:p>
    <w:p>
      <w:pPr>
        <w:spacing w:after="0" w:line="178" w:lineRule="exact"/>
        <w:rPr>
          <w:sz w:val="20"/>
          <w:szCs w:val="20"/>
          <w:color w:val="auto"/>
        </w:rPr>
      </w:pPr>
    </w:p>
    <w:p>
      <w:pPr>
        <w:ind w:right="3619"/>
        <w:spacing w:after="0" w:line="259" w:lineRule="auto"/>
        <w:rPr>
          <w:sz w:val="20"/>
          <w:szCs w:val="20"/>
          <w:color w:val="auto"/>
        </w:rPr>
      </w:pPr>
      <w:r>
        <w:rPr>
          <w:rFonts w:ascii="Courier New" w:cs="Courier New" w:eastAsia="Courier New" w:hAnsi="Courier New"/>
          <w:sz w:val="14"/>
          <w:szCs w:val="14"/>
          <w:color w:val="auto"/>
        </w:rPr>
        <w:t>The company advertises its products during appropriate seasons throughout the year on television, radio and in print. Most of the company's advertising emphasizes its brand names. Advertising is directly paid by Toro as well as through cooperative programs with distributors and dealers.</w:t>
      </w:r>
    </w:p>
    <w:p>
      <w:pPr>
        <w:sectPr>
          <w:pgSz w:w="11900" w:h="16838" w:orient="portrait"/>
          <w:cols w:equalWidth="0" w:num="1">
            <w:col w:w="10219"/>
          </w:cols>
          <w:pgMar w:left="240" w:top="6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BACKLOG OF ORDERS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order backlog at July 31, 1995 and 1994 was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64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July 31</w:t>
            </w:r>
          </w:p>
        </w:tc>
      </w:tr>
      <w:tr>
        <w:trPr>
          <w:trHeight w:val="170"/>
        </w:trPr>
        <w:tc>
          <w:tcPr>
            <w:tcW w:w="3700" w:type="dxa"/>
            <w:vAlign w:val="bottom"/>
          </w:tcPr>
          <w:p>
            <w:pPr>
              <w:spacing w:after="0"/>
              <w:rPr>
                <w:sz w:val="14"/>
                <w:szCs w:val="1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7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Consumer.................................</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$79,502,000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$107,848,000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Commercial...............................</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45,427,000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40,279,000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Irrigation...............................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9,803,000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10,214,000</w:t>
            </w:r>
          </w:p>
        </w:tc>
      </w:tr>
    </w:tbl>
    <w:p>
      <w:pPr>
        <w:spacing w:after="0" w:line="344" w:lineRule="exact"/>
        <w:rPr>
          <w:sz w:val="20"/>
          <w:szCs w:val="20"/>
          <w:color w:val="auto"/>
        </w:rPr>
      </w:pPr>
    </w:p>
    <w:p>
      <w:pPr>
        <w:ind w:right="3699"/>
        <w:spacing w:after="0" w:line="258" w:lineRule="auto"/>
        <w:rPr>
          <w:sz w:val="20"/>
          <w:szCs w:val="20"/>
          <w:color w:val="auto"/>
        </w:rPr>
      </w:pPr>
      <w:r>
        <w:rPr>
          <w:rFonts w:ascii="Courier New" w:cs="Courier New" w:eastAsia="Courier New" w:hAnsi="Courier New"/>
          <w:sz w:val="14"/>
          <w:szCs w:val="14"/>
          <w:color w:val="auto"/>
        </w:rPr>
        <w:t>The decrease in consumer product backlog reflects the sell-out of gas snow products in 1994. This resulted in increased orders of gas snow products at the end of 1994 in anticipation of another hard winter season. This increase did not occur at the end of 1995. The increase for commercial products reflects continued sales growth in most product lines. The existing backlog is expected to be filled in the succeeding fiscal year.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The principal competitive factors in the company's markets are product innovation, quality, service and pricing. Management believes the company offers high quality products with the latest technology and design innovations. Also, by selling Toro, Toro/Wheel Horse and Lawn-Boy brand products through a network of distributors, dealers and mass merchants who provide service, the company offers competitive service during and after the relevant warranty period.</w:t>
      </w:r>
    </w:p>
    <w:p>
      <w:pPr>
        <w:spacing w:after="0" w:line="177"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 company competes in all product lines with numerous manufacturers, many of which have substantially greater financial resources than the company. Management believes that its commitment to product innovation, its distribution systems and its focus on target markets, position it well to compete in these various markets.</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CONSUMER</w:t>
      </w:r>
    </w:p>
    <w:p>
      <w:pPr>
        <w:spacing w:after="0" w:line="175" w:lineRule="exact"/>
        <w:rPr>
          <w:sz w:val="20"/>
          <w:szCs w:val="20"/>
          <w:color w:val="auto"/>
        </w:rPr>
      </w:pPr>
    </w:p>
    <w:p>
      <w:pPr>
        <w:ind w:left="340" w:right="3619"/>
        <w:spacing w:after="0" w:line="257" w:lineRule="auto"/>
        <w:rPr>
          <w:sz w:val="20"/>
          <w:szCs w:val="20"/>
          <w:color w:val="auto"/>
        </w:rPr>
      </w:pPr>
      <w:r>
        <w:rPr>
          <w:rFonts w:ascii="Courier New" w:cs="Courier New" w:eastAsia="Courier New" w:hAnsi="Courier New"/>
          <w:sz w:val="14"/>
          <w:szCs w:val="14"/>
          <w:color w:val="auto"/>
        </w:rPr>
        <w:t>The principal competitors for walk-behind mowers are American Yard Products, Inc. (a subsidiary of Electrolux AB), Deere &amp; Company, Honda Motor Co., Ltd., MTD Products, Inc., Murray Ohio Manufacturing Co., Inc. (a subsidiary of Tompkins Corp.), Sears, Roebuck and Co. and Snapper Power Equipment (a division of ACT). The principal competitors in riding mowers and lawn and garden tractors are Ariens Company, Bolens Corporation (a division of Garden Way, Incorporated), Deere &amp; Company, Honda Motor Co., Ltd., Murray Ohio Manufacturing Co., Inc., MTD Products, Inc., Noma Outdoor Products, Sears, Roebuck and Co., Simplicity Manufacturing Company and Snapper Power Equipment. The principal competitors for snow throwers are Ariens Company, Bolens Corporation, Honda Motor Co., Ltd., Noma Outdoor Products, Sears, Roebuck and Co., Simplicity Manufacturing Company, Snapper Power Equipment and Yamaha Motor Corporation, USA. The principal competitors in home improvement products are Black and Decker Corporation, K &amp; S Industries, Inc., Malibu Lighting (a registered trademark of Intermatic, Inc.) and Poulan/Weed Eater (a division of Electrolux AB).</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COMMERCIAL</w:t>
      </w:r>
    </w:p>
    <w:p>
      <w:pPr>
        <w:spacing w:after="0" w:line="175" w:lineRule="exact"/>
        <w:rPr>
          <w:sz w:val="20"/>
          <w:szCs w:val="20"/>
          <w:color w:val="auto"/>
        </w:rPr>
      </w:pPr>
    </w:p>
    <w:p>
      <w:pPr>
        <w:ind w:left="340" w:right="3799"/>
        <w:spacing w:after="0" w:line="259" w:lineRule="auto"/>
        <w:rPr>
          <w:sz w:val="20"/>
          <w:szCs w:val="20"/>
          <w:color w:val="auto"/>
        </w:rPr>
      </w:pPr>
      <w:r>
        <w:rPr>
          <w:rFonts w:ascii="Courier New" w:cs="Courier New" w:eastAsia="Courier New" w:hAnsi="Courier New"/>
          <w:sz w:val="14"/>
          <w:szCs w:val="14"/>
          <w:color w:val="auto"/>
        </w:rPr>
        <w:t>The company's commercial products compete with products from numerous manufacturers, but the principal competitors across most of the company's commercial product lines are Deere &amp; Company, Jacobsen and Ransomes Sims &amp; Jefferies PLC, based in the United Kingdom.</w:t>
      </w:r>
    </w:p>
    <w:p>
      <w:pPr>
        <w:sectPr>
          <w:pgSz w:w="11900" w:h="16838" w:orient="portrait"/>
          <w:cols w:equalWidth="0" w:num="1">
            <w:col w:w="10219"/>
          </w:cols>
          <w:pgMar w:left="240" w:top="622" w:right="1440" w:bottom="1440" w:gutter="0" w:footer="0" w:header="0"/>
        </w:sectPr>
      </w:pPr>
    </w:p>
    <w:bookmarkStart w:id="4" w:name="page5"/>
    <w:bookmarkEnd w:id="4"/>
    <w:p>
      <w:pPr>
        <w:ind w:left="160"/>
        <w:spacing w:after="0"/>
        <w:rPr>
          <w:sz w:val="20"/>
          <w:szCs w:val="20"/>
          <w:color w:val="auto"/>
        </w:rPr>
      </w:pPr>
      <w:r>
        <w:rPr>
          <w:rFonts w:ascii="Courier New" w:cs="Courier New" w:eastAsia="Courier New" w:hAnsi="Courier New"/>
          <w:sz w:val="15"/>
          <w:szCs w:val="15"/>
          <w:color w:val="auto"/>
        </w:rPr>
        <w:t>IRRIGATION</w:t>
      </w:r>
    </w:p>
    <w:p>
      <w:pPr>
        <w:spacing w:after="0" w:line="175" w:lineRule="exact"/>
        <w:rPr>
          <w:sz w:val="20"/>
          <w:szCs w:val="20"/>
          <w:color w:val="auto"/>
        </w:rPr>
      </w:pPr>
    </w:p>
    <w:p>
      <w:pPr>
        <w:ind w:left="340" w:right="4059"/>
        <w:spacing w:after="0" w:line="237" w:lineRule="auto"/>
        <w:rPr>
          <w:sz w:val="20"/>
          <w:szCs w:val="20"/>
          <w:color w:val="auto"/>
        </w:rPr>
      </w:pPr>
      <w:r>
        <w:rPr>
          <w:rFonts w:ascii="Courier New" w:cs="Courier New" w:eastAsia="Courier New" w:hAnsi="Courier New"/>
          <w:sz w:val="15"/>
          <w:szCs w:val="15"/>
          <w:color w:val="auto"/>
        </w:rPr>
        <w:t>The principal competitors in irrigation products are James Hardie Irrigation, Inc. (a subsidiary of James Hardie Industries Limited, based in Australia), Hunter Industries and Rain Bird Sprinkler Manufacturing Corporation.</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INTERNATIONAL</w:t>
      </w:r>
    </w:p>
    <w:p>
      <w:pPr>
        <w:spacing w:after="0" w:line="175" w:lineRule="exact"/>
        <w:rPr>
          <w:sz w:val="20"/>
          <w:szCs w:val="20"/>
          <w:color w:val="auto"/>
        </w:rPr>
      </w:pPr>
    </w:p>
    <w:p>
      <w:pPr>
        <w:ind w:left="340" w:right="3619"/>
        <w:spacing w:after="0" w:line="257" w:lineRule="auto"/>
        <w:rPr>
          <w:sz w:val="20"/>
          <w:szCs w:val="20"/>
          <w:color w:val="auto"/>
        </w:rPr>
      </w:pPr>
      <w:r>
        <w:rPr>
          <w:rFonts w:ascii="Courier New" w:cs="Courier New" w:eastAsia="Courier New" w:hAnsi="Courier New"/>
          <w:sz w:val="14"/>
          <w:szCs w:val="14"/>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company conducts research and development activities in an effort to improve existing products and to develop new products. Amounts expended on such activities aggregated approximately $33.0 million, or 3.6% of sales in 1995, $30.9 million, or 3.9% of sales in 1994 and $25.3 million, or 3.7% of sales in 1993. Management believes that the company's research and development efforts are important to the quality, mix and growth of its businesses and plans to continue its strong commitment to such activities.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REGULATION</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company's products are subject to various federal statutes designed to protect consumers and are subject to the administrative jurisdiction of the Federal Consumer Product Safety Commission. The company is also subject to certain federal and state environmental, occupational safety and other regulations, none of which has had a material adverse affect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required to comply with the EPA regulations. Toro has been working with the EPA on the ruling and as a result will be able to continue producing its two-cycle engines at its Oxford, Mississippi plant under the current standard through the year 2001. However, Toro expects its own engines to be able to comply with Phase I regulations beginning in September of 1997.</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During 1995 the company employed an average of 3,626 employees. The total number of employees at July 31, 1995 was 2,867, reflecting the company's normal seasonal fluctuation in employment. Approximately one-quarter of the company's employees are covered by four collective bargaining agreements expiring in November 1996, May 1997 and two expiring in September 1997. Management considers its overall relations with its employees to be good.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FOREIGN AND DOMESTIC OPERATIONS</w:t>
      </w:r>
    </w:p>
    <w:p>
      <w:pPr>
        <w:spacing w:after="0" w:line="175"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All of Toro's production facilities are located within the United States and Belgium. Except for the sales of the company's foreign subsidiaries which are not significant when compared to total company sales, substantially all financial transactions are made in U.S. dollars. Consequently, the company did not realize any significant impact to earnings due to fluctuations in foreign currencies.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Export sales were $126,560,000, $109,344,000 and $111,263,000 in fiscal 1995, 1994 and 1993, respectively. The identifiable assets attributable to foreign operations are not significant.</w:t>
      </w:r>
    </w:p>
    <w:p>
      <w:pPr>
        <w:sectPr>
          <w:pgSz w:w="11900" w:h="16838" w:orient="portrait"/>
          <w:cols w:equalWidth="0" w:num="1">
            <w:col w:w="10219"/>
          </w:cols>
          <w:pgMar w:left="240" w:top="622" w:right="1440" w:bottom="1440" w:gutter="0" w:footer="0" w:header="0"/>
        </w:sectPr>
      </w:pPr>
    </w:p>
    <w:bookmarkStart w:id="5" w:name="page6"/>
    <w:bookmarkEnd w:id="5"/>
    <w:p>
      <w:pPr>
        <w:ind w:left="2380"/>
        <w:spacing w:after="0"/>
        <w:rPr>
          <w:sz w:val="20"/>
          <w:szCs w:val="20"/>
          <w:color w:val="auto"/>
        </w:rPr>
      </w:pPr>
      <w:r>
        <w:rPr>
          <w:rFonts w:ascii="Courier New" w:cs="Courier New" w:eastAsia="Courier New" w:hAnsi="Courier New"/>
          <w:sz w:val="15"/>
          <w:szCs w:val="15"/>
          <w:color w:val="auto"/>
        </w:rPr>
        <w:t>ITEM 2. PROPERTIES</w:t>
      </w:r>
    </w:p>
    <w:p>
      <w:pPr>
        <w:spacing w:after="0" w:line="344"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The Toro Company utilizes owned manufacturing and office facilities which totaled approximately 2,263,000 square feet of space. The manufacturing facilities operated at about 81% of total capacity in fiscal 1995. The following schedule outlines the owned facilities by location, plant size and function: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ind w:left="440"/>
              <w:spacing w:after="0"/>
              <w:rPr>
                <w:sz w:val="20"/>
                <w:szCs w:val="20"/>
                <w:color w:val="auto"/>
              </w:rPr>
            </w:pPr>
            <w:r>
              <w:rPr>
                <w:rFonts w:ascii="Courier New" w:cs="Courier New" w:eastAsia="Courier New" w:hAnsi="Courier New"/>
                <w:sz w:val="15"/>
                <w:szCs w:val="15"/>
                <w:color w:val="auto"/>
              </w:rPr>
              <w:t>Location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Square Feet</w:t>
            </w:r>
          </w:p>
        </w:tc>
        <w:tc>
          <w:tcPr>
            <w:tcW w:w="3400" w:type="dxa"/>
            <w:vAlign w:val="bottom"/>
          </w:tcPr>
          <w:p>
            <w:pPr>
              <w:ind w:left="500"/>
              <w:spacing w:after="0"/>
              <w:rPr>
                <w:sz w:val="20"/>
                <w:szCs w:val="20"/>
                <w:color w:val="auto"/>
              </w:rPr>
            </w:pPr>
            <w:r>
              <w:rPr>
                <w:rFonts w:ascii="Courier New" w:cs="Courier New" w:eastAsia="Courier New" w:hAnsi="Courier New"/>
                <w:sz w:val="15"/>
                <w:szCs w:val="15"/>
                <w:color w:val="auto"/>
              </w:rPr>
              <w:t>Products Manufactured/Use</w:t>
            </w:r>
          </w:p>
        </w:tc>
      </w:tr>
      <w:tr>
        <w:trPr>
          <w:trHeight w:val="170"/>
        </w:trPr>
        <w:tc>
          <w:tcPr>
            <w:tcW w:w="19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Plymouth, WI</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420,000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Parts distribution center, office</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Tomah, WI</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274,000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Consumer and Commercial products</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Bloomington, MN</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Corporate headquarters</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Riverside, CA</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217,000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Irrigation products</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Sardis, MS (a)</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Consumer products</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Windom, MN</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305,000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Consumer components and products</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South Bend, IN (b)</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Closed facility</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Shakopee, MN</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w w:val="97"/>
              </w:rPr>
              <w:t>Components for consumer and commercial</w:t>
            </w:r>
          </w:p>
        </w:tc>
      </w:tr>
      <w:tr>
        <w:trPr>
          <w:trHeight w:val="170"/>
        </w:trPr>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products</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Oxford, MS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Components for consumer products</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Oevel, Belgium</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63,000</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Consumer products</w:t>
            </w:r>
          </w:p>
        </w:tc>
      </w:tr>
      <w:tr>
        <w:trPr>
          <w:trHeight w:val="170"/>
        </w:trPr>
        <w:tc>
          <w:tcPr>
            <w:tcW w:w="19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r>
        <w:trPr>
          <w:trHeight w:val="339"/>
        </w:trPr>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Total Square Feet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2,263,000</w:t>
            </w:r>
          </w:p>
        </w:tc>
        <w:tc>
          <w:tcPr>
            <w:tcW w:w="3400" w:type="dxa"/>
            <w:vAlign w:val="bottom"/>
          </w:tcPr>
          <w:p>
            <w:pPr>
              <w:spacing w:after="0"/>
              <w:rPr>
                <w:sz w:val="24"/>
                <w:szCs w:val="24"/>
                <w:color w:val="auto"/>
              </w:rPr>
            </w:pPr>
          </w:p>
        </w:tc>
      </w:tr>
      <w:tr>
        <w:trPr>
          <w:trHeight w:val="170"/>
        </w:trPr>
        <w:tc>
          <w:tcPr>
            <w:tcW w:w="19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bl>
    <w:p>
      <w:pPr>
        <w:spacing w:after="0" w:line="169" w:lineRule="exact"/>
        <w:rPr>
          <w:sz w:val="20"/>
          <w:szCs w:val="20"/>
          <w:color w:val="auto"/>
        </w:rPr>
      </w:pPr>
    </w:p>
    <w:p>
      <w:pPr>
        <w:ind w:left="600" w:hanging="345"/>
        <w:spacing w:after="0"/>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Reopened in 1995.  Facility closed in 1993 due to restructuring.</w:t>
      </w:r>
    </w:p>
    <w:p>
      <w:pPr>
        <w:spacing w:after="0" w:line="5" w:lineRule="exact"/>
        <w:rPr>
          <w:rFonts w:ascii="Courier New" w:cs="Courier New" w:eastAsia="Courier New" w:hAnsi="Courier New"/>
          <w:sz w:val="15"/>
          <w:szCs w:val="15"/>
          <w:color w:val="auto"/>
        </w:rPr>
      </w:pPr>
    </w:p>
    <w:p>
      <w:pPr>
        <w:ind w:left="600" w:right="3879" w:hanging="345"/>
        <w:spacing w:after="0" w:line="235"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closed in 1993 due to restructuring. Building held for sale.</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 1995, the company leased the following warehouse space for its finished good distribution centers: 304,000 square feet in Lakeville, Minnesota, and 228,000 square feet in Baraboo, Wisconsin. The company also leased manufacturing space of 162,000 square feet in Mound, Minnesota, 176,000 square feet in Olathe, Kansas, and 178,000 square feet in Evansville, Indiana. Other leased office and warehouse space located in various cities in the United States, Australia, Canada, France, Singapore and United Kingdom totaled approximately 287,000 square feet.</w:t>
      </w:r>
    </w:p>
    <w:p>
      <w:pPr>
        <w:spacing w:after="0" w:line="34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ITEM 3. LEGAL PROCEEDINGS</w:t>
      </w:r>
    </w:p>
    <w:p>
      <w:pPr>
        <w:spacing w:after="0" w:line="344"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company is routinely a party to various litigation in the ordinary course of its business. This ongoing litigation primarily involves claims for damages arising out of the use of the company's products, some of which include claims for punitive as well as compensatory damages. The company is also subject to administrative proceedings in respect of certain claims involving the discharge of hazardous substances into the environment. Certain of these claims assert damages and liability for remedial investigations and clean up costs. Management is of the opinion that the amounts which may be awarded or assessed in connection with these matters will not have a material effect on the company's financial position. Further, the company maintains insurance against product liability losses. Such insurance presently covers claims in excess of $1,000,000 per claim or $2,000,000 in the aggregate during any fiscal year. The company regularly reviews these dollar limits.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ITEM 4. SUBMISSIONS OF MATTERS TO A VOTE OF THE SECURITY HOLDERS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6" w:name="page7"/>
    <w:bookmarkEnd w:id="6"/>
    <w:p>
      <w:pPr>
        <w:ind w:left="6240"/>
        <w:spacing w:after="0"/>
        <w:rPr>
          <w:sz w:val="20"/>
          <w:szCs w:val="20"/>
          <w:color w:val="auto"/>
        </w:rPr>
      </w:pPr>
      <w:r>
        <w:rPr>
          <w:rFonts w:ascii="Courier New" w:cs="Courier New" w:eastAsia="Courier New" w:hAnsi="Courier New"/>
          <w:sz w:val="15"/>
          <w:szCs w:val="15"/>
          <w:color w:val="auto"/>
        </w:rPr>
        <w:t>PART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0"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All information incorporated herein by reference in this Part II is from the Registrant's Annual Report to Stockholders for the fiscal year ended July 31, 1995 ("Annual Report").</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ITEM 5. MARKET FOR THE REGISTRANT'S COMMON STOCK AND RELATED</w:t>
      </w:r>
    </w:p>
    <w:p>
      <w:pPr>
        <w:ind w:left="2380"/>
        <w:spacing w:after="0"/>
        <w:rPr>
          <w:sz w:val="20"/>
          <w:szCs w:val="20"/>
          <w:color w:val="auto"/>
        </w:rPr>
      </w:pPr>
      <w:r>
        <w:rPr>
          <w:rFonts w:ascii="Courier New" w:cs="Courier New" w:eastAsia="Courier New" w:hAnsi="Courier New"/>
          <w:sz w:val="15"/>
          <w:szCs w:val="15"/>
          <w:color w:val="auto"/>
        </w:rPr>
        <w:t>STOCKHOLDER MATTERS</w:t>
      </w:r>
    </w:p>
    <w:p>
      <w:pPr>
        <w:spacing w:after="0" w:line="344"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Toro common stock (including related Preferred Share Purchase Rights) is listed for trading on the New York Stock Exchange. The number of common stockholders of record as of July 31, 1995 was 7,347.</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See "Quarterly Financial Data" on page 28 of the Annual Report for dividends paid and range of high and low quotations, which are incorporated herein by reference.</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ITEM 6. SELECTED FINANCIAL DATA</w:t>
      </w:r>
    </w:p>
    <w:p>
      <w:pPr>
        <w:spacing w:after="0" w:line="344"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See financial data for fiscal years 1995, 1994, 1993, 1992 and 1991 included in "Eleven-Year Selected Financial Data" on pages 12 and 13 of the Annual Report which information for this five-year period is incorporated herein by reference.</w:t>
      </w:r>
    </w:p>
    <w:p>
      <w:pPr>
        <w:spacing w:after="0" w:line="176" w:lineRule="exact"/>
        <w:rPr>
          <w:sz w:val="20"/>
          <w:szCs w:val="20"/>
          <w:color w:val="auto"/>
        </w:rPr>
      </w:pPr>
    </w:p>
    <w:p>
      <w:pPr>
        <w:ind w:left="2460" w:right="3539" w:hanging="167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34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 on pages 14 through 18 of the Annual Report which is incorporated herein by reference.</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344" w:lineRule="exact"/>
        <w:rPr>
          <w:sz w:val="20"/>
          <w:szCs w:val="20"/>
          <w:color w:val="auto"/>
        </w:rPr>
      </w:pPr>
    </w:p>
    <w:p>
      <w:pPr>
        <w:ind w:right="4239"/>
        <w:spacing w:after="0" w:line="235" w:lineRule="auto"/>
        <w:rPr>
          <w:sz w:val="20"/>
          <w:szCs w:val="20"/>
          <w:color w:val="auto"/>
        </w:rPr>
      </w:pPr>
      <w:r>
        <w:rPr>
          <w:rFonts w:ascii="Courier New" w:cs="Courier New" w:eastAsia="Courier New" w:hAnsi="Courier New"/>
          <w:sz w:val="15"/>
          <w:szCs w:val="15"/>
          <w:color w:val="auto"/>
        </w:rPr>
        <w:t>The financial statements described in Item 14(a)1 of this report are incorporated herein by reference.</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See "Quarterly Financial Data" appearing on page 28 of the Annual Report which is incorporated herein by reference.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ITEM 9. DISAGREEMENTS ON ACCOUNTING AND FINANCIAL DISCLOSURE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7" w:name="page8"/>
    <w:bookmarkEnd w:id="7"/>
    <w:p>
      <w:pPr>
        <w:ind w:left="6090"/>
        <w:spacing w:after="0"/>
        <w:rPr>
          <w:sz w:val="20"/>
          <w:szCs w:val="20"/>
          <w:color w:val="auto"/>
        </w:rPr>
      </w:pPr>
      <w:r>
        <w:rPr>
          <w:rFonts w:ascii="Courier New" w:cs="Courier New" w:eastAsia="Courier New" w:hAnsi="Courier New"/>
          <w:sz w:val="15"/>
          <w:szCs w:val="15"/>
          <w:color w:val="auto"/>
        </w:rPr>
        <w:t>PART III</w:t>
      </w:r>
    </w:p>
    <w:p>
      <w:pPr>
        <w:spacing w:after="0" w:line="5"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44" w:lineRule="exact"/>
        <w:rPr>
          <w:rFonts w:ascii="Courier New" w:cs="Courier New" w:eastAsia="Courier New" w:hAnsi="Courier New"/>
          <w:sz w:val="14"/>
          <w:szCs w:val="14"/>
          <w:color w:val="auto"/>
        </w:rPr>
      </w:pP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ITEM 10. DIRECTORS AND EXECUTIVE OFFICERS OF THE REGISTRANT</w:t>
      </w:r>
    </w:p>
    <w:p>
      <w:pPr>
        <w:spacing w:after="0" w:line="344"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Information regarding the directors of The Toro Company and additional information regarding certain executive officers is incorporated by reference to the information to be contained in the Proxy Statement to be filed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78"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Executive Officers - A complete list of all officers of the company is found on the inside back cover of the Registrant's Annual Report for the year ended July 31, 1995. Those persons deemed "executive officers" are listed below in alphabetical order. The list below includes their age and position with the company as of October 16, 1995, and positions held by them during the last five years. Officers are elected or appointed annually.</w:t>
      </w:r>
    </w:p>
    <w:p>
      <w:pPr>
        <w:sectPr>
          <w:pgSz w:w="11900" w:h="16838" w:orient="portrait"/>
          <w:cols w:equalWidth="0" w:num="1">
            <w:col w:w="10229"/>
          </w:cols>
          <w:pgMar w:left="230" w:top="622" w:right="1440" w:bottom="1440" w:gutter="0" w:footer="0" w:header="0"/>
        </w:sectPr>
      </w:pPr>
    </w:p>
    <w:p>
      <w:pPr>
        <w:spacing w:after="0" w:line="333" w:lineRule="exact"/>
        <w:rPr>
          <w:sz w:val="20"/>
          <w:szCs w:val="20"/>
          <w:color w:val="auto"/>
        </w:rPr>
      </w:pPr>
    </w:p>
    <w:p>
      <w:pPr>
        <w:ind w:left="10" w:right="520"/>
        <w:spacing w:after="0" w:line="237" w:lineRule="auto"/>
        <w:rPr>
          <w:sz w:val="20"/>
          <w:szCs w:val="20"/>
          <w:color w:val="auto"/>
        </w:rPr>
      </w:pPr>
      <w:r>
        <w:rPr>
          <w:rFonts w:ascii="Courier New" w:cs="Courier New" w:eastAsia="Courier New" w:hAnsi="Courier New"/>
          <w:sz w:val="15"/>
          <w:szCs w:val="15"/>
          <w:color w:val="auto"/>
        </w:rPr>
        <w:t>Name, Age and Position with the Company - - ----------------------</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Experience During</w:t>
      </w:r>
    </w:p>
    <w:p>
      <w:pPr>
        <w:spacing w:after="0"/>
        <w:rPr>
          <w:sz w:val="20"/>
          <w:szCs w:val="20"/>
          <w:color w:val="auto"/>
        </w:rPr>
      </w:pPr>
      <w:r>
        <w:rPr>
          <w:rFonts w:ascii="Courier New" w:cs="Courier New" w:eastAsia="Courier New" w:hAnsi="Courier New"/>
          <w:sz w:val="15"/>
          <w:szCs w:val="15"/>
          <w:color w:val="auto"/>
        </w:rPr>
        <w:t>the Last Five Years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2810" w:space="720"/>
            <w:col w:w="6699"/>
          </w:cols>
          <w:pgMar w:left="230" w:top="622"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Calvin R. Hendrix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44, Vice President and General Manager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Irrigation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Appointed Vice President, Irrigation</w:t>
      </w:r>
    </w:p>
    <w:p>
      <w:pPr>
        <w:spacing w:after="0"/>
        <w:tabs>
          <w:tab w:leader="none" w:pos="2540" w:val="left"/>
        </w:tabs>
        <w:rPr>
          <w:sz w:val="20"/>
          <w:szCs w:val="20"/>
          <w:color w:val="auto"/>
        </w:rPr>
      </w:pPr>
      <w:r>
        <w:rPr>
          <w:rFonts w:ascii="Courier New" w:cs="Courier New" w:eastAsia="Courier New" w:hAnsi="Courier New"/>
          <w:sz w:val="15"/>
          <w:szCs w:val="15"/>
          <w:color w:val="auto"/>
        </w:rPr>
        <w:t>Division in September 1993.</w:t>
      </w:r>
      <w:r>
        <w:rPr>
          <w:sz w:val="20"/>
          <w:szCs w:val="20"/>
          <w:color w:val="auto"/>
        </w:rPr>
        <w:tab/>
      </w:r>
      <w:r>
        <w:rPr>
          <w:rFonts w:ascii="Courier New" w:cs="Courier New" w:eastAsia="Courier New" w:hAnsi="Courier New"/>
          <w:sz w:val="14"/>
          <w:szCs w:val="14"/>
          <w:color w:val="auto"/>
        </w:rPr>
        <w:t>From 1988</w:t>
      </w:r>
    </w:p>
    <w:p>
      <w:pPr>
        <w:spacing w:after="0"/>
        <w:rPr>
          <w:sz w:val="20"/>
          <w:szCs w:val="20"/>
          <w:color w:val="auto"/>
        </w:rPr>
      </w:pPr>
      <w:r>
        <w:rPr>
          <w:rFonts w:ascii="Courier New" w:cs="Courier New" w:eastAsia="Courier New" w:hAnsi="Courier New"/>
          <w:sz w:val="15"/>
          <w:szCs w:val="15"/>
          <w:color w:val="auto"/>
        </w:rPr>
        <w:t>to September 1993, held various</w:t>
      </w:r>
    </w:p>
    <w:p>
      <w:pPr>
        <w:spacing w:after="0" w:line="238" w:lineRule="auto"/>
        <w:rPr>
          <w:sz w:val="20"/>
          <w:szCs w:val="20"/>
          <w:color w:val="auto"/>
        </w:rPr>
      </w:pPr>
      <w:r>
        <w:rPr>
          <w:rFonts w:ascii="Courier New" w:cs="Courier New" w:eastAsia="Courier New" w:hAnsi="Courier New"/>
          <w:sz w:val="15"/>
          <w:szCs w:val="15"/>
          <w:color w:val="auto"/>
        </w:rPr>
        <w:t>management positions with Masco</w:t>
      </w:r>
    </w:p>
    <w:p>
      <w:pPr>
        <w:spacing w:after="0"/>
        <w:rPr>
          <w:sz w:val="20"/>
          <w:szCs w:val="20"/>
          <w:color w:val="auto"/>
        </w:rPr>
      </w:pPr>
      <w:r>
        <w:rPr>
          <w:rFonts w:ascii="Courier New" w:cs="Courier New" w:eastAsia="Courier New" w:hAnsi="Courier New"/>
          <w:sz w:val="15"/>
          <w:szCs w:val="15"/>
          <w:color w:val="auto"/>
        </w:rPr>
        <w:t>Corporation.</w:t>
      </w:r>
    </w:p>
    <w:p>
      <w:pPr>
        <w:spacing w:after="0" w:line="169" w:lineRule="exact"/>
        <w:rPr>
          <w:sz w:val="20"/>
          <w:szCs w:val="20"/>
          <w:color w:val="auto"/>
        </w:rPr>
      </w:pPr>
    </w:p>
    <w:p>
      <w:pPr>
        <w:sectPr>
          <w:pgSz w:w="11900" w:h="16838" w:orient="portrait"/>
          <w:cols w:equalWidth="0" w:num="2">
            <w:col w:w="3350" w:space="180"/>
            <w:col w:w="6699"/>
          </w:cols>
          <w:pgMar w:left="230" w:top="622"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Randy B. James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52, Vice President, Controller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Appointed Vice President, Controller</w:t>
      </w:r>
    </w:p>
    <w:p>
      <w:pPr>
        <w:spacing w:after="0"/>
        <w:rPr>
          <w:sz w:val="20"/>
          <w:szCs w:val="20"/>
          <w:color w:val="auto"/>
        </w:rPr>
      </w:pPr>
      <w:r>
        <w:rPr>
          <w:rFonts w:ascii="Courier New" w:cs="Courier New" w:eastAsia="Courier New" w:hAnsi="Courier New"/>
          <w:sz w:val="15"/>
          <w:szCs w:val="15"/>
          <w:color w:val="auto"/>
        </w:rPr>
        <w:t>in December 1988. Previously 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 management positions within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69" w:lineRule="exact"/>
        <w:rPr>
          <w:sz w:val="20"/>
          <w:szCs w:val="20"/>
          <w:color w:val="auto"/>
        </w:rPr>
      </w:pPr>
    </w:p>
    <w:p>
      <w:pPr>
        <w:sectPr>
          <w:pgSz w:w="11900" w:h="16838" w:orient="portrait"/>
          <w:cols w:equalWidth="0" w:num="2">
            <w:col w:w="2810" w:space="720"/>
            <w:col w:w="6699"/>
          </w:cols>
          <w:pgMar w:left="230" w:top="622"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Gerald T. Knight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48, Vice President-Finance,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Elected Vice President-Finance in</w:t>
      </w:r>
    </w:p>
    <w:p>
      <w:pPr>
        <w:spacing w:after="0"/>
        <w:rPr>
          <w:sz w:val="20"/>
          <w:szCs w:val="20"/>
          <w:color w:val="auto"/>
        </w:rPr>
      </w:pPr>
      <w:r>
        <w:rPr>
          <w:rFonts w:ascii="Courier New" w:cs="Courier New" w:eastAsia="Courier New" w:hAnsi="Courier New"/>
          <w:sz w:val="15"/>
          <w:szCs w:val="15"/>
          <w:color w:val="auto"/>
        </w:rPr>
        <w:t>April 1992. From December 1990 to April</w:t>
      </w:r>
    </w:p>
    <w:p>
      <w:pPr>
        <w:spacing w:after="0"/>
        <w:rPr>
          <w:sz w:val="20"/>
          <w:szCs w:val="20"/>
          <w:color w:val="auto"/>
        </w:rPr>
      </w:pPr>
      <w:r>
        <w:rPr>
          <w:rFonts w:ascii="Courier New" w:cs="Courier New" w:eastAsia="Courier New" w:hAnsi="Courier New"/>
          <w:sz w:val="15"/>
          <w:szCs w:val="15"/>
          <w:color w:val="auto"/>
        </w:rPr>
        <w:t>1992, was Executive Director -</w:t>
      </w:r>
    </w:p>
    <w:p>
      <w:pPr>
        <w:spacing w:after="0" w:line="238" w:lineRule="auto"/>
        <w:rPr>
          <w:sz w:val="20"/>
          <w:szCs w:val="20"/>
          <w:color w:val="auto"/>
        </w:rPr>
      </w:pPr>
      <w:r>
        <w:rPr>
          <w:rFonts w:ascii="Courier New" w:cs="Courier New" w:eastAsia="Courier New" w:hAnsi="Courier New"/>
          <w:sz w:val="15"/>
          <w:szCs w:val="15"/>
          <w:color w:val="auto"/>
        </w:rPr>
        <w:t>Finance and Corporate Controller of</w:t>
      </w:r>
    </w:p>
    <w:p>
      <w:pPr>
        <w:spacing w:after="0"/>
        <w:rPr>
          <w:sz w:val="20"/>
          <w:szCs w:val="20"/>
          <w:color w:val="auto"/>
        </w:rPr>
      </w:pPr>
      <w:r>
        <w:rPr>
          <w:rFonts w:ascii="Courier New" w:cs="Courier New" w:eastAsia="Courier New" w:hAnsi="Courier New"/>
          <w:sz w:val="15"/>
          <w:szCs w:val="15"/>
          <w:color w:val="auto"/>
        </w:rPr>
        <w:t>NeXT Computer, Inc. Prior to December</w:t>
      </w:r>
    </w:p>
    <w:p>
      <w:pPr>
        <w:spacing w:after="0"/>
        <w:rPr>
          <w:sz w:val="20"/>
          <w:szCs w:val="20"/>
          <w:color w:val="auto"/>
        </w:rPr>
      </w:pPr>
      <w:r>
        <w:rPr>
          <w:rFonts w:ascii="Courier New" w:cs="Courier New" w:eastAsia="Courier New" w:hAnsi="Courier New"/>
          <w:sz w:val="15"/>
          <w:szCs w:val="15"/>
          <w:color w:val="auto"/>
        </w:rPr>
        <w:t>1990, held various management positions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Pillsbury Company (a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Grand Metropolitan) and General</w:t>
      </w:r>
    </w:p>
    <w:p>
      <w:pPr>
        <w:spacing w:after="0"/>
        <w:rPr>
          <w:sz w:val="20"/>
          <w:szCs w:val="20"/>
          <w:color w:val="auto"/>
        </w:rPr>
      </w:pPr>
      <w:r>
        <w:rPr>
          <w:rFonts w:ascii="Courier New" w:cs="Courier New" w:eastAsia="Courier New" w:hAnsi="Courier New"/>
          <w:sz w:val="15"/>
          <w:szCs w:val="15"/>
          <w:color w:val="auto"/>
        </w:rPr>
        <w:t>Electric Company.</w:t>
      </w:r>
    </w:p>
    <w:p>
      <w:pPr>
        <w:spacing w:after="0" w:line="169" w:lineRule="exact"/>
        <w:rPr>
          <w:sz w:val="20"/>
          <w:szCs w:val="20"/>
          <w:color w:val="auto"/>
        </w:rPr>
      </w:pPr>
    </w:p>
    <w:p>
      <w:pPr>
        <w:sectPr>
          <w:pgSz w:w="11900" w:h="16838" w:orient="portrait"/>
          <w:cols w:equalWidth="0" w:num="2">
            <w:col w:w="2810" w:space="720"/>
            <w:col w:w="6699"/>
          </w:cols>
          <w:pgMar w:left="230" w:top="622"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Charles B. Lounsbury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52, Vice President, Distribution,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Parts and Debris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Appointed Vice President, Distribution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Parts and Debris Management in November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From May 1991 to November 1993</w:t>
      </w:r>
    </w:p>
    <w:p>
      <w:pPr>
        <w:spacing w:after="0"/>
        <w:rPr>
          <w:sz w:val="20"/>
          <w:szCs w:val="20"/>
          <w:color w:val="auto"/>
        </w:rPr>
      </w:pPr>
      <w:r>
        <w:rPr>
          <w:rFonts w:ascii="Courier New" w:cs="Courier New" w:eastAsia="Courier New" w:hAnsi="Courier New"/>
          <w:sz w:val="15"/>
          <w:szCs w:val="15"/>
          <w:color w:val="auto"/>
        </w:rPr>
        <w:t>was President and Chief Operating</w:t>
      </w:r>
    </w:p>
    <w:p>
      <w:pPr>
        <w:spacing w:after="0"/>
        <w:rPr>
          <w:sz w:val="20"/>
          <w:szCs w:val="20"/>
          <w:color w:val="auto"/>
        </w:rPr>
      </w:pPr>
      <w:r>
        <w:rPr>
          <w:rFonts w:ascii="Courier New" w:cs="Courier New" w:eastAsia="Courier New" w:hAnsi="Courier New"/>
          <w:sz w:val="15"/>
          <w:szCs w:val="15"/>
          <w:color w:val="auto"/>
        </w:rPr>
        <w:t>Officer of Leaseway Transportation</w:t>
      </w:r>
    </w:p>
    <w:p>
      <w:pPr>
        <w:spacing w:after="0" w:line="238" w:lineRule="auto"/>
        <w:rPr>
          <w:sz w:val="20"/>
          <w:szCs w:val="20"/>
          <w:color w:val="auto"/>
        </w:rPr>
      </w:pPr>
      <w:r>
        <w:rPr>
          <w:rFonts w:ascii="Courier New" w:cs="Courier New" w:eastAsia="Courier New" w:hAnsi="Courier New"/>
          <w:sz w:val="15"/>
          <w:szCs w:val="15"/>
          <w:color w:val="auto"/>
        </w:rPr>
        <w:t>Corporation. While Mr. Lounsbury</w:t>
      </w:r>
    </w:p>
    <w:p>
      <w:pPr>
        <w:spacing w:after="0"/>
        <w:rPr>
          <w:sz w:val="20"/>
          <w:szCs w:val="20"/>
          <w:color w:val="auto"/>
        </w:rPr>
      </w:pPr>
      <w:r>
        <w:rPr>
          <w:rFonts w:ascii="Courier New" w:cs="Courier New" w:eastAsia="Courier New" w:hAnsi="Courier New"/>
          <w:sz w:val="15"/>
          <w:szCs w:val="15"/>
          <w:color w:val="auto"/>
        </w:rPr>
        <w:t>served as President and a director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Leaseway, it filed for protection under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Chapter 11 and was, during that period,</w:t>
      </w:r>
    </w:p>
    <w:p>
      <w:pPr>
        <w:spacing w:after="0" w:line="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discharged.</w:t>
        <w:tab/>
        <w:t>From August 1987 to May</w:t>
      </w:r>
    </w:p>
    <w:p>
      <w:pPr>
        <w:spacing w:after="0"/>
        <w:rPr>
          <w:sz w:val="20"/>
          <w:szCs w:val="20"/>
          <w:color w:val="auto"/>
        </w:rPr>
      </w:pPr>
      <w:r>
        <w:rPr>
          <w:rFonts w:ascii="Courier New" w:cs="Courier New" w:eastAsia="Courier New" w:hAnsi="Courier New"/>
          <w:sz w:val="15"/>
          <w:szCs w:val="15"/>
          <w:color w:val="auto"/>
        </w:rPr>
        <w:t>1991 was Senior Vice President of</w:t>
      </w:r>
    </w:p>
    <w:p>
      <w:pPr>
        <w:spacing w:after="0"/>
        <w:rPr>
          <w:sz w:val="20"/>
          <w:szCs w:val="20"/>
          <w:color w:val="auto"/>
        </w:rPr>
      </w:pPr>
      <w:r>
        <w:rPr>
          <w:rFonts w:ascii="Courier New" w:cs="Courier New" w:eastAsia="Courier New" w:hAnsi="Courier New"/>
          <w:sz w:val="15"/>
          <w:szCs w:val="15"/>
          <w:color w:val="auto"/>
        </w:rPr>
        <w:t>Leaseway Transportation Corporation.</w:t>
      </w:r>
    </w:p>
    <w:p>
      <w:pPr>
        <w:spacing w:after="0" w:line="168" w:lineRule="exact"/>
        <w:rPr>
          <w:sz w:val="20"/>
          <w:szCs w:val="20"/>
          <w:color w:val="auto"/>
        </w:rPr>
      </w:pPr>
    </w:p>
    <w:p>
      <w:pPr>
        <w:sectPr>
          <w:pgSz w:w="11900" w:h="16838" w:orient="portrait"/>
          <w:cols w:equalWidth="0" w:num="2">
            <w:col w:w="2910" w:space="620"/>
            <w:col w:w="6699"/>
          </w:cols>
          <w:pgMar w:left="230" w:top="622" w:right="1440" w:bottom="1440" w:gutter="0" w:footer="0" w:header="0"/>
          <w:type w:val="continuous"/>
        </w:sectPr>
      </w:pPr>
    </w:p>
    <w:p>
      <w:pPr>
        <w:ind w:left="10"/>
        <w:spacing w:after="0"/>
        <w:tabs>
          <w:tab w:leader="none" w:pos="3509" w:val="left"/>
        </w:tabs>
        <w:rPr>
          <w:sz w:val="20"/>
          <w:szCs w:val="20"/>
          <w:color w:val="auto"/>
        </w:rPr>
      </w:pPr>
      <w:r>
        <w:rPr>
          <w:rFonts w:ascii="Courier New" w:cs="Courier New" w:eastAsia="Courier New" w:hAnsi="Courier New"/>
          <w:sz w:val="15"/>
          <w:szCs w:val="15"/>
          <w:color w:val="auto"/>
        </w:rPr>
        <w:t>J. David McIntosh</w:t>
      </w:r>
      <w:r>
        <w:rPr>
          <w:sz w:val="20"/>
          <w:szCs w:val="20"/>
          <w:color w:val="auto"/>
        </w:rPr>
        <w:tab/>
      </w:r>
      <w:r>
        <w:rPr>
          <w:rFonts w:ascii="Courier New" w:cs="Courier New" w:eastAsia="Courier New" w:hAnsi="Courier New"/>
          <w:sz w:val="14"/>
          <w:szCs w:val="14"/>
          <w:color w:val="auto"/>
        </w:rPr>
        <w:t>Appointed Vice President, Consumer</w:t>
      </w:r>
    </w:p>
    <w:p>
      <w:pPr>
        <w:ind w:left="10"/>
        <w:spacing w:after="0"/>
        <w:rPr>
          <w:sz w:val="20"/>
          <w:szCs w:val="20"/>
          <w:color w:val="auto"/>
        </w:rPr>
      </w:pPr>
      <w:r>
        <w:rPr>
          <w:rFonts w:ascii="Courier New" w:cs="Courier New" w:eastAsia="Courier New" w:hAnsi="Courier New"/>
          <w:sz w:val="15"/>
          <w:szCs w:val="15"/>
          <w:color w:val="auto"/>
        </w:rPr>
        <w:t>52, Vice President and General Manager, Division in February 1992. Appointed</w:t>
      </w:r>
    </w:p>
    <w:p>
      <w:pPr>
        <w:ind w:left="10"/>
        <w:spacing w:after="0"/>
        <w:tabs>
          <w:tab w:leader="none" w:pos="3509" w:val="left"/>
        </w:tabs>
        <w:rPr>
          <w:sz w:val="20"/>
          <w:szCs w:val="20"/>
          <w:color w:val="auto"/>
        </w:rPr>
      </w:pPr>
      <w:r>
        <w:rPr>
          <w:rFonts w:ascii="Courier New" w:cs="Courier New" w:eastAsia="Courier New" w:hAnsi="Courier New"/>
          <w:sz w:val="15"/>
          <w:szCs w:val="15"/>
          <w:color w:val="auto"/>
        </w:rPr>
        <w:t>Consumer Products</w:t>
      </w:r>
      <w:r>
        <w:rPr>
          <w:sz w:val="20"/>
          <w:szCs w:val="20"/>
          <w:color w:val="auto"/>
        </w:rPr>
        <w:tab/>
      </w:r>
      <w:r>
        <w:rPr>
          <w:rFonts w:ascii="Courier New" w:cs="Courier New" w:eastAsia="Courier New" w:hAnsi="Courier New"/>
          <w:sz w:val="14"/>
          <w:szCs w:val="14"/>
          <w:color w:val="auto"/>
        </w:rPr>
        <w:t>Vice President and General Manager,</w:t>
      </w:r>
    </w:p>
    <w:p>
      <w:pPr>
        <w:spacing w:after="0" w:line="4"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Home Improvement Division in May 1986.</w:t>
      </w:r>
    </w:p>
    <w:p>
      <w:pPr>
        <w:sectPr>
          <w:pgSz w:w="11900" w:h="16838" w:orient="portrait"/>
          <w:cols w:equalWidth="0" w:num="1">
            <w:col w:w="10229"/>
          </w:cols>
          <w:pgMar w:left="230" w:top="622" w:right="1440" w:bottom="1440"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 Lawrence McIntyre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53, Vice President, Secretary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 Counsel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Vice President in July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Elected Secretary and General Counsel in</w:t>
      </w:r>
    </w:p>
    <w:p>
      <w:pPr>
        <w:spacing w:after="0" w:line="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August 1993.</w:t>
      </w:r>
      <w:r>
        <w:rPr>
          <w:sz w:val="20"/>
          <w:szCs w:val="20"/>
          <w:color w:val="auto"/>
        </w:rPr>
        <w:tab/>
      </w:r>
      <w:r>
        <w:rPr>
          <w:rFonts w:ascii="Courier New" w:cs="Courier New" w:eastAsia="Courier New" w:hAnsi="Courier New"/>
          <w:sz w:val="14"/>
          <w:szCs w:val="14"/>
          <w:color w:val="auto"/>
        </w:rPr>
        <w:t>Prior to July 1993, was a</w:t>
      </w:r>
    </w:p>
    <w:p>
      <w:pPr>
        <w:spacing w:after="0"/>
        <w:rPr>
          <w:sz w:val="20"/>
          <w:szCs w:val="20"/>
          <w:color w:val="auto"/>
        </w:rPr>
      </w:pPr>
      <w:r>
        <w:rPr>
          <w:rFonts w:ascii="Courier New" w:cs="Courier New" w:eastAsia="Courier New" w:hAnsi="Courier New"/>
          <w:sz w:val="15"/>
          <w:szCs w:val="15"/>
          <w:color w:val="auto"/>
        </w:rPr>
        <w:t>shareholder with Doherty, Rumble &amp;</w:t>
      </w:r>
    </w:p>
    <w:p>
      <w:pPr>
        <w:spacing w:after="0"/>
        <w:rPr>
          <w:sz w:val="20"/>
          <w:szCs w:val="20"/>
          <w:color w:val="auto"/>
        </w:rPr>
      </w:pPr>
      <w:r>
        <w:rPr>
          <w:rFonts w:ascii="Courier New" w:cs="Courier New" w:eastAsia="Courier New" w:hAnsi="Courier New"/>
          <w:sz w:val="15"/>
          <w:szCs w:val="15"/>
          <w:color w:val="auto"/>
        </w:rPr>
        <w:t>Butler Professional Association.</w:t>
      </w:r>
    </w:p>
    <w:p>
      <w:pPr>
        <w:spacing w:after="0" w:line="174" w:lineRule="exact"/>
        <w:rPr>
          <w:sz w:val="20"/>
          <w:szCs w:val="20"/>
          <w:color w:val="auto"/>
        </w:rPr>
      </w:pPr>
    </w:p>
    <w:p>
      <w:pPr>
        <w:sectPr>
          <w:pgSz w:w="11900" w:h="16838" w:orient="portrait"/>
          <w:cols w:equalWidth="0" w:num="2">
            <w:col w:w="2910" w:space="620"/>
            <w:col w:w="6699"/>
          </w:cols>
          <w:pgMar w:left="230" w:top="622" w:right="1440" w:bottom="1440" w:gutter="0" w:footer="0" w:header="0"/>
          <w:type w:val="continuous"/>
        </w:sectPr>
      </w:pPr>
    </w:p>
    <w:p>
      <w:pPr>
        <w:ind w:left="327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29"/>
          </w:cols>
          <w:pgMar w:left="230" w:top="622" w:right="1440" w:bottom="1440" w:gutter="0" w:footer="0" w:header="0"/>
          <w:type w:val="continuous"/>
        </w:sectPr>
      </w:pPr>
    </w:p>
    <w:bookmarkStart w:id="8" w:name="page9"/>
    <w:bookmarkEnd w:id="8"/>
    <w:p>
      <w:pPr>
        <w:spacing w:after="0" w:line="6" w:lineRule="exact"/>
        <w:rPr>
          <w:sz w:val="20"/>
          <w:szCs w:val="20"/>
          <w:color w:val="auto"/>
        </w:rPr>
      </w:pPr>
    </w:p>
    <w:p>
      <w:pPr>
        <w:ind w:right="520"/>
        <w:spacing w:after="0" w:line="237" w:lineRule="auto"/>
        <w:rPr>
          <w:sz w:val="20"/>
          <w:szCs w:val="20"/>
          <w:color w:val="auto"/>
        </w:rPr>
      </w:pPr>
      <w:r>
        <w:rPr>
          <w:rFonts w:ascii="Courier New" w:cs="Courier New" w:eastAsia="Courier New" w:hAnsi="Courier New"/>
          <w:sz w:val="15"/>
          <w:szCs w:val="15"/>
          <w:color w:val="auto"/>
        </w:rPr>
        <w:t>Name, Age and Position with the Company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Business Experience During</w:t>
      </w:r>
    </w:p>
    <w:p>
      <w:pPr>
        <w:spacing w:after="0"/>
        <w:rPr>
          <w:sz w:val="20"/>
          <w:szCs w:val="20"/>
          <w:color w:val="auto"/>
        </w:rPr>
      </w:pPr>
      <w:r>
        <w:rPr>
          <w:rFonts w:ascii="Courier New" w:cs="Courier New" w:eastAsia="Courier New" w:hAnsi="Courier New"/>
          <w:sz w:val="15"/>
          <w:szCs w:val="15"/>
          <w:color w:val="auto"/>
        </w:rPr>
        <w:t>the Last Five Years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5" w:lineRule="exact"/>
        <w:rPr>
          <w:sz w:val="20"/>
          <w:szCs w:val="20"/>
          <w:color w:val="auto"/>
        </w:rPr>
      </w:pPr>
    </w:p>
    <w:p>
      <w:pPr>
        <w:sectPr>
          <w:pgSz w:w="11900" w:h="16838" w:orient="portrait"/>
          <w:cols w:equalWidth="0" w:num="2">
            <w:col w:w="2800" w:space="720"/>
            <w:col w:w="6699"/>
          </w:cols>
          <w:pgMar w:left="240" w:top="622" w:right="1440" w:bottom="1440" w:gutter="0" w:footer="0" w:header="0"/>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Kendrick B. 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 Chairman of the Board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Chairman of the Board in</w:t>
      </w:r>
    </w:p>
    <w:p>
      <w:pPr>
        <w:spacing w:after="0"/>
        <w:rPr>
          <w:sz w:val="20"/>
          <w:szCs w:val="20"/>
          <w:color w:val="auto"/>
        </w:rPr>
      </w:pPr>
      <w:r>
        <w:rPr>
          <w:rFonts w:ascii="Courier New" w:cs="Courier New" w:eastAsia="Courier New" w:hAnsi="Courier New"/>
          <w:sz w:val="15"/>
          <w:szCs w:val="15"/>
          <w:color w:val="auto"/>
        </w:rPr>
        <w:t>December 1987. Elected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in December 1983.</w:t>
      </w:r>
    </w:p>
    <w:p>
      <w:pPr>
        <w:spacing w:after="0" w:line="174" w:lineRule="exact"/>
        <w:rPr>
          <w:sz w:val="20"/>
          <w:szCs w:val="20"/>
          <w:color w:val="auto"/>
        </w:rPr>
      </w:pPr>
    </w:p>
    <w:p>
      <w:pPr>
        <w:sectPr>
          <w:pgSz w:w="11900" w:h="16838" w:orient="portrait"/>
          <w:cols w:equalWidth="0" w:num="2">
            <w:col w:w="2880" w:space="720"/>
            <w:col w:w="66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Karen M. Meyer</w:t>
      </w:r>
    </w:p>
    <w:p>
      <w:pPr>
        <w:spacing w:after="0"/>
        <w:rPr>
          <w:sz w:val="20"/>
          <w:szCs w:val="20"/>
          <w:color w:val="auto"/>
        </w:rPr>
      </w:pPr>
      <w:r>
        <w:rPr>
          <w:rFonts w:ascii="Courier New" w:cs="Courier New" w:eastAsia="Courier New" w:hAnsi="Courier New"/>
          <w:sz w:val="15"/>
          <w:szCs w:val="15"/>
          <w:color w:val="auto"/>
        </w:rPr>
        <w:t>45,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Resources/Administrative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Elected Vice President, Human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Resources/Administrative Services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1991. Appointed Vice</w:t>
      </w:r>
    </w:p>
    <w:p>
      <w:pPr>
        <w:spacing w:after="0"/>
        <w:rPr>
          <w:sz w:val="20"/>
          <w:szCs w:val="20"/>
          <w:color w:val="auto"/>
        </w:rPr>
      </w:pPr>
      <w:r>
        <w:rPr>
          <w:rFonts w:ascii="Courier New" w:cs="Courier New" w:eastAsia="Courier New" w:hAnsi="Courier New"/>
          <w:sz w:val="15"/>
          <w:szCs w:val="15"/>
          <w:color w:val="auto"/>
        </w:rPr>
        <w:t>President, Human Resources/</w:t>
      </w:r>
    </w:p>
    <w:p>
      <w:pPr>
        <w:spacing w:after="0"/>
        <w:rPr>
          <w:sz w:val="20"/>
          <w:szCs w:val="20"/>
          <w:color w:val="auto"/>
        </w:rPr>
      </w:pPr>
      <w:r>
        <w:rPr>
          <w:rFonts w:ascii="Courier New" w:cs="Courier New" w:eastAsia="Courier New" w:hAnsi="Courier New"/>
          <w:sz w:val="15"/>
          <w:szCs w:val="15"/>
          <w:color w:val="auto"/>
        </w:rPr>
        <w:t>Administrative Services in December</w:t>
      </w:r>
    </w:p>
    <w:p>
      <w:pPr>
        <w:spacing w:after="0" w:line="238" w:lineRule="auto"/>
        <w:rPr>
          <w:sz w:val="20"/>
          <w:szCs w:val="20"/>
          <w:color w:val="auto"/>
        </w:rPr>
      </w:pPr>
      <w:r>
        <w:rPr>
          <w:rFonts w:ascii="Courier New" w:cs="Courier New" w:eastAsia="Courier New" w:hAnsi="Courier New"/>
          <w:sz w:val="15"/>
          <w:szCs w:val="15"/>
          <w:color w:val="auto"/>
        </w:rPr>
        <w:t>1988. Previously held various</w:t>
      </w:r>
    </w:p>
    <w:p>
      <w:pPr>
        <w:spacing w:after="0"/>
        <w:rPr>
          <w:sz w:val="20"/>
          <w:szCs w:val="20"/>
          <w:color w:val="auto"/>
        </w:rPr>
      </w:pPr>
      <w:r>
        <w:rPr>
          <w:rFonts w:ascii="Courier New" w:cs="Courier New" w:eastAsia="Courier New" w:hAnsi="Courier New"/>
          <w:sz w:val="15"/>
          <w:szCs w:val="15"/>
          <w:color w:val="auto"/>
        </w:rPr>
        <w:t>management positions within the</w:t>
      </w:r>
    </w:p>
    <w:p>
      <w:pPr>
        <w:spacing w:after="0"/>
        <w:rPr>
          <w:sz w:val="20"/>
          <w:szCs w:val="20"/>
          <w:color w:val="auto"/>
        </w:rPr>
      </w:pPr>
      <w:r>
        <w:rPr>
          <w:rFonts w:ascii="Courier New" w:cs="Courier New" w:eastAsia="Courier New" w:hAnsi="Courier New"/>
          <w:sz w:val="15"/>
          <w:szCs w:val="15"/>
          <w:color w:val="auto"/>
        </w:rPr>
        <w:t>company.</w:t>
      </w:r>
    </w:p>
    <w:p>
      <w:pPr>
        <w:spacing w:after="0" w:line="174" w:lineRule="exact"/>
        <w:rPr>
          <w:sz w:val="20"/>
          <w:szCs w:val="20"/>
          <w:color w:val="auto"/>
        </w:rPr>
      </w:pPr>
    </w:p>
    <w:p>
      <w:pPr>
        <w:sectPr>
          <w:pgSz w:w="11900" w:h="16838" w:orient="portrait"/>
          <w:cols w:equalWidth="0" w:num="2">
            <w:col w:w="3420" w:space="180"/>
            <w:col w:w="6619"/>
          </w:cols>
          <w:pgMar w:left="240" w:top="622" w:right="1440" w:bottom="1440" w:gutter="0" w:footer="0" w:header="0"/>
          <w:type w:val="continuous"/>
        </w:sectPr>
      </w:pPr>
    </w:p>
    <w:p>
      <w:pPr>
        <w:ind w:right="860"/>
        <w:spacing w:after="0" w:line="237" w:lineRule="auto"/>
        <w:rPr>
          <w:sz w:val="20"/>
          <w:szCs w:val="20"/>
          <w:color w:val="auto"/>
        </w:rPr>
      </w:pPr>
      <w:r>
        <w:rPr>
          <w:rFonts w:ascii="Courier New" w:cs="Courier New" w:eastAsia="Courier New" w:hAnsi="Courier New"/>
          <w:sz w:val="15"/>
          <w:szCs w:val="15"/>
          <w:color w:val="auto"/>
        </w:rPr>
        <w:t>David H. Morris 54, President and 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Elected President in December 1988.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Chief Operating Officer in</w:t>
      </w:r>
    </w:p>
    <w:p>
      <w:pPr>
        <w:spacing w:after="0"/>
        <w:rPr>
          <w:sz w:val="20"/>
          <w:szCs w:val="20"/>
          <w:color w:val="auto"/>
        </w:rPr>
      </w:pPr>
      <w:r>
        <w:rPr>
          <w:rFonts w:ascii="Courier New" w:cs="Courier New" w:eastAsia="Courier New" w:hAnsi="Courier New"/>
          <w:sz w:val="15"/>
          <w:szCs w:val="15"/>
          <w:color w:val="auto"/>
        </w:rPr>
        <w:t>August 1988.</w:t>
      </w:r>
    </w:p>
    <w:p>
      <w:pPr>
        <w:spacing w:after="0" w:line="169" w:lineRule="exact"/>
        <w:rPr>
          <w:sz w:val="20"/>
          <w:szCs w:val="20"/>
          <w:color w:val="auto"/>
        </w:rPr>
      </w:pPr>
    </w:p>
    <w:p>
      <w:pPr>
        <w:sectPr>
          <w:pgSz w:w="11900" w:h="16838" w:orient="portrait"/>
          <w:cols w:equalWidth="0" w:num="2">
            <w:col w:w="2880" w:space="720"/>
            <w:col w:w="66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Richard R. Pollick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 Vice President and General Manager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Appointed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Division in March 1990.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Previously held various management</w:t>
      </w:r>
    </w:p>
    <w:p>
      <w:pPr>
        <w:spacing w:after="0"/>
        <w:rPr>
          <w:sz w:val="20"/>
          <w:szCs w:val="20"/>
          <w:color w:val="auto"/>
        </w:rPr>
      </w:pPr>
      <w:r>
        <w:rPr>
          <w:rFonts w:ascii="Courier New" w:cs="Courier New" w:eastAsia="Courier New" w:hAnsi="Courier New"/>
          <w:sz w:val="15"/>
          <w:szCs w:val="15"/>
          <w:color w:val="auto"/>
        </w:rPr>
        <w:t>positions within the company.</w:t>
      </w:r>
    </w:p>
    <w:p>
      <w:pPr>
        <w:spacing w:after="0" w:line="169" w:lineRule="exact"/>
        <w:rPr>
          <w:sz w:val="20"/>
          <w:szCs w:val="20"/>
          <w:color w:val="auto"/>
        </w:rPr>
      </w:pPr>
    </w:p>
    <w:p>
      <w:pPr>
        <w:sectPr>
          <w:pgSz w:w="11900" w:h="16838" w:orient="portrait"/>
          <w:cols w:equalWidth="0" w:num="2">
            <w:col w:w="3340" w:space="260"/>
            <w:col w:w="66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John G. Szafranski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Vice President and General Manager,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Appointed Vice President, Commercial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in December 1984.</w:t>
      </w:r>
    </w:p>
    <w:p>
      <w:pPr>
        <w:spacing w:after="0" w:line="338" w:lineRule="exact"/>
        <w:rPr>
          <w:sz w:val="20"/>
          <w:szCs w:val="20"/>
          <w:color w:val="auto"/>
        </w:rPr>
      </w:pPr>
    </w:p>
    <w:p>
      <w:pPr>
        <w:sectPr>
          <w:pgSz w:w="11900" w:h="16838" w:orient="portrait"/>
          <w:cols w:equalWidth="0" w:num="2">
            <w:col w:w="3420" w:space="180"/>
            <w:col w:w="66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Stephen P. Wolfe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 Vice President, The Toro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President, Toro Credit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Appointed Vice President in August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Elected President, Toro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in July 1990.</w:t>
      </w:r>
    </w:p>
    <w:p>
      <w:pPr>
        <w:spacing w:after="0" w:line="200" w:lineRule="exact"/>
        <w:rPr>
          <w:sz w:val="20"/>
          <w:szCs w:val="20"/>
          <w:color w:val="auto"/>
        </w:rPr>
      </w:pPr>
    </w:p>
    <w:p>
      <w:pPr>
        <w:sectPr>
          <w:pgSz w:w="11900" w:h="16838" w:orient="portrait"/>
          <w:cols w:equalWidth="0" w:num="2">
            <w:col w:w="3160" w:space="440"/>
            <w:col w:w="6619"/>
          </w:cols>
          <w:pgMar w:left="240" w:top="622" w:right="1440" w:bottom="1440" w:gutter="0" w:footer="0" w:header="0"/>
          <w:type w:val="continuous"/>
        </w:sectPr>
      </w:pPr>
    </w:p>
    <w:p>
      <w:pPr>
        <w:spacing w:after="0" w:line="30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ITEM 11. EXECUTIVE COMPENSATION</w:t>
      </w:r>
    </w:p>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Information concerning executive compensation is incorporated by reference to the information to be contained in the Proxy Statement to be filed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350"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Information regarding the security ownership of certain beneficial owners and management of The Toro Company is incorporated by reference to the information to be contained in the Proxy Statement to be filed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type w:val="continuous"/>
        </w:sectPr>
      </w:pPr>
    </w:p>
    <w:bookmarkStart w:id="9" w:name="page10"/>
    <w:bookmarkEnd w:id="9"/>
    <w:p>
      <w:pPr>
        <w:ind w:left="6170"/>
        <w:spacing w:after="0"/>
        <w:rPr>
          <w:sz w:val="20"/>
          <w:szCs w:val="20"/>
          <w:color w:val="auto"/>
        </w:rPr>
      </w:pPr>
      <w:r>
        <w:rPr>
          <w:rFonts w:ascii="Courier New" w:cs="Courier New" w:eastAsia="Courier New" w:hAnsi="Courier New"/>
          <w:sz w:val="15"/>
          <w:szCs w:val="15"/>
          <w:color w:val="auto"/>
        </w:rPr>
        <w:t>PART IV</w:t>
      </w:r>
    </w:p>
    <w:p>
      <w:pPr>
        <w:spacing w:after="0" w:line="33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339" w:lineRule="exact"/>
        <w:rPr>
          <w:sz w:val="20"/>
          <w:szCs w:val="20"/>
          <w:color w:val="auto"/>
        </w:rPr>
      </w:pPr>
    </w:p>
    <w:p>
      <w:pPr>
        <w:ind w:left="10"/>
        <w:spacing w:after="0"/>
        <w:tabs>
          <w:tab w:leader="none" w:pos="429" w:val="left"/>
          <w:tab w:leader="none" w:pos="769" w:val="left"/>
        </w:tabs>
        <w:rPr>
          <w:sz w:val="20"/>
          <w:szCs w:val="20"/>
          <w:color w:val="auto"/>
        </w:rPr>
      </w:pPr>
      <w:r>
        <w:rPr>
          <w:rFonts w:ascii="Courier New" w:cs="Courier New" w:eastAsia="Courier New" w:hAnsi="Courier New"/>
          <w:sz w:val="15"/>
          <w:szCs w:val="15"/>
          <w:color w:val="auto"/>
        </w:rPr>
        <w:t>(a)</w:t>
        <w:tab/>
        <w:t>1.</w:t>
      </w:r>
      <w:r>
        <w:rPr>
          <w:sz w:val="20"/>
          <w:szCs w:val="20"/>
          <w:color w:val="auto"/>
        </w:rPr>
        <w:tab/>
      </w:r>
      <w:r>
        <w:rPr>
          <w:rFonts w:ascii="Courier New" w:cs="Courier New" w:eastAsia="Courier New" w:hAnsi="Courier New"/>
          <w:sz w:val="14"/>
          <w:szCs w:val="14"/>
          <w:color w:val="auto"/>
        </w:rPr>
        <w:t>Index to Consolidated Financial Statements</w:t>
      </w:r>
    </w:p>
    <w:p>
      <w:pPr>
        <w:ind w:left="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Incorporated by reference into Part II,</w:t>
            </w:r>
          </w:p>
        </w:tc>
        <w:tc>
          <w:tcPr>
            <w:tcW w:w="18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Pages in Fiscal 1995</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Item 8 of this report:</w:t>
            </w:r>
          </w:p>
        </w:tc>
        <w:tc>
          <w:tcPr>
            <w:tcW w:w="18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Annual Report</w:t>
            </w:r>
          </w:p>
        </w:tc>
      </w:tr>
      <w:tr>
        <w:trPr>
          <w:trHeight w:val="170"/>
        </w:trPr>
        <w:tc>
          <w:tcPr>
            <w:tcW w:w="4920" w:type="dxa"/>
            <w:vAlign w:val="bottom"/>
          </w:tcPr>
          <w:p>
            <w:pPr>
              <w:spacing w:after="0"/>
              <w:rPr>
                <w:sz w:val="14"/>
                <w:szCs w:val="14"/>
                <w:color w:val="auto"/>
              </w:rPr>
            </w:pPr>
          </w:p>
        </w:tc>
        <w:tc>
          <w:tcPr>
            <w:tcW w:w="18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to Stockholders</w:t>
            </w:r>
          </w:p>
        </w:tc>
      </w:tr>
      <w:tr>
        <w:trPr>
          <w:trHeight w:val="170"/>
        </w:trPr>
        <w:tc>
          <w:tcPr>
            <w:tcW w:w="4920" w:type="dxa"/>
            <w:vAlign w:val="bottom"/>
          </w:tcPr>
          <w:p>
            <w:pPr>
              <w:spacing w:after="0"/>
              <w:rPr>
                <w:sz w:val="14"/>
                <w:szCs w:val="14"/>
                <w:color w:val="auto"/>
              </w:rPr>
            </w:pP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18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19</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Earnings for the years ended</w:t>
            </w:r>
          </w:p>
        </w:tc>
        <w:tc>
          <w:tcPr>
            <w:tcW w:w="186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July 31, 1995, 1994 and 1993.........................</w:t>
            </w:r>
          </w:p>
        </w:tc>
        <w:tc>
          <w:tcPr>
            <w:tcW w:w="18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19</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86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as of July 31, 1995 and 1994.........................</w:t>
            </w:r>
          </w:p>
        </w:tc>
        <w:tc>
          <w:tcPr>
            <w:tcW w:w="18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20</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w:t>
            </w:r>
          </w:p>
        </w:tc>
        <w:tc>
          <w:tcPr>
            <w:tcW w:w="186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years ended July 31, 1995, 1994 and 1993.............</w:t>
            </w:r>
          </w:p>
        </w:tc>
        <w:tc>
          <w:tcPr>
            <w:tcW w:w="18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21</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22-28</w:t>
            </w:r>
          </w:p>
        </w:tc>
      </w:tr>
    </w:tbl>
    <w:p>
      <w:pPr>
        <w:spacing w:after="0" w:line="169" w:lineRule="exact"/>
        <w:rPr>
          <w:sz w:val="20"/>
          <w:szCs w:val="20"/>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Index to Consolidated Financial Statement Schedules</w:t>
      </w:r>
    </w:p>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Part IV of this report:</w:t>
      </w:r>
    </w:p>
    <w:p>
      <w:pPr>
        <w:spacing w:after="0" w:line="169" w:lineRule="exact"/>
        <w:rPr>
          <w:sz w:val="20"/>
          <w:szCs w:val="20"/>
          <w:color w:val="auto"/>
        </w:rPr>
      </w:pPr>
    </w:p>
    <w:p>
      <w:pPr>
        <w:ind w:left="170"/>
        <w:spacing w:after="0"/>
        <w:tabs>
          <w:tab w:leader="dot" w:pos="5789"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13</w:t>
      </w:r>
    </w:p>
    <w:p>
      <w:pPr>
        <w:spacing w:after="0" w:line="169" w:lineRule="exact"/>
        <w:rPr>
          <w:sz w:val="20"/>
          <w:szCs w:val="20"/>
          <w:color w:val="auto"/>
        </w:rPr>
      </w:pPr>
    </w:p>
    <w:p>
      <w:pPr>
        <w:ind w:left="170"/>
        <w:spacing w:after="0"/>
        <w:tabs>
          <w:tab w:leader="dot" w:pos="5789" w:val="left"/>
        </w:tabs>
        <w:rPr>
          <w:sz w:val="20"/>
          <w:szCs w:val="20"/>
          <w:color w:val="auto"/>
        </w:rPr>
      </w:pPr>
      <w:r>
        <w:rPr>
          <w:rFonts w:ascii="Courier New" w:cs="Courier New" w:eastAsia="Courier New" w:hAnsi="Courier New"/>
          <w:sz w:val="15"/>
          <w:szCs w:val="15"/>
          <w:color w:val="auto"/>
        </w:rPr>
        <w:t>Schedule II - Valuation and Qualifying Accounts</w:t>
      </w:r>
      <w:r>
        <w:rPr>
          <w:sz w:val="20"/>
          <w:szCs w:val="20"/>
          <w:color w:val="auto"/>
        </w:rPr>
        <w:tab/>
      </w:r>
      <w:r>
        <w:rPr>
          <w:rFonts w:ascii="Courier New" w:cs="Courier New" w:eastAsia="Courier New" w:hAnsi="Courier New"/>
          <w:sz w:val="15"/>
          <w:szCs w:val="15"/>
          <w:color w:val="auto"/>
        </w:rPr>
        <w:t>14</w:t>
      </w:r>
    </w:p>
    <w:p>
      <w:pPr>
        <w:spacing w:after="0" w:line="344" w:lineRule="exact"/>
        <w:rPr>
          <w:sz w:val="20"/>
          <w:szCs w:val="20"/>
          <w:color w:val="auto"/>
        </w:rPr>
      </w:pPr>
    </w:p>
    <w:p>
      <w:pPr>
        <w:jc w:val="both"/>
        <w:ind w:left="10" w:right="3619"/>
        <w:spacing w:after="0" w:line="237" w:lineRule="auto"/>
        <w:rPr>
          <w:sz w:val="20"/>
          <w:szCs w:val="20"/>
          <w:color w:val="auto"/>
        </w:rPr>
      </w:pPr>
      <w:r>
        <w:rPr>
          <w:rFonts w:ascii="Courier New" w:cs="Courier New" w:eastAsia="Courier New" w:hAnsi="Courier New"/>
          <w:sz w:val="15"/>
          <w:szCs w:val="15"/>
          <w:color w:val="auto"/>
        </w:rPr>
        <w:t>All other schedules are omitted as the required information is inapplicable or the information is presented in the consolidated financial statements or related notes.</w:t>
      </w:r>
    </w:p>
    <w:p>
      <w:pPr>
        <w:spacing w:after="0" w:line="339" w:lineRule="exact"/>
        <w:rPr>
          <w:sz w:val="20"/>
          <w:szCs w:val="20"/>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ind w:left="10"/>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1770" w:right="4239" w:hanging="1762"/>
        <w:spacing w:after="0" w:line="237" w:lineRule="auto"/>
        <w:tabs>
          <w:tab w:leader="none" w:pos="1749" w:val="left"/>
        </w:tabs>
        <w:rPr>
          <w:sz w:val="20"/>
          <w:szCs w:val="20"/>
          <w:color w:val="auto"/>
        </w:rPr>
      </w:pPr>
      <w:r>
        <w:rPr>
          <w:rFonts w:ascii="Courier New" w:cs="Courier New" w:eastAsia="Courier New" w:hAnsi="Courier New"/>
          <w:sz w:val="15"/>
          <w:szCs w:val="15"/>
          <w:color w:val="auto"/>
        </w:rPr>
        <w:t>3(i)(a) and 4(a)</w:t>
      </w:r>
      <w:r>
        <w:rPr>
          <w:sz w:val="20"/>
          <w:szCs w:val="20"/>
          <w:color w:val="auto"/>
        </w:rPr>
        <w:tab/>
      </w:r>
      <w:r>
        <w:rPr>
          <w:rFonts w:ascii="Courier New" w:cs="Courier New" w:eastAsia="Courier New" w:hAnsi="Courier New"/>
          <w:sz w:val="15"/>
          <w:szCs w:val="15"/>
          <w:color w:val="auto"/>
        </w:rPr>
        <w:t>Certificate of Incorporation of the Registrant (incorporated by reference to Exhibit 4.2 to the Registrant's Registration Statement on Form S-3, Registration No. 33-16125).</w:t>
      </w:r>
    </w:p>
    <w:p>
      <w:pPr>
        <w:spacing w:after="0" w:line="176" w:lineRule="exact"/>
        <w:rPr>
          <w:sz w:val="20"/>
          <w:szCs w:val="20"/>
          <w:color w:val="auto"/>
        </w:rPr>
      </w:pPr>
    </w:p>
    <w:p>
      <w:pPr>
        <w:ind w:left="1770" w:right="3619" w:hanging="1762"/>
        <w:spacing w:after="0" w:line="258" w:lineRule="auto"/>
        <w:tabs>
          <w:tab w:leader="none" w:pos="1749" w:val="left"/>
        </w:tabs>
        <w:rPr>
          <w:sz w:val="20"/>
          <w:szCs w:val="20"/>
          <w:color w:val="auto"/>
        </w:rPr>
      </w:pPr>
      <w:r>
        <w:rPr>
          <w:rFonts w:ascii="Courier New" w:cs="Courier New" w:eastAsia="Courier New" w:hAnsi="Courier New"/>
          <w:sz w:val="15"/>
          <w:szCs w:val="15"/>
          <w:color w:val="auto"/>
        </w:rPr>
        <w:t>3(i)(b) and 4(b)</w:t>
      </w:r>
      <w:r>
        <w:rPr>
          <w:sz w:val="20"/>
          <w:szCs w:val="20"/>
          <w:color w:val="auto"/>
        </w:rPr>
        <w:tab/>
      </w:r>
      <w:r>
        <w:rPr>
          <w:rFonts w:ascii="Courier New" w:cs="Courier New" w:eastAsia="Courier New" w:hAnsi="Courier New"/>
          <w:sz w:val="14"/>
          <w:szCs w:val="14"/>
          <w:color w:val="auto"/>
        </w:rPr>
        <w:t>Certificate of Amendment to Certificate of Incorporation of the Registrant dated December 9, 1986 (incorporated by reference to Exhibit 3 to Registrant's Quarterly Report on Form 10-Q for the quarter ended January 30, 1987, Commission file No. 1-8649).</w:t>
      </w:r>
    </w:p>
    <w:p>
      <w:pPr>
        <w:spacing w:after="0" w:line="165" w:lineRule="exact"/>
        <w:rPr>
          <w:sz w:val="20"/>
          <w:szCs w:val="20"/>
          <w:color w:val="auto"/>
        </w:rPr>
      </w:pPr>
    </w:p>
    <w:p>
      <w:pPr>
        <w:ind w:left="1770" w:right="3539" w:hanging="1762"/>
        <w:spacing w:after="0" w:line="258" w:lineRule="auto"/>
        <w:tabs>
          <w:tab w:leader="none" w:pos="1749" w:val="left"/>
        </w:tabs>
        <w:rPr>
          <w:sz w:val="20"/>
          <w:szCs w:val="20"/>
          <w:color w:val="auto"/>
        </w:rPr>
      </w:pPr>
      <w:r>
        <w:rPr>
          <w:rFonts w:ascii="Courier New" w:cs="Courier New" w:eastAsia="Courier New" w:hAnsi="Courier New"/>
          <w:sz w:val="15"/>
          <w:szCs w:val="15"/>
          <w:color w:val="auto"/>
        </w:rPr>
        <w:t>3(i)(c) and 4(c)</w:t>
      </w:r>
      <w:r>
        <w:rPr>
          <w:sz w:val="20"/>
          <w:szCs w:val="20"/>
          <w:color w:val="auto"/>
        </w:rPr>
        <w:tab/>
      </w:r>
      <w:r>
        <w:rPr>
          <w:rFonts w:ascii="Courier New" w:cs="Courier New" w:eastAsia="Courier New" w:hAnsi="Courier New"/>
          <w:sz w:val="14"/>
          <w:szCs w:val="14"/>
          <w:color w:val="auto"/>
        </w:rPr>
        <w:t>Certificate of Amendment to Certificate of Incorporation of the Registrant dated December 8, 1987 (incorporated by reference to Exhibit 3 to the Registrant's Quarterly Report on Form 10-Q for the quarter ended January 29, 1988, Commission File No. 1-8649).</w:t>
      </w:r>
    </w:p>
    <w:p>
      <w:pPr>
        <w:spacing w:after="0" w:line="165" w:lineRule="exact"/>
        <w:rPr>
          <w:sz w:val="20"/>
          <w:szCs w:val="20"/>
          <w:color w:val="auto"/>
        </w:rPr>
      </w:pPr>
    </w:p>
    <w:p>
      <w:pPr>
        <w:ind w:left="1770" w:right="3359" w:hanging="1762"/>
        <w:spacing w:after="0" w:line="237" w:lineRule="auto"/>
        <w:tabs>
          <w:tab w:leader="none" w:pos="1749" w:val="left"/>
        </w:tabs>
        <w:rPr>
          <w:sz w:val="20"/>
          <w:szCs w:val="20"/>
          <w:color w:val="auto"/>
        </w:rPr>
      </w:pPr>
      <w:r>
        <w:rPr>
          <w:rFonts w:ascii="Courier New" w:cs="Courier New" w:eastAsia="Courier New" w:hAnsi="Courier New"/>
          <w:sz w:val="15"/>
          <w:szCs w:val="15"/>
          <w:color w:val="auto"/>
        </w:rPr>
        <w:t>3(ii) and 4(d)</w:t>
      </w:r>
      <w:r>
        <w:rPr>
          <w:sz w:val="20"/>
          <w:szCs w:val="20"/>
          <w:color w:val="auto"/>
        </w:rPr>
        <w:tab/>
      </w:r>
      <w:r>
        <w:rPr>
          <w:rFonts w:ascii="Courier New" w:cs="Courier New" w:eastAsia="Courier New" w:hAnsi="Courier New"/>
          <w:sz w:val="15"/>
          <w:szCs w:val="15"/>
          <w:color w:val="auto"/>
        </w:rPr>
        <w:t>Bylaws of the Registrant (incorporated by reference to Exhibit 3.3 to the Registrant's Annual Report on Form 10-K for the year ended July 31, 1991, Commission file</w:t>
      </w:r>
    </w:p>
    <w:p>
      <w:pPr>
        <w:ind w:left="1770"/>
        <w:spacing w:after="0"/>
        <w:rPr>
          <w:sz w:val="20"/>
          <w:szCs w:val="20"/>
          <w:color w:val="auto"/>
        </w:rPr>
      </w:pPr>
      <w:r>
        <w:rPr>
          <w:rFonts w:ascii="Courier New" w:cs="Courier New" w:eastAsia="Courier New" w:hAnsi="Courier New"/>
          <w:sz w:val="15"/>
          <w:szCs w:val="15"/>
          <w:color w:val="auto"/>
        </w:rPr>
        <w:t>No. 1-8649)</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2" w:right="1440"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w w:val="99"/>
              </w:rPr>
              <w:t>Specimen form of Common Stock certificate (incorporated by</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w w:val="97"/>
              </w:rPr>
              <w:t>reference to Exhibit 4(c) to the  Registrant's Registration</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Statement on Form S-8, Registration No. 2-94417).</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Rights Agreement dated as of June 14, 1988, between the</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w w:val="97"/>
              </w:rPr>
              <w:t>Registrant and Norwest Bank Minnesota, National Association</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relating to rights to purchase Series B Junior</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Participating Voting Preferred Stock, as amended</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1 to Registrant's</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8-A dated June 17, 1988,</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Commission File No. 1-8649, as amended).</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4(g)</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Indenture dated as of July 15, 1987, between the</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Registrant and Manufacturers Hanover Trust Company,</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Trustee, relating to the Registrant's 11% Sinking Fund</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Debentures Due August 1, 2017 (incorporated by reference</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to Exhibit 4 to the Registrant's Registration Statement</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on Form S-3, Registration No. 44-16175).</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Form of Employment Agreement in effect for certain</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officers of the Registrant (incorporated by reference</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to Exhibit 10(a) to the Registrant's Annual Report</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on Form 10-K for the year ended July 31, 1993).</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Form of Supplemental Employment Agreement in effect</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for certain officers of the Registrant.</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1985 Incentive Stock Option Plan and 1989 Stock Option</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Plan, both as amended (incorporated by reference</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Exhibit 10(b) to the Registrant's Annual Report on</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Form 10-K for the year ended July 31, 1993).</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The Toro Company Investment and Savings Plan.</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1993 Stock Option Plan (incorporated by reference to</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Exhibit A to Registrant's Proxy Statement dated</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October 29, 1993).</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Continuous Performance Award Plan (incorporated by</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A to Registrant's Proxy Statement</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dated October 31, 1991).</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Computation of Earnings per Share of Common Stock and</w:t>
            </w:r>
          </w:p>
        </w:tc>
      </w:tr>
      <w:tr>
        <w:trPr>
          <w:trHeight w:val="170"/>
        </w:trPr>
        <w:tc>
          <w:tcPr>
            <w:tcW w:w="1100" w:type="dxa"/>
            <w:vAlign w:val="bottom"/>
          </w:tcPr>
          <w:p>
            <w:pPr>
              <w:spacing w:after="0"/>
              <w:rPr>
                <w:sz w:val="14"/>
                <w:szCs w:val="14"/>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Common Stock Equivalent (page 15 of this report).</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Registrant's Fiscal 1995 Annual Report to Stockholders.</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Subsidiaries of Registrant (page 16 of this report).</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Independent Auditors' Consent (page 17 of this report).</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5860" w:type="dxa"/>
            <w:vAlign w:val="bottom"/>
          </w:tcPr>
          <w:p>
            <w:pPr>
              <w:ind w:left="660"/>
              <w:spacing w:after="0"/>
              <w:rPr>
                <w:sz w:val="20"/>
                <w:szCs w:val="20"/>
                <w:color w:val="auto"/>
              </w:rPr>
            </w:pPr>
            <w:r>
              <w:rPr>
                <w:rFonts w:ascii="Courier New" w:cs="Courier New" w:eastAsia="Courier New" w:hAnsi="Courier New"/>
                <w:sz w:val="15"/>
                <w:szCs w:val="15"/>
                <w:color w:val="auto"/>
              </w:rPr>
              <w:t>Supplemental Data Schedule; electronic filing only.</w:t>
            </w:r>
          </w:p>
        </w:tc>
      </w:tr>
    </w:tbl>
    <w:p>
      <w:pPr>
        <w:spacing w:after="0" w:line="339"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2" w:right="1440" w:bottom="1440" w:gutter="0" w:footer="0" w:header="0"/>
        </w:sectPr>
      </w:pPr>
    </w:p>
    <w:bookmarkStart w:id="11" w:name="page12"/>
    <w:bookmarkEnd w:id="11"/>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caused this report to be signed on its behalf by the undersigned, thereunto duly authorized.</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TORO COMPANY</w:t>
      </w:r>
    </w:p>
    <w:p>
      <w:pPr>
        <w:ind w:left="440"/>
        <w:spacing w:after="0"/>
        <w:rPr>
          <w:sz w:val="20"/>
          <w:szCs w:val="20"/>
          <w:color w:val="auto"/>
        </w:rPr>
      </w:pPr>
      <w:r>
        <w:rPr>
          <w:rFonts w:ascii="Courier New" w:cs="Courier New" w:eastAsia="Courier New" w:hAnsi="Courier New"/>
          <w:sz w:val="15"/>
          <w:szCs w:val="15"/>
          <w:color w:val="auto"/>
        </w:rPr>
        <w:t>---------------------------------</w:t>
      </w:r>
    </w:p>
    <w:p>
      <w:pPr>
        <w:ind w:left="1320"/>
        <w:spacing w:after="0"/>
        <w:rPr>
          <w:sz w:val="20"/>
          <w:szCs w:val="20"/>
          <w:color w:val="auto"/>
        </w:rPr>
      </w:pPr>
      <w:r>
        <w:rPr>
          <w:rFonts w:ascii="Courier New" w:cs="Courier New" w:eastAsia="Courier New" w:hAnsi="Courier New"/>
          <w:sz w:val="15"/>
          <w:szCs w:val="15"/>
          <w:color w:val="auto"/>
        </w:rPr>
        <w:t>(Registrant)</w:t>
      </w:r>
    </w:p>
    <w:p>
      <w:pPr>
        <w:spacing w:after="0" w:line="168"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Dated: October 17, 1995</w:t>
      </w:r>
    </w:p>
    <w:p>
      <w:pPr>
        <w:ind w:left="440"/>
        <w:spacing w:after="0"/>
        <w:rPr>
          <w:sz w:val="20"/>
          <w:szCs w:val="20"/>
          <w:color w:val="auto"/>
        </w:rPr>
      </w:pPr>
      <w:r>
        <w:rPr>
          <w:rFonts w:ascii="Courier New" w:cs="Courier New" w:eastAsia="Courier New" w:hAnsi="Courier New"/>
          <w:sz w:val="15"/>
          <w:szCs w:val="15"/>
          <w:color w:val="auto"/>
        </w:rPr>
        <w:t>/s/ Gerald T. Knight</w:t>
      </w:r>
    </w:p>
    <w:p>
      <w:pPr>
        <w:ind w:left="440"/>
        <w:spacing w:after="0"/>
        <w:rPr>
          <w:sz w:val="20"/>
          <w:szCs w:val="20"/>
          <w:color w:val="auto"/>
        </w:rPr>
      </w:pPr>
      <w:r>
        <w:rPr>
          <w:rFonts w:ascii="Courier New" w:cs="Courier New" w:eastAsia="Courier New" w:hAnsi="Courier New"/>
          <w:sz w:val="15"/>
          <w:szCs w:val="15"/>
          <w:color w:val="auto"/>
        </w:rPr>
        <w:t>---------------------------------</w:t>
      </w:r>
    </w:p>
    <w:p>
      <w:pPr>
        <w:ind w:left="780"/>
        <w:spacing w:after="0" w:line="238" w:lineRule="auto"/>
        <w:rPr>
          <w:sz w:val="20"/>
          <w:szCs w:val="20"/>
          <w:color w:val="auto"/>
        </w:rPr>
      </w:pPr>
      <w:r>
        <w:rPr>
          <w:rFonts w:ascii="Courier New" w:cs="Courier New" w:eastAsia="Courier New" w:hAnsi="Courier New"/>
          <w:sz w:val="15"/>
          <w:szCs w:val="15"/>
          <w:color w:val="auto"/>
        </w:rPr>
        <w:t>Gerald T. Knight</w:t>
      </w:r>
    </w:p>
    <w:p>
      <w:pPr>
        <w:ind w:left="780"/>
        <w:spacing w:after="0"/>
        <w:rPr>
          <w:sz w:val="20"/>
          <w:szCs w:val="20"/>
          <w:color w:val="auto"/>
        </w:rPr>
      </w:pPr>
      <w:r>
        <w:rPr>
          <w:rFonts w:ascii="Courier New" w:cs="Courier New" w:eastAsia="Courier New" w:hAnsi="Courier New"/>
          <w:sz w:val="15"/>
          <w:szCs w:val="15"/>
          <w:color w:val="auto"/>
        </w:rPr>
        <w:t>Vice President - Finance</w:t>
      </w:r>
    </w:p>
    <w:p>
      <w:pPr>
        <w:ind w:left="780"/>
        <w:spacing w:after="0"/>
        <w:rPr>
          <w:sz w:val="20"/>
          <w:szCs w:val="20"/>
          <w:color w:val="auto"/>
        </w:rPr>
      </w:pPr>
      <w:r>
        <w:rPr>
          <w:rFonts w:ascii="Courier New" w:cs="Courier New" w:eastAsia="Courier New" w:hAnsi="Courier New"/>
          <w:sz w:val="15"/>
          <w:szCs w:val="15"/>
          <w:color w:val="auto"/>
        </w:rPr>
        <w:t>Chief Financial Officer</w:t>
      </w:r>
    </w:p>
    <w:p>
      <w:pPr>
        <w:spacing w:after="0" w:line="174"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Signature</w:t>
      </w:r>
    </w:p>
    <w:p>
      <w:pPr>
        <w:ind w:left="7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Kendrick B. 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Kendrick B. Melrose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H. Morris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David H. Morris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Gerald T. Knight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Gerald T. Knight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Title</w:t>
      </w:r>
    </w:p>
    <w:p>
      <w:pPr>
        <w:ind w:left="7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Chief Executive</w:t>
      </w:r>
    </w:p>
    <w:p>
      <w:pPr>
        <w:ind w:left="360"/>
        <w:spacing w:after="0"/>
        <w:rPr>
          <w:sz w:val="20"/>
          <w:szCs w:val="20"/>
          <w:color w:val="auto"/>
        </w:rPr>
      </w:pPr>
      <w:r>
        <w:rPr>
          <w:rFonts w:ascii="Courier New" w:cs="Courier New" w:eastAsia="Courier New" w:hAnsi="Courier New"/>
          <w:sz w:val="15"/>
          <w:szCs w:val="15"/>
          <w:color w:val="auto"/>
        </w:rPr>
        <w:t>Officer and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Operating</w:t>
      </w:r>
    </w:p>
    <w:p>
      <w:pPr>
        <w:ind w:left="360"/>
        <w:spacing w:after="0"/>
        <w:rPr>
          <w:sz w:val="20"/>
          <w:szCs w:val="20"/>
          <w:color w:val="auto"/>
        </w:rPr>
      </w:pPr>
      <w:r>
        <w:rPr>
          <w:rFonts w:ascii="Courier New" w:cs="Courier New" w:eastAsia="Courier New" w:hAnsi="Courier New"/>
          <w:sz w:val="15"/>
          <w:szCs w:val="15"/>
          <w:color w:val="auto"/>
        </w:rPr>
        <w:t>Officer and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Finance,</w:t>
      </w:r>
    </w:p>
    <w:p>
      <w:pPr>
        <w:ind w:left="360"/>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ind w:left="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513" w:lineRule="exact"/>
        <w:rPr>
          <w:sz w:val="20"/>
          <w:szCs w:val="20"/>
          <w:color w:val="auto"/>
        </w:rPr>
      </w:pPr>
    </w:p>
    <w:p>
      <w:pPr>
        <w:sectPr>
          <w:pgSz w:w="11900" w:h="16838" w:orient="portrait"/>
          <w:cols w:equalWidth="0" w:num="3">
            <w:col w:w="2980" w:space="440"/>
            <w:col w:w="2720" w:space="720"/>
            <w:col w:w="33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Randy B. James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Randy B. James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K. Cooper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Janet K. Cooper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W. George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William W. George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Alex A. Meyer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Alex A. Meyer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H. Nassau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Robert H. Nassau</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Dale R. Olseth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Dale R. Olseth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Edwin H. Wingate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Controller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(principal accounting officer)</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17, 1995</w:t>
      </w:r>
    </w:p>
    <w:p>
      <w:pPr>
        <w:spacing w:after="0" w:line="6" w:lineRule="exact"/>
        <w:rPr>
          <w:sz w:val="20"/>
          <w:szCs w:val="20"/>
          <w:color w:val="auto"/>
        </w:rPr>
      </w:pPr>
    </w:p>
    <w:p>
      <w:pPr>
        <w:sectPr>
          <w:pgSz w:w="11900" w:h="16838" w:orient="portrait"/>
          <w:cols w:equalWidth="0" w:num="3">
            <w:col w:w="2980" w:space="440"/>
            <w:col w:w="3000" w:space="440"/>
            <w:col w:w="33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w:t>
      </w:r>
    </w:p>
    <w:p>
      <w:pPr>
        <w:ind w:left="340"/>
        <w:spacing w:after="0"/>
        <w:rPr>
          <w:sz w:val="20"/>
          <w:szCs w:val="20"/>
          <w:color w:val="auto"/>
        </w:rPr>
      </w:pPr>
      <w:r>
        <w:rPr>
          <w:rFonts w:ascii="Courier New" w:cs="Courier New" w:eastAsia="Courier New" w:hAnsi="Courier New"/>
          <w:sz w:val="15"/>
          <w:szCs w:val="15"/>
          <w:color w:val="auto"/>
        </w:rPr>
        <w:t>Edwin H. Wingate</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type w:val="continuous"/>
        </w:sectPr>
      </w:pPr>
    </w:p>
    <w:bookmarkStart w:id="12" w:name="page13"/>
    <w:bookmarkEnd w:id="12"/>
    <w:p>
      <w:pPr>
        <w:ind w:left="2280"/>
        <w:spacing w:after="0"/>
        <w:rPr>
          <w:sz w:val="20"/>
          <w:szCs w:val="20"/>
          <w:color w:val="auto"/>
        </w:rPr>
      </w:pPr>
      <w:r>
        <w:rPr>
          <w:rFonts w:ascii="Courier New" w:cs="Courier New" w:eastAsia="Courier New" w:hAnsi="Courier New"/>
          <w:sz w:val="15"/>
          <w:szCs w:val="15"/>
          <w:color w:val="auto"/>
        </w:rPr>
        <w:t>[KPMG Peat Marwick Letterhead]</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The Toro Company:</w:t>
      </w:r>
    </w:p>
    <w:p>
      <w:pPr>
        <w:spacing w:after="0" w:line="174"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Under date of September 7, 1995, we reported on the consolidated balance sheets of The Toro Company and subsidiaries as of July 31, 1995 and 1994, and the related consolidated statements of earning and cash flows for each of the years in the three-year period ended July 31, 1995, as contained in the 1995 annual report to stockholders. These consolidated financial statements and our report thereon are incorporated by reference in the annual report on Form 10-K for the fiscal year 1995.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166" w:lineRule="exact"/>
        <w:rPr>
          <w:sz w:val="20"/>
          <w:szCs w:val="20"/>
          <w:color w:val="auto"/>
        </w:rPr>
      </w:pPr>
    </w:p>
    <w:p>
      <w:pPr>
        <w:ind w:right="3619"/>
        <w:spacing w:after="0" w:line="260"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1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rPr>
          <w:sz w:val="20"/>
          <w:szCs w:val="20"/>
          <w:color w:val="auto"/>
        </w:rPr>
      </w:pPr>
      <w:r>
        <w:rPr>
          <w:rFonts w:ascii="Courier New" w:cs="Courier New" w:eastAsia="Courier New" w:hAnsi="Courier New"/>
          <w:sz w:val="15"/>
          <w:szCs w:val="15"/>
          <w:color w:val="auto"/>
        </w:rPr>
        <w:t>September 7, 1995</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13" w:name="page14"/>
    <w:bookmarkEnd w:id="13"/>
    <w:p>
      <w:pPr>
        <w:ind w:left="6080"/>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TORO COMPANY AND SUBSIDIARIES</w:t>
      </w:r>
    </w:p>
    <w:p>
      <w:pPr>
        <w:ind w:left="192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Balance at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Charged to</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12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beginning of</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costs and</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Balance at</w:t>
            </w:r>
          </w:p>
        </w:tc>
      </w:tr>
      <w:tr>
        <w:trPr>
          <w:trHeight w:val="170"/>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Description</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year</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expenses</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 (a)</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Deductions (b)</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end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of year</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 - --------------------</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Year Ended July 31, 1995</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Allowance for</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doubtful accounts</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$7,702,000</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$1,543,000</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$ 20,000</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$1,922,000</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$7,343,000</w:t>
            </w:r>
          </w:p>
        </w:tc>
      </w:tr>
      <w:tr>
        <w:trPr>
          <w:trHeight w:val="170"/>
        </w:trPr>
        <w:tc>
          <w:tcPr>
            <w:tcW w:w="2100" w:type="dxa"/>
            <w:vAlign w:val="bottom"/>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Year Ended July 31, 1994</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Allowance for</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doubtful accounts</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$5,589,000</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$3,032,000</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$765,000</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$1,684,000</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$7,702,000</w:t>
            </w:r>
          </w:p>
        </w:tc>
      </w:tr>
      <w:tr>
        <w:trPr>
          <w:trHeight w:val="170"/>
        </w:trPr>
        <w:tc>
          <w:tcPr>
            <w:tcW w:w="2100" w:type="dxa"/>
            <w:vAlign w:val="bottom"/>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Year Ended July 31, 1993</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Allowance for</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doubtful accounts</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$6,358,000</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$2,500,000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$3,269,000</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$5,589,000</w:t>
            </w:r>
          </w:p>
        </w:tc>
      </w:tr>
      <w:tr>
        <w:trPr>
          <w:trHeight w:val="170"/>
        </w:trPr>
        <w:tc>
          <w:tcPr>
            <w:tcW w:w="2100" w:type="dxa"/>
            <w:vAlign w:val="bottom"/>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1660" w:right="3619" w:hanging="436"/>
        <w:spacing w:after="0" w:line="265" w:lineRule="auto"/>
        <w:tabs>
          <w:tab w:leader="none" w:pos="16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during 1995 and 1994 due to reclassification and acquisitions.</w:t>
      </w:r>
    </w:p>
    <w:p>
      <w:pPr>
        <w:spacing w:after="0" w:line="158" w:lineRule="exact"/>
        <w:rPr>
          <w:rFonts w:ascii="Courier New" w:cs="Courier New" w:eastAsia="Courier New" w:hAnsi="Courier New"/>
          <w:sz w:val="14"/>
          <w:szCs w:val="14"/>
          <w:color w:val="auto"/>
        </w:rPr>
      </w:pPr>
    </w:p>
    <w:p>
      <w:pPr>
        <w:ind w:left="3340" w:right="3799" w:hanging="2116"/>
        <w:spacing w:after="0" w:line="471" w:lineRule="auto"/>
        <w:tabs>
          <w:tab w:leader="none" w:pos="16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charged off, net of recoveries. 14</w:t>
      </w:r>
    </w:p>
    <w:p>
      <w:pPr>
        <w:sectPr>
          <w:pgSz w:w="11900" w:h="16838" w:orient="portrait"/>
          <w:cols w:equalWidth="0" w:num="1">
            <w:col w:w="10219"/>
          </w:cols>
          <w:pgMar w:left="240" w:top="622" w:right="1440" w:bottom="1440" w:gutter="0" w:footer="0" w:header="0"/>
        </w:sectPr>
      </w:pPr>
    </w:p>
    <w:bookmarkStart w:id="14" w:name="page15"/>
    <w:bookmarkEnd w:id="14"/>
    <w:p>
      <w:pPr>
        <w:jc w:val="center"/>
        <w:ind w:right="3359"/>
        <w:spacing w:after="0"/>
        <w:rPr>
          <w:sz w:val="20"/>
          <w:szCs w:val="20"/>
          <w:color w:val="auto"/>
        </w:rPr>
      </w:pPr>
      <w:r>
        <w:rPr>
          <w:rFonts w:ascii="Courier New" w:cs="Courier New" w:eastAsia="Courier New" w:hAnsi="Courier New"/>
          <w:sz w:val="15"/>
          <w:szCs w:val="15"/>
          <w:color w:val="auto"/>
        </w:rPr>
        <w:t>THE TORO COMPANY</w:t>
      </w:r>
    </w:p>
    <w:p>
      <w:pPr>
        <w:jc w:val="center"/>
        <w:ind w:right="3359"/>
        <w:spacing w:after="0"/>
        <w:rPr>
          <w:sz w:val="20"/>
          <w:szCs w:val="20"/>
          <w:color w:val="auto"/>
        </w:rPr>
      </w:pPr>
      <w:r>
        <w:rPr>
          <w:rFonts w:ascii="Courier New" w:cs="Courier New" w:eastAsia="Courier New" w:hAnsi="Courier New"/>
          <w:sz w:val="15"/>
          <w:szCs w:val="15"/>
          <w:color w:val="auto"/>
        </w:rPr>
        <w:t>EMPLOYMENT AGREEMENT</w:t>
      </w:r>
    </w:p>
    <w:p>
      <w:pPr>
        <w:spacing w:after="0" w:line="338" w:lineRule="exact"/>
        <w:rPr>
          <w:sz w:val="20"/>
          <w:szCs w:val="20"/>
          <w:color w:val="auto"/>
        </w:rPr>
      </w:pPr>
    </w:p>
    <w:p>
      <w:pPr>
        <w:jc w:val="center"/>
        <w:ind w:right="33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AGREEMENT</w:t>
        <w:tab/>
        <w:t>by</w:t>
      </w:r>
      <w:r>
        <w:rPr>
          <w:sz w:val="20"/>
          <w:szCs w:val="20"/>
          <w:color w:val="auto"/>
        </w:rPr>
        <w:tab/>
      </w:r>
      <w:r>
        <w:rPr>
          <w:rFonts w:ascii="Courier New" w:cs="Courier New" w:eastAsia="Courier New" w:hAnsi="Courier New"/>
          <w:sz w:val="14"/>
          <w:szCs w:val="14"/>
          <w:color w:val="auto"/>
        </w:rPr>
        <w:t>and between The Toro Company, a Delaware Company (the</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"Company"), and 1- (the "Executive"), dated as of the 18th day of April, 1995.</w:t>
      </w:r>
    </w:p>
    <w:p>
      <w:pPr>
        <w:spacing w:after="0" w:line="180"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IT IS HEREBY AGREED AS FOLLOWS:</w:t>
      </w:r>
    </w:p>
    <w:p>
      <w:pPr>
        <w:spacing w:after="0" w:line="175" w:lineRule="exact"/>
        <w:rPr>
          <w:sz w:val="20"/>
          <w:szCs w:val="20"/>
          <w:color w:val="auto"/>
        </w:rPr>
      </w:pPr>
    </w:p>
    <w:p>
      <w:pPr>
        <w:ind w:right="3539" w:firstLine="431"/>
        <w:spacing w:after="0" w:line="238" w:lineRule="auto"/>
        <w:tabs>
          <w:tab w:leader="none" w:pos="79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(a) The "Effective Date" shall mean the first date during the Change of Control Period (as defined in Section 1(b)) on which a Change of Control (as defined in Section 2) occurs. Anything in this Agreement to the Contrary notwithstanding, if a Change of Control occurs and if the Executive's employment with the Company is terminated prior to the date on which the Change of Control occurs, and if it is reasonably demonstrated by the Executive that such termination of employment (i) was at the request of a third party who has taken steps reasonably calculated to effect a Change of Control or (ii) otherwise arose in connection with or anticipation of a Change of Control, then for all purposes of this Agreement the "Effective Date" shall mean the date immediately prior to the date of such termination of employment.</w:t>
      </w:r>
    </w:p>
    <w:p>
      <w:pPr>
        <w:spacing w:after="0" w:line="182" w:lineRule="exact"/>
        <w:rPr>
          <w:sz w:val="20"/>
          <w:szCs w:val="20"/>
          <w:color w:val="auto"/>
        </w:rPr>
      </w:pPr>
    </w:p>
    <w:p>
      <w:pPr>
        <w:ind w:right="3539" w:firstLine="431"/>
        <w:spacing w:after="0" w:line="238" w:lineRule="auto"/>
        <w:tabs>
          <w:tab w:leader="none" w:pos="8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of Control Period" shall mean the period commencing on the date hereof and ending on the third anniversary of the date hereof; provided, however, that commencing on the date one year after the date hereof, and on each annual anniversary of such date hereof, and on each annual anniversary of such date (such date and each annual anniversary thereof shall be hereinafter referred to as the "Renewal Date"), unless previously terminated,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80" w:lineRule="exact"/>
        <w:rPr>
          <w:sz w:val="20"/>
          <w:szCs w:val="20"/>
          <w:color w:val="auto"/>
        </w:rPr>
      </w:pPr>
    </w:p>
    <w:p>
      <w:pPr>
        <w:ind w:right="3539" w:firstLine="431"/>
        <w:spacing w:after="0" w:line="235" w:lineRule="auto"/>
        <w:tabs>
          <w:tab w:leader="none" w:pos="79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the purpose of this Agreement, a "Change of Control" shall mean:</w:t>
      </w:r>
    </w:p>
    <w:p>
      <w:pPr>
        <w:spacing w:after="0" w:line="176" w:lineRule="exact"/>
        <w:rPr>
          <w:sz w:val="20"/>
          <w:szCs w:val="20"/>
          <w:color w:val="auto"/>
        </w:rPr>
      </w:pPr>
    </w:p>
    <w:p>
      <w:pPr>
        <w:ind w:right="3879" w:firstLine="431"/>
        <w:spacing w:after="0" w:line="235" w:lineRule="auto"/>
        <w:tabs>
          <w:tab w:leader="none" w:pos="79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w:t>
      </w:r>
    </w:p>
    <w:p>
      <w:pPr>
        <w:sectPr>
          <w:pgSz w:w="11900" w:h="16838" w:orient="portrait"/>
          <w:cols w:equalWidth="0" w:num="1">
            <w:col w:w="10219"/>
          </w:cols>
          <w:pgMar w:left="240" w:top="814" w:right="1440" w:bottom="1440" w:gutter="0" w:footer="0" w:header="0"/>
        </w:sectPr>
      </w:pPr>
    </w:p>
    <w:bookmarkStart w:id="15" w:name="page16"/>
    <w:bookmarkEnd w:id="15"/>
    <w:p>
      <w:pPr>
        <w:ind w:left="10" w:right="3439"/>
        <w:spacing w:after="0" w:line="256" w:lineRule="auto"/>
        <w:rPr>
          <w:sz w:val="20"/>
          <w:szCs w:val="20"/>
          <w:color w:val="auto"/>
        </w:rPr>
      </w:pPr>
      <w:r>
        <w:rPr>
          <w:rFonts w:ascii="Courier New" w:cs="Courier New" w:eastAsia="Courier New" w:hAnsi="Courier New"/>
          <w:sz w:val="14"/>
          <w:szCs w:val="14"/>
          <w:color w:val="auto"/>
        </w:rPr>
        <w:t>13(d)(3) or 14(d)(2) of the Securities Exchange Act of 1934, as amended (the "Exchange Act")) (a"Person") of beneficial ownership (within the meaning of Rule 13d-3 promulgated under the Exchange Act) of 20%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w:t>
      </w:r>
    </w:p>
    <w:p>
      <w:pPr>
        <w:ind w:left="530" w:hanging="530"/>
        <w:spacing w:after="0" w:line="236" w:lineRule="auto"/>
        <w:tabs>
          <w:tab w:leader="none" w:pos="5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any employee benefit plan (or related trust)</w:t>
      </w:r>
    </w:p>
    <w:p>
      <w:pPr>
        <w:spacing w:after="0" w:line="5" w:lineRule="exact"/>
        <w:rPr>
          <w:rFonts w:ascii="Courier New" w:cs="Courier New" w:eastAsia="Courier New" w:hAnsi="Courier New"/>
          <w:sz w:val="15"/>
          <w:szCs w:val="15"/>
          <w:color w:val="auto"/>
        </w:rPr>
      </w:pPr>
    </w:p>
    <w:p>
      <w:pPr>
        <w:ind w:left="1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sponsored or maintained by the Company or any corporation controlled by the Company, or (iv) any acquisition by any corporation pursuant to a transaction which complies with clauses (i), (ii) and (iii) of subsection (c) of this Section 2; or</w:t>
      </w:r>
    </w:p>
    <w:p>
      <w:pPr>
        <w:spacing w:after="0" w:line="176" w:lineRule="exact"/>
        <w:rPr>
          <w:rFonts w:ascii="Courier New" w:cs="Courier New" w:eastAsia="Courier New" w:hAnsi="Courier New"/>
          <w:sz w:val="15"/>
          <w:szCs w:val="15"/>
          <w:color w:val="auto"/>
        </w:rPr>
      </w:pPr>
    </w:p>
    <w:p>
      <w:pPr>
        <w:ind w:left="10" w:right="3539" w:firstLine="431"/>
        <w:spacing w:after="0" w:line="238" w:lineRule="auto"/>
        <w:tabs>
          <w:tab w:leader="none" w:pos="80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1" w:lineRule="exact"/>
        <w:rPr>
          <w:rFonts w:ascii="Courier New" w:cs="Courier New" w:eastAsia="Courier New" w:hAnsi="Courier New"/>
          <w:sz w:val="15"/>
          <w:szCs w:val="15"/>
          <w:color w:val="auto"/>
        </w:rPr>
      </w:pPr>
    </w:p>
    <w:p>
      <w:pPr>
        <w:ind w:left="10" w:right="3439" w:firstLine="431"/>
        <w:spacing w:after="0" w:line="239" w:lineRule="auto"/>
        <w:tabs>
          <w:tab w:leader="none" w:pos="891"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w:t>
      </w:r>
    </w:p>
    <w:p>
      <w:pPr>
        <w:spacing w:after="0" w:line="17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797" w:right="1440" w:bottom="1440" w:gutter="0" w:footer="0" w:header="0"/>
        </w:sectPr>
      </w:pPr>
    </w:p>
    <w:bookmarkStart w:id="16" w:name="page17"/>
    <w:bookmarkEnd w:id="16"/>
    <w:p>
      <w:pPr>
        <w:ind w:right="3799"/>
        <w:spacing w:after="0" w:line="235" w:lineRule="auto"/>
        <w:rPr>
          <w:sz w:val="20"/>
          <w:szCs w:val="20"/>
          <w:color w:val="auto"/>
        </w:rPr>
      </w:pPr>
      <w:r>
        <w:rPr>
          <w:rFonts w:ascii="Courier New" w:cs="Courier New" w:eastAsia="Courier New" w:hAnsi="Courier New"/>
          <w:sz w:val="15"/>
          <w:szCs w:val="15"/>
          <w:color w:val="auto"/>
        </w:rPr>
        <w:t>Board at the time of the execution of the initial agreement, or of the action of the Board, providing for such Business Combination; or</w:t>
      </w:r>
    </w:p>
    <w:p>
      <w:pPr>
        <w:spacing w:after="0" w:line="176" w:lineRule="exact"/>
        <w:rPr>
          <w:sz w:val="20"/>
          <w:szCs w:val="20"/>
          <w:color w:val="auto"/>
        </w:rPr>
      </w:pPr>
    </w:p>
    <w:p>
      <w:pPr>
        <w:ind w:right="3799" w:firstLine="431"/>
        <w:spacing w:after="0" w:line="235" w:lineRule="auto"/>
        <w:tabs>
          <w:tab w:leader="none" w:pos="88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complete liquidation or dissolution of the Company.</w:t>
      </w:r>
    </w:p>
    <w:p>
      <w:pPr>
        <w:spacing w:after="0" w:line="176" w:lineRule="exact"/>
        <w:rPr>
          <w:sz w:val="20"/>
          <w:szCs w:val="20"/>
          <w:color w:val="auto"/>
        </w:rPr>
      </w:pPr>
    </w:p>
    <w:p>
      <w:pPr>
        <w:ind w:right="3539" w:firstLine="431"/>
        <w:spacing w:after="0" w:line="237" w:lineRule="auto"/>
        <w:tabs>
          <w:tab w:leader="none" w:pos="79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PERIOD. The Company hereby agrees to continue the Executive in its employ, and the Executive hereby agrees to remain in the employ of the Company subject to the terms and conditions of this Agreement, for the period commencing on the Effective Date and ending on the third anniversary of such date (the "Employment Period").</w:t>
      </w:r>
    </w:p>
    <w:p>
      <w:pPr>
        <w:spacing w:after="0" w:line="178" w:lineRule="exact"/>
        <w:rPr>
          <w:rFonts w:ascii="Courier New" w:cs="Courier New" w:eastAsia="Courier New" w:hAnsi="Courier New"/>
          <w:sz w:val="15"/>
          <w:szCs w:val="15"/>
          <w:color w:val="auto"/>
        </w:rPr>
      </w:pPr>
    </w:p>
    <w:p>
      <w:pPr>
        <w:ind w:right="3619" w:firstLine="431"/>
        <w:spacing w:after="0" w:line="238" w:lineRule="auto"/>
        <w:tabs>
          <w:tab w:leader="none" w:pos="79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EMPLOYMENT. (a) POSITION AND DUTIES. (i) 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120-day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79" w:lineRule="exact"/>
        <w:rPr>
          <w:sz w:val="20"/>
          <w:szCs w:val="20"/>
          <w:color w:val="auto"/>
        </w:rPr>
      </w:pPr>
    </w:p>
    <w:p>
      <w:pPr>
        <w:ind w:right="3439" w:firstLine="431"/>
        <w:spacing w:after="0" w:line="239" w:lineRule="auto"/>
        <w:tabs>
          <w:tab w:leader="none" w:pos="9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175" w:lineRule="exact"/>
        <w:rPr>
          <w:sz w:val="20"/>
          <w:szCs w:val="20"/>
          <w:color w:val="auto"/>
        </w:rPr>
      </w:pPr>
    </w:p>
    <w:p>
      <w:pPr>
        <w:ind w:right="3439" w:firstLine="431"/>
        <w:spacing w:after="0" w:line="238" w:lineRule="auto"/>
        <w:tabs>
          <w:tab w:leader="none" w:pos="88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(i) BASE SALARY. During the Employment Period, the Executive shall receive an annual base salary ("Annual Base Salary"), which shall be paid at a monthly rate, at least equal to twelve times the highest monthly base salary paid or payable, including any base salary which has been earned but deferred, to the Executive by the Company and its affiliated companies in respect of the twelve-month period immediately preceding the month in which the Effective Date occurs. During the Employment Period, the Annual Base Salary shall be reviewed no more than twelve months after the last salary increase awarded to the Executive prior to the Effective Date and thereafter at least annually. Any increase in Annual Base Salary shall not serve to limit or reduce any other obligation to the Executive under this Agreement.</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7" w:right="1440" w:bottom="1440" w:gutter="0" w:footer="0" w:header="0"/>
        </w:sectPr>
      </w:pPr>
    </w:p>
    <w:bookmarkStart w:id="17" w:name="page18"/>
    <w:bookmarkEnd w:id="17"/>
    <w:p>
      <w:pPr>
        <w:ind w:right="3539"/>
        <w:spacing w:after="0" w:line="237" w:lineRule="auto"/>
        <w:rPr>
          <w:sz w:val="20"/>
          <w:szCs w:val="20"/>
          <w:color w:val="auto"/>
        </w:rPr>
      </w:pPr>
      <w:r>
        <w:rPr>
          <w:rFonts w:ascii="Courier New" w:cs="Courier New" w:eastAsia="Courier New" w:hAnsi="Courier New"/>
          <w:sz w:val="15"/>
          <w:szCs w:val="15"/>
          <w:color w:val="auto"/>
        </w:rPr>
        <w:t>Annual Base Salary shall not be reduced after any such increase and the term Annual Base Salary as utilized in this Agreement shall refer to Annual Base Salary as so increased. As used in this Agreement, the term "affiliated companies" shall include any company controlled by, controlling or under common control with the Company.</w:t>
      </w:r>
    </w:p>
    <w:p>
      <w:pPr>
        <w:spacing w:after="0" w:line="178" w:lineRule="exact"/>
        <w:rPr>
          <w:sz w:val="20"/>
          <w:szCs w:val="20"/>
          <w:color w:val="auto"/>
        </w:rPr>
      </w:pPr>
    </w:p>
    <w:p>
      <w:pPr>
        <w:ind w:right="3539" w:firstLine="431"/>
        <w:spacing w:after="0" w:line="257" w:lineRule="auto"/>
        <w:tabs>
          <w:tab w:leader="none" w:pos="97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Annual Base Salary, the Executive shall be awarded, for each fiscal year ending during the Employment Period, an annual bonus (the "Annual Bonus") in cash at least equal to the Executive's highest bonus under the Company's [Annual Incentive Plans], or any comparable bonus under any predecessor or successor plan, for the last three full fiscal years prior to the Effective Date (annualized in the event that the Executive was not employed by the Company for the whole of such fiscal year) (the "Recent Annual Bonus"). Each such Annual Bonus shall be paid no later than the end of the third month of the fiscal year next following the fiscal year for which the Annual Bonus is awarded, unless the Executive shall elect to defer the receipt of such Annual Bonus.</w:t>
      </w:r>
    </w:p>
    <w:p>
      <w:pPr>
        <w:spacing w:after="0" w:line="165" w:lineRule="exact"/>
        <w:rPr>
          <w:rFonts w:ascii="Courier New" w:cs="Courier New" w:eastAsia="Courier New" w:hAnsi="Courier New"/>
          <w:sz w:val="14"/>
          <w:szCs w:val="14"/>
          <w:color w:val="auto"/>
        </w:rPr>
      </w:pPr>
    </w:p>
    <w:p>
      <w:pPr>
        <w:ind w:right="3439" w:firstLine="431"/>
        <w:spacing w:after="0" w:line="238" w:lineRule="auto"/>
        <w:tabs>
          <w:tab w:leader="none" w:pos="105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SAVINGS AND RETIREMENT PLANS. During the Employment Period, the Executive shall be entitled to participate in all incentive, savings and retirement plans, practices, policies and programs applicable generally to other peer executives of the Company and its affiliated companies, but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less favorable, in the aggregate, than the most favorable of those provided by the Company and its affiliated companies for the Executive under such plans, practices, policies and programs as in effect at any time during the 120-day period immediately preceding the Effective Date or if more favorable to the Executive, those provided generally at any time after the Effective Date to other peer executives of the Company and its affiliated companies.</w:t>
      </w:r>
    </w:p>
    <w:p>
      <w:pPr>
        <w:spacing w:after="0" w:line="184" w:lineRule="exact"/>
        <w:rPr>
          <w:rFonts w:ascii="Courier New" w:cs="Courier New" w:eastAsia="Courier New" w:hAnsi="Courier New"/>
          <w:sz w:val="15"/>
          <w:szCs w:val="15"/>
          <w:color w:val="auto"/>
        </w:rPr>
      </w:pPr>
    </w:p>
    <w:p>
      <w:pPr>
        <w:ind w:right="3439" w:firstLine="431"/>
        <w:spacing w:after="0" w:line="257" w:lineRule="auto"/>
        <w:tabs>
          <w:tab w:leader="none" w:pos="97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to the extent applicable generally to other peer executives of the Company and its affiliated companies, but in no event shall such plans, practices, policies and programs provide the Executive with benefits which are less favorable, in the aggregate, than the most favorable of such plans, practices, policies and programs in effect for the Executive at any time during the 120-day period immediately preceding the Effective Date or, if more favorable to the Executive, those provided generally at any time after the Effective Date to other peer executives of the Company and its affiliated companies.</w:t>
      </w:r>
    </w:p>
    <w:p>
      <w:pPr>
        <w:spacing w:after="0" w:line="164" w:lineRule="exact"/>
        <w:rPr>
          <w:rFonts w:ascii="Courier New" w:cs="Courier New" w:eastAsia="Courier New" w:hAnsi="Courier New"/>
          <w:sz w:val="14"/>
          <w:szCs w:val="14"/>
          <w:color w:val="auto"/>
        </w:rPr>
      </w:pPr>
    </w:p>
    <w:p>
      <w:pPr>
        <w:ind w:right="3439" w:firstLine="431"/>
        <w:spacing w:after="0" w:line="237" w:lineRule="auto"/>
        <w:tabs>
          <w:tab w:leader="none" w:pos="88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Employment Period, the Executive shall be entitled to receive prompt reimbursement for all reasonable expenses incurred by the Executive in accordance with the most favorable policies, practices and procedures of the Company and its affiliated</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7" w:right="1440" w:bottom="1440" w:gutter="0" w:footer="0" w:header="0"/>
        </w:sectPr>
      </w:pPr>
    </w:p>
    <w:bookmarkStart w:id="18" w:name="page19"/>
    <w:bookmarkEnd w:id="18"/>
    <w:p>
      <w:pPr>
        <w:ind w:right="3619"/>
        <w:spacing w:after="0" w:line="237" w:lineRule="auto"/>
        <w:rPr>
          <w:sz w:val="20"/>
          <w:szCs w:val="20"/>
          <w:color w:val="auto"/>
        </w:rPr>
      </w:pPr>
      <w:r>
        <w:rPr>
          <w:rFonts w:ascii="Courier New" w:cs="Courier New" w:eastAsia="Courier New" w:hAnsi="Courier New"/>
          <w:sz w:val="15"/>
          <w:szCs w:val="15"/>
          <w:color w:val="auto"/>
        </w:rPr>
        <w:t>companies in effect for the Executive at any time during the 120-day period immediately preceding the Effective Date or, if more favorable to the Executive, as in effect generally at any time thereafter with respect to other peer executives of the Company and its affiliated companies.</w:t>
      </w:r>
    </w:p>
    <w:p>
      <w:pPr>
        <w:spacing w:after="0" w:line="171" w:lineRule="exact"/>
        <w:rPr>
          <w:sz w:val="20"/>
          <w:szCs w:val="20"/>
          <w:color w:val="auto"/>
        </w:rPr>
      </w:pPr>
    </w:p>
    <w:p>
      <w:pPr>
        <w:ind w:left="960" w:hanging="529"/>
        <w:spacing w:after="0"/>
        <w:tabs>
          <w:tab w:leader="none" w:pos="9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During the Employment Period,  the Executive</w:t>
      </w:r>
    </w:p>
    <w:tbl>
      <w:tblPr>
        <w:tblLayout w:type="fixed"/>
        <w:tblInd w:w="0" w:type="dxa"/>
        <w:tblCellMar>
          <w:top w:w="0" w:type="dxa"/>
          <w:left w:w="0" w:type="dxa"/>
          <w:bottom w:w="0" w:type="dxa"/>
          <w:right w:w="0" w:type="dxa"/>
        </w:tblCellMar>
      </w:tblPr>
      <w:tr>
        <w:trPr>
          <w:trHeight w:val="170"/>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shall  be  entitled</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to</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fringe</w:t>
            </w:r>
          </w:p>
        </w:tc>
        <w:tc>
          <w:tcPr>
            <w:tcW w:w="19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benefits,  including,</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without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limitation,</w:t>
            </w: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w w:val="95"/>
              </w:rPr>
              <w:t>tax and financial</w:t>
            </w:r>
          </w:p>
        </w:tc>
        <w:tc>
          <w:tcPr>
            <w:tcW w:w="266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planning services, payment of</w:t>
            </w:r>
          </w:p>
        </w:tc>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club</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dues,</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if</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applicable,</w:t>
            </w:r>
          </w:p>
        </w:tc>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use of</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automobile</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payment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related</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expenses,  in</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accordance</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with</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w:t>
            </w:r>
          </w:p>
        </w:tc>
        <w:tc>
          <w:tcPr>
            <w:tcW w:w="4680" w:type="dxa"/>
            <w:vAlign w:val="bottom"/>
            <w:gridSpan w:val="7"/>
          </w:tcPr>
          <w:p>
            <w:pPr>
              <w:spacing w:after="0"/>
              <w:rPr>
                <w:sz w:val="20"/>
                <w:szCs w:val="20"/>
                <w:color w:val="auto"/>
              </w:rPr>
            </w:pPr>
            <w:r>
              <w:rPr>
                <w:rFonts w:ascii="Courier New" w:cs="Courier New" w:eastAsia="Courier New" w:hAnsi="Courier New"/>
                <w:sz w:val="15"/>
                <w:szCs w:val="15"/>
                <w:color w:val="auto"/>
              </w:rPr>
              <w:t>most favorable plans, practices, programs and</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policies of</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Company</w:t>
            </w:r>
          </w:p>
        </w:tc>
        <w:tc>
          <w:tcPr>
            <w:tcW w:w="27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and  its affiliated companies</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effect for the</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Executive at</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any</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time</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during</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the</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120-day</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immediately</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preceding</w:t>
            </w:r>
          </w:p>
        </w:tc>
      </w:tr>
    </w:tbl>
    <w:p>
      <w:pPr>
        <w:spacing w:after="0" w:line="5"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the Effective Date or, if more favorable to the Executive, as in effect generally at any time thereafter with respect to other peer executives of the Company and its affiliated companies.</w:t>
      </w:r>
    </w:p>
    <w:p>
      <w:pPr>
        <w:spacing w:after="0" w:line="175" w:lineRule="exact"/>
        <w:rPr>
          <w:sz w:val="20"/>
          <w:szCs w:val="20"/>
          <w:color w:val="auto"/>
        </w:rPr>
      </w:pPr>
    </w:p>
    <w:p>
      <w:pPr>
        <w:ind w:right="3439" w:firstLine="431"/>
        <w:spacing w:after="0" w:line="238" w:lineRule="auto"/>
        <w:tabs>
          <w:tab w:leader="none" w:pos="105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AND SUPPORT STAFF. During the Employment Period,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120-day period immediately preceding the</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or,  if  more  favorable  to  the  Executive,  as  provided</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generally at any time thereafter with respect to other peer executives of the Company and its affiliated companies.</w:t>
      </w:r>
    </w:p>
    <w:p>
      <w:pPr>
        <w:spacing w:after="0" w:line="176" w:lineRule="exact"/>
        <w:rPr>
          <w:sz w:val="20"/>
          <w:szCs w:val="20"/>
          <w:color w:val="auto"/>
        </w:rPr>
      </w:pPr>
    </w:p>
    <w:p>
      <w:pPr>
        <w:ind w:right="3439" w:firstLine="431"/>
        <w:spacing w:after="0" w:line="256" w:lineRule="auto"/>
        <w:tabs>
          <w:tab w:leader="none" w:pos="114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Employment Period, the Executive shall be entitled to paid vacation in accordance with the most favorable plans, policies, programs and practices of the Company and its affiliated companies as in effect for the Executive at any time during the 120-day period immediately preceding the Effective Date or, if more favorable to the Executive, as in effect generally at any time thereafter with respect to</w:t>
      </w:r>
    </w:p>
    <w:p>
      <w:pPr>
        <w:spacing w:after="0"/>
        <w:tabs>
          <w:tab w:leader="none" w:pos="580" w:val="left"/>
          <w:tab w:leader="none" w:pos="1120" w:val="left"/>
          <w:tab w:leader="none" w:pos="2180" w:val="left"/>
          <w:tab w:leader="none" w:pos="2520" w:val="left"/>
          <w:tab w:leader="none" w:pos="2960" w:val="left"/>
          <w:tab w:leader="none" w:pos="3760" w:val="left"/>
          <w:tab w:leader="none" w:pos="4200" w:val="left"/>
        </w:tabs>
        <w:rPr>
          <w:sz w:val="20"/>
          <w:szCs w:val="20"/>
          <w:color w:val="auto"/>
        </w:rPr>
      </w:pPr>
      <w:r>
        <w:rPr>
          <w:rFonts w:ascii="Courier New" w:cs="Courier New" w:eastAsia="Courier New" w:hAnsi="Courier New"/>
          <w:sz w:val="15"/>
          <w:szCs w:val="15"/>
          <w:color w:val="auto"/>
        </w:rPr>
        <w:t>other</w:t>
        <w:tab/>
        <w:t>peer</w:t>
        <w:tab/>
        <w:t>executives</w:t>
        <w:tab/>
        <w:t>of</w:t>
        <w:tab/>
        <w:t>the</w:t>
        <w:tab/>
        <w:t>Company</w:t>
        <w:tab/>
        <w:t>and</w:t>
      </w:r>
      <w:r>
        <w:rPr>
          <w:sz w:val="20"/>
          <w:szCs w:val="20"/>
          <w:color w:val="auto"/>
        </w:rPr>
        <w:tab/>
      </w:r>
      <w:r>
        <w:rPr>
          <w:rFonts w:ascii="Courier New" w:cs="Courier New" w:eastAsia="Courier New" w:hAnsi="Courier New"/>
          <w:sz w:val="14"/>
          <w:szCs w:val="14"/>
          <w:color w:val="auto"/>
        </w:rPr>
        <w:t>its affiliated companies.</w:t>
      </w:r>
    </w:p>
    <w:p>
      <w:pPr>
        <w:spacing w:after="0" w:line="175" w:lineRule="exact"/>
        <w:rPr>
          <w:sz w:val="20"/>
          <w:szCs w:val="20"/>
          <w:color w:val="auto"/>
        </w:rPr>
      </w:pPr>
    </w:p>
    <w:p>
      <w:pPr>
        <w:ind w:right="3439" w:firstLine="431"/>
        <w:spacing w:after="0" w:line="257" w:lineRule="auto"/>
        <w:tabs>
          <w:tab w:leader="none" w:pos="79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 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12(b)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w:t>
      </w:r>
    </w:p>
    <w:p>
      <w:pPr>
        <w:spacing w:after="0" w:line="334" w:lineRule="exact"/>
        <w:rPr>
          <w:sz w:val="20"/>
          <w:szCs w:val="20"/>
          <w:color w:val="auto"/>
        </w:rPr>
      </w:pPr>
    </w:p>
    <w:p>
      <w:pPr>
        <w:ind w:left="3340" w:right="3259" w:hanging="2909"/>
        <w:spacing w:after="0" w:line="710" w:lineRule="auto"/>
        <w:tabs>
          <w:tab w:leader="none" w:pos="78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Company may terminate the Executive's employment during the -5-</w:t>
      </w:r>
    </w:p>
    <w:p>
      <w:pPr>
        <w:sectPr>
          <w:pgSz w:w="11900" w:h="16838" w:orient="portrait"/>
          <w:cols w:equalWidth="0" w:num="1">
            <w:col w:w="10219"/>
          </w:cols>
          <w:pgMar w:left="240" w:top="797" w:right="1440" w:bottom="1440" w:gutter="0" w:footer="0" w:header="0"/>
        </w:sectPr>
      </w:pPr>
    </w:p>
    <w:bookmarkStart w:id="19" w:name="page20"/>
    <w:bookmarkEnd w:id="19"/>
    <w:p>
      <w:pPr>
        <w:ind w:right="3699"/>
        <w:spacing w:after="0" w:line="235" w:lineRule="auto"/>
        <w:rPr>
          <w:sz w:val="20"/>
          <w:szCs w:val="20"/>
          <w:color w:val="auto"/>
        </w:rPr>
      </w:pPr>
      <w:r>
        <w:rPr>
          <w:rFonts w:ascii="Courier New" w:cs="Courier New" w:eastAsia="Courier New" w:hAnsi="Courier New"/>
          <w:sz w:val="15"/>
          <w:szCs w:val="15"/>
          <w:color w:val="auto"/>
        </w:rPr>
        <w:t>Employment Period for Cause. For purposes of this Agreement, "Cause" shall mean:</w:t>
      </w:r>
    </w:p>
    <w:p>
      <w:pPr>
        <w:spacing w:after="0" w:line="176" w:lineRule="exact"/>
        <w:rPr>
          <w:sz w:val="20"/>
          <w:szCs w:val="20"/>
          <w:color w:val="auto"/>
        </w:rPr>
      </w:pPr>
    </w:p>
    <w:p>
      <w:pPr>
        <w:ind w:left="440" w:right="3439" w:firstLine="432"/>
        <w:spacing w:after="0" w:line="257" w:lineRule="auto"/>
        <w:tabs>
          <w:tab w:leader="none" w:pos="132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the Executive to perform substantially the Executive's duties with the Company or one of its affiliates (other than any such failure resulting from the incapacity due to physical or mental illness), after a written demand for substantial performance is delivered to the Executive by the Board or the Chief Executive Officer of the Company which specifically identifies the manner in which the Board or Chief Executive Officer believes that the Executive has not substantially performed the Executive's duties, or</w:t>
      </w:r>
    </w:p>
    <w:p>
      <w:pPr>
        <w:spacing w:after="0" w:line="166" w:lineRule="exact"/>
        <w:rPr>
          <w:rFonts w:ascii="Courier New" w:cs="Courier New" w:eastAsia="Courier New" w:hAnsi="Courier New"/>
          <w:sz w:val="14"/>
          <w:szCs w:val="14"/>
          <w:color w:val="auto"/>
        </w:rPr>
      </w:pPr>
    </w:p>
    <w:p>
      <w:pPr>
        <w:jc w:val="both"/>
        <w:ind w:left="440" w:right="3619" w:firstLine="432"/>
        <w:spacing w:after="0" w:line="237" w:lineRule="auto"/>
        <w:tabs>
          <w:tab w:leader="none" w:pos="14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willful engaging by the Executive in illegal conduct or gross misconduct which is materially and demonstrably injurious to the Company.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4"/>
          </w:tcPr>
          <w:p>
            <w:pPr>
              <w:spacing w:after="0"/>
              <w:rPr>
                <w:sz w:val="20"/>
                <w:szCs w:val="20"/>
                <w:color w:val="auto"/>
              </w:rPr>
            </w:pPr>
            <w:r>
              <w:rPr>
                <w:rFonts w:ascii="Courier New" w:cs="Courier New" w:eastAsia="Courier New" w:hAnsi="Courier New"/>
                <w:sz w:val="15"/>
                <w:szCs w:val="15"/>
                <w:color w:val="auto"/>
                <w:w w:val="96"/>
              </w:rPr>
              <w:t>For purposes of this provision, no</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act or</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failure to act, on the part</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of the</w:t>
            </w:r>
          </w:p>
        </w:tc>
      </w:tr>
      <w:tr>
        <w:trPr>
          <w:trHeight w:val="170"/>
        </w:trPr>
        <w:tc>
          <w:tcPr>
            <w:tcW w:w="3600" w:type="dxa"/>
            <w:vAlign w:val="bottom"/>
            <w:gridSpan w:val="5"/>
          </w:tcPr>
          <w:p>
            <w:pPr>
              <w:spacing w:after="0"/>
              <w:rPr>
                <w:sz w:val="20"/>
                <w:szCs w:val="20"/>
                <w:color w:val="auto"/>
              </w:rPr>
            </w:pPr>
            <w:r>
              <w:rPr>
                <w:rFonts w:ascii="Courier New" w:cs="Courier New" w:eastAsia="Courier New" w:hAnsi="Courier New"/>
                <w:sz w:val="15"/>
                <w:szCs w:val="15"/>
                <w:color w:val="auto"/>
                <w:w w:val="99"/>
              </w:rPr>
              <w:t>Executive, shall be considered "willful"</w:t>
            </w:r>
          </w:p>
        </w:tc>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unless it is done,  or  omitted to</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be done, by</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the Executive</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bad</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faith</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or without reasonable belief</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that</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Executive's action or</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4"/>
              </w:rPr>
              <w:t>omission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was in</w:t>
            </w:r>
          </w:p>
        </w:tc>
        <w:tc>
          <w:tcPr>
            <w:tcW w:w="30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the best interests of the Company.</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Any act, or</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failure to act,</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7"/>
              </w:rPr>
              <w:t>based</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upon</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authority given pursuant to</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a</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resolution</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duly adopted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6"/>
              </w:rPr>
              <w:t>the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Board</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w w:val="96"/>
              </w:rPr>
              <w:t>or upon the instructions  of</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Chief Executive</w:t>
            </w:r>
          </w:p>
        </w:tc>
        <w:tc>
          <w:tcPr>
            <w:tcW w:w="31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Officer or a senior officer of the</w:t>
            </w: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Company</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or</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based upon</w:t>
            </w:r>
          </w:p>
        </w:tc>
      </w:tr>
      <w:tr>
        <w:trPr>
          <w:trHeight w:val="170"/>
        </w:trPr>
        <w:tc>
          <w:tcPr>
            <w:tcW w:w="6160" w:type="dxa"/>
            <w:vAlign w:val="bottom"/>
            <w:gridSpan w:val="12"/>
          </w:tcPr>
          <w:p>
            <w:pPr>
              <w:spacing w:after="0"/>
              <w:rPr>
                <w:sz w:val="20"/>
                <w:szCs w:val="20"/>
                <w:color w:val="auto"/>
              </w:rPr>
            </w:pPr>
            <w:r>
              <w:rPr>
                <w:rFonts w:ascii="Courier New" w:cs="Courier New" w:eastAsia="Courier New" w:hAnsi="Courier New"/>
                <w:sz w:val="15"/>
                <w:szCs w:val="15"/>
                <w:color w:val="auto"/>
              </w:rPr>
              <w:t>the advice of counsel for the Company shall be conclusively presumed</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to be</w:t>
            </w:r>
          </w:p>
        </w:tc>
      </w:tr>
      <w:tr>
        <w:trPr>
          <w:trHeight w:val="170"/>
        </w:trPr>
        <w:tc>
          <w:tcPr>
            <w:tcW w:w="3160" w:type="dxa"/>
            <w:vAlign w:val="bottom"/>
            <w:gridSpan w:val="5"/>
          </w:tcPr>
          <w:p>
            <w:pPr>
              <w:spacing w:after="0"/>
              <w:rPr>
                <w:sz w:val="20"/>
                <w:szCs w:val="20"/>
                <w:color w:val="auto"/>
              </w:rPr>
            </w:pPr>
            <w:r>
              <w:rPr>
                <w:rFonts w:ascii="Courier New" w:cs="Courier New" w:eastAsia="Courier New" w:hAnsi="Courier New"/>
                <w:sz w:val="15"/>
                <w:szCs w:val="15"/>
                <w:color w:val="auto"/>
                <w:w w:val="99"/>
              </w:rPr>
              <w:t>done, or omitted to be done, by the</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Executive</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good</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faith</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best interests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of  the</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w:t>
            </w:r>
          </w:p>
        </w:tc>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The cessation</w:t>
            </w:r>
          </w:p>
        </w:tc>
        <w:tc>
          <w:tcPr>
            <w:tcW w:w="230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w w:val="96"/>
              </w:rPr>
              <w:t>of employment of the</w:t>
            </w:r>
          </w:p>
        </w:tc>
      </w:tr>
      <w:tr>
        <w:trPr>
          <w:trHeight w:val="170"/>
        </w:trPr>
        <w:tc>
          <w:tcPr>
            <w:tcW w:w="3160" w:type="dxa"/>
            <w:vAlign w:val="bottom"/>
            <w:gridSpan w:val="5"/>
          </w:tcPr>
          <w:p>
            <w:pPr>
              <w:spacing w:after="0"/>
              <w:rPr>
                <w:sz w:val="20"/>
                <w:szCs w:val="20"/>
                <w:color w:val="auto"/>
              </w:rPr>
            </w:pPr>
            <w:r>
              <w:rPr>
                <w:rFonts w:ascii="Courier New" w:cs="Courier New" w:eastAsia="Courier New" w:hAnsi="Courier New"/>
                <w:sz w:val="15"/>
                <w:szCs w:val="15"/>
                <w:color w:val="auto"/>
                <w:w w:val="96"/>
              </w:rPr>
              <w:t>Executive shall not be deemed  to be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for</w:t>
            </w:r>
          </w:p>
        </w:tc>
        <w:tc>
          <w:tcPr>
            <w:tcW w:w="3180" w:type="dxa"/>
            <w:vAlign w:val="bottom"/>
            <w:gridSpan w:val="7"/>
          </w:tcPr>
          <w:p>
            <w:pPr>
              <w:jc w:val="right"/>
              <w:ind w:right="27"/>
              <w:spacing w:after="0"/>
              <w:rPr>
                <w:sz w:val="20"/>
                <w:szCs w:val="20"/>
                <w:color w:val="auto"/>
              </w:rPr>
            </w:pPr>
            <w:r>
              <w:rPr>
                <w:rFonts w:ascii="Courier New" w:cs="Courier New" w:eastAsia="Courier New" w:hAnsi="Courier New"/>
                <w:sz w:val="15"/>
                <w:szCs w:val="15"/>
                <w:color w:val="auto"/>
                <w:w w:val="99"/>
              </w:rPr>
              <w:t>Cause unless and until there shall</w:t>
            </w:r>
          </w:p>
        </w:tc>
      </w:tr>
      <w:tr>
        <w:trPr>
          <w:trHeight w:val="170"/>
        </w:trPr>
        <w:tc>
          <w:tcPr>
            <w:tcW w:w="2460" w:type="dxa"/>
            <w:vAlign w:val="bottom"/>
            <w:gridSpan w:val="4"/>
          </w:tcPr>
          <w:p>
            <w:pPr>
              <w:spacing w:after="0"/>
              <w:rPr>
                <w:sz w:val="20"/>
                <w:szCs w:val="20"/>
                <w:color w:val="auto"/>
              </w:rPr>
            </w:pPr>
            <w:r>
              <w:rPr>
                <w:rFonts w:ascii="Courier New" w:cs="Courier New" w:eastAsia="Courier New" w:hAnsi="Courier New"/>
                <w:sz w:val="15"/>
                <w:szCs w:val="15"/>
                <w:color w:val="auto"/>
              </w:rPr>
              <w:t>have been delivered to the</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Executive  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copy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w:t>
            </w:r>
          </w:p>
        </w:tc>
        <w:tc>
          <w:tcPr>
            <w:tcW w:w="13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a resolution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duly</w:t>
            </w:r>
          </w:p>
        </w:tc>
        <w:tc>
          <w:tcPr>
            <w:tcW w:w="620" w:type="dxa"/>
            <w:vAlign w:val="bottom"/>
          </w:tcPr>
          <w:p>
            <w:pPr>
              <w:spacing w:after="0"/>
              <w:rPr>
                <w:sz w:val="14"/>
                <w:szCs w:val="14"/>
                <w:color w:val="auto"/>
              </w:rPr>
            </w:pPr>
          </w:p>
        </w:tc>
      </w:tr>
      <w:tr>
        <w:trPr>
          <w:trHeight w:val="170"/>
        </w:trPr>
        <w:tc>
          <w:tcPr>
            <w:tcW w:w="2460" w:type="dxa"/>
            <w:vAlign w:val="bottom"/>
            <w:gridSpan w:val="4"/>
          </w:tcPr>
          <w:p>
            <w:pPr>
              <w:spacing w:after="0"/>
              <w:rPr>
                <w:sz w:val="20"/>
                <w:szCs w:val="20"/>
                <w:color w:val="auto"/>
              </w:rPr>
            </w:pPr>
            <w:r>
              <w:rPr>
                <w:rFonts w:ascii="Courier New" w:cs="Courier New" w:eastAsia="Courier New" w:hAnsi="Courier New"/>
                <w:sz w:val="15"/>
                <w:szCs w:val="15"/>
                <w:color w:val="auto"/>
                <w:w w:val="96"/>
              </w:rPr>
              <w:t>adopted  by  the affirmative</w:t>
            </w:r>
          </w:p>
        </w:tc>
        <w:tc>
          <w:tcPr>
            <w:tcW w:w="370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vote of not less than three quarters of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r>
      <w:tr>
        <w:trPr>
          <w:trHeight w:val="170"/>
        </w:trPr>
        <w:tc>
          <w:tcPr>
            <w:tcW w:w="4920" w:type="dxa"/>
            <w:vAlign w:val="bottom"/>
            <w:gridSpan w:val="9"/>
          </w:tcPr>
          <w:p>
            <w:pPr>
              <w:spacing w:after="0"/>
              <w:rPr>
                <w:sz w:val="20"/>
                <w:szCs w:val="20"/>
                <w:color w:val="auto"/>
              </w:rPr>
            </w:pPr>
            <w:r>
              <w:rPr>
                <w:rFonts w:ascii="Courier New" w:cs="Courier New" w:eastAsia="Courier New" w:hAnsi="Courier New"/>
                <w:sz w:val="15"/>
                <w:szCs w:val="15"/>
                <w:color w:val="auto"/>
                <w:w w:val="97"/>
              </w:rPr>
              <w:t>entire membership of the Board at a meeting of the Board</w:t>
            </w:r>
          </w:p>
        </w:tc>
        <w:tc>
          <w:tcPr>
            <w:tcW w:w="18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called and held for</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such</w:t>
            </w:r>
          </w:p>
        </w:tc>
        <w:tc>
          <w:tcPr>
            <w:tcW w:w="322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7"/>
              </w:rPr>
              <w:t>purpose (after reasonable notice is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provided</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to</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Executive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32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Executive is given an opportunity,</w:t>
            </w:r>
          </w:p>
        </w:tc>
        <w:tc>
          <w:tcPr>
            <w:tcW w:w="3180" w:type="dxa"/>
            <w:vAlign w:val="bottom"/>
            <w:gridSpan w:val="7"/>
          </w:tcPr>
          <w:p>
            <w:pPr>
              <w:jc w:val="right"/>
              <w:ind w:right="107"/>
              <w:spacing w:after="0"/>
              <w:rPr>
                <w:sz w:val="20"/>
                <w:szCs w:val="20"/>
                <w:color w:val="auto"/>
              </w:rPr>
            </w:pPr>
            <w:r>
              <w:rPr>
                <w:rFonts w:ascii="Courier New" w:cs="Courier New" w:eastAsia="Courier New" w:hAnsi="Courier New"/>
                <w:sz w:val="15"/>
                <w:szCs w:val="15"/>
                <w:color w:val="auto"/>
                <w:w w:val="97"/>
              </w:rPr>
              <w:t>together with counsel, to be heard</w:t>
            </w:r>
          </w:p>
        </w:tc>
      </w:tr>
      <w:tr>
        <w:trPr>
          <w:trHeight w:val="170"/>
        </w:trPr>
        <w:tc>
          <w:tcPr>
            <w:tcW w:w="4040" w:type="dxa"/>
            <w:vAlign w:val="bottom"/>
            <w:gridSpan w:val="7"/>
          </w:tcPr>
          <w:p>
            <w:pPr>
              <w:spacing w:after="0"/>
              <w:rPr>
                <w:sz w:val="20"/>
                <w:szCs w:val="20"/>
                <w:color w:val="auto"/>
              </w:rPr>
            </w:pPr>
            <w:r>
              <w:rPr>
                <w:rFonts w:ascii="Courier New" w:cs="Courier New" w:eastAsia="Courier New" w:hAnsi="Courier New"/>
                <w:sz w:val="15"/>
                <w:szCs w:val="15"/>
                <w:color w:val="auto"/>
              </w:rPr>
              <w:t>before the Board), finding that, in the good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faith</w:t>
            </w:r>
          </w:p>
        </w:tc>
        <w:tc>
          <w:tcPr>
            <w:tcW w:w="23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opinion of the Board, the</w:t>
            </w: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Executive is guilty of</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conduct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described</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w:t>
            </w:r>
          </w:p>
        </w:tc>
        <w:tc>
          <w:tcPr>
            <w:tcW w:w="13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subparagraph</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(i)</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or</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(ii)</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above,</w:t>
            </w:r>
          </w:p>
        </w:tc>
        <w:tc>
          <w:tcPr>
            <w:tcW w:w="4480" w:type="dxa"/>
            <w:vAlign w:val="bottom"/>
            <w:gridSpan w:val="9"/>
          </w:tcPr>
          <w:p>
            <w:pPr>
              <w:jc w:val="right"/>
              <w:ind w:right="87"/>
              <w:spacing w:after="0"/>
              <w:rPr>
                <w:sz w:val="20"/>
                <w:szCs w:val="20"/>
                <w:color w:val="auto"/>
              </w:rPr>
            </w:pPr>
            <w:r>
              <w:rPr>
                <w:rFonts w:ascii="Courier New" w:cs="Courier New" w:eastAsia="Courier New" w:hAnsi="Courier New"/>
                <w:sz w:val="15"/>
                <w:szCs w:val="15"/>
                <w:color w:val="auto"/>
                <w:w w:val="97"/>
              </w:rPr>
              <w:t>and specifying the particulars thereof in detail.</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75" w:lineRule="exact"/>
        <w:rPr>
          <w:sz w:val="20"/>
          <w:szCs w:val="20"/>
          <w:color w:val="auto"/>
        </w:rPr>
      </w:pPr>
    </w:p>
    <w:p>
      <w:pPr>
        <w:ind w:right="3439" w:firstLine="431"/>
        <w:spacing w:after="0" w:line="237" w:lineRule="auto"/>
        <w:tabs>
          <w:tab w:leader="none" w:pos="88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The Executive's employment may be terminated by the Executive for Good Reason. For purposes of this Agreement, "Good Reason" shall mean:</w:t>
      </w:r>
    </w:p>
    <w:p>
      <w:pPr>
        <w:spacing w:after="0" w:line="174" w:lineRule="exact"/>
        <w:rPr>
          <w:rFonts w:ascii="Courier New" w:cs="Courier New" w:eastAsia="Courier New" w:hAnsi="Courier New"/>
          <w:sz w:val="15"/>
          <w:szCs w:val="15"/>
          <w:color w:val="auto"/>
        </w:rPr>
      </w:pPr>
    </w:p>
    <w:p>
      <w:pPr>
        <w:ind w:left="440" w:right="3439" w:firstLine="432"/>
        <w:spacing w:after="0" w:line="238" w:lineRule="auto"/>
        <w:tabs>
          <w:tab w:leader="none" w:pos="132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78" w:lineRule="exact"/>
        <w:rPr>
          <w:rFonts w:ascii="Courier New" w:cs="Courier New" w:eastAsia="Courier New" w:hAnsi="Courier New"/>
          <w:sz w:val="15"/>
          <w:szCs w:val="15"/>
          <w:color w:val="auto"/>
        </w:rPr>
      </w:pPr>
    </w:p>
    <w:p>
      <w:pPr>
        <w:ind w:left="440" w:right="3699" w:firstLine="432"/>
        <w:spacing w:after="0" w:line="237" w:lineRule="auto"/>
        <w:tabs>
          <w:tab w:leader="none" w:pos="1409"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20" w:name="page21"/>
    <w:bookmarkEnd w:id="20"/>
    <w:p>
      <w:pPr>
        <w:ind w:left="440" w:right="3439" w:firstLine="432"/>
        <w:spacing w:after="0" w:line="237" w:lineRule="auto"/>
        <w:tabs>
          <w:tab w:leader="none" w:pos="149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requiring the Executive to be based at any office or location other than as provided in Section 4(a)(i)(B) hereof or the Company's requiring the Executive to travel on Company business to a substantially greater extent than required immediately prior to the Effective Date;</w:t>
      </w:r>
    </w:p>
    <w:p>
      <w:pPr>
        <w:spacing w:after="0" w:line="178" w:lineRule="exact"/>
        <w:rPr>
          <w:rFonts w:ascii="Courier New" w:cs="Courier New" w:eastAsia="Courier New" w:hAnsi="Courier New"/>
          <w:sz w:val="15"/>
          <w:szCs w:val="15"/>
          <w:color w:val="auto"/>
        </w:rPr>
      </w:pPr>
    </w:p>
    <w:p>
      <w:pPr>
        <w:jc w:val="both"/>
        <w:ind w:left="440" w:right="3619" w:firstLine="432"/>
        <w:spacing w:after="0" w:line="265" w:lineRule="auto"/>
        <w:tabs>
          <w:tab w:leader="none" w:pos="140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58" w:lineRule="exact"/>
        <w:rPr>
          <w:rFonts w:ascii="Courier New" w:cs="Courier New" w:eastAsia="Courier New" w:hAnsi="Courier New"/>
          <w:sz w:val="14"/>
          <w:szCs w:val="14"/>
          <w:color w:val="auto"/>
        </w:rPr>
      </w:pPr>
    </w:p>
    <w:p>
      <w:pPr>
        <w:ind w:left="440" w:right="3539" w:firstLine="432"/>
        <w:spacing w:after="0" w:line="235" w:lineRule="auto"/>
        <w:tabs>
          <w:tab w:leader="none" w:pos="132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and satisfy Section 11(c) of this Agreement.</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For purposes of this Section 5(c), any good faith determination of "Good Reason" made by the Executive shall be conclusive. Anything in this Agreement to the contrary notwithstanding, a termination by the Executive for any reason during the 30-day period immediately following the first anniversary of the Effective Date shall be deemed to be a termination for Good Reason for all purposes of this Agreement.</w:t>
      </w:r>
    </w:p>
    <w:p>
      <w:pPr>
        <w:spacing w:after="0" w:line="176" w:lineRule="exact"/>
        <w:rPr>
          <w:sz w:val="20"/>
          <w:szCs w:val="20"/>
          <w:color w:val="auto"/>
        </w:rPr>
      </w:pPr>
    </w:p>
    <w:p>
      <w:pPr>
        <w:ind w:left="880" w:hanging="449"/>
        <w:spacing w:after="0"/>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or  by  the</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Executive for</w:t>
            </w:r>
          </w:p>
        </w:tc>
        <w:tc>
          <w:tcPr>
            <w:tcW w:w="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Good</w:t>
            </w:r>
          </w:p>
        </w:tc>
        <w:tc>
          <w:tcPr>
            <w:tcW w:w="1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Reason,  shall</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be</w:t>
            </w:r>
          </w:p>
        </w:tc>
        <w:tc>
          <w:tcPr>
            <w:tcW w:w="11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communicated</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by Notice</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of Termination to the</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other party</w:t>
            </w:r>
          </w:p>
        </w:tc>
        <w:tc>
          <w:tcPr>
            <w:tcW w:w="1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hereto given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in</w:t>
            </w:r>
          </w:p>
        </w:tc>
        <w:tc>
          <w:tcPr>
            <w:tcW w:w="22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accordance with Section</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12(b) of this</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Agreement.</w:t>
            </w:r>
          </w:p>
        </w:tc>
        <w:tc>
          <w:tcPr>
            <w:tcW w:w="11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For purposes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of</w:t>
            </w:r>
          </w:p>
        </w:tc>
        <w:tc>
          <w:tcPr>
            <w:tcW w:w="2820" w:type="dxa"/>
            <w:vAlign w:val="bottom"/>
            <w:gridSpan w:val="6"/>
          </w:tcPr>
          <w:p>
            <w:pPr>
              <w:jc w:val="center"/>
              <w:ind w:right="287"/>
              <w:spacing w:after="0"/>
              <w:rPr>
                <w:sz w:val="20"/>
                <w:szCs w:val="20"/>
                <w:color w:val="auto"/>
              </w:rPr>
            </w:pPr>
            <w:r>
              <w:rPr>
                <w:rFonts w:ascii="Courier New" w:cs="Courier New" w:eastAsia="Courier New" w:hAnsi="Courier New"/>
                <w:sz w:val="15"/>
                <w:szCs w:val="15"/>
                <w:color w:val="auto"/>
                <w:w w:val="97"/>
              </w:rPr>
              <w:t>this Agreement, a "Notice of</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Termination"</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means</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a written</w:t>
            </w:r>
          </w:p>
        </w:tc>
        <w:tc>
          <w:tcPr>
            <w:tcW w:w="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notice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which</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indicates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specific</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termination provision</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this</w:t>
            </w:r>
          </w:p>
        </w:tc>
        <w:tc>
          <w:tcPr>
            <w:tcW w:w="2520" w:type="dxa"/>
            <w:vAlign w:val="bottom"/>
            <w:gridSpan w:val="6"/>
          </w:tcPr>
          <w:p>
            <w:pPr>
              <w:spacing w:after="0"/>
              <w:rPr>
                <w:sz w:val="20"/>
                <w:szCs w:val="20"/>
                <w:color w:val="auto"/>
              </w:rPr>
            </w:pPr>
            <w:r>
              <w:rPr>
                <w:rFonts w:ascii="Courier New" w:cs="Courier New" w:eastAsia="Courier New" w:hAnsi="Courier New"/>
                <w:sz w:val="15"/>
                <w:szCs w:val="15"/>
                <w:color w:val="auto"/>
              </w:rPr>
              <w:t>Agreement relied upon, (ii)</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the  extent</w:t>
            </w:r>
          </w:p>
        </w:tc>
      </w:tr>
      <w:tr>
        <w:trPr>
          <w:trHeight w:val="170"/>
        </w:trPr>
        <w:tc>
          <w:tcPr>
            <w:tcW w:w="5420" w:type="dxa"/>
            <w:vAlign w:val="bottom"/>
            <w:gridSpan w:val="12"/>
          </w:tcPr>
          <w:p>
            <w:pPr>
              <w:spacing w:after="0"/>
              <w:rPr>
                <w:sz w:val="20"/>
                <w:szCs w:val="20"/>
                <w:color w:val="auto"/>
              </w:rPr>
            </w:pPr>
            <w:r>
              <w:rPr>
                <w:rFonts w:ascii="Courier New" w:cs="Courier New" w:eastAsia="Courier New" w:hAnsi="Courier New"/>
                <w:sz w:val="15"/>
                <w:szCs w:val="15"/>
                <w:color w:val="auto"/>
                <w:w w:val="99"/>
              </w:rPr>
              <w:t>applicable,  sets  forth  in  reasonable  detail  the  facts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020" w:type="dxa"/>
            <w:vAlign w:val="bottom"/>
          </w:tcPr>
          <w:p>
            <w:pPr>
              <w:spacing w:after="0"/>
              <w:rPr>
                <w:sz w:val="14"/>
                <w:szCs w:val="14"/>
                <w:color w:val="auto"/>
              </w:rPr>
            </w:pP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circumstances claimed</w:t>
            </w:r>
          </w:p>
        </w:tc>
        <w:tc>
          <w:tcPr>
            <w:tcW w:w="308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7"/>
              </w:rPr>
              <w:t>to provide a basis for termination</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Executive's</w:t>
            </w:r>
          </w:p>
        </w:tc>
      </w:tr>
      <w:tr>
        <w:trPr>
          <w:trHeight w:val="170"/>
        </w:trPr>
        <w:tc>
          <w:tcPr>
            <w:tcW w:w="4920" w:type="dxa"/>
            <w:vAlign w:val="bottom"/>
            <w:gridSpan w:val="11"/>
          </w:tcPr>
          <w:p>
            <w:pPr>
              <w:spacing w:after="0"/>
              <w:rPr>
                <w:sz w:val="20"/>
                <w:szCs w:val="20"/>
                <w:color w:val="auto"/>
              </w:rPr>
            </w:pPr>
            <w:r>
              <w:rPr>
                <w:rFonts w:ascii="Courier New" w:cs="Courier New" w:eastAsia="Courier New" w:hAnsi="Courier New"/>
                <w:sz w:val="15"/>
                <w:szCs w:val="15"/>
                <w:color w:val="auto"/>
                <w:w w:val="97"/>
              </w:rPr>
              <w:t>employment under the provision so indicated and (iii) if</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 of</w:t>
            </w:r>
          </w:p>
        </w:tc>
      </w:tr>
      <w:tr>
        <w:trPr>
          <w:trHeight w:val="170"/>
        </w:trPr>
        <w:tc>
          <w:tcPr>
            <w:tcW w:w="3960" w:type="dxa"/>
            <w:vAlign w:val="bottom"/>
            <w:gridSpan w:val="8"/>
          </w:tcPr>
          <w:p>
            <w:pPr>
              <w:spacing w:after="0"/>
              <w:rPr>
                <w:sz w:val="20"/>
                <w:szCs w:val="20"/>
                <w:color w:val="auto"/>
              </w:rPr>
            </w:pPr>
            <w:r>
              <w:rPr>
                <w:rFonts w:ascii="Courier New" w:cs="Courier New" w:eastAsia="Courier New" w:hAnsi="Courier New"/>
                <w:sz w:val="15"/>
                <w:szCs w:val="15"/>
                <w:color w:val="auto"/>
                <w:w w:val="99"/>
              </w:rPr>
              <w:t>Termination (as defined below) is other than</w:t>
            </w:r>
          </w:p>
        </w:tc>
        <w:tc>
          <w:tcPr>
            <w:tcW w:w="960" w:type="dxa"/>
            <w:vAlign w:val="bottom"/>
            <w:gridSpan w:val="3"/>
          </w:tcPr>
          <w:p>
            <w:pPr>
              <w:jc w:val="center"/>
              <w:ind w:right="7"/>
              <w:spacing w:after="0"/>
              <w:rPr>
                <w:sz w:val="20"/>
                <w:szCs w:val="20"/>
                <w:color w:val="auto"/>
              </w:rPr>
            </w:pPr>
            <w:r>
              <w:rPr>
                <w:rFonts w:ascii="Courier New" w:cs="Courier New" w:eastAsia="Courier New" w:hAnsi="Courier New"/>
                <w:sz w:val="15"/>
                <w:szCs w:val="15"/>
                <w:color w:val="auto"/>
                <w:w w:val="99"/>
              </w:rPr>
              <w:t>the date</w:t>
            </w:r>
          </w:p>
        </w:tc>
        <w:tc>
          <w:tcPr>
            <w:tcW w:w="1860" w:type="dxa"/>
            <w:vAlign w:val="bottom"/>
            <w:gridSpan w:val="3"/>
          </w:tcPr>
          <w:p>
            <w:pPr>
              <w:spacing w:after="0"/>
              <w:rPr>
                <w:sz w:val="20"/>
                <w:szCs w:val="20"/>
                <w:color w:val="auto"/>
              </w:rPr>
            </w:pPr>
            <w:r>
              <w:rPr>
                <w:rFonts w:ascii="Courier New" w:cs="Courier New" w:eastAsia="Courier New" w:hAnsi="Courier New"/>
                <w:sz w:val="15"/>
                <w:szCs w:val="15"/>
                <w:color w:val="auto"/>
              </w:rPr>
              <w:t>of  receipt of such</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notice, specifies the</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termination</w:t>
            </w:r>
          </w:p>
        </w:tc>
        <w:tc>
          <w:tcPr>
            <w:tcW w:w="1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date (which</w:t>
            </w:r>
          </w:p>
        </w:tc>
        <w:tc>
          <w:tcPr>
            <w:tcW w:w="12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date shall be</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not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more than</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thirty days after the</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giving of</w:t>
            </w:r>
          </w:p>
        </w:tc>
        <w:tc>
          <w:tcPr>
            <w:tcW w:w="388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7"/>
              </w:rPr>
              <w:t>such notice).  The failure by the Executive</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or the Company to set</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forth</w:t>
            </w:r>
          </w:p>
        </w:tc>
        <w:tc>
          <w:tcPr>
            <w:tcW w:w="4140" w:type="dxa"/>
            <w:vAlign w:val="bottom"/>
            <w:gridSpan w:val="9"/>
          </w:tcPr>
          <w:p>
            <w:pPr>
              <w:jc w:val="center"/>
              <w:ind w:right="547"/>
              <w:spacing w:after="0"/>
              <w:rPr>
                <w:sz w:val="20"/>
                <w:szCs w:val="20"/>
                <w:color w:val="auto"/>
              </w:rPr>
            </w:pPr>
            <w:r>
              <w:rPr>
                <w:rFonts w:ascii="Courier New" w:cs="Courier New" w:eastAsia="Courier New" w:hAnsi="Courier New"/>
                <w:sz w:val="15"/>
                <w:szCs w:val="15"/>
                <w:color w:val="auto"/>
                <w:w w:val="97"/>
              </w:rPr>
              <w:t>in the Notice of Termination any fact or</w:t>
            </w:r>
          </w:p>
        </w:tc>
      </w:tr>
      <w:tr>
        <w:trPr>
          <w:trHeight w:val="170"/>
        </w:trPr>
        <w:tc>
          <w:tcPr>
            <w:tcW w:w="5420" w:type="dxa"/>
            <w:vAlign w:val="bottom"/>
            <w:gridSpan w:val="12"/>
          </w:tcPr>
          <w:p>
            <w:pPr>
              <w:spacing w:after="0"/>
              <w:rPr>
                <w:sz w:val="20"/>
                <w:szCs w:val="20"/>
                <w:color w:val="auto"/>
              </w:rPr>
            </w:pPr>
            <w:r>
              <w:rPr>
                <w:rFonts w:ascii="Courier New" w:cs="Courier New" w:eastAsia="Courier New" w:hAnsi="Courier New"/>
                <w:sz w:val="15"/>
                <w:szCs w:val="15"/>
                <w:color w:val="auto"/>
                <w:w w:val="98"/>
              </w:rPr>
              <w:t>circumstance which contributes to a showing of Good Reason or</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Cause shall</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not waive</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right</w:t>
            </w:r>
          </w:p>
        </w:tc>
        <w:tc>
          <w:tcPr>
            <w:tcW w:w="3080" w:type="dxa"/>
            <w:vAlign w:val="bottom"/>
            <w:gridSpan w:val="8"/>
          </w:tcPr>
          <w:p>
            <w:pPr>
              <w:ind w:left="80"/>
              <w:spacing w:after="0"/>
              <w:rPr>
                <w:sz w:val="20"/>
                <w:szCs w:val="20"/>
                <w:color w:val="auto"/>
              </w:rPr>
            </w:pPr>
            <w:r>
              <w:rPr>
                <w:rFonts w:ascii="Courier New" w:cs="Courier New" w:eastAsia="Courier New" w:hAnsi="Courier New"/>
                <w:sz w:val="15"/>
                <w:szCs w:val="15"/>
                <w:color w:val="auto"/>
              </w:rPr>
              <w:t>of the Executive or the Company,</w:t>
            </w:r>
          </w:p>
        </w:tc>
        <w:tc>
          <w:tcPr>
            <w:tcW w:w="1860" w:type="dxa"/>
            <w:vAlign w:val="bottom"/>
            <w:gridSpan w:val="3"/>
          </w:tcPr>
          <w:p>
            <w:pPr>
              <w:spacing w:after="0"/>
              <w:rPr>
                <w:sz w:val="20"/>
                <w:szCs w:val="20"/>
                <w:color w:val="auto"/>
              </w:rPr>
            </w:pPr>
            <w:r>
              <w:rPr>
                <w:rFonts w:ascii="Courier New" w:cs="Courier New" w:eastAsia="Courier New" w:hAnsi="Courier New"/>
                <w:sz w:val="15"/>
                <w:szCs w:val="15"/>
                <w:color w:val="auto"/>
              </w:rPr>
              <w:t>respectively,</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hereunder or preclude</w:t>
            </w:r>
          </w:p>
        </w:tc>
        <w:tc>
          <w:tcPr>
            <w:tcW w:w="392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8"/>
              </w:rPr>
              <w:t>the Executive or the Company, respectively,</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asserting</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such  fact</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or</w:t>
            </w:r>
          </w:p>
        </w:tc>
        <w:tc>
          <w:tcPr>
            <w:tcW w:w="11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circumstance</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in</w:t>
            </w:r>
          </w:p>
        </w:tc>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enforcing</w:t>
            </w:r>
          </w:p>
        </w:tc>
        <w:tc>
          <w:tcPr>
            <w:tcW w:w="1860" w:type="dxa"/>
            <w:vAlign w:val="bottom"/>
            <w:gridSpan w:val="3"/>
          </w:tcPr>
          <w:p>
            <w:pPr>
              <w:spacing w:after="0"/>
              <w:rPr>
                <w:sz w:val="20"/>
                <w:szCs w:val="20"/>
                <w:color w:val="auto"/>
              </w:rPr>
            </w:pPr>
            <w:r>
              <w:rPr>
                <w:rFonts w:ascii="Courier New" w:cs="Courier New" w:eastAsia="Courier New" w:hAnsi="Courier New"/>
                <w:sz w:val="15"/>
                <w:szCs w:val="15"/>
                <w:color w:val="auto"/>
              </w:rPr>
              <w:t>the Executive's or</w:t>
            </w:r>
          </w:p>
        </w:tc>
      </w:tr>
      <w:tr>
        <w:trPr>
          <w:trHeight w:val="170"/>
        </w:trPr>
        <w:tc>
          <w:tcPr>
            <w:tcW w:w="2900" w:type="dxa"/>
            <w:vAlign w:val="bottom"/>
            <w:gridSpan w:val="6"/>
          </w:tcPr>
          <w:p>
            <w:pPr>
              <w:spacing w:after="0"/>
              <w:rPr>
                <w:sz w:val="20"/>
                <w:szCs w:val="20"/>
                <w:color w:val="auto"/>
              </w:rPr>
            </w:pPr>
            <w:r>
              <w:rPr>
                <w:rFonts w:ascii="Courier New" w:cs="Courier New" w:eastAsia="Courier New" w:hAnsi="Courier New"/>
                <w:sz w:val="15"/>
                <w:szCs w:val="15"/>
                <w:color w:val="auto"/>
              </w:rPr>
              <w:t>the Company's rights hereunder.</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75" w:lineRule="exact"/>
        <w:rPr>
          <w:sz w:val="20"/>
          <w:szCs w:val="20"/>
          <w:color w:val="auto"/>
        </w:rPr>
      </w:pPr>
    </w:p>
    <w:p>
      <w:pPr>
        <w:ind w:right="3439" w:firstLine="431"/>
        <w:spacing w:after="0" w:line="238" w:lineRule="auto"/>
        <w:tabs>
          <w:tab w:leader="none" w:pos="88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of Termination shall be the date on which the</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notifies  the  Executive of such termination  and  (iii)  if  the</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Executive's employment is terminated by reason of death or Disability, the Date of Termination shall be the date of death of the Executive or the Disability Effective Date, as the case may be.</w:t>
      </w:r>
    </w:p>
    <w:p>
      <w:pPr>
        <w:spacing w:after="0" w:line="175" w:lineRule="exact"/>
        <w:rPr>
          <w:sz w:val="20"/>
          <w:szCs w:val="20"/>
          <w:color w:val="auto"/>
        </w:rPr>
      </w:pPr>
    </w:p>
    <w:p>
      <w:pPr>
        <w:ind w:right="3539" w:firstLine="431"/>
        <w:spacing w:after="0" w:line="237" w:lineRule="auto"/>
        <w:tabs>
          <w:tab w:leader="none" w:pos="79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COMPANY UPON TERMINATION. (a) GOOD REASON; OTHER THAN FOR CAUSE, DEATH OR DISABILITY. If, during the Employment Period, the Company shall terminate the Executive's employment other than for Cause or Disability or the Executive shall terminate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employment for Good Reason:</w:t>
      </w:r>
    </w:p>
    <w:p>
      <w:pPr>
        <w:spacing w:after="0" w:line="175" w:lineRule="exact"/>
        <w:rPr>
          <w:sz w:val="20"/>
          <w:szCs w:val="20"/>
          <w:color w:val="auto"/>
        </w:rPr>
      </w:pPr>
    </w:p>
    <w:p>
      <w:pPr>
        <w:ind w:left="440" w:right="3619" w:firstLine="432"/>
        <w:spacing w:after="0" w:line="237" w:lineRule="auto"/>
        <w:tabs>
          <w:tab w:leader="none" w:pos="132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Executive in a lump sum in cash within 30 days after the Date of Termination the aggregate of the following amounts:</w:t>
      </w:r>
    </w:p>
    <w:p>
      <w:pPr>
        <w:spacing w:after="0" w:line="174" w:lineRule="exact"/>
        <w:rPr>
          <w:rFonts w:ascii="Courier New" w:cs="Courier New" w:eastAsia="Courier New" w:hAnsi="Courier New"/>
          <w:sz w:val="15"/>
          <w:szCs w:val="15"/>
          <w:color w:val="auto"/>
        </w:rPr>
      </w:pPr>
    </w:p>
    <w:p>
      <w:pPr>
        <w:ind w:left="880" w:right="3439" w:firstLine="433"/>
        <w:spacing w:after="0" w:line="256" w:lineRule="auto"/>
        <w:tabs>
          <w:tab w:leader="none" w:pos="1673"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(1) the Executive's Annual Base Salary through the Date of Termination to the extent not theretofore paid, (2) the product of (x) the higher of (I) the Recent Annual Bonus and</w:t>
      </w:r>
    </w:p>
    <w:p>
      <w:pPr>
        <w:ind w:left="880" w:right="33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(II) the Annual Bonus paid or payable, including any bonus or portion thereof which has ben earned but deferred (and annualized for any fiscal year consisting of less than twelve full months or during which the Executive was employed for less than twelve full months), for the most recently completed fiscal year during the Employment Period, if any (such higher amount being referred to as the "Highest Annual Bonus") and (y) a fraction, the numerator of which is the number of days in the current fiscal year through the Date of Termination, and the denominator of which is 365 and (3) any compensation previously deferred by the Executive (together with any accrued interest or earnings thereon) and any accrued vacation pay, in each case to the extent not theretofore paid (the sum of the amounts described in clauses (1), (2), and (3) shall be hereinafter referred to as the "Accrued Obligations"); and</w:t>
      </w:r>
    </w:p>
    <w:p>
      <w:pPr>
        <w:spacing w:after="0" w:line="183" w:lineRule="exact"/>
        <w:rPr>
          <w:rFonts w:ascii="Courier New" w:cs="Courier New" w:eastAsia="Courier New" w:hAnsi="Courier New"/>
          <w:sz w:val="14"/>
          <w:szCs w:val="14"/>
          <w:color w:val="auto"/>
        </w:rPr>
      </w:pPr>
    </w:p>
    <w:p>
      <w:pPr>
        <w:jc w:val="both"/>
        <w:ind w:left="880" w:right="3619" w:firstLine="433"/>
        <w:spacing w:after="0" w:line="237" w:lineRule="auto"/>
        <w:tabs>
          <w:tab w:leader="none" w:pos="1673"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equal to the product of (1) three and (2) the sum of (x) the Executive's Annual Base Salary and (y) the Highest Annual Bonus; and</w:t>
      </w:r>
    </w:p>
    <w:p>
      <w:pPr>
        <w:spacing w:after="0" w:line="174" w:lineRule="exact"/>
        <w:rPr>
          <w:rFonts w:ascii="Courier New" w:cs="Courier New" w:eastAsia="Courier New" w:hAnsi="Courier New"/>
          <w:sz w:val="15"/>
          <w:szCs w:val="15"/>
          <w:color w:val="auto"/>
        </w:rPr>
      </w:pPr>
    </w:p>
    <w:p>
      <w:pPr>
        <w:ind w:left="880" w:right="3439" w:firstLine="433"/>
        <w:spacing w:after="0" w:line="238" w:lineRule="auto"/>
        <w:tabs>
          <w:tab w:leader="none" w:pos="1673"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excess of (1) the actuarial equivalent of the benefit under the Company's qualified defined benefit retirement plan (the "Retirement Plan") (utilizing actuarial assumptions no less favorable to the Executive than those in effect under the Company's Retirement Plan immediately prior to the Effective Date), and any excess or supplemental retirement plan in which the Executive participates (together, the "SERP") which the Executive would receive if the Executive's employment continued for three years after the Date of Termination assuming for this purpose that all accrued benefits are fully vested, and, assuming that the Executive's compensation in each of the three years is that required by Section 4(b)(i) and Section 4(b)(ii), over (2) the actuarial equivalent of the Executive's actual benefit (paid or payable), if any, under the Retirement Plan and the SERP as of the Date of Termination;</w:t>
      </w:r>
    </w:p>
    <w:p>
      <w:pPr>
        <w:spacing w:after="0" w:line="184" w:lineRule="exact"/>
        <w:rPr>
          <w:rFonts w:ascii="Courier New" w:cs="Courier New" w:eastAsia="Courier New" w:hAnsi="Courier New"/>
          <w:sz w:val="15"/>
          <w:szCs w:val="15"/>
          <w:color w:val="auto"/>
        </w:rPr>
      </w:pPr>
    </w:p>
    <w:p>
      <w:pPr>
        <w:ind w:left="440" w:right="3439" w:firstLine="432"/>
        <w:spacing w:after="0" w:line="257" w:lineRule="auto"/>
        <w:tabs>
          <w:tab w:leader="none" w:pos="140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three years after the Executive's Date of Termination, or such longer period as may be provided by the terms of the appropriate plan, program, practice or policy, the Company shall continue benefits to the Executive and/or the Executive's family at least equal to those which would have been provided to them in accordance with the plans, programs, practices and policies described in Section 4(b)(iv) of this Agreement if the Executive's employment had not been terminated or, if more favorable to the Executive, as in effect generally at any time thereafter with respect to other peer executives of the Company and its affiliated companies and their families, provided,</w:t>
      </w: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1" w:right="1440" w:bottom="1440" w:gutter="0" w:footer="0" w:header="0"/>
        </w:sectPr>
      </w:pPr>
    </w:p>
    <w:bookmarkStart w:id="22" w:name="page23"/>
    <w:bookmarkEnd w:id="22"/>
    <w:p>
      <w:pPr>
        <w:ind w:left="9" w:right="3439"/>
        <w:spacing w:after="0" w:line="238" w:lineRule="auto"/>
        <w:rPr>
          <w:sz w:val="20"/>
          <w:szCs w:val="20"/>
          <w:color w:val="auto"/>
        </w:rPr>
      </w:pPr>
      <w:r>
        <w:rPr>
          <w:rFonts w:ascii="Courier New" w:cs="Courier New" w:eastAsia="Courier New" w:hAnsi="Courier New"/>
          <w:sz w:val="15"/>
          <w:szCs w:val="15"/>
          <w:color w:val="auto"/>
        </w:rPr>
        <w:t>however, that if the Executive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For purposes of determining eligibility (but not the time of commencement of benefits) of the Executive for retiree benefits pursuant to such plans, practices, programs and policies, the Executive shall be considered to have remained employed until three years after the Date of Termination and to have retired on the last day of such period;</w:t>
      </w:r>
    </w:p>
    <w:p>
      <w:pPr>
        <w:spacing w:after="0" w:line="180" w:lineRule="exact"/>
        <w:rPr>
          <w:sz w:val="20"/>
          <w:szCs w:val="20"/>
          <w:color w:val="auto"/>
        </w:rPr>
      </w:pPr>
    </w:p>
    <w:p>
      <w:pPr>
        <w:ind w:left="9" w:right="3439" w:firstLine="432"/>
        <w:spacing w:after="0" w:line="260" w:lineRule="auto"/>
        <w:tabs>
          <w:tab w:leader="none" w:pos="1066"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at its sole expense as incurred, provide the Executive with outplacement services the scope and provider of which shall be selected by the Executive in his sole discretion; and</w:t>
      </w:r>
    </w:p>
    <w:p>
      <w:pPr>
        <w:spacing w:after="0" w:line="162" w:lineRule="exact"/>
        <w:rPr>
          <w:rFonts w:ascii="Courier New" w:cs="Courier New" w:eastAsia="Courier New" w:hAnsi="Courier New"/>
          <w:sz w:val="14"/>
          <w:szCs w:val="14"/>
          <w:color w:val="auto"/>
        </w:rPr>
      </w:pPr>
    </w:p>
    <w:p>
      <w:pPr>
        <w:ind w:left="9" w:right="3539" w:firstLine="432"/>
        <w:spacing w:after="0" w:line="238" w:lineRule="auto"/>
        <w:tabs>
          <w:tab w:leader="none" w:pos="97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theretofore paid or provided, the Company shall timely pay or provide to the Executive any other amounts or benefits required to be paid or provided or which the Executive is eligible to receive under any plan, program, policy or practice or contract or agreement of the Company and its affiliated companies (such other amounts and benefits shall be hereinafter referred to as the "Other Benefits").</w:t>
      </w:r>
    </w:p>
    <w:p>
      <w:pPr>
        <w:spacing w:after="0" w:line="176" w:lineRule="exact"/>
        <w:rPr>
          <w:rFonts w:ascii="Courier New" w:cs="Courier New" w:eastAsia="Courier New" w:hAnsi="Courier New"/>
          <w:sz w:val="15"/>
          <w:szCs w:val="15"/>
          <w:color w:val="auto"/>
        </w:rPr>
      </w:pPr>
    </w:p>
    <w:p>
      <w:pPr>
        <w:ind w:left="-431" w:right="3439" w:firstLine="431"/>
        <w:spacing w:after="0" w:line="239"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the Executive's employment is terminated by reason of the Executive's death during the Employment Period, this Agreement shall terminate without further obligations to the Executive's legal representatives under this Agreement, other than for payment of Accrued Obligations and the timely payment or provision of Other Benefits. Accrued Obligations shall be paid to the Executive's estate or beneficiary, as applicable, in a lump sum in cash within 30 days of the Date of Termination. With respect to the provision of Other Benefits, the term Other Benefits as utilized in this Section 6(b) shall include, without limitation, and the Executive's estate and/or beneficiaries shall be entitled to receive, benefits at least equal to the most favorable benefits provided by the Company and affiliated companies to the estates and beneficiaries of peer executives of the Company and such affiliated companies under such plans, programs, practices and policies relating to death benefits, if any, as in effect with respect to other peer executives and their beneficiaries at any time during the 120-day period immediately preceding the Effective Date or, if more favorable to the Executive's estate and/or the Executive's beneficiaries, as in effect on the date of the Executive's death with respect to other peer executives of the Company and its affiliated companies and their beneficiaries.</w:t>
      </w:r>
    </w:p>
    <w:p>
      <w:pPr>
        <w:spacing w:after="0" w:line="175" w:lineRule="exact"/>
        <w:rPr>
          <w:rFonts w:ascii="Courier New" w:cs="Courier New" w:eastAsia="Courier New" w:hAnsi="Courier New"/>
          <w:sz w:val="15"/>
          <w:szCs w:val="15"/>
          <w:color w:val="auto"/>
        </w:rPr>
      </w:pPr>
    </w:p>
    <w:p>
      <w:pPr>
        <w:ind w:left="-431" w:right="3439" w:firstLine="431"/>
        <w:spacing w:after="0" w:line="238"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the Executive's employment is terminated by reason of the Executive's Disability during the Employment Period, this Agreement shall terminate without further obligations to the Executive, other than for payment of Accrued Obligations and the timely payment or provision of Other Benefits. Accrued Obligations shall be paid to the Executive in a lump sum in cash within 30 days of the Date of Termination. With respect to the provision of Other Benefits, the term "Other Benefits" as utilized in this Section 6(c) shall include, and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w:t>
      </w:r>
    </w:p>
    <w:p>
      <w:pPr>
        <w:spacing w:after="0" w:line="176"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88"/>
          </w:cols>
          <w:pgMar w:left="671" w:top="797" w:right="1440" w:bottom="1440" w:gutter="0" w:footer="0" w:header="0"/>
        </w:sectPr>
      </w:pPr>
    </w:p>
    <w:bookmarkStart w:id="23" w:name="page24"/>
    <w:bookmarkEnd w:id="23"/>
    <w:p>
      <w:pPr>
        <w:ind w:right="3439"/>
        <w:spacing w:after="0" w:line="238" w:lineRule="auto"/>
        <w:rPr>
          <w:sz w:val="20"/>
          <w:szCs w:val="20"/>
          <w:color w:val="auto"/>
        </w:rPr>
      </w:pPr>
      <w:r>
        <w:rPr>
          <w:rFonts w:ascii="Courier New" w:cs="Courier New" w:eastAsia="Courier New" w:hAnsi="Courier New"/>
          <w:sz w:val="15"/>
          <w:szCs w:val="15"/>
          <w:color w:val="auto"/>
        </w:rPr>
        <w:t>programs, practices and policies relating to disability, if any, as in effect generally with respect to other peer executives and their families at any time during the 120-day period immediately preceding the Effective Date or, if more favorable to the Executive and/or the Executive's family, as in effect at any time thereafter generally with respect to other peer executives of the Company and its affiliated companies and their families.</w:t>
      </w:r>
    </w:p>
    <w:p>
      <w:pPr>
        <w:spacing w:after="0" w:line="176" w:lineRule="exact"/>
        <w:rPr>
          <w:sz w:val="20"/>
          <w:szCs w:val="20"/>
          <w:color w:val="auto"/>
        </w:rPr>
      </w:pPr>
    </w:p>
    <w:p>
      <w:pPr>
        <w:ind w:right="3439" w:firstLine="431"/>
        <w:spacing w:after="0" w:line="238" w:lineRule="auto"/>
        <w:tabs>
          <w:tab w:leader="none" w:pos="88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OTHER THAN FOR GOOD REASON. If the Executive's employment shall be terminated for Cause during the Employment Period, this Agreement shall terminate without further obligations to the Executive other than the obligation to pay to the Executive (x) his Annual Base Salary through the Date of Termination, (y) the amount of any compensation previously deferred by the Executive, and (z) Other Benefits, in each case to the extent theretofore unpaid. If the Executive voluntarily terminates employment during the Employment Period, excluding a termination for Good Reason, this Agreement shall terminate without further obligations to the Executive, other than for Accrued Obligations and the timely payment or provision of Other Benefits. In such case, all Accrued Obligations shall be paid to the Executive in a lump sum in cash within 30 days of the Date of Termination.</w:t>
      </w:r>
    </w:p>
    <w:p>
      <w:pPr>
        <w:spacing w:after="0" w:line="182" w:lineRule="exact"/>
        <w:rPr>
          <w:sz w:val="20"/>
          <w:szCs w:val="20"/>
          <w:color w:val="auto"/>
        </w:rPr>
      </w:pPr>
    </w:p>
    <w:p>
      <w:pPr>
        <w:ind w:right="3439" w:firstLine="431"/>
        <w:spacing w:after="0" w:line="257" w:lineRule="auto"/>
        <w:tabs>
          <w:tab w:leader="none" w:pos="79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Nothing in this Agreement shall prevent or limit the Executive's continuing or future participation in any plan, program, policy or practice provided by the Company or any of its affiliated companies and for which the Executive may qualify, nor, subject to Section 12(f),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w:t>
      </w:r>
    </w:p>
    <w:p>
      <w:pPr>
        <w:spacing w:after="0" w:line="165" w:lineRule="exact"/>
        <w:rPr>
          <w:rFonts w:ascii="Courier New" w:cs="Courier New" w:eastAsia="Courier New" w:hAnsi="Courier New"/>
          <w:sz w:val="14"/>
          <w:szCs w:val="14"/>
          <w:color w:val="auto"/>
        </w:rPr>
      </w:pPr>
    </w:p>
    <w:p>
      <w:pPr>
        <w:ind w:right="3439" w:firstLine="431"/>
        <w:spacing w:after="0" w:line="239" w:lineRule="auto"/>
        <w:tabs>
          <w:tab w:leader="none" w:pos="79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The Company agrees to pay as incurred, to the full extent permitted by law, all legal fees and expenses which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Internal Revenue Code of 1986, as amended (the "Code").</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COMPANY. (a) Anything in this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97" w:right="1440" w:bottom="1440" w:gutter="0" w:footer="0" w:header="0"/>
        </w:sectPr>
      </w:pPr>
    </w:p>
    <w:bookmarkStart w:id="24" w:name="page25"/>
    <w:bookmarkEnd w:id="24"/>
    <w:p>
      <w:pPr>
        <w:ind w:right="3439"/>
        <w:spacing w:after="0" w:line="239" w:lineRule="auto"/>
        <w:rPr>
          <w:sz w:val="20"/>
          <w:szCs w:val="20"/>
          <w:color w:val="auto"/>
        </w:rPr>
      </w:pPr>
      <w:r>
        <w:rPr>
          <w:rFonts w:ascii="Courier New" w:cs="Courier New" w:eastAsia="Courier New" w:hAnsi="Courier New"/>
          <w:sz w:val="15"/>
          <w:szCs w:val="15"/>
          <w:color w:val="auto"/>
        </w:rPr>
        <w:t>to the contrary notwithstanding and except as set forth below, in the event it shall be determined that any payment or distribution by the Company to or for the benefit of the Executive (whether paid or payable or distributed or distributable pursuant to the terms of this Agreement or otherwise, but determined without regard to any additional payments required under this Section 9)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Payments. Notwithstanding the foregoing provisions of this Section 9(a), if it shall be determined that the Executive is entitled to a Gross-Up Payment, but that the Executive, after taking into account the Payments and the Gross-Up Payment, would not receive a net after-tax benefit of at least $10,000 (taking into account both income taxes and any Excise Tax) as compared to the net after-tax proceeds to the Executive resulting from an elimination of the Gross-Up Payment and a reduction of the Payments, in the aggregate, to an amount (the "Reduced Amount") such that the receipt of Payments would not give rise to any Excise Tax, then no Gross-Up Payment shall be made to the Executive and the Payments, in the aggregate, shall be reduced to the Reduced Amount.</w:t>
      </w:r>
    </w:p>
    <w:p>
      <w:pPr>
        <w:spacing w:after="0" w:line="177" w:lineRule="exact"/>
        <w:rPr>
          <w:sz w:val="20"/>
          <w:szCs w:val="20"/>
          <w:color w:val="auto"/>
        </w:rPr>
      </w:pPr>
    </w:p>
    <w:p>
      <w:pPr>
        <w:ind w:right="3439" w:firstLine="431"/>
        <w:spacing w:after="0" w:line="239" w:lineRule="auto"/>
        <w:tabs>
          <w:tab w:leader="none" w:pos="88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9(c), all determinations required to be made under this Section 9, including whether and when a Gross-Up Payment is required and the amount of such Gross-Up Payment and the assumptions to be utilized in arriving at such determination, shall be made by KPMG Peat Marwick LLP or such other certified public accounting firm as may be designated by the Executive (the "Accounting Firm") which shall provide detailed supporting calculations both to the Company and the Executive within 15 business days of the receipt of notice from the Executive that there has been a Payment, or such earlier time as is requested by the Company.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 All fees and expenses of the Accounting Firm shall be borne solely by the Company. Any Gross-Up Payment, as determined pursuant to this Section 9, shall be paid by the Company to the Executive within five days of the receipt of the Accounting Firm's determination.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 remedies pursuant to Section 9(c) and the Executive thereafter is required to make a payment of any Excise Tax, the Accounting Firm shall determine the amount of the Underpayment that has occurred and any such Underpayment shall be promptly paid by</w:t>
      </w:r>
    </w:p>
    <w:p>
      <w:pPr>
        <w:spacing w:after="0" w:line="34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the Company to or for the benefit of the Executive.</w:t>
      </w:r>
    </w:p>
    <w:p>
      <w:pPr>
        <w:spacing w:after="0" w:line="175" w:lineRule="exact"/>
        <w:rPr>
          <w:sz w:val="20"/>
          <w:szCs w:val="20"/>
          <w:color w:val="auto"/>
        </w:rPr>
      </w:pPr>
    </w:p>
    <w:p>
      <w:pPr>
        <w:ind w:right="3439" w:firstLine="431"/>
        <w:spacing w:after="0" w:line="238" w:lineRule="auto"/>
        <w:tabs>
          <w:tab w:leader="none" w:pos="88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notify the Company in writing of any claim by the Internal Revenue Service that, if successful, would require the payment by the Company of the Gross-Up Payment. Such notification shall be given as soon as practicable but no later than ten business days after the Executive is informed in writing of such claim and shall apprise the Company of the nature of such claim and the date on which such claim is required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81" w:lineRule="exact"/>
        <w:rPr>
          <w:rFonts w:ascii="Courier New" w:cs="Courier New" w:eastAsia="Courier New" w:hAnsi="Courier New"/>
          <w:sz w:val="15"/>
          <w:szCs w:val="15"/>
          <w:color w:val="auto"/>
        </w:rPr>
      </w:pPr>
    </w:p>
    <w:p>
      <w:pPr>
        <w:ind w:left="440" w:right="3619" w:firstLine="432"/>
        <w:spacing w:after="0" w:line="235" w:lineRule="auto"/>
        <w:tabs>
          <w:tab w:leader="none" w:pos="1321"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by the Company relating to such claim,</w:t>
      </w:r>
    </w:p>
    <w:p>
      <w:pPr>
        <w:spacing w:after="0" w:line="175" w:lineRule="exact"/>
        <w:rPr>
          <w:rFonts w:ascii="Courier New" w:cs="Courier New" w:eastAsia="Courier New" w:hAnsi="Courier New"/>
          <w:sz w:val="15"/>
          <w:szCs w:val="15"/>
          <w:color w:val="auto"/>
        </w:rPr>
      </w:pPr>
    </w:p>
    <w:p>
      <w:pPr>
        <w:ind w:left="440" w:right="3439" w:firstLine="432"/>
        <w:spacing w:after="0" w:line="259" w:lineRule="auto"/>
        <w:tabs>
          <w:tab w:leader="none" w:pos="140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2" w:lineRule="exact"/>
        <w:rPr>
          <w:rFonts w:ascii="Courier New" w:cs="Courier New" w:eastAsia="Courier New" w:hAnsi="Courier New"/>
          <w:sz w:val="14"/>
          <w:szCs w:val="14"/>
          <w:color w:val="auto"/>
        </w:rPr>
      </w:pPr>
    </w:p>
    <w:p>
      <w:pPr>
        <w:ind w:left="440" w:right="4419" w:firstLine="432"/>
        <w:spacing w:after="0" w:line="235" w:lineRule="auto"/>
        <w:tabs>
          <w:tab w:leader="none" w:pos="149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5" w:lineRule="exact"/>
        <w:rPr>
          <w:rFonts w:ascii="Courier New" w:cs="Courier New" w:eastAsia="Courier New" w:hAnsi="Courier New"/>
          <w:sz w:val="15"/>
          <w:szCs w:val="15"/>
          <w:color w:val="auto"/>
        </w:rPr>
      </w:pPr>
    </w:p>
    <w:p>
      <w:pPr>
        <w:ind w:left="440" w:right="3439" w:firstLine="432"/>
        <w:spacing w:after="0" w:line="235" w:lineRule="auto"/>
        <w:tabs>
          <w:tab w:leader="none" w:pos="140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proceedings relating to such claim;</w:t>
      </w:r>
    </w:p>
    <w:p>
      <w:pPr>
        <w:spacing w:after="0" w:line="176"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to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w:t>
      </w: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sectPr>
      </w:pPr>
    </w:p>
    <w:bookmarkStart w:id="26" w:name="page27"/>
    <w:bookmarkEnd w:id="26"/>
    <w:p>
      <w:pPr>
        <w:ind w:right="3359"/>
        <w:spacing w:after="0" w:line="237" w:lineRule="auto"/>
        <w:rPr>
          <w:sz w:val="20"/>
          <w:szCs w:val="20"/>
          <w:color w:val="auto"/>
        </w:rPr>
      </w:pPr>
      <w:r>
        <w:rPr>
          <w:rFonts w:ascii="Courier New" w:cs="Courier New" w:eastAsia="Courier New" w:hAnsi="Courier New"/>
          <w:sz w:val="15"/>
          <w:szCs w:val="15"/>
          <w:color w:val="auto"/>
        </w:rPr>
        <w:t>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78" w:lineRule="exact"/>
        <w:rPr>
          <w:sz w:val="20"/>
          <w:szCs w:val="20"/>
          <w:color w:val="auto"/>
        </w:rPr>
      </w:pPr>
    </w:p>
    <w:p>
      <w:pPr>
        <w:ind w:right="3439" w:firstLine="431"/>
        <w:spacing w:after="0" w:line="238" w:lineRule="auto"/>
        <w:tabs>
          <w:tab w:leader="none" w:pos="88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receipt by the Executive of an amount advanced by the Company pursuant to Section 9(c), the Executive becomes entitled to receive any refund with respect to such claim, the Executive shall (subject to the Company's complying with the requirements of Section 9(c)) promptly pay to the Company the amount of such refund (together with any interest paid or credited thereon after taxes applicable thereto). 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84" w:lineRule="exact"/>
        <w:rPr>
          <w:sz w:val="20"/>
          <w:szCs w:val="20"/>
          <w:color w:val="auto"/>
        </w:rPr>
      </w:pPr>
    </w:p>
    <w:p>
      <w:pPr>
        <w:ind w:right="3619" w:firstLine="431"/>
        <w:spacing w:after="0" w:line="256" w:lineRule="auto"/>
        <w:tabs>
          <w:tab w:leader="none" w:pos="79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w:t>
      </w:r>
    </w:p>
    <w:tbl>
      <w:tblPr>
        <w:tblLayout w:type="fixed"/>
        <w:tblInd w:w="0" w:type="dxa"/>
        <w:tblCellMar>
          <w:top w:w="0" w:type="dxa"/>
          <w:left w:w="0" w:type="dxa"/>
          <w:bottom w:w="0" w:type="dxa"/>
          <w:right w:w="0" w:type="dxa"/>
        </w:tblCellMar>
      </w:tblPr>
      <w:tr>
        <w:trPr>
          <w:trHeight w:val="167"/>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shall</w:t>
            </w:r>
          </w:p>
        </w:tc>
        <w:tc>
          <w:tcPr>
            <w:tcW w:w="29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not, without the prior written</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consent  of  the</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Company  or</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as may otherwise</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 required by</w:t>
            </w: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law or legal</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process, communicate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or divulge</w:t>
            </w:r>
          </w:p>
        </w:tc>
      </w:tr>
      <w:tr>
        <w:trPr>
          <w:trHeight w:val="170"/>
        </w:trPr>
        <w:tc>
          <w:tcPr>
            <w:tcW w:w="2820" w:type="dxa"/>
            <w:vAlign w:val="bottom"/>
            <w:gridSpan w:val="4"/>
          </w:tcPr>
          <w:p>
            <w:pPr>
              <w:spacing w:after="0"/>
              <w:rPr>
                <w:sz w:val="20"/>
                <w:szCs w:val="20"/>
                <w:color w:val="auto"/>
              </w:rPr>
            </w:pPr>
            <w:r>
              <w:rPr>
                <w:rFonts w:ascii="Courier New" w:cs="Courier New" w:eastAsia="Courier New" w:hAnsi="Courier New"/>
                <w:sz w:val="15"/>
                <w:szCs w:val="15"/>
                <w:color w:val="auto"/>
              </w:rPr>
              <w:t>any such information, knowledge</w:t>
            </w: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w w:val="95"/>
              </w:rPr>
              <w:t>or data to anyone</w:t>
            </w:r>
          </w:p>
        </w:tc>
        <w:tc>
          <w:tcPr>
            <w:tcW w:w="2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other than the Company and</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those designated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by it.  In</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w:t>
            </w: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event  shall</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an</w:t>
            </w:r>
          </w:p>
        </w:tc>
        <w:tc>
          <w:tcPr>
            <w:tcW w:w="2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asserted violation of the</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provisions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this Section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constitute</w:t>
            </w:r>
          </w:p>
        </w:tc>
        <w:tc>
          <w:tcPr>
            <w:tcW w:w="2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basis for deferring or</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withholding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any</w:t>
            </w:r>
          </w:p>
        </w:tc>
        <w:tc>
          <w:tcPr>
            <w:tcW w:w="290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amounts otherwise payable to the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Executive under</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this</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75" w:lineRule="exact"/>
        <w:rPr>
          <w:sz w:val="20"/>
          <w:szCs w:val="20"/>
          <w:color w:val="auto"/>
        </w:rPr>
      </w:pPr>
    </w:p>
    <w:p>
      <w:pPr>
        <w:ind w:right="3619" w:firstLine="431"/>
        <w:spacing w:after="0" w:line="237" w:lineRule="auto"/>
        <w:tabs>
          <w:tab w:leader="none" w:pos="88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78" w:lineRule="exact"/>
        <w:rPr>
          <w:sz w:val="20"/>
          <w:szCs w:val="20"/>
          <w:color w:val="auto"/>
        </w:rPr>
      </w:pPr>
    </w:p>
    <w:p>
      <w:pPr>
        <w:ind w:right="3699" w:firstLine="431"/>
        <w:spacing w:after="0" w:line="235" w:lineRule="auto"/>
        <w:tabs>
          <w:tab w:leader="none" w:pos="8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Company and its successors and assigns.</w:t>
      </w:r>
    </w:p>
    <w:p>
      <w:pPr>
        <w:spacing w:after="0" w:line="175" w:lineRule="exact"/>
        <w:rPr>
          <w:rFonts w:ascii="Courier New" w:cs="Courier New" w:eastAsia="Courier New" w:hAnsi="Courier New"/>
          <w:sz w:val="15"/>
          <w:szCs w:val="15"/>
          <w:color w:val="auto"/>
        </w:rPr>
      </w:pPr>
    </w:p>
    <w:p>
      <w:pPr>
        <w:ind w:right="3439" w:firstLine="431"/>
        <w:spacing w:after="0" w:line="238" w:lineRule="auto"/>
        <w:tabs>
          <w:tab w:leader="none" w:pos="8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w:t>
      </w:r>
    </w:p>
    <w:p>
      <w:pPr>
        <w:spacing w:after="0" w:line="34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to perform this Agreement by operation of law, or otherwise.</w:t>
      </w:r>
    </w:p>
    <w:p>
      <w:pPr>
        <w:spacing w:after="0" w:line="175" w:lineRule="exact"/>
        <w:rPr>
          <w:sz w:val="20"/>
          <w:szCs w:val="20"/>
          <w:color w:val="auto"/>
        </w:rPr>
      </w:pPr>
    </w:p>
    <w:p>
      <w:pPr>
        <w:ind w:right="3439" w:firstLine="431"/>
        <w:spacing w:after="0" w:line="238" w:lineRule="auto"/>
        <w:tabs>
          <w:tab w:leader="none" w:pos="8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(a) 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77" w:lineRule="exact"/>
        <w:rPr>
          <w:sz w:val="20"/>
          <w:szCs w:val="20"/>
          <w:color w:val="auto"/>
        </w:rPr>
      </w:pPr>
    </w:p>
    <w:p>
      <w:pPr>
        <w:ind w:right="3539" w:firstLine="431"/>
        <w:spacing w:after="0" w:line="237" w:lineRule="auto"/>
        <w:tabs>
          <w:tab w:leader="none" w:pos="8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71" w:lineRule="exact"/>
        <w:rPr>
          <w:sz w:val="20"/>
          <w:szCs w:val="20"/>
          <w:color w:val="auto"/>
        </w:rPr>
      </w:pPr>
    </w:p>
    <w:p>
      <w:pPr>
        <w:ind w:left="440"/>
        <w:spacing w:after="0"/>
        <w:tabs>
          <w:tab w:leader="none" w:pos="2360" w:val="left"/>
        </w:tabs>
        <w:rPr>
          <w:sz w:val="20"/>
          <w:szCs w:val="20"/>
          <w:color w:val="auto"/>
        </w:rPr>
      </w:pPr>
      <w:r>
        <w:rPr>
          <w:rFonts w:ascii="Courier New" w:cs="Courier New" w:eastAsia="Courier New" w:hAnsi="Courier New"/>
          <w:sz w:val="15"/>
          <w:szCs w:val="15"/>
          <w:color w:val="auto"/>
        </w:rPr>
        <w:t>IF TO THE EXECUTIVE:</w:t>
      </w:r>
      <w:r>
        <w:rPr>
          <w:sz w:val="20"/>
          <w:szCs w:val="20"/>
          <w:color w:val="auto"/>
        </w:rPr>
        <w:tab/>
      </w:r>
      <w:r>
        <w:rPr>
          <w:rFonts w:ascii="Courier New" w:cs="Courier New" w:eastAsia="Courier New" w:hAnsi="Courier New"/>
          <w:sz w:val="13"/>
          <w:szCs w:val="13"/>
          <w:color w:val="auto"/>
        </w:rPr>
        <w:t>2-</w:t>
      </w:r>
    </w:p>
    <w:p>
      <w:pPr>
        <w:spacing w:after="0" w:line="169" w:lineRule="exact"/>
        <w:rPr>
          <w:sz w:val="20"/>
          <w:szCs w:val="20"/>
          <w:color w:val="auto"/>
        </w:rPr>
      </w:pPr>
    </w:p>
    <w:p>
      <w:pPr>
        <w:ind w:left="440"/>
        <w:spacing w:after="0"/>
        <w:tabs>
          <w:tab w:leader="none" w:pos="2360" w:val="left"/>
        </w:tabs>
        <w:rPr>
          <w:sz w:val="20"/>
          <w:szCs w:val="20"/>
          <w:color w:val="auto"/>
        </w:rPr>
      </w:pPr>
      <w:r>
        <w:rPr>
          <w:rFonts w:ascii="Courier New" w:cs="Courier New" w:eastAsia="Courier New" w:hAnsi="Courier New"/>
          <w:sz w:val="15"/>
          <w:szCs w:val="15"/>
          <w:color w:val="auto"/>
        </w:rPr>
        <w:t>IF TO THE COMPANY:</w:t>
      </w:r>
      <w:r>
        <w:rPr>
          <w:sz w:val="20"/>
          <w:szCs w:val="20"/>
          <w:color w:val="auto"/>
        </w:rPr>
        <w:tab/>
      </w:r>
      <w:r>
        <w:rPr>
          <w:rFonts w:ascii="Courier New" w:cs="Courier New" w:eastAsia="Courier New" w:hAnsi="Courier New"/>
          <w:sz w:val="14"/>
          <w:szCs w:val="14"/>
          <w:color w:val="auto"/>
        </w:rPr>
        <w:t>The Toro Company</w:t>
      </w:r>
    </w:p>
    <w:p>
      <w:pPr>
        <w:ind w:left="2380"/>
        <w:spacing w:after="0"/>
        <w:rPr>
          <w:sz w:val="20"/>
          <w:szCs w:val="20"/>
          <w:color w:val="auto"/>
        </w:rPr>
      </w:pPr>
      <w:r>
        <w:rPr>
          <w:rFonts w:ascii="Courier New" w:cs="Courier New" w:eastAsia="Courier New" w:hAnsi="Courier New"/>
          <w:sz w:val="15"/>
          <w:szCs w:val="15"/>
          <w:color w:val="auto"/>
        </w:rPr>
        <w:t>8111 Lyndale Avenue South</w:t>
      </w:r>
    </w:p>
    <w:p>
      <w:pPr>
        <w:ind w:left="2380"/>
        <w:spacing w:after="0"/>
        <w:tabs>
          <w:tab w:leader="none" w:pos="4460" w:val="left"/>
        </w:tabs>
        <w:rPr>
          <w:sz w:val="20"/>
          <w:szCs w:val="20"/>
          <w:color w:val="auto"/>
        </w:rPr>
      </w:pPr>
      <w:r>
        <w:rPr>
          <w:rFonts w:ascii="Courier New" w:cs="Courier New" w:eastAsia="Courier New" w:hAnsi="Courier New"/>
          <w:sz w:val="15"/>
          <w:szCs w:val="15"/>
          <w:color w:val="auto"/>
        </w:rPr>
        <w:t>Bloomington, Minnesota</w:t>
      </w:r>
      <w:r>
        <w:rPr>
          <w:sz w:val="20"/>
          <w:szCs w:val="20"/>
          <w:color w:val="auto"/>
        </w:rPr>
        <w:tab/>
      </w:r>
      <w:r>
        <w:rPr>
          <w:rFonts w:ascii="Courier New" w:cs="Courier New" w:eastAsia="Courier New" w:hAnsi="Courier New"/>
          <w:sz w:val="14"/>
          <w:szCs w:val="14"/>
          <w:color w:val="auto"/>
        </w:rPr>
        <w:t>55420</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Attention Mr. J. Lawrence McIntyre, General Counsel</w:t>
      </w:r>
    </w:p>
    <w:p>
      <w:pPr>
        <w:spacing w:after="0" w:line="180"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 and communication shall be effective when actually received by the addressee.</w:t>
      </w:r>
    </w:p>
    <w:p>
      <w:pPr>
        <w:spacing w:after="0" w:line="175" w:lineRule="exact"/>
        <w:rPr>
          <w:sz w:val="20"/>
          <w:szCs w:val="20"/>
          <w:color w:val="auto"/>
        </w:rPr>
      </w:pPr>
    </w:p>
    <w:p>
      <w:pPr>
        <w:ind w:right="4059" w:firstLine="431"/>
        <w:spacing w:after="0" w:line="237" w:lineRule="auto"/>
        <w:tabs>
          <w:tab w:leader="none" w:pos="8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invalidity or unenforceability of any provision of this Agreement shall not affect the validity or enforceability of any other provision of this Agreement.</w:t>
      </w:r>
    </w:p>
    <w:p>
      <w:pPr>
        <w:spacing w:after="0" w:line="174" w:lineRule="exact"/>
        <w:rPr>
          <w:rFonts w:ascii="Courier New" w:cs="Courier New" w:eastAsia="Courier New" w:hAnsi="Courier New"/>
          <w:sz w:val="15"/>
          <w:szCs w:val="15"/>
          <w:color w:val="auto"/>
        </w:rPr>
      </w:pPr>
    </w:p>
    <w:p>
      <w:pPr>
        <w:ind w:right="3439" w:firstLine="431"/>
        <w:spacing w:after="0" w:line="237" w:lineRule="auto"/>
        <w:tabs>
          <w:tab w:leader="none" w:pos="8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withhold from any amounts payable under this Agreement such Federal, state, local or foreign taxes as shall be required to be withheld pursuant to any applicable law or regulation.</w:t>
      </w:r>
    </w:p>
    <w:p>
      <w:pPr>
        <w:spacing w:after="0" w:line="174" w:lineRule="exact"/>
        <w:rPr>
          <w:rFonts w:ascii="Courier New" w:cs="Courier New" w:eastAsia="Courier New" w:hAnsi="Courier New"/>
          <w:sz w:val="15"/>
          <w:szCs w:val="15"/>
          <w:color w:val="auto"/>
        </w:rPr>
      </w:pPr>
    </w:p>
    <w:p>
      <w:pPr>
        <w:ind w:right="3439" w:firstLine="431"/>
        <w:spacing w:after="0" w:line="238" w:lineRule="auto"/>
        <w:tabs>
          <w:tab w:leader="none" w:pos="8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5(c)(i)-(v) of this Agreement, shall not be deemed to be a waiver of such provision or right or any other provision or right of this Agreement.</w:t>
      </w:r>
    </w:p>
    <w:p>
      <w:pPr>
        <w:spacing w:after="0" w:line="176" w:lineRule="exact"/>
        <w:rPr>
          <w:rFonts w:ascii="Courier New" w:cs="Courier New" w:eastAsia="Courier New" w:hAnsi="Courier New"/>
          <w:sz w:val="15"/>
          <w:szCs w:val="15"/>
          <w:color w:val="auto"/>
        </w:rPr>
      </w:pPr>
    </w:p>
    <w:p>
      <w:pPr>
        <w:ind w:right="3439" w:firstLine="431"/>
        <w:spacing w:after="0" w:line="257" w:lineRule="auto"/>
        <w:tabs>
          <w:tab w:leader="none" w:pos="88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and the Company acknowledge that, except as may otherwise be provided under any other written agreement between the Executive and the Company, the employment of the Executive by the Company is "at will" and, subject to Section 1(a) hereof, prior to the Effective Date, the Executive's employment and/or this Agreement may be terminated by either the Executive or the Company at any time prior to the Effective Date, in which case the Executive shall have no further rights under this Agreement. From and after the Effective Date this Agreement shall supersede any other agreement between the parties with respect to the subject matter hereof.</w:t>
      </w:r>
    </w:p>
    <w:p>
      <w:pPr>
        <w:spacing w:after="0" w:line="33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1" w:right="1440" w:bottom="1440" w:gutter="0" w:footer="0" w:header="0"/>
        </w:sectPr>
      </w:pPr>
    </w:p>
    <w:bookmarkStart w:id="28" w:name="page29"/>
    <w:bookmarkEnd w:id="28"/>
    <w:p>
      <w:pPr>
        <w:ind w:right="3439" w:firstLine="441"/>
        <w:spacing w:after="0" w:line="237" w:lineRule="auto"/>
        <w:rPr>
          <w:sz w:val="20"/>
          <w:szCs w:val="20"/>
          <w:color w:val="auto"/>
        </w:rPr>
      </w:pPr>
      <w:r>
        <w:rPr>
          <w:rFonts w:ascii="Courier New" w:cs="Courier New" w:eastAsia="Courier New" w:hAnsi="Courier New"/>
          <w:sz w:val="15"/>
          <w:szCs w:val="15"/>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200" w:lineRule="exact"/>
        <w:rPr>
          <w:sz w:val="20"/>
          <w:szCs w:val="20"/>
          <w:color w:val="auto"/>
        </w:rPr>
      </w:pPr>
    </w:p>
    <w:p>
      <w:pPr>
        <w:spacing w:after="0" w:line="31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31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Kendrick B. Melrose</w:t>
      </w:r>
    </w:p>
    <w:p>
      <w:pPr>
        <w:ind w:left="3160"/>
        <w:spacing w:after="0"/>
        <w:rPr>
          <w:sz w:val="20"/>
          <w:szCs w:val="20"/>
          <w:color w:val="auto"/>
        </w:rPr>
      </w:pPr>
      <w:r>
        <w:rPr>
          <w:rFonts w:ascii="Courier New" w:cs="Courier New" w:eastAsia="Courier New" w:hAnsi="Courier New"/>
          <w:sz w:val="15"/>
          <w:szCs w:val="15"/>
          <w:color w:val="auto"/>
        </w:rPr>
        <w:t>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7" w:right="1440" w:bottom="1440" w:gutter="0" w:footer="0" w:header="0"/>
        </w:sectPr>
      </w:pPr>
    </w:p>
    <w:bookmarkStart w:id="29" w:name="page30"/>
    <w:bookmarkEnd w:id="29"/>
    <w:p>
      <w:pPr>
        <w:jc w:val="center"/>
        <w:ind w:right="3699"/>
        <w:spacing w:after="0"/>
        <w:rPr>
          <w:sz w:val="20"/>
          <w:szCs w:val="20"/>
          <w:color w:val="auto"/>
        </w:rPr>
      </w:pPr>
      <w:r>
        <w:rPr>
          <w:rFonts w:ascii="Courier New" w:cs="Courier New" w:eastAsia="Courier New" w:hAnsi="Courier New"/>
          <w:sz w:val="15"/>
          <w:szCs w:val="15"/>
          <w:color w:val="auto"/>
        </w:rPr>
        <w:t>PROSPECTUS</w:t>
      </w:r>
    </w:p>
    <w:p>
      <w:pPr>
        <w:spacing w:after="0" w:line="169"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500,000 Shares</w:t>
      </w:r>
    </w:p>
    <w:p>
      <w:pPr>
        <w:spacing w:after="0" w:line="169"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THE TORO COMPANY</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Common Stock</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(Par value $1.00 per share)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_____________________</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Offered pursuant to</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TORO COMPANY</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Investment and Savings Plan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_____________________</w:t>
      </w:r>
    </w:p>
    <w:p>
      <w:pPr>
        <w:spacing w:after="0" w:line="344" w:lineRule="exact"/>
        <w:rPr>
          <w:sz w:val="20"/>
          <w:szCs w:val="20"/>
          <w:color w:val="auto"/>
        </w:rPr>
      </w:pPr>
    </w:p>
    <w:p>
      <w:pPr>
        <w:ind w:right="3619" w:firstLine="441"/>
        <w:spacing w:after="0" w:line="238" w:lineRule="auto"/>
        <w:rPr>
          <w:sz w:val="20"/>
          <w:szCs w:val="20"/>
          <w:color w:val="auto"/>
        </w:rPr>
      </w:pPr>
      <w:r>
        <w:rPr>
          <w:rFonts w:ascii="Courier New" w:cs="Courier New" w:eastAsia="Courier New" w:hAnsi="Courier New"/>
          <w:sz w:val="15"/>
          <w:szCs w:val="15"/>
          <w:color w:val="auto"/>
        </w:rPr>
        <w:t>This Prospectus covers offers and sales from time to time of employee participation interests in The Toro Company Common Stock Fund of The Toro Company Investment and Savings Plan (the "Plan") and offers and sales of up to 500,000 shares of the Common Stock, par value $1.00 per share (and Preferred Share Purchase Rights attached thereto) (the "Common Stock"), of The Toro Company ("Toro") through payroll deductions and employer contributions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The date of this Prospectus is August 25, 1995.</w:t>
      </w:r>
    </w:p>
    <w:p>
      <w:pPr>
        <w:sectPr>
          <w:pgSz w:w="11900" w:h="16838" w:orient="portrait"/>
          <w:cols w:equalWidth="0" w:num="1">
            <w:col w:w="10219"/>
          </w:cols>
          <w:pgMar w:left="240" w:top="475" w:right="1440" w:bottom="1440" w:gutter="0" w:footer="0" w:header="0"/>
        </w:sectPr>
      </w:pPr>
    </w:p>
    <w:bookmarkStart w:id="30" w:name="page31"/>
    <w:bookmarkEnd w:id="30"/>
    <w:p>
      <w:pPr>
        <w:ind w:left="105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5" w:lineRule="exact"/>
        <w:rPr>
          <w:sz w:val="20"/>
          <w:szCs w:val="20"/>
          <w:color w:val="auto"/>
        </w:rPr>
      </w:pPr>
    </w:p>
    <w:p>
      <w:pPr>
        <w:ind w:left="10" w:right="4059" w:firstLine="441"/>
        <w:spacing w:after="0" w:line="265" w:lineRule="auto"/>
        <w:rPr>
          <w:sz w:val="20"/>
          <w:szCs w:val="20"/>
          <w:color w:val="auto"/>
        </w:rPr>
      </w:pPr>
      <w:r>
        <w:rPr>
          <w:rFonts w:ascii="Courier New" w:cs="Courier New" w:eastAsia="Courier New" w:hAnsi="Courier New"/>
          <w:sz w:val="14"/>
          <w:szCs w:val="14"/>
          <w:color w:val="auto"/>
        </w:rPr>
        <w:t>The following documents filed with the Securities and Exchange Commission by Toro are incorporated by reference into this Prospectus:</w:t>
      </w:r>
    </w:p>
    <w:p>
      <w:pPr>
        <w:spacing w:after="0" w:line="158" w:lineRule="exact"/>
        <w:rPr>
          <w:sz w:val="20"/>
          <w:szCs w:val="20"/>
          <w:color w:val="auto"/>
        </w:rPr>
      </w:pPr>
    </w:p>
    <w:p>
      <w:pPr>
        <w:ind w:left="450" w:right="3979" w:firstLine="432"/>
        <w:spacing w:after="0" w:line="235" w:lineRule="auto"/>
        <w:tabs>
          <w:tab w:leader="none" w:pos="133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Annual Report on Form 10-K for the fiscal year ended July 31, 1994.</w:t>
      </w:r>
    </w:p>
    <w:p>
      <w:pPr>
        <w:spacing w:after="0" w:line="175" w:lineRule="exact"/>
        <w:rPr>
          <w:rFonts w:ascii="Courier New" w:cs="Courier New" w:eastAsia="Courier New" w:hAnsi="Courier New"/>
          <w:sz w:val="15"/>
          <w:szCs w:val="15"/>
          <w:color w:val="auto"/>
        </w:rPr>
      </w:pPr>
    </w:p>
    <w:p>
      <w:pPr>
        <w:ind w:left="450" w:right="3879" w:firstLine="432"/>
        <w:spacing w:after="0" w:line="235" w:lineRule="auto"/>
        <w:tabs>
          <w:tab w:leader="none" w:pos="133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Quarterly Reports on Form 10-Q for the quarters ended October 28, 1994, February 3, 1995 and April 28, 1995.</w:t>
      </w:r>
    </w:p>
    <w:p>
      <w:pPr>
        <w:spacing w:after="0" w:line="175" w:lineRule="exact"/>
        <w:rPr>
          <w:rFonts w:ascii="Courier New" w:cs="Courier New" w:eastAsia="Courier New" w:hAnsi="Courier New"/>
          <w:sz w:val="15"/>
          <w:szCs w:val="15"/>
          <w:color w:val="auto"/>
        </w:rPr>
      </w:pPr>
    </w:p>
    <w:p>
      <w:pPr>
        <w:jc w:val="both"/>
        <w:ind w:left="530" w:right="3259" w:firstLine="352"/>
        <w:spacing w:after="0" w:line="237" w:lineRule="auto"/>
        <w:tabs>
          <w:tab w:leader="none" w:pos="132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its Common Stock and Preferred Share Purchase Rights contained in its Registration Statements filed under Section 12 of the Securities Exchange Act of 1934, including any amendment or report filed for the purpose of updating such description.</w:t>
      </w:r>
    </w:p>
    <w:p>
      <w:pPr>
        <w:spacing w:after="0" w:line="170" w:lineRule="exact"/>
        <w:rPr>
          <w:rFonts w:ascii="Courier New" w:cs="Courier New" w:eastAsia="Courier New" w:hAnsi="Courier New"/>
          <w:sz w:val="15"/>
          <w:szCs w:val="15"/>
          <w:color w:val="auto"/>
        </w:rPr>
      </w:pPr>
    </w:p>
    <w:p>
      <w:pPr>
        <w:ind w:left="1330" w:hanging="448"/>
        <w:spacing w:after="0"/>
        <w:tabs>
          <w:tab w:leader="none" w:pos="13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11-K for the fiscal year ended</w:t>
      </w:r>
    </w:p>
    <w:p>
      <w:pPr>
        <w:ind w:left="530"/>
        <w:spacing w:after="0"/>
        <w:rPr>
          <w:sz w:val="20"/>
          <w:szCs w:val="20"/>
          <w:color w:val="auto"/>
        </w:rPr>
      </w:pPr>
      <w:r>
        <w:rPr>
          <w:rFonts w:ascii="Courier New" w:cs="Courier New" w:eastAsia="Courier New" w:hAnsi="Courier New"/>
          <w:sz w:val="15"/>
          <w:szCs w:val="15"/>
          <w:color w:val="auto"/>
        </w:rPr>
        <w:t>July 31, 1994 of The Toro Company Matching Stock Plan.</w:t>
      </w:r>
    </w:p>
    <w:p>
      <w:pPr>
        <w:spacing w:after="0" w:line="174" w:lineRule="exact"/>
        <w:rPr>
          <w:sz w:val="20"/>
          <w:szCs w:val="20"/>
          <w:color w:val="auto"/>
        </w:rPr>
      </w:pPr>
    </w:p>
    <w:p>
      <w:pPr>
        <w:ind w:left="10" w:right="3439" w:firstLine="441"/>
        <w:spacing w:after="0" w:line="238" w:lineRule="auto"/>
        <w:rPr>
          <w:sz w:val="20"/>
          <w:szCs w:val="20"/>
          <w:color w:val="auto"/>
        </w:rPr>
      </w:pPr>
      <w:r>
        <w:rPr>
          <w:rFonts w:ascii="Courier New" w:cs="Courier New" w:eastAsia="Courier New" w:hAnsi="Courier New"/>
          <w:sz w:val="15"/>
          <w:szCs w:val="15"/>
          <w:color w:val="auto"/>
        </w:rPr>
        <w:t>All reports and other documents subsequently filed by Toro and the Plan pursuant to Sections 13(a), 13(c), 14 or 15(d) of the Securities Exchange Act of 1934 after the date of this Prospectus and prior to the filing of a post-effective amendment which indicates all securities offered have been sold or which deregisters all securities remaining unsold, shall be deemed to be incorporated herein by reference and to be a part hereof from the date of the filing of such documents. Any statement contained in a document incorporated or deemed to be incorporated by reference herein shall be deemed to be modified or replaced for purposes of this Prospectus to the extent that a statement contained herein or in any other subsequently filed document which also is or is deemed to be incorporated by reference in the Registration Statement modifies or replaces such statement. Any such statement so modified or replaced shall not be deemed, except as so modified or replaced, to constitute a part of this Prospectus.</w:t>
      </w:r>
    </w:p>
    <w:p>
      <w:pPr>
        <w:spacing w:after="0" w:line="184" w:lineRule="exact"/>
        <w:rPr>
          <w:sz w:val="20"/>
          <w:szCs w:val="20"/>
          <w:color w:val="auto"/>
        </w:rPr>
      </w:pPr>
    </w:p>
    <w:p>
      <w:pPr>
        <w:ind w:left="10" w:right="3619" w:firstLine="441"/>
        <w:spacing w:after="0" w:line="256" w:lineRule="auto"/>
        <w:rPr>
          <w:sz w:val="20"/>
          <w:szCs w:val="20"/>
          <w:color w:val="auto"/>
        </w:rPr>
      </w:pPr>
      <w:r>
        <w:rPr>
          <w:rFonts w:ascii="Courier New" w:cs="Courier New" w:eastAsia="Courier New" w:hAnsi="Courier New"/>
          <w:sz w:val="14"/>
          <w:szCs w:val="14"/>
          <w:color w:val="auto"/>
        </w:rPr>
        <w:t>Toro will provide without charge to each person to whom a copy of this Prospectus is delivered, upon the written or oral request of such person, a copy of any and all of the foregoing documents (other than exhibits to such documents). Written or telephone requests should be directed to The Toro Company, 8111 Lyndale Avenue South, Bloomington, Minnesota 55420, telephone</w:t>
      </w:r>
    </w:p>
    <w:p>
      <w:pPr>
        <w:ind w:left="530" w:hanging="530"/>
        <w:spacing w:after="0" w:line="234" w:lineRule="auto"/>
        <w:tabs>
          <w:tab w:leader="none" w:pos="53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888-8801, Attention: Investor Relations.</w:t>
      </w:r>
    </w:p>
    <w:p>
      <w:pPr>
        <w:spacing w:after="0" w:line="169" w:lineRule="exact"/>
        <w:rPr>
          <w:rFonts w:ascii="Courier New" w:cs="Courier New" w:eastAsia="Courier New" w:hAnsi="Courier New"/>
          <w:sz w:val="15"/>
          <w:szCs w:val="15"/>
          <w:color w:val="auto"/>
        </w:rPr>
      </w:pPr>
    </w:p>
    <w:p>
      <w:pPr>
        <w:ind w:left="23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HIGHLIGHTS</w:t>
      </w:r>
    </w:p>
    <w:p>
      <w:pPr>
        <w:spacing w:after="0" w:line="175" w:lineRule="exact"/>
        <w:rPr>
          <w:sz w:val="20"/>
          <w:szCs w:val="20"/>
          <w:color w:val="auto"/>
        </w:rPr>
      </w:pPr>
    </w:p>
    <w:p>
      <w:pPr>
        <w:ind w:left="10" w:right="3439" w:firstLine="441"/>
        <w:spacing w:after="0" w:line="238" w:lineRule="auto"/>
        <w:rPr>
          <w:sz w:val="20"/>
          <w:szCs w:val="20"/>
          <w:color w:val="auto"/>
        </w:rPr>
      </w:pPr>
      <w:r>
        <w:rPr>
          <w:rFonts w:ascii="Courier New" w:cs="Courier New" w:eastAsia="Courier New" w:hAnsi="Courier New"/>
          <w:sz w:val="15"/>
          <w:szCs w:val="15"/>
          <w:color w:val="auto"/>
        </w:rPr>
        <w:t>The purpose of the Plan is to provide certain eligible employees of Toro and its participating subsidiaries (referred to together as the "Company") with an opportunity to save part of their income on a pre-tax basis (and, if an employee so elects, on an after-tax basis) and to have those savings accumulate in a tax-deferred investment account which may be invested, at the direction of the participant, in one or more investment alternatives offered under the Plan, including the Common Stock of Toro, to be distributed after termination of active employment.</w:t>
      </w:r>
    </w:p>
    <w:p>
      <w:pPr>
        <w:spacing w:after="0" w:line="178" w:lineRule="exact"/>
        <w:rPr>
          <w:sz w:val="20"/>
          <w:szCs w:val="20"/>
          <w:color w:val="auto"/>
        </w:rPr>
      </w:pPr>
    </w:p>
    <w:p>
      <w:pPr>
        <w:jc w:val="both"/>
        <w:ind w:left="10" w:right="3619" w:firstLine="441"/>
        <w:spacing w:after="0" w:line="259" w:lineRule="auto"/>
        <w:rPr>
          <w:sz w:val="20"/>
          <w:szCs w:val="20"/>
          <w:color w:val="auto"/>
        </w:rPr>
      </w:pPr>
      <w:r>
        <w:rPr>
          <w:rFonts w:ascii="Courier New" w:cs="Courier New" w:eastAsia="Courier New" w:hAnsi="Courier New"/>
          <w:sz w:val="14"/>
          <w:szCs w:val="14"/>
          <w:color w:val="auto"/>
        </w:rPr>
        <w:t>The Plan was authorized by the Board of Directors of Toro on February 21, 1995, to become effective as of August 1, 1995 as the successor plan to and restatement of The Toro Company Profit-Sharing Plan and Trust Agreement for Office Employees, The Toro Company Profit-Sharing Plan</w:t>
      </w:r>
    </w:p>
    <w:p>
      <w:pPr>
        <w:spacing w:after="0" w:line="15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sectPr>
      </w:pPr>
    </w:p>
    <w:bookmarkStart w:id="31" w:name="page32"/>
    <w:bookmarkEnd w:id="31"/>
    <w:p>
      <w:pPr>
        <w:ind w:right="3619"/>
        <w:spacing w:after="0" w:line="238" w:lineRule="auto"/>
        <w:rPr>
          <w:sz w:val="20"/>
          <w:szCs w:val="20"/>
          <w:color w:val="auto"/>
        </w:rPr>
      </w:pPr>
      <w:r>
        <w:rPr>
          <w:rFonts w:ascii="Courier New" w:cs="Courier New" w:eastAsia="Courier New" w:hAnsi="Courier New"/>
          <w:sz w:val="15"/>
          <w:szCs w:val="15"/>
          <w:color w:val="auto"/>
        </w:rPr>
        <w:t>and Trust Agreement for Hourly Employees, The Toro Company Profit-Sharing Plan and Trust Agreement for Windom Factory Employees, The Toro Company Profit-Sharing Plan and Trust Agreement for Minneapolis Factory Employees, The Toro Company Profit-Sharing Plan and Trust Agreement for Plymouth Union Employees and The Toro Company Matching Stock Plan and Trust Agreement. These plans are referred to in this Prospectus as "Predecessor Plans". The Plan removes language regarding the trust agreement elements of the Predecessor Plans, and a separate trust agreement for those plans became effective as of August 1, 1995.</w:t>
      </w:r>
    </w:p>
    <w:p>
      <w:pPr>
        <w:spacing w:after="0" w:line="179" w:lineRule="exact"/>
        <w:rPr>
          <w:sz w:val="20"/>
          <w:szCs w:val="20"/>
          <w:color w:val="auto"/>
        </w:rPr>
      </w:pPr>
    </w:p>
    <w:p>
      <w:pPr>
        <w:ind w:right="3439" w:firstLine="441"/>
        <w:spacing w:after="0" w:line="259" w:lineRule="auto"/>
        <w:rPr>
          <w:sz w:val="20"/>
          <w:szCs w:val="20"/>
          <w:color w:val="auto"/>
        </w:rPr>
      </w:pPr>
      <w:r>
        <w:rPr>
          <w:rFonts w:ascii="Courier New" w:cs="Courier New" w:eastAsia="Courier New" w:hAnsi="Courier New"/>
          <w:sz w:val="14"/>
          <w:szCs w:val="14"/>
          <w:color w:val="auto"/>
        </w:rPr>
        <w:t>The Plan is intended to qualify as a profit sharing plan pursuant to the provisions of Section 401(a) of the Internal Revenue Code of 1986, as amended from time to time (the "Code"). See "Federal Income Tax Information" for information on the tax effects which may accrue to participants in the Plan.</w:t>
      </w:r>
    </w:p>
    <w:p>
      <w:pPr>
        <w:spacing w:after="0" w:line="163"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The Plan is subject to the provisions of the Employee Retirement Income Security Act of 1974 ("ERISA") which relate to defined contribution plans. As such, it is generally subject to Titles I and II of ERISA, including reporting, disclosure, participation and vesting, fiduciary responsibility, adminis-tration and enforcement provisions. As an "individual account plan" under ERISA, the Plan is not subject to the funding requirements of Title I nor are the Plan benefits guaranteed by the Federal Government Pension Benefit Guaranty Corporation under Title IV of ERISA. A participant's interest in the Plan is measured by the balance in the participant's individual account and not by a definitely determinable retirement benefit.</w:t>
      </w:r>
    </w:p>
    <w:p>
      <w:pPr>
        <w:spacing w:after="0" w:line="16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Participating employees will receive reports reflecting the status of their individual account, including information as to contributions, interest and other earnings, withdrawals and transfers, in accordance with the requirements of ERISA. They will also receive a Summary Plan Description as required by ERISA. In addition, participants will be furnished with a Summary Annual Report containing additional financial information regarding the Plan as required by ERISA.</w:t>
      </w:r>
    </w:p>
    <w:p>
      <w:pPr>
        <w:spacing w:after="0" w:line="177"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Plan is administered by Toro unless the Chief Executive Officer of Toro designated another person or persons to be the administrator (the "Plan Administrator"). See "Administration of the Plan".</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This Prospectus should be read in conjunction with the current Appendix and certain other information relating to the Plan. The current Appendix should be considered a part of this Prospectus.</w:t>
      </w:r>
    </w:p>
    <w:p>
      <w:pPr>
        <w:spacing w:after="0" w:line="175"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The description of the Plan contained in this Prospectus is intended to give only a general summary of the principal provisions of the Plan. It does not purport to be complete and is qualified in its entirety by reference to the full text of the Plan itself. Copies of the Plan are available upon request from the Plan Administrator identified in the current Appendix.</w:t>
      </w:r>
    </w:p>
    <w:p>
      <w:pPr>
        <w:spacing w:after="0" w:line="16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Toro is a Delaware corporation with its principal place of business in Minnesota. Its mailing address is 8111 Lyndale Avenue South, Bloomington, Minnesota 55420. The telephone number is (612) 888-8801.</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32" w:name="page33"/>
    <w:bookmarkEnd w:id="32"/>
    <w:p>
      <w:pPr>
        <w:ind w:left="2460"/>
        <w:spacing w:after="0"/>
        <w:rPr>
          <w:sz w:val="20"/>
          <w:szCs w:val="20"/>
          <w:color w:val="auto"/>
        </w:rPr>
      </w:pPr>
      <w:r>
        <w:rPr>
          <w:rFonts w:ascii="Courier New" w:cs="Courier New" w:eastAsia="Courier New" w:hAnsi="Courier New"/>
          <w:sz w:val="15"/>
          <w:szCs w:val="15"/>
          <w:color w:val="auto"/>
        </w:rPr>
        <w:t>THE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ELIGIBLE EMPLOYEES</w:t>
      </w:r>
    </w:p>
    <w:p>
      <w:pPr>
        <w:spacing w:after="0" w:line="175"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Participation in the Plan is optional, except that certain contributions made by the Company ("Toro Investment Fund Contributions") are automatic with respect to employees who meet the requirements of the Plan ("Qualified Employees"). See "Contributions - Toro Investment Fund Contributions" below.</w:t>
      </w:r>
    </w:p>
    <w:p>
      <w:pPr>
        <w:spacing w:after="0" w:line="1" w:lineRule="exact"/>
        <w:rPr>
          <w:sz w:val="20"/>
          <w:szCs w:val="20"/>
          <w:color w:val="auto"/>
        </w:rPr>
      </w:pPr>
    </w:p>
    <w:p>
      <w:pPr>
        <w:ind w:right="3359" w:firstLine="88"/>
        <w:spacing w:after="0" w:line="257" w:lineRule="auto"/>
        <w:rPr>
          <w:sz w:val="20"/>
          <w:szCs w:val="20"/>
          <w:color w:val="auto"/>
        </w:rPr>
      </w:pPr>
      <w:r>
        <w:rPr>
          <w:rFonts w:ascii="Courier New" w:cs="Courier New" w:eastAsia="Courier New" w:hAnsi="Courier New"/>
          <w:sz w:val="14"/>
          <w:szCs w:val="14"/>
          <w:color w:val="auto"/>
        </w:rPr>
        <w:t>In general, any employee of the Company, including any officer or director who is an employee, is eligible to participate in the Plan as of the first day of the calendar quarter following the completion of twelve consecutive months of service (provided the employee completes at least 1,000 hours of service during that twelve month period), except that an employee does not become a Qualified Employee eligible to receive a Toro Investment Fund Contribution until the completion of two years of service. Any employee who is covered by a collective bargaining agreement which does not provide that employees in the bargaining unit will be covered by the Plan will not be eligible to participate in the Plan if there is evidence that retirement benefits were the subject of good faith bargaining between the representatives of such unit and the Company. Certain employees of Toro's foreign subsidiaries may not be eligible to participate in the Plan. In general, any employee of the Company who was a participant in a Predecessor Plan immediately before August 1, 1995 will also be a participant in the Plan.</w:t>
      </w:r>
    </w:p>
    <w:p>
      <w:pPr>
        <w:spacing w:after="0" w:line="16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An employee who incurs a termination of employment with the Company will cease to be eligible to participate in the Plan, unless the employee is reemployed by the Company and otherwise meets the requirements for participation.</w:t>
      </w:r>
    </w:p>
    <w:p>
      <w:pPr>
        <w:spacing w:after="0" w:line="171" w:lineRule="exact"/>
        <w:rPr>
          <w:sz w:val="20"/>
          <w:szCs w:val="20"/>
          <w:color w:val="auto"/>
        </w:rPr>
      </w:pPr>
    </w:p>
    <w:p>
      <w:pPr>
        <w:ind w:left="440"/>
        <w:spacing w:after="0"/>
        <w:tabs>
          <w:tab w:leader="none" w:pos="4460" w:val="left"/>
        </w:tabs>
        <w:rPr>
          <w:sz w:val="20"/>
          <w:szCs w:val="20"/>
          <w:color w:val="auto"/>
        </w:rPr>
      </w:pPr>
      <w:r>
        <w:rPr>
          <w:rFonts w:ascii="Courier New" w:cs="Courier New" w:eastAsia="Courier New" w:hAnsi="Courier New"/>
          <w:sz w:val="15"/>
          <w:szCs w:val="15"/>
          <w:color w:val="auto"/>
        </w:rPr>
        <w:t>An eligible employee may enroll in the Plan.</w:t>
      </w:r>
      <w:r>
        <w:rPr>
          <w:sz w:val="20"/>
          <w:szCs w:val="20"/>
          <w:color w:val="auto"/>
        </w:rPr>
        <w:tab/>
      </w:r>
      <w:r>
        <w:rPr>
          <w:rFonts w:ascii="Courier New" w:cs="Courier New" w:eastAsia="Courier New" w:hAnsi="Courier New"/>
          <w:sz w:val="14"/>
          <w:szCs w:val="14"/>
          <w:color w:val="auto"/>
        </w:rPr>
        <w:t>See "Participation" below.</w:t>
      </w:r>
    </w:p>
    <w:p>
      <w:pPr>
        <w:spacing w:after="0" w:line="5" w:lineRule="exact"/>
        <w:rPr>
          <w:sz w:val="20"/>
          <w:szCs w:val="20"/>
          <w:color w:val="auto"/>
        </w:rPr>
      </w:pPr>
    </w:p>
    <w:p>
      <w:pPr>
        <w:ind w:right="3619" w:firstLine="88"/>
        <w:spacing w:after="0" w:line="237" w:lineRule="auto"/>
        <w:rPr>
          <w:sz w:val="20"/>
          <w:szCs w:val="20"/>
          <w:color w:val="auto"/>
        </w:rPr>
      </w:pPr>
      <w:r>
        <w:rPr>
          <w:rFonts w:ascii="Courier New" w:cs="Courier New" w:eastAsia="Courier New" w:hAnsi="Courier New"/>
          <w:sz w:val="15"/>
          <w:szCs w:val="15"/>
          <w:color w:val="auto"/>
        </w:rPr>
        <w:t>Once an employee meets the eligibility requirements, that employee will continue to be eligible to participate in the Plan for as long as he or she continues to be employed by the Company.</w:t>
      </w:r>
    </w:p>
    <w:p>
      <w:pPr>
        <w:spacing w:after="0" w:line="175"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Subsidiaries of Toro which have adopted the Plan are listed in the Appendix.</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PARTICIPATION</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An eligible employee may become a participant in the Plan by signing and filing with the Plan Administrator such application forms and furnishing such information as the Plan Administrator may require to authorize payroll deductions. An employee becomes a contributing participant as of the beginning of the first payroll period which is at least 30 days after the date of such application, or a lesser number of days after the application, as provided in the application form. Payroll deductions continue until the participant ceases to meet the eligibility requirements, terminates employment, dies or withdraws from making contributions. See "Pre-Tax Contributions" and "After-Tax Contributions" below. A participant may withdraw from making contributions for a payroll period by meeting certain requirements established by the Administrator.</w:t>
      </w:r>
    </w:p>
    <w:p>
      <w:pPr>
        <w:spacing w:after="0" w:line="182"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Plan year will be a calendar year, but there will be a short Plan year beginning on August 1, 1995 and ending on December 31,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GENERAL. There are four ways in which contributions may be made for a participant's benefit under the Plan. "Pre-Tax Contributions" are contributions to the Plan made out of a contributing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33" w:name="page34"/>
    <w:bookmarkEnd w:id="33"/>
    <w:p>
      <w:pPr>
        <w:ind w:right="3539"/>
        <w:spacing w:after="0" w:line="238" w:lineRule="auto"/>
        <w:rPr>
          <w:sz w:val="20"/>
          <w:szCs w:val="20"/>
          <w:color w:val="auto"/>
        </w:rPr>
      </w:pPr>
      <w:r>
        <w:rPr>
          <w:rFonts w:ascii="Courier New" w:cs="Courier New" w:eastAsia="Courier New" w:hAnsi="Courier New"/>
          <w:sz w:val="15"/>
          <w:szCs w:val="15"/>
          <w:color w:val="auto"/>
        </w:rPr>
        <w:t>participant's compensation, which is reduced by the designated amount of the contributions. For federal income tax purposes, the contribution is treated as being made by the participant's participating employer. "After-Tax Contributions" are contributions made by the Company on behalf of participants who have agreed to have a percentage of their net compensation after payment of taxes paid into the Plan. Such contributions do not reduce compensation subject to tax withholding. "Company Matching Contributions" are contributions made by the Company (either Toro or its participating subsidiary) on behalf of participants who make either Pre-Tax or After-Tax Contributions to the Plan. Toro Investment Fund Contributions are contributions made by the Company, whether or not the employee makes Pre-Tax or After-Tax Contributions.</w:t>
      </w:r>
    </w:p>
    <w:p>
      <w:pPr>
        <w:spacing w:after="0" w:line="182" w:lineRule="exact"/>
        <w:rPr>
          <w:sz w:val="20"/>
          <w:szCs w:val="20"/>
          <w:color w:val="auto"/>
        </w:rPr>
      </w:pPr>
    </w:p>
    <w:p>
      <w:pPr>
        <w:ind w:right="3619" w:firstLine="441"/>
        <w:spacing w:after="0" w:line="238" w:lineRule="auto"/>
        <w:rPr>
          <w:sz w:val="20"/>
          <w:szCs w:val="20"/>
          <w:color w:val="auto"/>
        </w:rPr>
      </w:pPr>
      <w:r>
        <w:rPr>
          <w:rFonts w:ascii="Courier New" w:cs="Courier New" w:eastAsia="Courier New" w:hAnsi="Courier New"/>
          <w:sz w:val="15"/>
          <w:szCs w:val="15"/>
          <w:color w:val="auto"/>
        </w:rPr>
        <w:t>The amounts that can be contributed for a participant's benefit under the Plan are based on a percentage of the participant's compensation. For purposes of the Plan, a participant's "compensation" means all remuneration of an employee from an employer which is subject to federal income tax withholding, subject to certain adjustments and limitations as set forth in the Plan and relating to benefits such as stock options and cafeteria plan benefits.</w:t>
      </w:r>
    </w:p>
    <w:p>
      <w:pPr>
        <w:spacing w:after="0" w:line="177"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Each election by a participant to contribute under the Plan or to terminate contributions must be in writing on a form furnished by the Plan Administrator and filed with the Plan Administrator in accordance with rules established by the Plan Administrator.</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PRE-TAX CONTRIBUTIONS. A participant may agree to have his or her salary reduced by any whole percentage from 1% to 10%, through an automatic payroll deduction each payroll period, provided that such reductions may not exceed 10% of the participant's compensation for any payroll period and may not exceed annual dollar limits set by the Secretary of the Treasury ($9,240 for 1995). The Company will contribute to the Plan the amount by which the participant's salary has been reduced. The amount of the salary reduction contributed to the Plan on a participant's behalf is not subject to federal income tax until the participant receives it from the Plan as a withdrawal or distribution. These Pre-Tax Contributions are, however, subject to social security taxes each payroll period.</w:t>
      </w:r>
    </w:p>
    <w:p>
      <w:pPr>
        <w:spacing w:after="0" w:line="181" w:lineRule="exact"/>
        <w:rPr>
          <w:sz w:val="20"/>
          <w:szCs w:val="20"/>
          <w:color w:val="auto"/>
        </w:rPr>
      </w:pPr>
    </w:p>
    <w:p>
      <w:pPr>
        <w:ind w:right="3539" w:firstLine="441"/>
        <w:spacing w:after="0" w:line="258" w:lineRule="auto"/>
        <w:rPr>
          <w:sz w:val="20"/>
          <w:szCs w:val="20"/>
          <w:color w:val="auto"/>
        </w:rPr>
      </w:pPr>
      <w:r>
        <w:rPr>
          <w:rFonts w:ascii="Courier New" w:cs="Courier New" w:eastAsia="Courier New" w:hAnsi="Courier New"/>
          <w:sz w:val="14"/>
          <w:szCs w:val="14"/>
          <w:color w:val="auto"/>
        </w:rPr>
        <w:t>Pre-Tax Contributions may not be distributed to a participant until his or her employment with the Company terminates, except that distribution of contributions must commence, whether or not the participant is employed by the Company, by the April 1 following the date the participant reaches age 701/2. See "Payment Upon Termination of Employment" below.</w:t>
      </w:r>
    </w:p>
    <w:p>
      <w:pPr>
        <w:spacing w:after="0" w:line="16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Salary reductions made to fund Pre-Tax Contributions to the Plan will not affect other benefits available to participants, such as life insurance, disability income, retirement and similar benefit programs. Any benefits payable under these programs will continue to be calculated without regard to reductions for Pre-Tax Contributions to the Plan.</w:t>
      </w:r>
    </w:p>
    <w:p>
      <w:pPr>
        <w:spacing w:after="0" w:line="178"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A contribution agreement will apply to each payroll period during which the agreement is on file with the Company.</w:t>
      </w:r>
    </w:p>
    <w:p>
      <w:pPr>
        <w:spacing w:after="0" w:line="176" w:lineRule="exact"/>
        <w:rPr>
          <w:sz w:val="20"/>
          <w:szCs w:val="20"/>
          <w:color w:val="auto"/>
        </w:rPr>
      </w:pPr>
    </w:p>
    <w:p>
      <w:pPr>
        <w:ind w:right="3619" w:firstLine="441"/>
        <w:spacing w:after="0" w:line="238" w:lineRule="auto"/>
        <w:rPr>
          <w:sz w:val="20"/>
          <w:szCs w:val="20"/>
          <w:color w:val="auto"/>
        </w:rPr>
      </w:pPr>
      <w:r>
        <w:rPr>
          <w:rFonts w:ascii="Courier New" w:cs="Courier New" w:eastAsia="Courier New" w:hAnsi="Courier New"/>
          <w:sz w:val="15"/>
          <w:szCs w:val="15"/>
          <w:color w:val="auto"/>
        </w:rPr>
        <w:t>CHANGING OR SUSPENDING PRE-TAX CONTRIBUTIONS. A participant's Pre-Tax Contributions may be modified as of dates permitted by the Plan Administrator. Initially and until the Plan Administrator determines otherwise, a contributing participant may make three modifications of the rate (not including withdrawal from participation as a contributing participant) during a calendar quarter and a change will be effective as of the first payday in the subsequent calendar quarter. A modification in the rate of Pre-Tax Contributions is to be made by providing the Plan Administrator</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34" w:name="page35"/>
    <w:bookmarkEnd w:id="34"/>
    <w:p>
      <w:pPr>
        <w:ind w:right="3439"/>
        <w:spacing w:after="0" w:line="237" w:lineRule="auto"/>
        <w:rPr>
          <w:sz w:val="20"/>
          <w:szCs w:val="20"/>
          <w:color w:val="auto"/>
        </w:rPr>
      </w:pPr>
      <w:r>
        <w:rPr>
          <w:rFonts w:ascii="Courier New" w:cs="Courier New" w:eastAsia="Courier New" w:hAnsi="Courier New"/>
          <w:sz w:val="15"/>
          <w:szCs w:val="15"/>
          <w:color w:val="auto"/>
        </w:rPr>
        <w:t>a new Pre-Tax Contribution agreement, in accordance with the Plan Administrator's requirements, at least 30 days (or a shorter period permitted by the Plan Administrator) before the payday as to which it is to be effective.</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AFTER-TAX CONTRIBUTIONS. A participant may also elect to make After-Tax Contributions in addition to or in lieu of Pre-Tax Contributions. After-Tax Contributions may be withdrawn from the Plan prior to termination of employment. See "Withdrawals During Employment" below. A participant may agree to contribute to the Plan an amount equal to any whole percentage of his or her compensation per payroll period not to exceed 4% of such compensation, and not to exceed the maximum amount which may be contributed under the Code. See "Additional Limitations on Participant Contributions". Contributions under the Plan may be made in a combination of Pre-Tax Contributions and After-Tax Contributions so long as the total contribution does not exceed an amount equal to 10% of compensation described above.</w:t>
      </w:r>
    </w:p>
    <w:p>
      <w:pPr>
        <w:spacing w:after="0" w:line="181"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CHANGING OR SUSPENDING AFTER-TAX CONTRIBUTIONS. A participant may cease, resume or modify the amount or the rate of his or her After-Tax Contribution at the same time and in accordance with the same rules provided for Pre-Tax Contributions. A participant who elects to withdraw all or any part of such After-Tax Contributions may not again make After-Tax Contributions except in accordance with the Plan (see "Withdrawals During Employment" below).</w:t>
      </w:r>
    </w:p>
    <w:p>
      <w:pPr>
        <w:spacing w:after="0" w:line="177"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ADDITIONAL LIMITATIONS ON PARTICIPANT CONTRIBUTIONS. Current law and Internal Revenue Service ("IRS") regulations limit the total amount that an employee may contribute before taxes to all employer-sponsored savings or retirement plans in any calendar year. This limit will be adjusted periodically for increases in the cost of living in accordance with federal regulations. For 1995 the limit is $9,240. This limit may apply to a participant who (i) makes pre-tax contributions to this Plan and also to other qualified Company plans or (ii) makes pre-tax contributions during a single calendar year to Company plans and also to any savings or retirement plan sponsored by another employer. A participant for whom this limit may be applicable should contact the Plan Administrator for additional information.</w:t>
      </w:r>
    </w:p>
    <w:p>
      <w:pPr>
        <w:spacing w:after="0" w:line="16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Under IRS rules applicable to the Plan, the average amount that can be contributed in the form of Pre-Tax Contributions and After-Tax Contributions by participants who are "highly compensated employees" (as defined in the Plan and in Section 414(q) of the Code) cannot exceed certain limits relating to amounts contributed by other participants. If the amounts that highly compensated employees have contributed or have indicated they wish to contribute as Pre-Tax or After-Tax Contributions would cause the Plan to violate this standard, the Company and the Plan Administrator would take one or more of the following actions to restore the required balance: the level of Pre-Tax Contributions permitted highly compensated employees could be reduced below the Plan maximum or the Company could return to highly compensated employees a portion of the Pre-Tax or After-Tax Contributions made by such employees. If Pre-Tax or After-Tax Contributions are returned, any Company Matching Contributions made with respect to such returned Pre-Tax or After-Tax Contributions would be forfeited by the participant. Such forfeited amounts would be applied by the Company to reduce subsequent matching contributions.</w:t>
      </w:r>
    </w:p>
    <w:p>
      <w:pPr>
        <w:spacing w:after="0" w:line="18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Neither the Company nor the Plan is able to predict whether any of the adjustments described above will be necessary. It is possible that the maximum contribution level for highly compensated employees may be decreased or that other actions may be taken to maintain the appropriate balance of contributions required by the IRS. If additional actions must be taken to maintain the required balance of contributions, affected participants will be notified.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35" w:name="page36"/>
    <w:bookmarkEnd w:id="35"/>
    <w:p>
      <w:pPr>
        <w:ind w:right="3439" w:firstLine="441"/>
        <w:spacing w:after="0" w:line="238" w:lineRule="auto"/>
        <w:rPr>
          <w:sz w:val="20"/>
          <w:szCs w:val="20"/>
          <w:color w:val="auto"/>
        </w:rPr>
      </w:pPr>
      <w:r>
        <w:rPr>
          <w:rFonts w:ascii="Courier New" w:cs="Courier New" w:eastAsia="Courier New" w:hAnsi="Courier New"/>
          <w:sz w:val="15"/>
          <w:szCs w:val="15"/>
          <w:color w:val="auto"/>
        </w:rPr>
        <w:t>COMPANY MATCHING CONTRIBUTIONS. Each participating employer will make contributions to the Plan on behalf of each of its participants who makes Pre-Tax or After-Tax Contributions to the Plan. The matching contribution will be equal to 50% of the sum of the amounts contributed by a participant to the Plan as Pre-Tax and After-Tax Contributions for the Plan year (excluding contributions which have been withdrawn during the Plan year), up to a maximum of 2% of the participant's compensation. Matching contributions may be made in cash or in Common Stock.</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TORO INVESTMENT FUND CONTRIBUTIONS. Each participating employer will make Toro Investment Fund Contributions to the Plan on behalf of its Qualified Employees in amounts equal to 5.5% of compensation plus 5.5% of compensation above the Social Security taxable wage base. A Qualified Employee must meet the eligibility requirements described in "Eligible Employees" above, and must be actively employed on the last working day of the applicable Plan year to be eligible for a Toro Investment Fund Contribution. Compensation is measured from the first of the month following completion of the service requirement.</w:t>
      </w:r>
    </w:p>
    <w:p>
      <w:pPr>
        <w:spacing w:after="0" w:line="179"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ROLLOVER CONTRIBUTIONS. If a participant received a lump sum distribution from an account under a qualified retirement plan with his or her previous employer, or if a participant previously received such a distribution and placed it in an individual retirement account, the Plan Administrator may permit a participant to roll the distribution over to an account under this Plan, subject to such terms and conditions as may be established by the Administrator and subject to the Code and regulations thereunder. There are detailed rules that must be followed for such Rollover Contributions and any questions should be directed to the Plan Administrator.</w:t>
      </w:r>
    </w:p>
    <w:p>
      <w:pPr>
        <w:spacing w:after="0" w:line="3" w:lineRule="exact"/>
        <w:rPr>
          <w:sz w:val="20"/>
          <w:szCs w:val="20"/>
          <w:color w:val="auto"/>
        </w:rPr>
      </w:pPr>
    </w:p>
    <w:p>
      <w:pPr>
        <w:ind w:right="3439" w:firstLine="88"/>
        <w:spacing w:after="0" w:line="235" w:lineRule="auto"/>
        <w:rPr>
          <w:sz w:val="20"/>
          <w:szCs w:val="20"/>
          <w:color w:val="auto"/>
        </w:rPr>
      </w:pPr>
      <w:r>
        <w:rPr>
          <w:rFonts w:ascii="Courier New" w:cs="Courier New" w:eastAsia="Courier New" w:hAnsi="Courier New"/>
          <w:sz w:val="15"/>
          <w:szCs w:val="15"/>
          <w:color w:val="auto"/>
        </w:rPr>
        <w:t>There will be no Company Matching Contributions for a transfer to a rollover account.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ACCOUNTS AND VESTING</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An individual account will be established for each participant. Each account will have subaccounts as follows:</w:t>
      </w:r>
    </w:p>
    <w:p>
      <w:pPr>
        <w:spacing w:after="0" w:line="176" w:lineRule="exact"/>
        <w:rPr>
          <w:sz w:val="20"/>
          <w:szCs w:val="20"/>
          <w:color w:val="auto"/>
        </w:rPr>
      </w:pPr>
    </w:p>
    <w:p>
      <w:pPr>
        <w:ind w:left="440" w:right="3359"/>
        <w:spacing w:after="0" w:line="237" w:lineRule="auto"/>
        <w:rPr>
          <w:sz w:val="20"/>
          <w:szCs w:val="20"/>
          <w:color w:val="auto"/>
        </w:rPr>
      </w:pPr>
      <w:r>
        <w:rPr>
          <w:rFonts w:ascii="Courier New" w:cs="Courier New" w:eastAsia="Courier New" w:hAnsi="Courier New"/>
          <w:sz w:val="15"/>
          <w:szCs w:val="15"/>
          <w:color w:val="auto"/>
        </w:rPr>
        <w:t>TORO INVESTMENT FUND CONTRIBUTIONS ACCOUNT, which shows the amount of the participant's interest derived from Toro Investment Fund Contributions under the Plan, and attributable to similar contributions made under any Predecessor Plan prior to August 1, 1995.</w:t>
      </w:r>
    </w:p>
    <w:p>
      <w:pPr>
        <w:spacing w:after="0" w:line="176" w:lineRule="exact"/>
        <w:rPr>
          <w:sz w:val="20"/>
          <w:szCs w:val="20"/>
          <w:color w:val="auto"/>
        </w:rPr>
      </w:pPr>
    </w:p>
    <w:p>
      <w:pPr>
        <w:ind w:left="440" w:right="3259"/>
        <w:spacing w:after="0" w:line="237" w:lineRule="auto"/>
        <w:rPr>
          <w:sz w:val="20"/>
          <w:szCs w:val="20"/>
          <w:color w:val="auto"/>
        </w:rPr>
      </w:pPr>
      <w:r>
        <w:rPr>
          <w:rFonts w:ascii="Courier New" w:cs="Courier New" w:eastAsia="Courier New" w:hAnsi="Courier New"/>
          <w:sz w:val="15"/>
          <w:szCs w:val="15"/>
          <w:color w:val="auto"/>
        </w:rPr>
        <w:t>PRE-TAX CONTRIBUTIONS ACCOUNT, which shows the amount of the participant's interest derived from Pre-Tax Contributions made by the participant from August 1, 1995, and attributable to similar contributions made under any Predecessor Plan prior to that date.</w:t>
      </w:r>
    </w:p>
    <w:p>
      <w:pPr>
        <w:spacing w:after="0" w:line="176" w:lineRule="exact"/>
        <w:rPr>
          <w:sz w:val="20"/>
          <w:szCs w:val="20"/>
          <w:color w:val="auto"/>
        </w:rPr>
      </w:pPr>
    </w:p>
    <w:p>
      <w:pPr>
        <w:ind w:left="440" w:right="3259"/>
        <w:spacing w:after="0" w:line="237" w:lineRule="auto"/>
        <w:rPr>
          <w:sz w:val="20"/>
          <w:szCs w:val="20"/>
          <w:color w:val="auto"/>
        </w:rPr>
      </w:pPr>
      <w:r>
        <w:rPr>
          <w:rFonts w:ascii="Courier New" w:cs="Courier New" w:eastAsia="Courier New" w:hAnsi="Courier New"/>
          <w:sz w:val="15"/>
          <w:szCs w:val="15"/>
          <w:color w:val="auto"/>
        </w:rPr>
        <w:t>AFTER-TAX CONTRIBUTIONS ACCOUNT, which shows the amount of the participant's interest derived from After-Tax Contributions made by the participant form August 1, 1995, and attributable to similar contributions made under any Predecessor Plan prior to that date.</w:t>
      </w:r>
    </w:p>
    <w:p>
      <w:pPr>
        <w:spacing w:after="0" w:line="176" w:lineRule="exact"/>
        <w:rPr>
          <w:sz w:val="20"/>
          <w:szCs w:val="20"/>
          <w:color w:val="auto"/>
        </w:rPr>
      </w:pPr>
    </w:p>
    <w:p>
      <w:pPr>
        <w:ind w:left="440" w:right="3179"/>
        <w:spacing w:after="0" w:line="259" w:lineRule="auto"/>
        <w:rPr>
          <w:sz w:val="20"/>
          <w:szCs w:val="20"/>
          <w:color w:val="auto"/>
        </w:rPr>
      </w:pPr>
      <w:r>
        <w:rPr>
          <w:rFonts w:ascii="Courier New" w:cs="Courier New" w:eastAsia="Courier New" w:hAnsi="Courier New"/>
          <w:sz w:val="14"/>
          <w:szCs w:val="14"/>
          <w:color w:val="auto"/>
        </w:rPr>
        <w:t>MATCHING CONTRIBUTIONS ACCOUNT, which shows the amount of the participant's interest derived from Matching Contributions made by the participant from August 1, 1995, and attributable to similar contributions made under The Toro Company Matching Stock Plan prior to that date.</w:t>
      </w:r>
    </w:p>
    <w:p>
      <w:pPr>
        <w:spacing w:after="0" w:line="163"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ROLLOVER CONTRIBUTIONS ACCOUNT, which shows the amount of the participant's interest derived from Rollover Contributions.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36" w:name="page37"/>
    <w:bookmarkEnd w:id="36"/>
    <w:p>
      <w:pPr>
        <w:ind w:right="3539" w:firstLine="441"/>
        <w:spacing w:after="0" w:line="237" w:lineRule="auto"/>
        <w:rPr>
          <w:sz w:val="20"/>
          <w:szCs w:val="20"/>
          <w:color w:val="auto"/>
        </w:rPr>
      </w:pPr>
      <w:r>
        <w:rPr>
          <w:rFonts w:ascii="Courier New" w:cs="Courier New" w:eastAsia="Courier New" w:hAnsi="Courier New"/>
          <w:sz w:val="15"/>
          <w:szCs w:val="15"/>
          <w:color w:val="auto"/>
        </w:rPr>
        <w:t>In addition, a small number of participants may also have a VOLUNTARY CONTRIBUTIONS ACCOUNT, which shows the amount of the participant's interest derived from voluntary after tax contributions made by the participant prior to 1986, before changes in tax laws motivated Toro to eliminate the opportunity to make such contributions.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Participants' accounts will be valued daily.</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Amounts contributed to the Toro Investment Fund Account, the Pre-Tax and After-Tax Accounts and any Rollover Account, together with income attributable thereto, will be 100% vested and nonforfeitable at all times. The vested portion of a participant's account is the portion of the assets which the participant is entitled to receive as a distribution if employment with the Company terminates.</w:t>
      </w:r>
    </w:p>
    <w:p>
      <w:pPr>
        <w:spacing w:after="0" w:line="176"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Amounts credited to the Matching Contributions Account together with income attributable thereto and amounts contributed under The Toro Company Matching Stock Plan as it existed prior to August 1, 1995 together with income attributable thereto will vest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00" w:type="dxa"/>
            <w:vAlign w:val="bottom"/>
            <w:gridSpan w:val="4"/>
          </w:tcPr>
          <w:p>
            <w:pPr>
              <w:spacing w:after="0"/>
              <w:rPr>
                <w:sz w:val="20"/>
                <w:szCs w:val="20"/>
                <w:color w:val="auto"/>
              </w:rPr>
            </w:pPr>
            <w:r>
              <w:rPr>
                <w:rFonts w:ascii="Courier New" w:cs="Courier New" w:eastAsia="Courier New" w:hAnsi="Courier New"/>
                <w:sz w:val="15"/>
                <w:szCs w:val="15"/>
                <w:color w:val="auto"/>
                <w:w w:val="98"/>
              </w:rPr>
              <w:t>On completion of one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 of</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vesting service: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1800" w:type="dxa"/>
            <w:vAlign w:val="bottom"/>
            <w:gridSpan w:val="4"/>
          </w:tcPr>
          <w:p>
            <w:pPr>
              <w:spacing w:after="0"/>
              <w:rPr>
                <w:sz w:val="20"/>
                <w:szCs w:val="20"/>
                <w:color w:val="auto"/>
              </w:rPr>
            </w:pPr>
            <w:r>
              <w:rPr>
                <w:rFonts w:ascii="Courier New" w:cs="Courier New" w:eastAsia="Courier New" w:hAnsi="Courier New"/>
                <w:sz w:val="15"/>
                <w:szCs w:val="15"/>
                <w:color w:val="auto"/>
                <w:w w:val="98"/>
              </w:rPr>
              <w:t>On completion of two</w:t>
            </w:r>
          </w:p>
        </w:tc>
        <w:tc>
          <w:tcPr>
            <w:tcW w:w="25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years of vesting service: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2500" w:type="dxa"/>
            <w:vAlign w:val="bottom"/>
            <w:gridSpan w:val="5"/>
          </w:tcPr>
          <w:p>
            <w:pPr>
              <w:spacing w:after="0"/>
              <w:rPr>
                <w:sz w:val="20"/>
                <w:szCs w:val="20"/>
                <w:color w:val="auto"/>
              </w:rPr>
            </w:pPr>
            <w:r>
              <w:rPr>
                <w:rFonts w:ascii="Courier New" w:cs="Courier New" w:eastAsia="Courier New" w:hAnsi="Courier New"/>
                <w:sz w:val="15"/>
                <w:szCs w:val="15"/>
                <w:color w:val="auto"/>
                <w:w w:val="98"/>
              </w:rPr>
              <w:t>On completion of three years</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vesting service: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completion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four years of</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vesting service: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completion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five years of</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vesting service: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314"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"Vesting service" means an employee's period of service with the Company measured in full years, subject to certain adjustments set forth in the Plan to accommodate the transition to the Plan and change in the Plan year. A participant's account will be 100% vested when the participant reaches age 65, dies prior to termination of employment with the Company or incurs a termination of employment with the Company on account of disability.</w:t>
      </w:r>
    </w:p>
    <w:p>
      <w:pPr>
        <w:spacing w:after="0" w:line="164"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If a participant terminates employment, any portion of the account which has not vested and to which the participant is not entitled will be held in a suspense account until his or her return as an employee of a participating employer or the occurrence of five consecutive one year breaks in service or the distribution of the entire Vested Share (as defined in the Plan) of the participant (a "forfeiture event"). If the participant returns as an employee of a participating employer before a forfeiture event, there will be no forfeiture and the suspense account will be restored. If the participant experiences a forfeiture before being rehired by a participating employer, all amounts held in the suspense account will be forfeited and will be applied towards future Matching Contributions of Toro or a participating employer or account restorations. If the participant has not received a distribution of his or her entire vested account, the suspense account will not be forfeited until the occurrence of five consecutive one year breaks in service. A participant's forfeited amounts may be restored if he or she is reemployed before incurring a total of five consecutive one year breaks in service. Restoration occurs if the participant had received a distribution which resulted in a forfeiture, but makes repayment of the full amount distributed within certain time periods.</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INVESTMENT OF CONTRIBUTIONS</w:t>
      </w:r>
    </w:p>
    <w:p>
      <w:pPr>
        <w:spacing w:after="0" w:line="175"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INVESTMENT OPTIONS. All contributions under the Plan and all of its assets will be held in trust by a trustee (the "Trustee") until disbursed in accordance with the terms of the Plan. Assets held under the Plan may be invested by a participant at the participant's direction in any one or more investment funds, except that all Company Matching Contributions and assets attributable to similar contributions under The Toro Company Matching Stock Plan, as it existed immediately prior to August 1, 1995, will be invested only in Toro Common Stock, subject to the right to diversify upon reaching the age of 55. See "Diversification Upon Reaching 55" below. The Chief Executive Officer of Toro may specify that Rollover Contributions or Pre-Tax Contributions may not be invested in the Common Stock.</w:t>
      </w:r>
    </w:p>
    <w:p>
      <w:pPr>
        <w:spacing w:after="0" w:line="16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PUTNAM MUTUAL FUNDS. Investment options available to participants through Putnam Fiduciary Trust Company are listed from time to time in an Appendix to this Prospectus, and are described in prospectuses prepared by managers of each investment company and made available to participants in the Plan by the Trustee. A table set forth in the Appendix presents financial data for the past three years showing materials trends in the performance of the alternative investment options, including The Toro Company Common Stock Fund described below.</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TORO COMPANY COMMON STOCK FUND. Except as described below, the assets of The Toro Company Common Stock Fund will be invested exclusively in the Common Stock of Toro. The Trustee will purchase the Common Stock on the open market at market prices, or may acquire Common Stock by contribution or acquisition from Toro.</w:t>
      </w:r>
    </w:p>
    <w:p>
      <w:pPr>
        <w:spacing w:after="0" w:line="178"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The Trustee may temporarily invest cash received under the Plan prior to acquiring the Common Stock. The Trustee may also maintain sufficient cash to distribute cash in lieu of fractional shares.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DIVERSIFICATION UPON REACHING 55. A participant who has attained the age of 55 and has completed ten years of vesting service with the Company may elect to segregate a portion of the vested portion of his or her Matching Contribution Account in The Toro Company Common Stock Fund and direct the investment of such amount. Investment of the following amounts of a participant's vested account may be directed, beginning with the first Plan quarter in which a participant meets the necessary age and service requirements:</w:t>
      </w:r>
    </w:p>
    <w:p>
      <w:pPr>
        <w:spacing w:after="0" w:line="200" w:lineRule="exact"/>
        <w:rPr>
          <w:sz w:val="20"/>
          <w:szCs w:val="20"/>
          <w:color w:val="auto"/>
        </w:rPr>
      </w:pPr>
    </w:p>
    <w:p>
      <w:pPr>
        <w:spacing w:after="0" w:line="311"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6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8"/>
              </w:rPr>
              <w:t>Attained Age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339"/>
        </w:trPr>
        <w:tc>
          <w:tcPr>
            <w:tcW w:w="16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55</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r>
      <w:tr>
        <w:trPr>
          <w:trHeight w:val="170"/>
        </w:trPr>
        <w:tc>
          <w:tcPr>
            <w:tcW w:w="16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56</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w:t>
            </w:r>
          </w:p>
        </w:tc>
      </w:tr>
      <w:tr>
        <w:trPr>
          <w:trHeight w:val="170"/>
        </w:trPr>
        <w:tc>
          <w:tcPr>
            <w:tcW w:w="16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57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w:t>
            </w:r>
          </w:p>
        </w:tc>
      </w:tr>
      <w:tr>
        <w:trPr>
          <w:trHeight w:val="170"/>
        </w:trPr>
        <w:tc>
          <w:tcPr>
            <w:tcW w:w="16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58</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314"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A participant who has attained the age of 62, but has not yet completed 10 years of vesting service, will nonetheless be permitted to direct the investment of 100% of the value of the vested portion of the participant's Matching Contribution Account.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sectPr>
      </w:pPr>
    </w:p>
    <w:bookmarkStart w:id="38" w:name="page39"/>
    <w:bookmarkEnd w:id="38"/>
    <w:p>
      <w:pPr>
        <w:ind w:right="3439" w:firstLine="441"/>
        <w:spacing w:after="0" w:line="238" w:lineRule="auto"/>
        <w:rPr>
          <w:sz w:val="20"/>
          <w:szCs w:val="20"/>
          <w:color w:val="auto"/>
        </w:rPr>
      </w:pPr>
      <w:r>
        <w:rPr>
          <w:rFonts w:ascii="Courier New" w:cs="Courier New" w:eastAsia="Courier New" w:hAnsi="Courier New"/>
          <w:sz w:val="15"/>
          <w:szCs w:val="15"/>
          <w:color w:val="auto"/>
        </w:rPr>
        <w:t>METHOD OF ELECTION TO DIVERSIFY. Each election to diversify investments in the Plan must be made in writing on a form provided by the Plan Administrator, signed by the participant and delivered to the Plan Administrator in time to permit transmittal to the Trustee within 15 days before the first day of the Plan quarter with respect to which it is to become effective. Any change in such election must be effected in the same manner as an original election. Once an election to diversify has been made, a participant may not transfer that account share back into shares of the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OTHER RIGHTS</w:t>
      </w:r>
    </w:p>
    <w:p>
      <w:pPr>
        <w:spacing w:after="0" w:line="17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VOTING RIGHTS. A participant is entitled to direct the exercise of voting or other rights with respect to shares of Common Stock allocated to the participant's account, including those not yet vested. Toro will provide each participant with information pertaining to exercise of voting and tender offer rights distributed to stockholders at the time of such distribution. The Trustee will vote shares for which voting directions have not been received and shares not yet allocated to participants' accounts in the same ratio for the election of directors and for and against each other issue as the applicable vote directed by participants with respect to shares of stock allocated to their accounts to the extent permitted by ERISA.</w:t>
      </w:r>
    </w:p>
    <w:p>
      <w:pPr>
        <w:spacing w:after="0" w:line="166"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TENDER OR EXCHANGE OFFER. In the event that a tender offer or exchange offer is made for the Common Stock, a participant will have the right to direct the Trustee whether or not to tender or exchange any shares of the Common Stock allocated to the participant's Plan account. The Trustee will provide the participant with necessary information to make a decision. Information regarding a participant's decision will be kept confidential within the meaning of Section 203 of the Delaware General Corporation Law. The Trustee will tender or exchange shares for which direction is not received and for shares not yet allocated to participants' accounts in the same ratio as the positive and negative responses to those offers actually received from participants who give directions, in a manner consistent with the Plan and ERISA.</w:t>
      </w:r>
    </w:p>
    <w:p>
      <w:pPr>
        <w:spacing w:after="0" w:line="182"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Under the Plan, the completion of a tender offer or other acquisition of the Company will not necessarily lead to a distribution of a participant's account. See "Payment Upon Termination of Employment" below. Cash or an asset other than the Common Stock could remain in a participant's account for the full term otherwise required under the Plan.</w:t>
      </w:r>
    </w:p>
    <w:p>
      <w:pPr>
        <w:spacing w:after="0" w:line="178"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DIVIDENDS. Dividends on shares of Common Stock will be allocated to a participant's account.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RISK</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Participation in the Plan involves investment risk because the amount a participant will receive when his or her account is distributed under the terms of the Plan will depend upon the investment results of Toro Common Stock. The Common Stock is purchased at market value and the value may increase or decrease as a result of various factors. In addition, the investment options the participant may choose upon reaching age 55 will affect the amount distributed.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39" w:name="page40"/>
    <w:bookmarkEnd w:id="39"/>
    <w:p>
      <w:pPr>
        <w:ind w:right="3619" w:firstLine="441"/>
        <w:spacing w:after="0" w:line="237" w:lineRule="auto"/>
        <w:rPr>
          <w:sz w:val="20"/>
          <w:szCs w:val="20"/>
          <w:color w:val="auto"/>
        </w:rPr>
      </w:pPr>
      <w:r>
        <w:rPr>
          <w:rFonts w:ascii="Courier New" w:cs="Courier New" w:eastAsia="Courier New" w:hAnsi="Courier New"/>
          <w:sz w:val="15"/>
          <w:szCs w:val="15"/>
          <w:color w:val="auto"/>
        </w:rPr>
        <w:t>A participant's contributions may not be withdrawn during a participant's employment except under very limited circumstances (described below under "Withdrawals During Employment"). As a result, employees contemplating participation in the Plan should view the Plan as a long-term retirement savings program.</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Participants should be aware of Section 10 of the Securities Exchange Act of 1934, and Rule 10b-5 thereunder, which prohibit trading in Company securities on the basis of material, non-public information. For information on certain restrictions on affiliate resales of the Common Stock, see "Restrictions on Resale"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WITHDRAWALS DURING EMPLOYMENT</w:t>
      </w:r>
    </w:p>
    <w:p>
      <w:pPr>
        <w:spacing w:after="0" w:line="175"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Pre-Tax Contributions made by a participant may not be withdrawn or distributed under any circumstances until the participant's employment terminates or until the participant reaches age 701/2. See "Payment Upon Termination of Employment" below.</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 participant who has completed five years of vesting service may withdraw After-Tax Contributions, but will not again be able to make such contributions for a period of at least six months subsequent to the effective date of the withdrawal and may not make additional such withdrawals for a period of three years.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participant who has not terminated service may make withdrawals from</w:t>
      </w:r>
    </w:p>
    <w:p>
      <w:pPr>
        <w:spacing w:after="0"/>
        <w:rPr>
          <w:sz w:val="20"/>
          <w:szCs w:val="20"/>
          <w:color w:val="auto"/>
        </w:rPr>
      </w:pPr>
      <w:r>
        <w:rPr>
          <w:rFonts w:ascii="Courier New" w:cs="Courier New" w:eastAsia="Courier New" w:hAnsi="Courier New"/>
          <w:sz w:val="15"/>
          <w:szCs w:val="15"/>
          <w:color w:val="auto"/>
        </w:rPr>
        <w:t>the participant's Voluntary Contributions Account, if there is one, subject</w:t>
      </w:r>
    </w:p>
    <w:p>
      <w:pPr>
        <w:spacing w:after="0"/>
        <w:tabs>
          <w:tab w:leader="none" w:pos="1640" w:val="left"/>
        </w:tabs>
        <w:rPr>
          <w:sz w:val="20"/>
          <w:szCs w:val="20"/>
          <w:color w:val="auto"/>
        </w:rPr>
      </w:pPr>
      <w:r>
        <w:rPr>
          <w:rFonts w:ascii="Courier New" w:cs="Courier New" w:eastAsia="Courier New" w:hAnsi="Courier New"/>
          <w:sz w:val="15"/>
          <w:szCs w:val="15"/>
          <w:color w:val="auto"/>
        </w:rPr>
        <w:t>to certain rules.</w:t>
      </w:r>
      <w:r>
        <w:rPr>
          <w:sz w:val="20"/>
          <w:szCs w:val="20"/>
          <w:color w:val="auto"/>
        </w:rPr>
        <w:tab/>
      </w:r>
      <w:r>
        <w:rPr>
          <w:rFonts w:ascii="Courier New" w:cs="Courier New" w:eastAsia="Courier New" w:hAnsi="Courier New"/>
          <w:sz w:val="14"/>
          <w:szCs w:val="14"/>
          <w:color w:val="auto"/>
        </w:rPr>
        <w:t>Only one such withdrawal may be made during each Plan year.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UPON TERMINATION OF EMPLOYMENT</w:t>
      </w:r>
    </w:p>
    <w:p>
      <w:pPr>
        <w:spacing w:after="0" w:line="175"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The full value of a participant's vested account (the "Vested Share") will be paid if the participant's employment with the Company ends, as defined in the Plan. Payment may be in a lump sum; by a series of installments; by purchase and distribution of an annuity contract providing an income for a certain term; or by a purchase and distribution of an annuity contract payable in a qualified joint and survivor annuity form. Certain eligible rollover distributions may be directly rolled over into another qualified plan or an individual retirement account (IRA). Distribution methods and requirements are complicated and may require spousal consent.</w:t>
      </w:r>
    </w:p>
    <w:p>
      <w:pPr>
        <w:spacing w:after="0" w:line="3"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Plan Administrator should be contacted for further information. Any contributions invested in the Company's Common Stock will be paid in whole shares of the Common Stock. Cash will be paid for fractional shares. If the amount to which the participant is entitled does not exceed $3,500, the entire amount will be distributed in a lump sum payment, subject to certain conditions.</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For Plan purposes, employment is considered to end only if the participant actually stops working and ceases to be employed by the Company. The Vested Share does not become payable if a participant goes on short-term disability, medical or other leave (except for total disability) or is employed by the purchaser of all or part of the business of the participant's employer (subject to certain exceptions). If a participant is laid off, that person's Vested Share will not be paid until he or she has been on that status for two years or until employment actually ends.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40" w:name="page41"/>
    <w:bookmarkEnd w:id="40"/>
    <w:p>
      <w:pPr>
        <w:ind w:right="3439" w:firstLine="441"/>
        <w:spacing w:after="0" w:line="238" w:lineRule="auto"/>
        <w:rPr>
          <w:sz w:val="20"/>
          <w:szCs w:val="20"/>
          <w:color w:val="auto"/>
        </w:rPr>
      </w:pPr>
      <w:r>
        <w:rPr>
          <w:rFonts w:ascii="Courier New" w:cs="Courier New" w:eastAsia="Courier New" w:hAnsi="Courier New"/>
          <w:sz w:val="15"/>
          <w:szCs w:val="15"/>
          <w:color w:val="auto"/>
        </w:rPr>
        <w:t>Distribution will normally be made in the Plan year quarter following termination of employment with the Company. Plan year quarters will begin on January 1, April 1, July 1 and October 1 in each year. A participant may defer receipt of the lump sum payment. The Plan Administrator may be contacted to obtain information on deferrals and distributions. A distribution from the Plan must be made no later than April 1 of the year following the calendar year in which the participant reaches age 701/2, even if the participant remains employed.</w:t>
      </w:r>
    </w:p>
    <w:p>
      <w:pPr>
        <w:spacing w:after="0" w:line="178"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If a participant dies, the participant's designated beneficiary or beneficiaries (see "Death Benefit and Designation of a Beneficiary" below) become entitled to receive the participant's Vested Share in the same manner as described above, with special requirements relating to pre-retirement survivor annuity contracts. Distribution methods and requirements are complicated and may require spousal consent. The Plan Administrator should be contacted for further information. If the value of the death benefit payable does not exceed $3,500, the entire value of the participant's accounts will generally be distributed in a lump sum payment.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DEATH BENEFIT AND DESIGNATION OF A BENEFICIARY</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If a participant dies during employment, the participant's beneficiary will become entitled to the participant's Vested Share. Each participant is to designate a beneficiary or beneficiaries to receive a designated portion of the Vested Share upon the participant's death. A participant may change the beneficiary designation at any time by filing a new form with the Plan Administrator.</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If a participant is married, the participant's spouse will be the beneficiary unless the participant designates a different beneficiary and the spouse consents to such election. A new election may be required after the first day of the calendar year in which the participant reaches age 35, if the beneficiary named in an earlier election is a person other than the participant's spouse.</w:t>
      </w:r>
    </w:p>
    <w:p>
      <w:pPr>
        <w:spacing w:after="0" w:line="170"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If a participant fails to name a beneficiary or if all the named</w:t>
      </w:r>
    </w:p>
    <w:p>
      <w:pPr>
        <w:spacing w:after="0"/>
        <w:rPr>
          <w:sz w:val="20"/>
          <w:szCs w:val="20"/>
          <w:color w:val="auto"/>
        </w:rPr>
      </w:pPr>
      <w:r>
        <w:rPr>
          <w:rFonts w:ascii="Courier New" w:cs="Courier New" w:eastAsia="Courier New" w:hAnsi="Courier New"/>
          <w:sz w:val="15"/>
          <w:szCs w:val="15"/>
          <w:color w:val="auto"/>
        </w:rPr>
        <w:t>beneficiaries die before the participant, the balance of the participant's</w:t>
      </w:r>
    </w:p>
    <w:p>
      <w:pPr>
        <w:spacing w:after="0"/>
        <w:rPr>
          <w:sz w:val="20"/>
          <w:szCs w:val="20"/>
          <w:color w:val="auto"/>
        </w:rPr>
      </w:pPr>
      <w:r>
        <w:rPr>
          <w:rFonts w:ascii="Courier New" w:cs="Courier New" w:eastAsia="Courier New" w:hAnsi="Courier New"/>
          <w:sz w:val="15"/>
          <w:szCs w:val="15"/>
          <w:color w:val="auto"/>
        </w:rPr>
        <w:t>Plan account will be distributed in the following order:</w:t>
      </w:r>
    </w:p>
    <w:p>
      <w:pPr>
        <w:spacing w:after="0" w:line="168" w:lineRule="exact"/>
        <w:rPr>
          <w:sz w:val="20"/>
          <w:szCs w:val="20"/>
          <w:color w:val="auto"/>
        </w:rPr>
      </w:pPr>
    </w:p>
    <w:p>
      <w:pPr>
        <w:ind w:left="880" w:hanging="449"/>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participant's spouse;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participant's children or their descendants;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participant's parents;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participant's brothers and sisters;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participant's estate.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RESALE</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Employees other than "affiliates" of Toro who receive shares of the Common Stock under the Plan during the effectiveness of the Registration Statement of which this Prospectus is a part will not be subject to state or federal securities law restrictions on the resale of such shares. Such shares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generally may be resold by nonaffiliate employees through a</w:t>
      </w:r>
    </w:p>
    <w:p>
      <w:pPr>
        <w:spacing w:after="0" w:line="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stockbroker in the customary manner or to third persons without the use of a stockbroker.</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Employees who are "affiliates" within the meaning of the rules and regulations under the Securities Act of 1933 will be subject to certain restrictions on resale of shares of the Common Stock. For these purposes, an "affiliate" of Toro is any person who directly, or indirectly through one or more intermediaries, controls or is controlled by, or is under common control with, Toro. Although the determination as to which persons will be "affiliates" is ultimately an issue of fact depending upon all the applicable facts and circumstances, in most cases, an employee will not be an affiliate of Toro if he or she (i) is neither an executive officer nor a director of the Company, (ii) does not own or exercise voting control over 10% or more of the Common Stock, (iii) is not a relative of any person holding such a position or meeting such ownership test or (iv) is not closely associated or strongly influenced either by employment, business or personal relationships with any person or entity which is an affiliate.</w:t>
      </w:r>
    </w:p>
    <w:p>
      <w:pPr>
        <w:spacing w:after="0" w:line="18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Employees who are affiliates may effect resales of the Common Stock in accordance with the requirements of Rule 144 under the Securities Act of 1933, except that the two year ownership requirement under such rule is not applicable. Such employees may also effect resales of the Common Stock pursuant to another available exemption from the registration requirements of such act or pursuant to an effective registration statement under the Securities Act of 1933.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SUBJECT TO SECTION 16</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16(b) of the Securities Exchange Act of 1934 provides that any gain on a sale and purchase or on a purchase and sale of the Common Stock by an executive officer of the Company within any period of less than six months may be claimed by Toro. The rules under Section 16 exempt certain transactions in the Common Stock engaged in under the Plan from Section 16(b). The receipt of a distribution in Common Stock from the Plan by an executive officer may be a transaction which is a "purchase" within the meaning of Section 16(b). Executive officers of the Company should consider the applicability of Section 16(b) before electing to receive a Common Stock distribution from the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w:t>
      </w:r>
    </w:p>
    <w:p>
      <w:pPr>
        <w:spacing w:after="0" w:line="175" w:lineRule="exact"/>
        <w:rPr>
          <w:sz w:val="20"/>
          <w:szCs w:val="20"/>
          <w:color w:val="auto"/>
        </w:rPr>
      </w:pPr>
    </w:p>
    <w:p>
      <w:pPr>
        <w:ind w:right="3699" w:firstLine="441"/>
        <w:spacing w:after="0" w:line="238" w:lineRule="auto"/>
        <w:rPr>
          <w:sz w:val="20"/>
          <w:szCs w:val="20"/>
          <w:color w:val="auto"/>
        </w:rPr>
      </w:pPr>
      <w:r>
        <w:rPr>
          <w:rFonts w:ascii="Courier New" w:cs="Courier New" w:eastAsia="Courier New" w:hAnsi="Courier New"/>
          <w:sz w:val="15"/>
          <w:szCs w:val="15"/>
          <w:color w:val="auto"/>
        </w:rPr>
        <w:t>The Plan may be amended, altered or wholly revised, prospectively or retrospectively, or terminated at any time by action of the Board of Directors of Toro, and execution by an authorized officer of Toro. Any participating subsidiary of Toro may discontinue its participation in the Plan at the end of any Plan year. If the Plan terminates, no further contributions will be made by or on behalf of any participant, and the Trustee will proceed to liquidate the trust fund, distributing benefits to participants or their beneficiaries, unless benefits are transferred to a successor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OF BENEFITS</w:t>
      </w:r>
    </w:p>
    <w:p>
      <w:pPr>
        <w:spacing w:after="0" w:line="175"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Except in limited circumstances involving divorce or separation proceedings, the value of a participant's account may not be transferred, encumbered, assigned or sold to anyone else. A partici-</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42" w:name="page43"/>
    <w:bookmarkEnd w:id="42"/>
    <w:p>
      <w:pPr>
        <w:ind w:right="3619"/>
        <w:spacing w:after="0" w:line="235" w:lineRule="auto"/>
        <w:rPr>
          <w:sz w:val="20"/>
          <w:szCs w:val="20"/>
          <w:color w:val="auto"/>
        </w:rPr>
      </w:pPr>
      <w:r>
        <w:rPr>
          <w:rFonts w:ascii="Courier New" w:cs="Courier New" w:eastAsia="Courier New" w:hAnsi="Courier New"/>
          <w:sz w:val="15"/>
          <w:szCs w:val="15"/>
          <w:color w:val="auto"/>
        </w:rPr>
        <w:t>pant's account cannot be used as collateral for loans or pledged in payment of debts, contracts or any other liabilities.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ADMINISTRATION</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General responsibility for Plan administration rests with Toro, unless a different person or persons are appointed as Plan Administrator by the Chief Executive Officer of Toro. An individual Plan Administrator, who may be a participant in the Plan, receives no compensation for his or her services in such capacity and may be removed by the Chief Executive Officer at any time. The name of the present Plan Administrator is set forth in the current Appendix. To obtain additional information about the Plan and its administrators, a participant may contact the Plan Administrator.</w:t>
      </w:r>
    </w:p>
    <w:p>
      <w:pPr>
        <w:spacing w:after="0" w:line="178" w:lineRule="exact"/>
        <w:rPr>
          <w:sz w:val="20"/>
          <w:szCs w:val="20"/>
          <w:color w:val="auto"/>
        </w:rPr>
      </w:pPr>
    </w:p>
    <w:p>
      <w:pPr>
        <w:ind w:right="3619" w:firstLine="441"/>
        <w:spacing w:after="0" w:line="238" w:lineRule="auto"/>
        <w:rPr>
          <w:sz w:val="20"/>
          <w:szCs w:val="20"/>
          <w:color w:val="auto"/>
        </w:rPr>
      </w:pPr>
      <w:r>
        <w:rPr>
          <w:rFonts w:ascii="Courier New" w:cs="Courier New" w:eastAsia="Courier New" w:hAnsi="Courier New"/>
          <w:sz w:val="15"/>
          <w:szCs w:val="15"/>
          <w:color w:val="auto"/>
        </w:rPr>
        <w:t>The Plan Administrator has the duty and power to interpret the provisions of the Plan, maintain records, determine eligibility to participate in the Plan and rights to receive benefits and to handle other matters that may arise under the Plan. Decisions of the Plan Administrator in matters such as eligibility and payment of benefits are final. If a participant or beneficiary believes that an amount of benefits is in error, an appeal procedure is available under the Plan.</w:t>
      </w:r>
    </w:p>
    <w:p>
      <w:pPr>
        <w:spacing w:after="0" w:line="17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Subject to direction by the Plan Administrator, the Chief Executive Officer of Toro or an investment manager, the Trustee has the exclusive authority to manage and control assets held by the Plan. The Plan's Trustee is identified in the Appendix. The Trustee, which is not affiliated with the Plan or the Company, is appointed by and serves at the pleasure of the Chief Executive Officer of Toro. The Trustee holds and administers the Plan's trust fund and makes benefit payments from the fund at the Plan Administrator's direction.</w:t>
      </w:r>
    </w:p>
    <w:p>
      <w:pPr>
        <w:spacing w:after="0" w:line="17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FEDERAL INCOME TAX INFORMATION</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Plan is designated as a "qualified plan" under Section 401(a) of the Code. Toro has applied for and expects to receive a determination from the IRS and an opinion of counsel that the Plan meets the requirements of that section of the Code. The Plan is also subject to special tax deferral treatment under Section 401(k) of the Code. This section summarizes some of the more significant federal income tax consequences under the Plan. The tax consequences described are based on statutes and regulations in effect as of the date of this Prospectus and are subject to change if those statutes and regulations are changed. This summary should not be regarded as tax advice and participants are urged to consult with their tax advisors regarding participation in the Plan. The following summary does not describe any federal estate tax or state or local tax consequences.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w:t>
      </w:r>
    </w:p>
    <w:p>
      <w:pPr>
        <w:spacing w:after="0" w:line="17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Pre-Tax Contributions made to the Plan through payroll deductions are not included in the participant's taxable compensation and are not subject to federal income tax when made. In most states, the same is true for purposes of state income tax. Pre-Tax Contributions are, however, subject to social security taxes when made. Employer Matching Contributions and Toro Investment Fund Contributions are not taxable for federal income tax purposes to a participant when made or when credited to a participant's account. Earnings and gains from the investments made with any contributions to the Plan are not taxable when credited to a participant's account.</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43" w:name="page44"/>
    <w:bookmarkEnd w:id="43"/>
    <w:p>
      <w:pPr>
        <w:ind w:right="4059" w:firstLine="441"/>
        <w:spacing w:after="0" w:line="237" w:lineRule="auto"/>
        <w:rPr>
          <w:sz w:val="20"/>
          <w:szCs w:val="20"/>
          <w:color w:val="auto"/>
        </w:rPr>
      </w:pPr>
      <w:r>
        <w:rPr>
          <w:rFonts w:ascii="Courier New" w:cs="Courier New" w:eastAsia="Courier New" w:hAnsi="Courier New"/>
          <w:sz w:val="15"/>
          <w:szCs w:val="15"/>
          <w:color w:val="auto"/>
        </w:rPr>
        <w:t>For federal tax purposes, the Company is entitled to deduct, as contributions to the Plan, all Pre-Tax Contributions, Company Matching Contributions and Toro Investment Fund Contributions.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FROM THE PLAN</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 general, a participant or his or her beneficiary is subject to income tax on all amounts received as distributions from the Plan. Federal income tax treatment of a distribution from the Plan may vary for a number of reasons, including the reason for the distribution and whether or not it is made in shares of Common Stock. The most significant rules are described here, but recipients should consult their own tax advisors with respect to the particular circumstances of their distributions.</w:t>
      </w:r>
    </w:p>
    <w:p>
      <w:pPr>
        <w:spacing w:after="0" w:line="17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Distributions made in a single calendar year consisting of a participant's entire interest in the Plan and made on account of the participant's total disability, death or other termination of employment or made after reaching age 591/2, are referred to as "lump sum distributions". To the extent that a lump sum distribution is made in the form of shares of Common Stock, the recipient is taxed only on that portion of the value of the shares which represents the actual cost of the shares when originally acquired by the Plan. The value of all assets other than Common Stock distributed as part of a lump sum distribution is also currently taxable to the recipient. However, the recipient may elect to take advantage of special tax averaging rules applicable to lump sum distributions.</w:t>
      </w:r>
    </w:p>
    <w:p>
      <w:pPr>
        <w:spacing w:after="0" w:line="181"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If a participant is over age 591/2 and has participated in the Plan for at least five years prior to the calendar year in which a lump sum distribution is made, the distribution is eligible for a special five-year forward income-averaging treatment. If this income-averaging treatment is elected, the tax is determined, in general, as if the reported income were received evenly over five years and without regard to the taxpayer's other income. The tax is computed at the single taxpayer's rate and the full amount of the tax is payable as a single sum in the taxable year of receipt. In addition, a participant who attained age 50 before January 1, 1986 may make a one-time election to use either ten-year or five-year forward income averaging without having to attain age 591/2. If ten-year forward income averaging is elected, however, the tax will be determined by using tax rates in effect for 1986.</w:t>
      </w:r>
    </w:p>
    <w:p>
      <w:pPr>
        <w:spacing w:after="0" w:line="183"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Generally, a distribution to or withdrawal by a participant who has not attained age 591/2 will be subject to a special early distribution tax in addition to the regular income tax. This special tax will be 10% of the amount of the distribution or withdrawal that is includable in a participant's income. The special 10% tax will not be imposed if the distribution is made on account of a participant becoming totally disabled, if the amount distributed is not more than the amount of the medical expense deduction allowable to the participant for federal income tax purposes for the year of distribution or in certain other specified circumstances. In addition, the special tax will not be imposed on distributions made on account of termination of employment of a participant age 55 or over. Deductions or withdrawals that are rolled over will not be subject to the special tax since they are not includable in the participant's income.</w:t>
      </w:r>
    </w:p>
    <w:p>
      <w:pPr>
        <w:spacing w:after="0" w:line="16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When a partial distribution is made because of a withdrawal during employment, the entire amount so distributed is taxable as ordinary income to the recipient. Tax treatment of shares of Common Stock received in such a distribution should be reviewed with a participant's tax advisor.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44" w:name="page45"/>
    <w:bookmarkEnd w:id="44"/>
    <w:p>
      <w:pPr>
        <w:ind w:right="3439" w:firstLine="441"/>
        <w:spacing w:after="0" w:line="238" w:lineRule="auto"/>
        <w:rPr>
          <w:sz w:val="20"/>
          <w:szCs w:val="20"/>
          <w:color w:val="auto"/>
        </w:rPr>
      </w:pPr>
      <w:r>
        <w:rPr>
          <w:rFonts w:ascii="Courier New" w:cs="Courier New" w:eastAsia="Courier New" w:hAnsi="Courier New"/>
          <w:sz w:val="15"/>
          <w:szCs w:val="15"/>
          <w:color w:val="auto"/>
        </w:rPr>
        <w:t>Distributions from the Plan which are "eligible rollover distributions" are subject to withholding of federal income tax (at a rate of 20% of the distribution amount). Generally, eligible rollover distributions include any distribution of all or any portion of the balance to the credit of the Plan participant in the Plan except certain distributions paid over the participant's life expectancy (or joint life expectancy of the participant and a beneficiary) or over a period of ten years or more and certain required minimum distributions.</w:t>
      </w:r>
    </w:p>
    <w:p>
      <w:pPr>
        <w:spacing w:after="0" w:line="178"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A Plan participant who is entitled to an eligible rollover distribution may avoid the 20% withholding and current income tax by electing to make a direct rollover to another qualified plan or individual retirement arrangement (IRA).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DISTRIBUTED COMMON STOCK</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When a participant sells shares of Common Stock received as part of a distribution from the Plan, the participant's "basis" for determining capital gain or loss is the amount which was subject to current tax upon distribution of the shares from the Plan. On a subsequent sale of Common Stock received in a lump sum distribution, the portion of the gain represented by the appreciation in value which was nontaxable at the time of the distribution will be taxed as long-term capital gain, regardless of when the sale was made. Any appreciation in the value of the Common Stock subsequent to withdrawal or distribution will be taxable as additional long-term or short-term capital gain when the stock is sold, depending upon the holding period of the stock in the hands of the recipient. Capital gains may be offset by capital losses or capital loss carryover if any are available to the participant.</w:t>
      </w:r>
    </w:p>
    <w:p>
      <w:pPr>
        <w:spacing w:after="0" w:line="17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financial statements and schedules incorporated herein and in the registration statement by reference to the 1994 Annual Report on Form 10-K of Toro have been audited by KPMG Peat Marwick LLP, independent certified public accountants, and have been so incorporated in reliance on the reports of KPMG Peat Marwick LLP and upon the authority of said firm as experts in accounting and auditing. To the extent that KPMG Peat Marwick LLP audits and reports on future financial statements and schedules of Toro and consents to the use of their reports thereon, such financial statements and schedules will also be incorporated by reference in the registration statement in reliance upon their reports and said authority.</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45" w:name="page46"/>
    <w:bookmarkEnd w:id="45"/>
    <w:p>
      <w:pPr>
        <w:ind w:left="2020"/>
        <w:spacing w:after="0"/>
        <w:rPr>
          <w:sz w:val="20"/>
          <w:szCs w:val="20"/>
          <w:color w:val="auto"/>
        </w:rPr>
      </w:pPr>
      <w:r>
        <w:rPr>
          <w:rFonts w:ascii="Courier New" w:cs="Courier New" w:eastAsia="Courier New" w:hAnsi="Courier New"/>
          <w:sz w:val="15"/>
          <w:szCs w:val="15"/>
          <w:color w:val="auto"/>
        </w:rPr>
        <w:t>APPENDIX</w:t>
      </w:r>
    </w:p>
    <w:p>
      <w:pPr>
        <w:ind w:left="1480"/>
        <w:spacing w:after="0"/>
        <w:rPr>
          <w:sz w:val="20"/>
          <w:szCs w:val="20"/>
          <w:color w:val="auto"/>
        </w:rPr>
      </w:pPr>
      <w:r>
        <w:rPr>
          <w:rFonts w:ascii="Courier New" w:cs="Courier New" w:eastAsia="Courier New" w:hAnsi="Courier New"/>
          <w:sz w:val="15"/>
          <w:szCs w:val="15"/>
          <w:color w:val="auto"/>
        </w:rPr>
        <w:t>Dated August 25, 1995</w:t>
      </w:r>
    </w:p>
    <w:p>
      <w:pPr>
        <w:ind w:left="2280"/>
        <w:spacing w:after="0"/>
        <w:rPr>
          <w:sz w:val="20"/>
          <w:szCs w:val="20"/>
          <w:color w:val="auto"/>
        </w:rPr>
      </w:pPr>
      <w:r>
        <w:rPr>
          <w:rFonts w:ascii="Courier New" w:cs="Courier New" w:eastAsia="Courier New" w:hAnsi="Courier New"/>
          <w:sz w:val="15"/>
          <w:szCs w:val="15"/>
          <w:color w:val="auto"/>
        </w:rPr>
        <w:t>to</w:t>
      </w:r>
    </w:p>
    <w:p>
      <w:pPr>
        <w:ind w:left="1940"/>
        <w:spacing w:after="0" w:line="238" w:lineRule="auto"/>
        <w:rPr>
          <w:sz w:val="20"/>
          <w:szCs w:val="20"/>
          <w:color w:val="auto"/>
        </w:rPr>
      </w:pPr>
      <w:r>
        <w:rPr>
          <w:rFonts w:ascii="Courier New" w:cs="Courier New" w:eastAsia="Courier New" w:hAnsi="Courier New"/>
          <w:sz w:val="15"/>
          <w:szCs w:val="15"/>
          <w:color w:val="auto"/>
        </w:rPr>
        <w:t>PROSPECTUS</w:t>
      </w:r>
    </w:p>
    <w:p>
      <w:pPr>
        <w:ind w:left="1480"/>
        <w:spacing w:after="0"/>
        <w:rPr>
          <w:sz w:val="20"/>
          <w:szCs w:val="20"/>
          <w:color w:val="auto"/>
        </w:rPr>
      </w:pPr>
      <w:r>
        <w:rPr>
          <w:rFonts w:ascii="Courier New" w:cs="Courier New" w:eastAsia="Courier New" w:hAnsi="Courier New"/>
          <w:sz w:val="15"/>
          <w:szCs w:val="15"/>
          <w:color w:val="auto"/>
        </w:rPr>
        <w:t>Dated August 25, 1995</w:t>
      </w:r>
    </w:p>
    <w:p>
      <w:pPr>
        <w:ind w:left="1660"/>
        <w:spacing w:after="0"/>
        <w:rPr>
          <w:sz w:val="20"/>
          <w:szCs w:val="20"/>
          <w:color w:val="auto"/>
        </w:rPr>
      </w:pPr>
      <w:r>
        <w:rPr>
          <w:rFonts w:ascii="Courier New" w:cs="Courier New" w:eastAsia="Courier New" w:hAnsi="Courier New"/>
          <w:sz w:val="15"/>
          <w:szCs w:val="15"/>
          <w:color w:val="auto"/>
        </w:rPr>
        <w:t>_________________</w:t>
      </w:r>
    </w:p>
    <w:p>
      <w:pPr>
        <w:spacing w:after="0" w:line="168" w:lineRule="exact"/>
        <w:rPr>
          <w:sz w:val="20"/>
          <w:szCs w:val="20"/>
          <w:color w:val="auto"/>
        </w:rPr>
      </w:pPr>
    </w:p>
    <w:tbl>
      <w:tblPr>
        <w:tblLayout w:type="fixed"/>
        <w:tblInd w:w="1660" w:type="dxa"/>
        <w:tblCellMar>
          <w:top w:w="0" w:type="dxa"/>
          <w:left w:w="0" w:type="dxa"/>
          <w:bottom w:w="0" w:type="dxa"/>
          <w:right w:w="0" w:type="dxa"/>
        </w:tblCellMar>
      </w:tblPr>
      <w:tr>
        <w:trPr>
          <w:trHeight w:val="170"/>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THE TORO</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COMPANY</w:t>
            </w:r>
          </w:p>
        </w:tc>
      </w:tr>
      <w:tr>
        <w:trPr>
          <w:trHeight w:val="170"/>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r>
    </w:tbl>
    <w:p>
      <w:pPr>
        <w:jc w:val="center"/>
        <w:ind w:right="4939"/>
        <w:spacing w:after="0"/>
        <w:rPr>
          <w:sz w:val="20"/>
          <w:szCs w:val="20"/>
          <w:color w:val="auto"/>
        </w:rPr>
      </w:pPr>
      <w:r>
        <w:rPr>
          <w:rFonts w:ascii="Courier New" w:cs="Courier New" w:eastAsia="Courier New" w:hAnsi="Courier New"/>
          <w:sz w:val="15"/>
          <w:szCs w:val="15"/>
          <w:color w:val="auto"/>
        </w:rPr>
        <w:t>(Par value $1.00 per share)</w:t>
      </w:r>
    </w:p>
    <w:p>
      <w:pPr>
        <w:ind w:left="1660"/>
        <w:spacing w:after="0"/>
        <w:rPr>
          <w:sz w:val="20"/>
          <w:szCs w:val="20"/>
          <w:color w:val="auto"/>
        </w:rPr>
      </w:pPr>
      <w:r>
        <w:rPr>
          <w:rFonts w:ascii="Courier New" w:cs="Courier New" w:eastAsia="Courier New" w:hAnsi="Courier New"/>
          <w:sz w:val="15"/>
          <w:szCs w:val="15"/>
          <w:color w:val="auto"/>
        </w:rPr>
        <w:t>_________________</w:t>
      </w: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Offered pursuant to</w:t>
      </w:r>
    </w:p>
    <w:p>
      <w:pPr>
        <w:ind w:left="1660"/>
        <w:spacing w:after="0"/>
        <w:rPr>
          <w:sz w:val="20"/>
          <w:szCs w:val="20"/>
          <w:color w:val="auto"/>
        </w:rPr>
      </w:pPr>
      <w:r>
        <w:rPr>
          <w:rFonts w:ascii="Courier New" w:cs="Courier New" w:eastAsia="Courier New" w:hAnsi="Courier New"/>
          <w:sz w:val="15"/>
          <w:szCs w:val="15"/>
          <w:color w:val="auto"/>
        </w:rPr>
        <w:t>THE TORO COMPANY</w:t>
      </w:r>
    </w:p>
    <w:p>
      <w:pPr>
        <w:ind w:left="1220"/>
        <w:spacing w:after="0"/>
        <w:rPr>
          <w:sz w:val="20"/>
          <w:szCs w:val="20"/>
          <w:color w:val="auto"/>
        </w:rPr>
      </w:pPr>
      <w:r>
        <w:rPr>
          <w:rFonts w:ascii="Courier New" w:cs="Courier New" w:eastAsia="Courier New" w:hAnsi="Courier New"/>
          <w:sz w:val="15"/>
          <w:szCs w:val="15"/>
          <w:color w:val="auto"/>
        </w:rPr>
        <w:t>Investment and Savings Plan</w:t>
      </w:r>
    </w:p>
    <w:p>
      <w:pPr>
        <w:ind w:left="1660"/>
        <w:spacing w:after="0" w:line="238" w:lineRule="auto"/>
        <w:rPr>
          <w:sz w:val="20"/>
          <w:szCs w:val="20"/>
          <w:color w:val="auto"/>
        </w:rPr>
      </w:pPr>
      <w:r>
        <w:rPr>
          <w:rFonts w:ascii="Courier New" w:cs="Courier New" w:eastAsia="Courier New" w:hAnsi="Courier New"/>
          <w:sz w:val="15"/>
          <w:szCs w:val="15"/>
          <w:color w:val="auto"/>
        </w:rPr>
        <w:t>_________________</w:t>
      </w:r>
    </w:p>
    <w:p>
      <w:pPr>
        <w:spacing w:after="0" w:line="339"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Subsidiaries participating</w:t>
      </w:r>
      <w:r>
        <w:rPr>
          <w:sz w:val="20"/>
          <w:szCs w:val="20"/>
          <w:color w:val="auto"/>
        </w:rPr>
        <w:tab/>
      </w:r>
      <w:r>
        <w:rPr>
          <w:rFonts w:ascii="Courier New" w:cs="Courier New" w:eastAsia="Courier New" w:hAnsi="Courier New"/>
          <w:sz w:val="14"/>
          <w:szCs w:val="14"/>
          <w:color w:val="auto"/>
        </w:rPr>
        <w:t>Toro Credit Company</w:t>
      </w:r>
    </w:p>
    <w:p>
      <w:pPr>
        <w:spacing w:after="0"/>
        <w:tabs>
          <w:tab w:leader="none" w:pos="3760" w:val="left"/>
        </w:tabs>
        <w:rPr>
          <w:sz w:val="20"/>
          <w:szCs w:val="20"/>
          <w:color w:val="auto"/>
        </w:rPr>
      </w:pPr>
      <w:r>
        <w:rPr>
          <w:rFonts w:ascii="Courier New" w:cs="Courier New" w:eastAsia="Courier New" w:hAnsi="Courier New"/>
          <w:sz w:val="15"/>
          <w:szCs w:val="15"/>
          <w:color w:val="auto"/>
        </w:rPr>
        <w:t>in The Toro Company</w:t>
      </w:r>
      <w:r>
        <w:rPr>
          <w:sz w:val="20"/>
          <w:szCs w:val="20"/>
          <w:color w:val="auto"/>
        </w:rPr>
        <w:tab/>
      </w:r>
      <w:r>
        <w:rPr>
          <w:rFonts w:ascii="Courier New" w:cs="Courier New" w:eastAsia="Courier New" w:hAnsi="Courier New"/>
          <w:sz w:val="14"/>
          <w:szCs w:val="14"/>
          <w:color w:val="auto"/>
        </w:rPr>
        <w:t>Toro Sales Company</w:t>
      </w:r>
    </w:p>
    <w:p>
      <w:pPr>
        <w:spacing w:after="0"/>
        <w:rPr>
          <w:sz w:val="20"/>
          <w:szCs w:val="20"/>
          <w:color w:val="auto"/>
        </w:rPr>
      </w:pPr>
      <w:r>
        <w:rPr>
          <w:rFonts w:ascii="Courier New" w:cs="Courier New" w:eastAsia="Courier New" w:hAnsi="Courier New"/>
          <w:sz w:val="15"/>
          <w:szCs w:val="15"/>
          <w:color w:val="auto"/>
        </w:rPr>
        <w:t>Investment and Savings Plan:</w:t>
      </w:r>
    </w:p>
    <w:p>
      <w:pPr>
        <w:spacing w:after="0" w:line="168"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Plan Administrator:</w:t>
      </w:r>
      <w:r>
        <w:rPr>
          <w:sz w:val="20"/>
          <w:szCs w:val="20"/>
          <w:color w:val="auto"/>
        </w:rPr>
        <w:tab/>
      </w:r>
      <w:r>
        <w:rPr>
          <w:rFonts w:ascii="Courier New" w:cs="Courier New" w:eastAsia="Courier New" w:hAnsi="Courier New"/>
          <w:sz w:val="14"/>
          <w:szCs w:val="14"/>
          <w:color w:val="auto"/>
        </w:rPr>
        <w:t>The Toro Company</w:t>
      </w:r>
    </w:p>
    <w:p>
      <w:pPr>
        <w:ind w:left="3780"/>
        <w:spacing w:after="0"/>
        <w:rPr>
          <w:sz w:val="20"/>
          <w:szCs w:val="20"/>
          <w:color w:val="auto"/>
        </w:rPr>
      </w:pPr>
      <w:r>
        <w:rPr>
          <w:rFonts w:ascii="Courier New" w:cs="Courier New" w:eastAsia="Courier New" w:hAnsi="Courier New"/>
          <w:sz w:val="15"/>
          <w:szCs w:val="15"/>
          <w:color w:val="auto"/>
        </w:rPr>
        <w:t>8111 Lyndale Avenue South</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Bloomington, Minnesota 55420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(612) 887-8969</w:t>
      </w:r>
    </w:p>
    <w:p>
      <w:pPr>
        <w:sectPr>
          <w:pgSz w:w="11900" w:h="16838" w:orient="portrait"/>
          <w:cols w:equalWidth="0" w:num="1">
            <w:col w:w="9779"/>
          </w:cols>
          <w:pgMar w:left="680" w:top="622" w:right="1440" w:bottom="1440" w:gutter="0" w:footer="0" w:header="0"/>
        </w:sectPr>
      </w:pPr>
    </w:p>
    <w:p>
      <w:pPr>
        <w:spacing w:after="0" w:line="175" w:lineRule="exact"/>
        <w:rPr>
          <w:sz w:val="20"/>
          <w:szCs w:val="20"/>
          <w:color w:val="auto"/>
        </w:rPr>
      </w:pPr>
    </w:p>
    <w:p>
      <w:pPr>
        <w:ind w:right="160"/>
        <w:spacing w:after="0" w:line="260" w:lineRule="auto"/>
        <w:rPr>
          <w:sz w:val="20"/>
          <w:szCs w:val="20"/>
          <w:color w:val="auto"/>
        </w:rPr>
      </w:pPr>
      <w:r>
        <w:rPr>
          <w:rFonts w:ascii="Courier New" w:cs="Courier New" w:eastAsia="Courier New" w:hAnsi="Courier New"/>
          <w:sz w:val="14"/>
          <w:szCs w:val="14"/>
          <w:color w:val="auto"/>
        </w:rPr>
        <w:t>Trustee under The Toro Company Investment and Savings Plan: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Putnam Fiduciary Trust Company</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One Post Office Square</w:t>
      </w:r>
    </w:p>
    <w:p>
      <w:pPr>
        <w:ind w:left="960"/>
        <w:spacing w:after="0"/>
        <w:rPr>
          <w:sz w:val="20"/>
          <w:szCs w:val="20"/>
          <w:color w:val="auto"/>
        </w:rPr>
      </w:pPr>
      <w:r>
        <w:rPr>
          <w:rFonts w:ascii="Courier New" w:cs="Courier New" w:eastAsia="Courier New" w:hAnsi="Courier New"/>
          <w:sz w:val="15"/>
          <w:szCs w:val="15"/>
          <w:color w:val="auto"/>
        </w:rPr>
        <w:t>Boston, Massachusetts 02109</w:t>
      </w:r>
    </w:p>
    <w:p>
      <w:pPr>
        <w:ind w:left="960"/>
        <w:spacing w:after="0"/>
        <w:rPr>
          <w:sz w:val="20"/>
          <w:szCs w:val="20"/>
          <w:color w:val="auto"/>
        </w:rPr>
      </w:pPr>
      <w:r>
        <w:rPr>
          <w:rFonts w:ascii="Courier New" w:cs="Courier New" w:eastAsia="Courier New" w:hAnsi="Courier New"/>
          <w:sz w:val="15"/>
          <w:szCs w:val="15"/>
          <w:color w:val="auto"/>
        </w:rPr>
        <w:t>(617) 292-1000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2">
            <w:col w:w="2100" w:space="720"/>
            <w:col w:w="6959"/>
          </w:cols>
          <w:pgMar w:left="680" w:top="622" w:right="1440" w:bottom="1440" w:gutter="0" w:footer="0" w:header="0"/>
          <w:type w:val="continuous"/>
        </w:sectPr>
      </w:pPr>
    </w:p>
    <w:bookmarkStart w:id="46" w:name="page47"/>
    <w:bookmarkEnd w:id="46"/>
    <w:p>
      <w:pPr>
        <w:ind w:left="780"/>
        <w:spacing w:after="0"/>
        <w:rPr>
          <w:sz w:val="20"/>
          <w:szCs w:val="20"/>
          <w:color w:val="auto"/>
        </w:rPr>
      </w:pPr>
      <w:r>
        <w:rPr>
          <w:rFonts w:ascii="Courier New" w:cs="Courier New" w:eastAsia="Courier New" w:hAnsi="Courier New"/>
          <w:sz w:val="15"/>
          <w:szCs w:val="15"/>
          <w:color w:val="auto"/>
        </w:rPr>
        <w:t>INVESTMENT ALTERNATIVES OFFERED UNDER THE PLAN</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following list of investment alternatives is only a list and does not provide full disclosure on the investments listed. An investment decision should be made only after obtaining and reading a copy of the current prospectus for the fund. The prospectus to which this Appendix relates constitutes the prospectus for The Toro Company Common Stock Fund.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FUNDS</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Growth funds entail higher risk and may experience greater volatility than other investment alternatives.</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The Toro Company Common Stock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59"/>
        <w:spacing w:after="0" w:line="237" w:lineRule="auto"/>
        <w:rPr>
          <w:sz w:val="20"/>
          <w:szCs w:val="20"/>
          <w:color w:val="auto"/>
        </w:rPr>
      </w:pPr>
      <w:r>
        <w:rPr>
          <w:rFonts w:ascii="Courier New" w:cs="Courier New" w:eastAsia="Courier New" w:hAnsi="Courier New"/>
          <w:sz w:val="15"/>
          <w:szCs w:val="15"/>
          <w:color w:val="auto"/>
        </w:rPr>
        <w:t>Invests solely in the Common Stock of Toro. An investment in a single stock fund creates an additional degree of risk due to the lack of diversification.</w:t>
      </w:r>
    </w:p>
    <w:p>
      <w:pPr>
        <w:spacing w:after="0" w:line="175" w:lineRule="exact"/>
        <w:rPr>
          <w:sz w:val="20"/>
          <w:szCs w:val="20"/>
          <w:color w:val="auto"/>
        </w:rPr>
      </w:pPr>
    </w:p>
    <w:p>
      <w:pPr>
        <w:sectPr>
          <w:pgSz w:w="11900" w:h="16838" w:orient="portrait"/>
          <w:cols w:equalWidth="0" w:num="2">
            <w:col w:w="1480" w:space="720"/>
            <w:col w:w="8019"/>
          </w:cols>
          <w:pgMar w:left="240" w:top="622" w:right="1440" w:bottom="1440" w:gutter="0" w:footer="0" w:header="0"/>
          <w:type w:val="continuous"/>
        </w:sectPr>
      </w:pPr>
    </w:p>
    <w:p>
      <w:pPr>
        <w:ind w:right="160"/>
        <w:spacing w:after="0" w:line="265" w:lineRule="auto"/>
        <w:rPr>
          <w:sz w:val="20"/>
          <w:szCs w:val="20"/>
          <w:color w:val="auto"/>
        </w:rPr>
      </w:pPr>
      <w:r>
        <w:rPr>
          <w:rFonts w:ascii="Courier New" w:cs="Courier New" w:eastAsia="Courier New" w:hAnsi="Courier New"/>
          <w:sz w:val="14"/>
          <w:szCs w:val="14"/>
          <w:color w:val="auto"/>
        </w:rPr>
        <w:t>Putnam Overseas Growth Fund</w:t>
      </w:r>
    </w:p>
    <w:p>
      <w:pPr>
        <w:spacing w:after="0" w:line="20" w:lineRule="exact"/>
        <w:rPr>
          <w:sz w:val="20"/>
          <w:szCs w:val="20"/>
          <w:color w:val="auto"/>
        </w:rPr>
      </w:pPr>
      <w:r>
        <w:rPr>
          <w:sz w:val="20"/>
          <w:szCs w:val="20"/>
          <w:color w:val="auto"/>
        </w:rPr>
        <w:br w:type="column"/>
      </w:r>
    </w:p>
    <w:p>
      <w:pPr>
        <w:ind w:right="1499"/>
        <w:spacing w:after="0" w:line="258" w:lineRule="auto"/>
        <w:rPr>
          <w:sz w:val="20"/>
          <w:szCs w:val="20"/>
          <w:color w:val="auto"/>
        </w:rPr>
      </w:pPr>
      <w:r>
        <w:rPr>
          <w:rFonts w:ascii="Courier New" w:cs="Courier New" w:eastAsia="Courier New" w:hAnsi="Courier New"/>
          <w:sz w:val="14"/>
          <w:szCs w:val="14"/>
          <w:color w:val="auto"/>
        </w:rPr>
        <w:t>Invests primarily in equity securities of companies located outside North America. Aggressively seeks capital appreciation. Foreign investments are subject to additional risks such as currency fluctuations, political and economic instability and different standards of financial reporting and taxation that are not present with domestic investments.</w:t>
      </w:r>
    </w:p>
    <w:p>
      <w:pPr>
        <w:spacing w:after="0" w:line="165" w:lineRule="exact"/>
        <w:rPr>
          <w:sz w:val="20"/>
          <w:szCs w:val="20"/>
          <w:color w:val="auto"/>
        </w:rPr>
      </w:pPr>
    </w:p>
    <w:p>
      <w:pPr>
        <w:sectPr>
          <w:pgSz w:w="11900" w:h="16838" w:orient="portrait"/>
          <w:cols w:equalWidth="0" w:num="2">
            <w:col w:w="1480" w:space="720"/>
            <w:col w:w="80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Putnam Voyager Fund</w:t>
      </w:r>
    </w:p>
    <w:p>
      <w:pPr>
        <w:spacing w:after="0" w:line="20" w:lineRule="exact"/>
        <w:rPr>
          <w:sz w:val="20"/>
          <w:szCs w:val="20"/>
          <w:color w:val="auto"/>
        </w:rPr>
      </w:pPr>
      <w:r>
        <w:rPr>
          <w:sz w:val="20"/>
          <w:szCs w:val="20"/>
          <w:color w:val="auto"/>
        </w:rPr>
        <w:br w:type="column"/>
      </w:r>
    </w:p>
    <w:p>
      <w:pPr>
        <w:ind w:right="1319"/>
        <w:spacing w:after="0" w:line="237" w:lineRule="auto"/>
        <w:rPr>
          <w:sz w:val="20"/>
          <w:szCs w:val="20"/>
          <w:color w:val="auto"/>
        </w:rPr>
      </w:pPr>
      <w:r>
        <w:rPr>
          <w:rFonts w:ascii="Courier New" w:cs="Courier New" w:eastAsia="Courier New" w:hAnsi="Courier New"/>
          <w:sz w:val="15"/>
          <w:szCs w:val="15"/>
          <w:color w:val="auto"/>
        </w:rPr>
        <w:t>Invests in a combination of smaller companies expected to grow over time, as well as in larger, more established companies. Aggressively seeks capital appreciation.</w:t>
      </w:r>
    </w:p>
    <w:p>
      <w:pPr>
        <w:spacing w:after="0" w:line="200" w:lineRule="exact"/>
        <w:rPr>
          <w:sz w:val="20"/>
          <w:szCs w:val="20"/>
          <w:color w:val="auto"/>
        </w:rPr>
      </w:pPr>
    </w:p>
    <w:p>
      <w:pPr>
        <w:sectPr>
          <w:pgSz w:w="11900" w:h="16838" w:orient="portrait"/>
          <w:cols w:equalWidth="0" w:num="2">
            <w:col w:w="1660" w:space="540"/>
            <w:col w:w="8019"/>
          </w:cols>
          <w:pgMar w:left="240" w:top="622" w:right="1440"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AND INCOME FUNDS</w:t>
      </w:r>
    </w:p>
    <w:p>
      <w:pPr>
        <w:spacing w:after="0" w:line="175" w:lineRule="exact"/>
        <w:rPr>
          <w:sz w:val="20"/>
          <w:szCs w:val="20"/>
          <w:color w:val="auto"/>
        </w:rPr>
      </w:pPr>
    </w:p>
    <w:p>
      <w:pPr>
        <w:ind w:right="4579"/>
        <w:spacing w:after="0" w:line="237" w:lineRule="auto"/>
        <w:rPr>
          <w:sz w:val="20"/>
          <w:szCs w:val="20"/>
          <w:color w:val="auto"/>
        </w:rPr>
      </w:pPr>
      <w:r>
        <w:rPr>
          <w:rFonts w:ascii="Courier New" w:cs="Courier New" w:eastAsia="Courier New" w:hAnsi="Courier New"/>
          <w:sz w:val="15"/>
          <w:szCs w:val="15"/>
          <w:color w:val="auto"/>
        </w:rPr>
        <w:t>Growth and income funds seek earnings growth and current income. They are intended to entail less risk than growth funds but to offer the opportunity for more modest growth.</w:t>
      </w:r>
    </w:p>
    <w:p>
      <w:pPr>
        <w:sectPr>
          <w:pgSz w:w="11900" w:h="16838" w:orient="portrait"/>
          <w:cols w:equalWidth="0" w:num="1">
            <w:col w:w="10219"/>
          </w:cols>
          <w:pgMar w:left="240" w:top="6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The Putnam Fund for Growth and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99"/>
        <w:spacing w:after="0" w:line="235" w:lineRule="auto"/>
        <w:rPr>
          <w:sz w:val="20"/>
          <w:szCs w:val="20"/>
          <w:color w:val="auto"/>
        </w:rPr>
      </w:pPr>
      <w:r>
        <w:rPr>
          <w:rFonts w:ascii="Courier New" w:cs="Courier New" w:eastAsia="Courier New" w:hAnsi="Courier New"/>
          <w:sz w:val="15"/>
          <w:szCs w:val="15"/>
          <w:color w:val="auto"/>
        </w:rPr>
        <w:t>Invests mainly in stocks of companies that offer long-term growth potential and also provide current income.</w:t>
      </w:r>
    </w:p>
    <w:p>
      <w:pPr>
        <w:spacing w:after="0" w:line="217" w:lineRule="exact"/>
        <w:rPr>
          <w:sz w:val="20"/>
          <w:szCs w:val="20"/>
          <w:color w:val="auto"/>
        </w:rPr>
      </w:pPr>
    </w:p>
    <w:p>
      <w:pPr>
        <w:sectPr>
          <w:pgSz w:w="11900" w:h="16838" w:orient="portrait"/>
          <w:cols w:equalWidth="0" w:num="2">
            <w:col w:w="1660" w:space="540"/>
            <w:col w:w="8019"/>
          </w:cols>
          <w:pgMar w:left="240" w:top="622" w:right="1440" w:bottom="1440" w:gutter="0" w:footer="0" w:header="0"/>
          <w:type w:val="continuous"/>
        </w:sect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PUTNAM LIFESTAGESM FUNDS</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Putnam LifestageSM Funds are asset allocation funds. Asset allocation funds are portfolios of other Putnam funds. Those other funds invest principally in either equity securities or bonds, and may also invest in money market instruments. The allocation of those other funds in a particular portfolio varies based on the overall degree of risk associated with the portfolio. Investment in an asset allocation fund is intended to offer an investor a mix of investments in equity securities and bonds for the investor's preferred level of risk, age or career stage and financial goals. The Putnam Lifestage Funds are designed to offer three such levels of risk and are intended to minimize the necessity for the investor to determine investment allocations. A Plan participant should consult his or her financial advisor to determine whether one of the Lifestage Fund asset allocation portfolios is an appropriate investment to accommodate investment objectives and tolerance for risk. The three portfolio choices offered are:</w:t>
      </w:r>
    </w:p>
    <w:p>
      <w:pPr>
        <w:spacing w:after="0" w:line="15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22" w:right="1440" w:bottom="1440" w:gutter="0" w:footer="0" w:header="0"/>
          <w:type w:val="continuous"/>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Putnam Asset Allocation: Invests aggressively in different types of stocks, with some investment in</w:t>
      </w:r>
    </w:p>
    <w:p>
      <w:pPr>
        <w:spacing w:after="0" w:line="5"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Growth Portfolio</w:t>
      </w:r>
      <w:r>
        <w:rPr>
          <w:sz w:val="20"/>
          <w:szCs w:val="20"/>
          <w:color w:val="auto"/>
        </w:rPr>
        <w:tab/>
      </w:r>
      <w:r>
        <w:rPr>
          <w:rFonts w:ascii="Courier New" w:cs="Courier New" w:eastAsia="Courier New" w:hAnsi="Courier New"/>
          <w:sz w:val="14"/>
          <w:szCs w:val="14"/>
          <w:color w:val="auto"/>
        </w:rPr>
        <w:t>bonds and money market investments. For more aggressive investors</w:t>
      </w:r>
    </w:p>
    <w:p>
      <w:pPr>
        <w:ind w:left="2200"/>
        <w:spacing w:after="0"/>
        <w:rPr>
          <w:sz w:val="20"/>
          <w:szCs w:val="20"/>
          <w:color w:val="auto"/>
        </w:rPr>
      </w:pPr>
      <w:r>
        <w:rPr>
          <w:rFonts w:ascii="Courier New" w:cs="Courier New" w:eastAsia="Courier New" w:hAnsi="Courier New"/>
          <w:sz w:val="15"/>
          <w:szCs w:val="15"/>
          <w:color w:val="auto"/>
        </w:rPr>
        <w:t>who will accept more risk in exchange for a potential of higher growth.</w:t>
      </w:r>
    </w:p>
    <w:p>
      <w:pPr>
        <w:spacing w:after="0" w:line="169"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5"/>
          <w:szCs w:val="15"/>
          <w:color w:val="auto"/>
        </w:rPr>
        <w:t>Putnam Asset Allocation: Invests in stocks and bonds.</w:t>
      </w:r>
      <w:r>
        <w:rPr>
          <w:sz w:val="20"/>
          <w:szCs w:val="20"/>
          <w:color w:val="auto"/>
        </w:rPr>
        <w:tab/>
      </w:r>
      <w:r>
        <w:rPr>
          <w:rFonts w:ascii="Courier New" w:cs="Courier New" w:eastAsia="Courier New" w:hAnsi="Courier New"/>
          <w:sz w:val="14"/>
          <w:szCs w:val="14"/>
          <w:color w:val="auto"/>
        </w:rPr>
        <w:t>Risk is intended to be reduced because of</w:t>
      </w:r>
    </w:p>
    <w:p>
      <w:pPr>
        <w:spacing w:after="0" w:line="5" w:lineRule="exact"/>
        <w:rPr>
          <w:sz w:val="20"/>
          <w:szCs w:val="20"/>
          <w:color w:val="auto"/>
        </w:rPr>
      </w:pPr>
    </w:p>
    <w:p>
      <w:pPr>
        <w:ind w:left="2200" w:right="1499" w:hanging="2203"/>
        <w:spacing w:after="0" w:line="237" w:lineRule="auto"/>
        <w:tabs>
          <w:tab w:leader="none" w:pos="2180" w:val="left"/>
        </w:tabs>
        <w:rPr>
          <w:sz w:val="20"/>
          <w:szCs w:val="20"/>
          <w:color w:val="auto"/>
        </w:rPr>
      </w:pPr>
      <w:r>
        <w:rPr>
          <w:rFonts w:ascii="Courier New" w:cs="Courier New" w:eastAsia="Courier New" w:hAnsi="Courier New"/>
          <w:sz w:val="15"/>
          <w:szCs w:val="15"/>
          <w:color w:val="auto"/>
        </w:rPr>
        <w:t>Balanced Portfolio</w:t>
      </w:r>
      <w:r>
        <w:rPr>
          <w:sz w:val="20"/>
          <w:szCs w:val="20"/>
          <w:color w:val="auto"/>
        </w:rPr>
        <w:tab/>
      </w:r>
      <w:r>
        <w:rPr>
          <w:rFonts w:ascii="Courier New" w:cs="Courier New" w:eastAsia="Courier New" w:hAnsi="Courier New"/>
          <w:sz w:val="15"/>
          <w:szCs w:val="15"/>
          <w:color w:val="auto"/>
        </w:rPr>
        <w:t>the balance between the relative stability of bonds and the fluctuation of stocks. For investors who want moderate risk and a potential for moderate growth.</w:t>
      </w:r>
    </w:p>
    <w:p>
      <w:pPr>
        <w:spacing w:after="0" w:line="175" w:lineRule="exact"/>
        <w:rPr>
          <w:sz w:val="20"/>
          <w:szCs w:val="20"/>
          <w:color w:val="auto"/>
        </w:rPr>
      </w:pPr>
    </w:p>
    <w:p>
      <w:pPr>
        <w:ind w:right="1679"/>
        <w:spacing w:after="0" w:line="256" w:lineRule="auto"/>
        <w:rPr>
          <w:sz w:val="20"/>
          <w:szCs w:val="20"/>
          <w:color w:val="auto"/>
        </w:rPr>
      </w:pPr>
      <w:r>
        <w:rPr>
          <w:rFonts w:ascii="Courier New" w:cs="Courier New" w:eastAsia="Courier New" w:hAnsi="Courier New"/>
          <w:sz w:val="14"/>
          <w:szCs w:val="14"/>
          <w:color w:val="auto"/>
        </w:rPr>
        <w:t>Putnam Asset Allocation: Invests principally in investment-grade bonds, with a portion of the Conservative Portfolio portfolio in stocks. For investors who want less risk and are willing to</w:t>
      </w:r>
    </w:p>
    <w:p>
      <w:pPr>
        <w:ind w:left="2200"/>
        <w:spacing w:after="0" w:line="233" w:lineRule="auto"/>
        <w:rPr>
          <w:sz w:val="20"/>
          <w:szCs w:val="20"/>
          <w:color w:val="auto"/>
        </w:rPr>
      </w:pPr>
      <w:r>
        <w:rPr>
          <w:rFonts w:ascii="Courier New" w:cs="Courier New" w:eastAsia="Courier New" w:hAnsi="Courier New"/>
          <w:sz w:val="15"/>
          <w:szCs w:val="15"/>
          <w:color w:val="auto"/>
        </w:rPr>
        <w:t>assume a reduced potential for growth.</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PRESERVATION FUNDS</w:t>
      </w:r>
    </w:p>
    <w:p>
      <w:pPr>
        <w:sectPr>
          <w:pgSz w:w="11900" w:h="16838" w:orient="portrait"/>
          <w:cols w:equalWidth="0" w:num="1">
            <w:col w:w="10219"/>
          </w:cols>
          <w:pgMar w:left="240" w:top="1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Stable Value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319"/>
        <w:spacing w:after="0" w:line="237" w:lineRule="auto"/>
        <w:rPr>
          <w:sz w:val="20"/>
          <w:szCs w:val="20"/>
          <w:color w:val="auto"/>
        </w:rPr>
      </w:pPr>
      <w:r>
        <w:rPr>
          <w:rFonts w:ascii="Courier New" w:cs="Courier New" w:eastAsia="Courier New" w:hAnsi="Courier New"/>
          <w:sz w:val="15"/>
          <w:szCs w:val="15"/>
          <w:color w:val="auto"/>
        </w:rPr>
        <w:t>Invests in a diversified portfolio of primarily high-quality investment contracts and seeks a stable rate of return with greater safety of principal and liquidity. The fund is not insured or guaranteed by the U.S. government and there can be no assurance that the fund will be able to maintain a stable net asset value of $1.00 per share.</w:t>
      </w:r>
    </w:p>
    <w:p>
      <w:pPr>
        <w:spacing w:after="0" w:line="200" w:lineRule="exact"/>
        <w:rPr>
          <w:sz w:val="20"/>
          <w:szCs w:val="20"/>
          <w:color w:val="auto"/>
        </w:rPr>
      </w:pPr>
    </w:p>
    <w:p>
      <w:pPr>
        <w:sectPr>
          <w:pgSz w:w="11900" w:h="16838" w:orient="portrait"/>
          <w:cols w:equalWidth="0" w:num="2">
            <w:col w:w="1920" w:space="280"/>
            <w:col w:w="8019"/>
          </w:cols>
          <w:pgMar w:left="240" w:top="1136" w:right="1440" w:bottom="1440" w:gutter="0" w:footer="0" w:header="0"/>
          <w:type w:val="continuous"/>
        </w:sectPr>
      </w:pPr>
    </w:p>
    <w:p>
      <w:pPr>
        <w:spacing w:after="0" w:line="31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19"/>
          </w:cols>
          <w:pgMar w:left="240" w:top="1136" w:right="1440" w:bottom="1440" w:gutter="0" w:footer="0" w:header="0"/>
          <w:type w:val="continuous"/>
        </w:sectPr>
      </w:pPr>
    </w:p>
    <w:bookmarkStart w:id="48" w:name="page49"/>
    <w:bookmarkEnd w:id="48"/>
    <w:p>
      <w:pPr>
        <w:ind w:left="2030"/>
        <w:spacing w:after="0"/>
        <w:rPr>
          <w:sz w:val="20"/>
          <w:szCs w:val="20"/>
          <w:color w:val="auto"/>
        </w:rPr>
      </w:pPr>
      <w:r>
        <w:rPr>
          <w:rFonts w:ascii="Courier New" w:cs="Courier New" w:eastAsia="Courier New" w:hAnsi="Courier New"/>
          <w:sz w:val="15"/>
          <w:szCs w:val="15"/>
          <w:color w:val="auto"/>
        </w:rPr>
        <w:t>Financial Data on Investment Funds</w:t>
      </w:r>
    </w:p>
    <w:p>
      <w:pPr>
        <w:spacing w:after="0" w:line="175" w:lineRule="exact"/>
        <w:rPr>
          <w:sz w:val="20"/>
          <w:szCs w:val="20"/>
          <w:color w:val="auto"/>
        </w:rPr>
      </w:pPr>
    </w:p>
    <w:p>
      <w:pPr>
        <w:ind w:left="10" w:right="5000"/>
        <w:spacing w:after="0" w:line="237" w:lineRule="auto"/>
        <w:rPr>
          <w:sz w:val="20"/>
          <w:szCs w:val="20"/>
          <w:color w:val="auto"/>
        </w:rPr>
      </w:pPr>
      <w:r>
        <w:rPr>
          <w:rFonts w:ascii="Courier New" w:cs="Courier New" w:eastAsia="Courier New" w:hAnsi="Courier New"/>
          <w:sz w:val="15"/>
          <w:szCs w:val="15"/>
          <w:color w:val="auto"/>
        </w:rPr>
        <w:t>The following table shows trends in performance of investment alternatives offered under the Plan for each of the past three years and the other applicable periods.</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TOTAL RETURN PERFORMANCE BASED ON NET ASSET VALUE</w:t>
      </w:r>
    </w:p>
    <w:p>
      <w:pPr>
        <w:ind w:left="1670"/>
        <w:spacing w:after="0"/>
        <w:rPr>
          <w:sz w:val="20"/>
          <w:szCs w:val="20"/>
          <w:color w:val="auto"/>
        </w:rPr>
      </w:pPr>
      <w:r>
        <w:rPr>
          <w:rFonts w:ascii="Courier New" w:cs="Courier New" w:eastAsia="Courier New" w:hAnsi="Courier New"/>
          <w:sz w:val="15"/>
          <w:szCs w:val="15"/>
          <w:color w:val="auto"/>
        </w:rPr>
        <w:t>(IN PERCENT, NET OF ALL FEES AND EXPENSES,</w:t>
      </w:r>
    </w:p>
    <w:p>
      <w:pPr>
        <w:ind w:left="2030"/>
        <w:spacing w:after="0"/>
        <w:rPr>
          <w:sz w:val="20"/>
          <w:szCs w:val="20"/>
          <w:color w:val="auto"/>
        </w:rPr>
      </w:pPr>
      <w:r>
        <w:rPr>
          <w:rFonts w:ascii="Courier New" w:cs="Courier New" w:eastAsia="Courier New" w:hAnsi="Courier New"/>
          <w:sz w:val="15"/>
          <w:szCs w:val="15"/>
          <w:color w:val="auto"/>
        </w:rPr>
        <w:t>WITH ALL DISTRIBUTIONS REINVESTED)</w:t>
      </w:r>
    </w:p>
    <w:p>
      <w:pPr>
        <w:ind w:left="1850"/>
        <w:spacing w:after="0" w:line="238" w:lineRule="auto"/>
        <w:rPr>
          <w:sz w:val="20"/>
          <w:szCs w:val="20"/>
          <w:color w:val="auto"/>
        </w:rPr>
      </w:pPr>
      <w:r>
        <w:rPr>
          <w:rFonts w:ascii="Courier New" w:cs="Courier New" w:eastAsia="Courier New" w:hAnsi="Courier New"/>
          <w:sz w:val="15"/>
          <w:szCs w:val="15"/>
          <w:color w:val="auto"/>
        </w:rPr>
        <w:t>(FOR THE PERIOD ENDING JUNE 30, 1995)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2nd Qtr.</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to</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 YEAR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YEARS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YEARS</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 YEARS/LIFE</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FUND</w:t>
            </w:r>
          </w:p>
        </w:tc>
        <w:tc>
          <w:tcPr>
            <w:tcW w:w="8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Date</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Return</w:t>
            </w:r>
          </w:p>
        </w:tc>
        <w:tc>
          <w:tcPr>
            <w:tcW w:w="20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Cumulative Annualized</w:t>
            </w:r>
          </w:p>
        </w:tc>
        <w:tc>
          <w:tcPr>
            <w:tcW w:w="2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Cumulative Annualized</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Cumulative Annualized</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Toro Stable Value Fund*</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+3.69</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+39.73</w:t>
            </w:r>
          </w:p>
        </w:tc>
        <w:tc>
          <w:tcPr>
            <w:tcW w:w="120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+6.92</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Putnam Asset Allocation Fund:</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Conservative Portfolio</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(2/7/94)*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+10.91</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+12.70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+7.92</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Putnam Asset Allocation Fund:</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w w:val="98"/>
              </w:rPr>
              <w:t>Balanced Portfolio (2/7/94)**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+11.59</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+14.99</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+9.57</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+6.75</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Putnam Asset Allocation Fund:</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Growth Portfolio (2/7/94)**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+7.13</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+12.02</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+10.67</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+7.51</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The Putnam Fund For Growth</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and Income</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+18.65</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+43.22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+78.46</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+12.28</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+282.20</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+14.35</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Putnam Voyager Fund</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+8.27</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+17.10</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+64.56</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+117.27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+16.79</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Putnam Overseas Growth Fund</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+5.13</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+ 2.98</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+41.79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+12.35</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+400.65</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+17.48</w:t>
            </w:r>
          </w:p>
        </w:tc>
      </w:tr>
      <w:tr>
        <w:trPr>
          <w:trHeight w:val="170"/>
        </w:trPr>
        <w:tc>
          <w:tcPr>
            <w:tcW w:w="2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+47.19</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+ 9.33</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The Toro Common Stock Fund</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(dividends reinvested)***</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+116.26</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+29.32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+28.08</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+ 5.07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+256.37</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+13.55</w:t>
            </w:r>
          </w:p>
        </w:tc>
      </w:tr>
    </w:tbl>
    <w:p>
      <w:pPr>
        <w:spacing w:after="0" w:line="200" w:lineRule="exact"/>
        <w:rPr>
          <w:sz w:val="20"/>
          <w:szCs w:val="20"/>
          <w:color w:val="auto"/>
        </w:rPr>
      </w:pPr>
    </w:p>
    <w:p>
      <w:pPr>
        <w:spacing w:after="0" w:line="314" w:lineRule="exact"/>
        <w:rPr>
          <w:sz w:val="20"/>
          <w:szCs w:val="20"/>
          <w:color w:val="auto"/>
        </w:rPr>
      </w:pPr>
    </w:p>
    <w:p>
      <w:pPr>
        <w:ind w:left="450" w:right="4660" w:hanging="450"/>
        <w:spacing w:after="0" w:line="256" w:lineRule="auto"/>
        <w:tabs>
          <w:tab w:leader="none" w:pos="45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presented in the table for the Toro Stable Value Fund are not actual performance figures, but are estimates of performance based on the Ryan Labs 3 year GIC (guaranteed Investment contract) GIC Master Index, less 25 basis points on an annual basis. The actual performance for</w:t>
      </w:r>
    </w:p>
    <w:p>
      <w:pPr>
        <w:spacing w:after="0" w:line="1" w:lineRule="exact"/>
        <w:rPr>
          <w:rFonts w:ascii="Courier New" w:cs="Courier New" w:eastAsia="Courier New" w:hAnsi="Courier New"/>
          <w:sz w:val="14"/>
          <w:szCs w:val="14"/>
          <w:color w:val="auto"/>
        </w:rPr>
      </w:pPr>
    </w:p>
    <w:p>
      <w:pPr>
        <w:ind w:left="450" w:right="5000"/>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fund for the one year eriod ended March 31, 1995 is 6.76%. The performance of the Ryan Labs 5 year GIC Master Index for the same periods ended June 30, 1995, as shown in the table, respectively, are</w:t>
      </w:r>
    </w:p>
    <w:p>
      <w:pPr>
        <w:ind w:left="450" w:right="47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1.71% (2nd Q.), 4.67% (YTD), 7.12% (1 YEAR), 24.68% and 7.63% (3 YEARS, cumulative and annualized) and 47.21% and 8.04% (5 YEARS, cumulative and annualized).</w:t>
      </w:r>
    </w:p>
    <w:p>
      <w:pPr>
        <w:ind w:left="450" w:hanging="450"/>
        <w:spacing w:after="0"/>
        <w:tabs>
          <w:tab w:leader="none" w:pos="4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inception</w:t>
      </w:r>
    </w:p>
    <w:p>
      <w:pPr>
        <w:spacing w:after="0" w:line="4" w:lineRule="exact"/>
        <w:rPr>
          <w:rFonts w:ascii="Courier New" w:cs="Courier New" w:eastAsia="Courier New" w:hAnsi="Courier New"/>
          <w:sz w:val="15"/>
          <w:szCs w:val="15"/>
          <w:color w:val="auto"/>
        </w:rPr>
      </w:pPr>
    </w:p>
    <w:p>
      <w:pPr>
        <w:ind w:left="450" w:right="4560" w:hanging="450"/>
        <w:spacing w:after="0" w:line="235"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provided is for performance of Common Stock as traded on the New York Stock Exchange. No fund existed prior to August 1, 1995.</w:t>
      </w:r>
    </w:p>
    <w:p>
      <w:pPr>
        <w:spacing w:after="0" w:line="34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1530"/>
          </w:cols>
          <w:pgMar w:left="230" w:top="622" w:right="139" w:bottom="1440" w:gutter="0" w:footer="0" w:header="0"/>
        </w:sectPr>
      </w:pPr>
    </w:p>
    <w:bookmarkStart w:id="49" w:name="page50"/>
    <w:bookmarkEnd w:id="49"/>
    <w:p>
      <w:pPr>
        <w:ind w:left="2640"/>
        <w:spacing w:after="0"/>
        <w:rPr>
          <w:sz w:val="20"/>
          <w:szCs w:val="20"/>
          <w:color w:val="auto"/>
        </w:rPr>
      </w:pPr>
      <w:r>
        <w:rPr>
          <w:rFonts w:ascii="Courier New" w:cs="Courier New" w:eastAsia="Courier New" w:hAnsi="Courier New"/>
          <w:sz w:val="15"/>
          <w:szCs w:val="15"/>
          <w:color w:val="auto"/>
        </w:rPr>
        <w:t>TABLE OF CONTENTS</w:t>
      </w:r>
    </w:p>
    <w:p>
      <w:pPr>
        <w:spacing w:after="0" w:line="339"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Page</w:t>
      </w:r>
    </w:p>
    <w:p>
      <w:pPr>
        <w:spacing w:after="0" w:line="175" w:lineRule="exact"/>
        <w:rPr>
          <w:sz w:val="20"/>
          <w:szCs w:val="20"/>
          <w:color w:val="auto"/>
        </w:rPr>
      </w:pPr>
    </w:p>
    <w:p>
      <w:pPr>
        <w:jc w:val="right"/>
        <w:ind w:right="3619"/>
        <w:spacing w:after="0" w:line="257" w:lineRule="auto"/>
        <w:rPr>
          <w:sz w:val="20"/>
          <w:szCs w:val="20"/>
          <w:color w:val="auto"/>
        </w:rPr>
      </w:pPr>
      <w:r>
        <w:rPr>
          <w:rFonts w:ascii="Courier New" w:cs="Courier New" w:eastAsia="Courier New" w:hAnsi="Courier New"/>
          <w:sz w:val="14"/>
          <w:szCs w:val="14"/>
          <w:color w:val="auto"/>
        </w:rPr>
        <w:t>INCORPORATION OF CERTAIN INFORMATION BY REFERENCE. . . . . . . . . . . .  2 HIGHLIGHTS . . . . . . . . . . . . . . . . . . . . . . . . . . . . . . .  2 THE PLAN . . . . . . . . . . . . . . . . . . . . . . . . . . . . . . . .  4 Eligible Employees. . . . . . . . . . . . . . . . . . . . . . . . .  4 Participation . . . . . . . . . . . . . . . . . . . . . . . . . . .  4 Contributions . . . . . . . . . . . . . . . . . . . . . . . . . . .  4 Participant Accounts and Vesting. . . . . . . . . . . . . . . . . .  7 Investment of Contributions . . . . . . . . . . . . . . . . . . . .  9 Voting and Other Rights . . . . . . . . . . . . . . . . . . . . . . 10 Investment Risk . . . . . . . . . . . . . . . . . . . . . . . . . . 10 Withdrawals During Employment . . . . . . . . . . . . . . . . . . . 11 Payment Upon Termination of Employment. . . . . . . . . . . . . . . 11 Death Benefit and Designation of a Beneficiary. . . . . . . . . . . 12 Restrictions on Resale. . . . . . . . . . . . . . . . . . . . . . . 12 Executive Officers Subject to Section 16. . . . . . . . . . . . . . 13 Amendment and Termination . . . . . . . . . . . . . . . . . . . . . 13 Assignment of Benefits. . . . . . . . . . . . . . . . . . . . . . . 13 Plan Administration . . . . . . . . . . . . . . . . . . . . . . . . 14</w:t>
      </w:r>
    </w:p>
    <w:p>
      <w:pPr>
        <w:spacing w:after="0" w:line="164" w:lineRule="exact"/>
        <w:rPr>
          <w:sz w:val="20"/>
          <w:szCs w:val="20"/>
          <w:color w:val="auto"/>
        </w:rPr>
      </w:pPr>
    </w:p>
    <w:p>
      <w:pPr>
        <w:jc w:val="both"/>
        <w:ind w:left="440" w:right="3619" w:hanging="440"/>
        <w:spacing w:after="0" w:line="259" w:lineRule="auto"/>
        <w:rPr>
          <w:sz w:val="20"/>
          <w:szCs w:val="20"/>
          <w:color w:val="auto"/>
        </w:rPr>
      </w:pPr>
      <w:r>
        <w:rPr>
          <w:rFonts w:ascii="Courier New" w:cs="Courier New" w:eastAsia="Courier New" w:hAnsi="Courier New"/>
          <w:sz w:val="14"/>
          <w:szCs w:val="14"/>
          <w:color w:val="auto"/>
        </w:rPr>
        <w:t>FEDERAL INCOME TAX INFORMATION . . . . . . . . . . . . . . . . . . . . . 14 Contributions . . . . . . . . . . . . . . . . . . . . . . . . . . . 14 Distributions From the Plan . . . . . . . . . . . . . . . . . . . . 15 Sale of Distributed Common Stock. . . . . . . . . . . . . . . . . . 16</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EXPERTS. . . . . . . . . . . . . . . . . . . . . . . . . . . . . . . . . 16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w:t>
      </w:r>
    </w:p>
    <w:p>
      <w:pPr>
        <w:spacing w:after="0" w:line="200" w:lineRule="exact"/>
        <w:rPr>
          <w:sz w:val="20"/>
          <w:szCs w:val="20"/>
          <w:color w:val="auto"/>
        </w:rPr>
      </w:pPr>
    </w:p>
    <w:p>
      <w:pPr>
        <w:spacing w:after="0" w:line="31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OR INCORPORATED BY REFERENCE IN THIS PROSPECTUS, IN CONNECTION WITH THE OFFER CONTAINED IN THIS PROSPECTUS, AND, IF GIVEN OR MADE, SUCH INFORMATION OR REPRESENTATIONS MUST NOT BE RELIED UPON AS HAVING BEEN AUTHORIZED BY THE TORO COMPANY. THIS PROSPECTUS IS NOT AN OFFER TO SELL, OR A SOLICITATION OF AN OFFER TO BUY, IN ANY STATE IN WHICH IT IS UNLAWFUL TO MAKE SUCH AN OFFER OR SOLICITATION. NEITHER THE DELIVERY OF THIS PROSPECTUS NOR ANY SALE MADE HEREUNDER SHALL, UNDER ANY CIRCUMSTANCES, CREATE ANY IMPLICATION THAT THERE HAS BEEN NO CHANGE IN THE AFFAIRS OF THE TORO COMPANY SINCE THE DATE HEREOF.</w:t>
      </w:r>
    </w:p>
    <w:p>
      <w:pPr>
        <w:sectPr>
          <w:pgSz w:w="11900" w:h="16838" w:orient="portrait"/>
          <w:cols w:equalWidth="0" w:num="1">
            <w:col w:w="10219"/>
          </w:cols>
          <w:pgMar w:left="240" w:top="622" w:right="1440"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w:t>
            </w:r>
          </w:p>
        </w:tc>
      </w:tr>
      <w:tr>
        <w:trPr>
          <w:trHeight w:val="339"/>
        </w:trPr>
        <w:tc>
          <w:tcPr>
            <w:tcW w:w="5360" w:type="dxa"/>
            <w:vAlign w:val="bottom"/>
            <w:gridSpan w:val="4"/>
          </w:tcPr>
          <w:p>
            <w:pPr>
              <w:ind w:left="2200"/>
              <w:spacing w:after="0"/>
              <w:rPr>
                <w:sz w:val="20"/>
                <w:szCs w:val="20"/>
                <w:color w:val="auto"/>
              </w:rPr>
            </w:pPr>
            <w:r>
              <w:rPr>
                <w:rFonts w:ascii="Courier New" w:cs="Courier New" w:eastAsia="Courier New" w:hAnsi="Courier New"/>
                <w:sz w:val="15"/>
                <w:szCs w:val="15"/>
                <w:color w:val="auto"/>
              </w:rPr>
              <w:t>THE TORO COMPANY AND SUBSIDIARIES</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820" w:type="dxa"/>
            <w:vAlign w:val="bottom"/>
            <w:gridSpan w:val="5"/>
          </w:tcPr>
          <w:p>
            <w:pPr>
              <w:spacing w:after="0"/>
              <w:rPr>
                <w:sz w:val="20"/>
                <w:szCs w:val="20"/>
                <w:color w:val="auto"/>
              </w:rPr>
            </w:pPr>
            <w:r>
              <w:rPr>
                <w:rFonts w:ascii="Courier New" w:cs="Courier New" w:eastAsia="Courier New" w:hAnsi="Courier New"/>
                <w:sz w:val="15"/>
                <w:szCs w:val="15"/>
                <w:color w:val="auto"/>
                <w:w w:val="98"/>
              </w:rPr>
              <w:t>Computation of Earnings per Share of Common Stock and Common Stock Equivalent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820" w:type="dxa"/>
            <w:vAlign w:val="bottom"/>
            <w:gridSpan w:val="5"/>
          </w:tcPr>
          <w:p>
            <w:pPr>
              <w:jc w:val="center"/>
              <w:ind w:left="587"/>
              <w:spacing w:after="0"/>
              <w:rPr>
                <w:sz w:val="20"/>
                <w:szCs w:val="20"/>
                <w:color w:val="auto"/>
              </w:rPr>
            </w:pPr>
            <w:r>
              <w:rPr>
                <w:rFonts w:ascii="Courier New" w:cs="Courier New" w:eastAsia="Courier New" w:hAnsi="Courier New"/>
                <w:sz w:val="15"/>
                <w:szCs w:val="15"/>
                <w:color w:val="auto"/>
                <w:w w:val="97"/>
              </w:rPr>
              <w:t>(Not Covered by Independent Auditors' Report)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Year Ended July 31,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480" w:type="dxa"/>
            <w:vAlign w:val="bottom"/>
          </w:tcPr>
          <w:p>
            <w:pPr>
              <w:spacing w:after="0"/>
              <w:rPr>
                <w:sz w:val="14"/>
                <w:szCs w:val="14"/>
                <w:color w:val="auto"/>
              </w:rPr>
            </w:pPr>
          </w:p>
        </w:tc>
        <w:tc>
          <w:tcPr>
            <w:tcW w:w="43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1995</w:t>
            </w:r>
          </w:p>
        </w:tc>
        <w:tc>
          <w:tcPr>
            <w:tcW w:w="600" w:type="dxa"/>
            <w:vAlign w:val="bottom"/>
          </w:tcPr>
          <w:p>
            <w:pPr>
              <w:spacing w:after="0"/>
              <w:rPr>
                <w:sz w:val="14"/>
                <w:szCs w:val="14"/>
                <w:color w:val="auto"/>
              </w:rPr>
            </w:pPr>
          </w:p>
        </w:tc>
        <w:tc>
          <w:tcPr>
            <w:tcW w:w="14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3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36,667,000</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$22,230,000</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$13,040,000</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Shares of common stock and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common stock equivalents: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480" w:type="dxa"/>
            <w:vAlign w:val="bottom"/>
          </w:tcPr>
          <w:p>
            <w:pPr>
              <w:ind w:left="600"/>
              <w:spacing w:after="0"/>
              <w:rPr>
                <w:sz w:val="20"/>
                <w:szCs w:val="20"/>
                <w:color w:val="auto"/>
              </w:rPr>
            </w:pPr>
            <w:r>
              <w:rPr>
                <w:rFonts w:ascii="Courier New" w:cs="Courier New" w:eastAsia="Courier New" w:hAnsi="Courier New"/>
                <w:sz w:val="15"/>
                <w:szCs w:val="15"/>
                <w:color w:val="auto"/>
              </w:rPr>
              <w:t>common shares outstanding</w:t>
            </w:r>
          </w:p>
        </w:tc>
        <w:tc>
          <w:tcPr>
            <w:tcW w:w="3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12,566,039</w:t>
            </w:r>
          </w:p>
        </w:tc>
        <w:tc>
          <w:tcPr>
            <w:tcW w:w="60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12,472,828</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12,135,399</w:t>
            </w:r>
          </w:p>
        </w:tc>
      </w:tr>
      <w:tr>
        <w:trPr>
          <w:trHeight w:val="339"/>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Dilutive effect of outstanding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480" w:type="dxa"/>
            <w:vAlign w:val="bottom"/>
          </w:tcPr>
          <w:p>
            <w:pPr>
              <w:ind w:left="600"/>
              <w:spacing w:after="0"/>
              <w:rPr>
                <w:sz w:val="20"/>
                <w:szCs w:val="20"/>
                <w:color w:val="auto"/>
              </w:rPr>
            </w:pPr>
            <w:r>
              <w:rPr>
                <w:rFonts w:ascii="Courier New" w:cs="Courier New" w:eastAsia="Courier New" w:hAnsi="Courier New"/>
                <w:sz w:val="15"/>
                <w:szCs w:val="15"/>
                <w:color w:val="auto"/>
              </w:rPr>
              <w:t>stock options (1)</w:t>
            </w:r>
          </w:p>
        </w:tc>
        <w:tc>
          <w:tcPr>
            <w:tcW w:w="3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476,374</w:t>
            </w:r>
          </w:p>
        </w:tc>
        <w:tc>
          <w:tcPr>
            <w:tcW w:w="60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509,538</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248,672</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13,032,413</w:t>
            </w:r>
          </w:p>
        </w:tc>
        <w:tc>
          <w:tcPr>
            <w:tcW w:w="60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12,982,366</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12,384,071</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Net earnings per share of common</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stock and common stock equivalent</w:t>
            </w:r>
          </w:p>
        </w:tc>
        <w:tc>
          <w:tcPr>
            <w:tcW w:w="3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Shares of common stock and common</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stock equivalents: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520"/>
              <w:spacing w:after="0"/>
              <w:rPr>
                <w:sz w:val="20"/>
                <w:szCs w:val="20"/>
                <w:color w:val="auto"/>
              </w:rPr>
            </w:pPr>
            <w:r>
              <w:rPr>
                <w:rFonts w:ascii="Courier New" w:cs="Courier New" w:eastAsia="Courier New" w:hAnsi="Courier New"/>
                <w:sz w:val="15"/>
                <w:szCs w:val="15"/>
                <w:color w:val="auto"/>
              </w:rPr>
              <w:t>common shares outstanding</w:t>
            </w:r>
          </w:p>
        </w:tc>
        <w:tc>
          <w:tcPr>
            <w:tcW w:w="3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12,556,039</w:t>
            </w:r>
          </w:p>
        </w:tc>
        <w:tc>
          <w:tcPr>
            <w:tcW w:w="60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12,472,828</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12,135,399</w:t>
            </w:r>
          </w:p>
        </w:tc>
      </w:tr>
      <w:tr>
        <w:trPr>
          <w:trHeight w:val="170"/>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Dilutive effect of outstanding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520"/>
              <w:spacing w:after="0"/>
              <w:rPr>
                <w:sz w:val="20"/>
                <w:szCs w:val="20"/>
                <w:color w:val="auto"/>
              </w:rPr>
            </w:pPr>
            <w:r>
              <w:rPr>
                <w:rFonts w:ascii="Courier New" w:cs="Courier New" w:eastAsia="Courier New" w:hAnsi="Courier New"/>
                <w:sz w:val="15"/>
                <w:szCs w:val="15"/>
                <w:color w:val="auto"/>
              </w:rPr>
              <w:t>stock options (2)</w:t>
            </w:r>
          </w:p>
        </w:tc>
        <w:tc>
          <w:tcPr>
            <w:tcW w:w="3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511,133</w:t>
            </w:r>
          </w:p>
        </w:tc>
        <w:tc>
          <w:tcPr>
            <w:tcW w:w="60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509,538</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395,274</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13,067,172</w:t>
            </w:r>
          </w:p>
        </w:tc>
        <w:tc>
          <w:tcPr>
            <w:tcW w:w="60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12,982,366</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12,530,673</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Net earnings per share of common</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stock and common stock equivalent</w:t>
            </w:r>
          </w:p>
        </w:tc>
        <w:tc>
          <w:tcPr>
            <w:tcW w:w="3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450" w:right="3619" w:hanging="450"/>
        <w:spacing w:after="0" w:line="237"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average market price of the company's stock during each period.</w:t>
      </w:r>
    </w:p>
    <w:p>
      <w:pPr>
        <w:spacing w:after="0" w:line="176" w:lineRule="exact"/>
        <w:rPr>
          <w:rFonts w:ascii="Courier New" w:cs="Courier New" w:eastAsia="Courier New" w:hAnsi="Courier New"/>
          <w:sz w:val="15"/>
          <w:szCs w:val="15"/>
          <w:color w:val="auto"/>
        </w:rPr>
      </w:pPr>
    </w:p>
    <w:p>
      <w:pPr>
        <w:ind w:left="450" w:right="3619" w:hanging="450"/>
        <w:spacing w:after="0" w:line="237"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greater of the average market price or the year-end market price of the company's shares during each period.</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475" w:right="1440" w:bottom="1440" w:gutter="0" w:footer="0" w:header="0"/>
        </w:sectPr>
      </w:pPr>
    </w:p>
    <w:bookmarkStart w:id="51" w:name="page52"/>
    <w:bookmarkEnd w:id="51"/>
    <w:p>
      <w:pPr>
        <w:ind w:left="5210"/>
        <w:spacing w:after="0"/>
        <w:rPr>
          <w:sz w:val="20"/>
          <w:szCs w:val="20"/>
          <w:color w:val="auto"/>
        </w:rPr>
      </w:pPr>
      <w:r>
        <w:rPr>
          <w:rFonts w:ascii="Courier New" w:cs="Courier New" w:eastAsia="Courier New" w:hAnsi="Courier New"/>
          <w:sz w:val="15"/>
          <w:szCs w:val="15"/>
          <w:color w:val="auto"/>
        </w:rPr>
        <w:t>EXHIBIT 13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FINANCIAL HIGHLIGHTS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0" w:hanging="170"/>
        <w:spacing w:after="0"/>
        <w:tabs>
          <w:tab w:leader="none" w:pos="17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data)</w:t>
      </w:r>
    </w:p>
    <w:p>
      <w:pPr>
        <w:ind w:left="10"/>
        <w:spacing w:after="0"/>
        <w:tabs>
          <w:tab w:leader="none" w:pos="4389" w:val="left"/>
          <w:tab w:leader="none" w:pos="5449" w:val="left"/>
          <w:tab w:leader="none" w:pos="6409" w:val="left"/>
        </w:tabs>
        <w:rPr>
          <w:sz w:val="20"/>
          <w:szCs w:val="20"/>
          <w:color w:val="auto"/>
        </w:rPr>
      </w:pPr>
      <w:r>
        <w:rPr>
          <w:rFonts w:ascii="Courier New" w:cs="Courier New" w:eastAsia="Courier New" w:hAnsi="Courier New"/>
          <w:sz w:val="15"/>
          <w:szCs w:val="15"/>
          <w:color w:val="auto"/>
        </w:rPr>
        <w:t>Years ended July 31</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 Change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$932,853</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$794,341</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17.4%</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36,667</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22,230</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rPr>
              <w:t>64.9</w:t>
            </w:r>
          </w:p>
        </w:tc>
      </w:tr>
      <w:tr>
        <w:trPr>
          <w:trHeight w:val="170"/>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Percent of net sales</w:t>
            </w:r>
          </w:p>
        </w:tc>
        <w:tc>
          <w:tcPr>
            <w:tcW w:w="2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earnings per share of common stock and</w:t>
      </w:r>
    </w:p>
    <w:tbl>
      <w:tblPr>
        <w:tblLayout w:type="fixed"/>
        <w:tblInd w:w="10" w:type="dxa"/>
        <w:tblCellMar>
          <w:top w:w="0" w:type="dxa"/>
          <w:left w:w="0" w:type="dxa"/>
          <w:bottom w:w="0" w:type="dxa"/>
          <w:right w:w="0" w:type="dxa"/>
        </w:tblCellMar>
      </w:tblPr>
      <w:tr>
        <w:trPr>
          <w:trHeight w:val="169"/>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equivalent</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64.3</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Dividends paid</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per share of</w:t>
            </w: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outstanding</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0.48</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0.48</w:t>
            </w:r>
          </w:p>
        </w:tc>
        <w:tc>
          <w:tcPr>
            <w:tcW w:w="80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Return on:</w:t>
      </w:r>
    </w:p>
    <w:tbl>
      <w:tblPr>
        <w:tblLayout w:type="fixed"/>
        <w:tblInd w:w="170" w:type="dxa"/>
        <w:tblCellMar>
          <w:top w:w="0" w:type="dxa"/>
          <w:left w:w="0" w:type="dxa"/>
          <w:bottom w:w="0" w:type="dxa"/>
          <w:right w:w="0" w:type="dxa"/>
        </w:tblCellMar>
      </w:tblPr>
      <w:tr>
        <w:trPr>
          <w:trHeight w:val="169"/>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Beginning common</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stockholders' equity</w:t>
            </w:r>
          </w:p>
        </w:tc>
        <w:tc>
          <w:tcPr>
            <w:tcW w:w="1220" w:type="dxa"/>
            <w:vAlign w:val="bottom"/>
          </w:tcPr>
          <w:p>
            <w:pPr>
              <w:ind w:left="480"/>
              <w:spacing w:after="0"/>
              <w:rPr>
                <w:sz w:val="20"/>
                <w:szCs w:val="20"/>
                <w:color w:val="auto"/>
              </w:rPr>
            </w:pPr>
            <w:r>
              <w:rPr>
                <w:rFonts w:ascii="Courier New" w:cs="Courier New" w:eastAsia="Courier New" w:hAnsi="Courier New"/>
                <w:sz w:val="15"/>
                <w:szCs w:val="15"/>
                <w:color w:val="auto"/>
              </w:rPr>
              <w:t>21.7%</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w w:val="93"/>
              </w:rPr>
              <w:t>15.4%</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3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common stockholders' equity</w:t>
            </w:r>
          </w:p>
        </w:tc>
        <w:tc>
          <w:tcPr>
            <w:tcW w:w="1220" w:type="dxa"/>
            <w:vAlign w:val="bottom"/>
          </w:tcPr>
          <w:p>
            <w:pPr>
              <w:ind w:left="480"/>
              <w:spacing w:after="0"/>
              <w:rPr>
                <w:sz w:val="20"/>
                <w:szCs w:val="20"/>
                <w:color w:val="auto"/>
              </w:rPr>
            </w:pPr>
            <w:r>
              <w:rPr>
                <w:rFonts w:ascii="Courier New" w:cs="Courier New" w:eastAsia="Courier New" w:hAnsi="Courier New"/>
                <w:sz w:val="15"/>
                <w:szCs w:val="15"/>
                <w:color w:val="auto"/>
              </w:rPr>
              <w:t>20.7</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14.2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invested</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capital</w:t>
            </w:r>
          </w:p>
        </w:tc>
        <w:tc>
          <w:tcPr>
            <w:tcW w:w="1220" w:type="dxa"/>
            <w:vAlign w:val="bottom"/>
          </w:tcPr>
          <w:p>
            <w:pPr>
              <w:ind w:left="480"/>
              <w:spacing w:after="0"/>
              <w:rPr>
                <w:sz w:val="20"/>
                <w:szCs w:val="20"/>
                <w:color w:val="auto"/>
              </w:rPr>
            </w:pPr>
            <w:r>
              <w:rPr>
                <w:rFonts w:ascii="Courier New" w:cs="Courier New" w:eastAsia="Courier New" w:hAnsi="Courier New"/>
                <w:sz w:val="15"/>
                <w:szCs w:val="15"/>
                <w:color w:val="auto"/>
              </w:rPr>
              <w:t>15.4</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10.8</w:t>
            </w:r>
          </w:p>
        </w:tc>
      </w:tr>
    </w:tbl>
    <w:p>
      <w:pPr>
        <w:spacing w:after="0" w:line="5" w:lineRule="exact"/>
        <w:rPr>
          <w:sz w:val="20"/>
          <w:szCs w:val="20"/>
          <w:color w:val="auto"/>
        </w:rPr>
      </w:pPr>
    </w:p>
    <w:p>
      <w:pPr>
        <w:ind w:left="170" w:hanging="170"/>
        <w:spacing w:after="0"/>
        <w:tabs>
          <w:tab w:leader="none" w:pos="1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AT YEAR END</w:t>
      </w:r>
    </w:p>
    <w:tbl>
      <w:tblPr>
        <w:tblLayout w:type="fixed"/>
        <w:tblInd w:w="10" w:type="dxa"/>
        <w:tblCellMar>
          <w:top w:w="0" w:type="dxa"/>
          <w:left w:w="0" w:type="dxa"/>
          <w:bottom w:w="0" w:type="dxa"/>
          <w:right w:w="0" w:type="dxa"/>
        </w:tblCellMar>
      </w:tblPr>
      <w:tr>
        <w:trPr>
          <w:trHeight w:val="169"/>
        </w:trPr>
        <w:tc>
          <w:tcPr>
            <w:tcW w:w="32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$168,951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$175,783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468,315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443,639</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103,560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101,325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Common stockholders' equity</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185,471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168,652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r>
      <w:tr>
        <w:trPr>
          <w:trHeight w:val="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Book value per common share</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13.43</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w:t>
            </w:r>
          </w:p>
        </w:tc>
      </w:tr>
    </w:tbl>
    <w:p>
      <w:pPr>
        <w:spacing w:after="0" w:line="175" w:lineRule="exact"/>
        <w:rPr>
          <w:sz w:val="20"/>
          <w:szCs w:val="20"/>
          <w:color w:val="auto"/>
        </w:rPr>
      </w:pPr>
    </w:p>
    <w:p>
      <w:pPr>
        <w:ind w:left="10" w:right="2559"/>
        <w:spacing w:after="0" w:line="237" w:lineRule="auto"/>
        <w:rPr>
          <w:sz w:val="20"/>
          <w:szCs w:val="20"/>
          <w:color w:val="auto"/>
        </w:rPr>
      </w:pPr>
      <w:r>
        <w:rPr>
          <w:rFonts w:ascii="Courier New" w:cs="Courier New" w:eastAsia="Courier New" w:hAnsi="Courier New"/>
          <w:sz w:val="15"/>
          <w:szCs w:val="15"/>
          <w:color w:val="auto"/>
        </w:rPr>
        <w:t>- - ----------------------------------------------------------------------------------- Number of common stockholders 7,347 7,541 (2.6) Average number of employees 3,626 3,434 5.6 - - -----------------------------------------------------------------------------------</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EDGAR REPRESENTATION OF NET SALES GRAPH</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Millions</w:t>
      </w:r>
    </w:p>
    <w:p>
      <w:pPr>
        <w:ind w:left="170" w:hanging="170"/>
        <w:spacing w:after="0"/>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$932.9</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794.3</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EDGAR REPRESENTATION OF NET EARNINGS GRAPH</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Millions</w:t>
      </w:r>
    </w:p>
    <w:p>
      <w:pPr>
        <w:ind w:left="170" w:hanging="170"/>
        <w:spacing w:after="0"/>
        <w:tabs>
          <w:tab w:leader="none" w:pos="17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EDGAR REPRESENTATION OF BOOK VALUE PER SHARE GRAPH</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Dollars</w:t>
      </w:r>
    </w:p>
    <w:p>
      <w:pPr>
        <w:ind w:left="170" w:hanging="170"/>
        <w:spacing w:after="0"/>
        <w:tabs>
          <w:tab w:leader="none" w:pos="1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$15.40</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13.43</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11.78</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08" w:lineRule="exact"/>
        <w:rPr>
          <w:sz w:val="20"/>
          <w:szCs w:val="20"/>
          <w:color w:val="auto"/>
        </w:rPr>
      </w:pPr>
    </w:p>
    <w:p>
      <w:pPr>
        <w:ind w:left="3090"/>
        <w:spacing w:after="0"/>
        <w:tabs>
          <w:tab w:leader="none" w:pos="4649" w:val="left"/>
          <w:tab w:leader="none" w:pos="6409" w:val="left"/>
        </w:tabs>
        <w:rPr>
          <w:sz w:val="20"/>
          <w:szCs w:val="20"/>
          <w:color w:val="auto"/>
        </w:rPr>
      </w:pPr>
      <w:r>
        <w:rPr>
          <w:rFonts w:ascii="Courier New" w:cs="Courier New" w:eastAsia="Courier New" w:hAnsi="Courier New"/>
          <w:sz w:val="15"/>
          <w:szCs w:val="15"/>
          <w:color w:val="auto"/>
        </w:rPr>
        <w:t>The Toro Company</w:t>
        <w:tab/>
        <w:t>1995 Annual Report</w:t>
        <w:tab/>
        <w:t>1</w:t>
      </w:r>
    </w:p>
    <w:p>
      <w:pPr>
        <w:sectPr>
          <w:pgSz w:w="11900" w:h="16838" w:orient="portrait"/>
          <w:cols w:equalWidth="0" w:num="1">
            <w:col w:w="10229"/>
          </w:cols>
          <w:pgMar w:left="230" w:top="305" w:right="1440" w:bottom="1440" w:gutter="0" w:footer="0" w:header="0"/>
        </w:sectPr>
      </w:pPr>
    </w:p>
    <w:bookmarkStart w:id="52" w:name="page53"/>
    <w:bookmarkEnd w:id="52"/>
    <w:p>
      <w:pPr>
        <w:ind w:left="10"/>
        <w:spacing w:after="0"/>
        <w:tabs>
          <w:tab w:leader="none" w:pos="3249" w:val="left"/>
          <w:tab w:leader="none" w:pos="3509" w:val="left"/>
        </w:tabs>
        <w:rPr>
          <w:sz w:val="20"/>
          <w:szCs w:val="20"/>
          <w:color w:val="auto"/>
        </w:rPr>
      </w:pPr>
      <w:r>
        <w:rPr>
          <w:rFonts w:ascii="Courier New" w:cs="Courier New" w:eastAsia="Courier New" w:hAnsi="Courier New"/>
          <w:sz w:val="15"/>
          <w:szCs w:val="15"/>
          <w:color w:val="auto"/>
        </w:rPr>
        <w:t>ELEVEN-YEAR SELECTED FINANCIAL DATA</w:t>
        <w:tab/>
        <w:t>*</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data)</w:t>
      </w:r>
    </w:p>
    <w:tbl>
      <w:tblPr>
        <w:tblLayout w:type="fixed"/>
        <w:tblInd w:w="10" w:type="dxa"/>
        <w:tblCellMar>
          <w:top w:w="0" w:type="dxa"/>
          <w:left w:w="0" w:type="dxa"/>
          <w:bottom w:w="0" w:type="dxa"/>
          <w:right w:w="0" w:type="dxa"/>
        </w:tblCellMar>
      </w:tblP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DATA:</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932,853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794,341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684,324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643,748</w:t>
            </w:r>
          </w:p>
        </w:tc>
        <w:tc>
          <w:tcPr>
            <w:tcW w:w="28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36,667</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22,230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13,040</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(23,753)</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Percent of sales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(3.7)%</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of common stock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3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equivalent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c>
          <w:tcPr>
            <w:tcW w:w="28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DIVIDENDS: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On common</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stock outstanding</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6,002</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5,993</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5,824</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5,753</w:t>
            </w:r>
          </w:p>
        </w:tc>
        <w:tc>
          <w:tcPr>
            <w:tcW w:w="28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of common 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3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0.48</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28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RETURN ON:</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common stockholders'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44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Average common stockholders'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(16.2)%</w:t>
            </w: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SUMMARY OF FINANCIAL POSITION:</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381,610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364,495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344,130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332,517</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212,659</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188,712</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150,260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122,087</w:t>
            </w:r>
          </w:p>
        </w:tc>
        <w:tc>
          <w:tcPr>
            <w:tcW w:w="28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Working</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168,951</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175,783</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193,870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210,430</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Non-current assets</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86,705</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79,144</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75,073</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88,793</w:t>
            </w:r>
          </w:p>
        </w:tc>
        <w:tc>
          <w:tcPr>
            <w:tcW w:w="280" w:type="dxa"/>
            <w:vAlign w:val="bottom"/>
          </w:tcPr>
          <w:p>
            <w:pPr>
              <w:spacing w:after="0"/>
              <w:rPr>
                <w:sz w:val="14"/>
                <w:szCs w:val="14"/>
                <w:color w:val="auto"/>
              </w:rPr>
            </w:pPr>
          </w:p>
        </w:tc>
      </w:tr>
      <w:tr>
        <w:trPr>
          <w:trHeight w:val="170"/>
        </w:trPr>
        <w:tc>
          <w:tcPr>
            <w:tcW w:w="3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assets</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468,315</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443,639</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419,203</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421,310</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w w:val="98"/>
              </w:rPr>
              <w:t>Non-current liabilities, excluding</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3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long-term debt</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5,250</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1,372</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2,509</w:t>
            </w:r>
          </w:p>
        </w:tc>
        <w:tc>
          <w:tcPr>
            <w:tcW w:w="280" w:type="dxa"/>
            <w:vAlign w:val="bottom"/>
          </w:tcPr>
          <w:p>
            <w:pPr>
              <w:spacing w:after="0"/>
              <w:rPr>
                <w:sz w:val="14"/>
                <w:szCs w:val="14"/>
                <w:color w:val="auto"/>
              </w:rPr>
            </w:pP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debt, less current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portion</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64,935</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81,025</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122,970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164,100</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stockholders' equity</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185,471</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168,652</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144,601</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132,614</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Total capitalization</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250,406</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249,677</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267,571</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296,714</w:t>
            </w:r>
          </w:p>
        </w:tc>
        <w:tc>
          <w:tcPr>
            <w:tcW w:w="28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Book value per common share</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15.40</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13.43</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11.78</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11.01</w:t>
            </w:r>
          </w:p>
        </w:tc>
        <w:tc>
          <w:tcPr>
            <w:tcW w:w="280" w:type="dxa"/>
            <w:vAlign w:val="bottom"/>
          </w:tcPr>
          <w:p>
            <w:pPr>
              <w:spacing w:after="0"/>
              <w:rPr>
                <w:sz w:val="14"/>
                <w:szCs w:val="14"/>
                <w:color w:val="auto"/>
              </w:rPr>
            </w:pP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STOCK DATA: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shares of common 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3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12,040</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12,561</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12,270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12,042</w:t>
            </w:r>
          </w:p>
        </w:tc>
        <w:tc>
          <w:tcPr>
            <w:tcW w:w="28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common stockholders</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7,347</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7,541</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7,968</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8,386</w:t>
            </w:r>
          </w:p>
        </w:tc>
        <w:tc>
          <w:tcPr>
            <w:tcW w:w="28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Low price</w:t>
            </w:r>
          </w:p>
        </w:tc>
        <w:tc>
          <w:tcPr>
            <w:tcW w:w="2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 5/8 $</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3/4 $</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3/8 $</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High price</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3/8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7/8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Close price</w:t>
            </w:r>
          </w:p>
        </w:tc>
        <w:tc>
          <w:tcPr>
            <w:tcW w:w="1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5/8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5/8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3/4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350" w:lineRule="exact"/>
        <w:rPr>
          <w:sz w:val="20"/>
          <w:szCs w:val="20"/>
          <w:color w:val="auto"/>
        </w:rPr>
      </w:pPr>
    </w:p>
    <w:p>
      <w:pPr>
        <w:ind w:left="90" w:right="4139" w:firstLine="88"/>
        <w:spacing w:after="0" w:line="256" w:lineRule="auto"/>
        <w:rPr>
          <w:sz w:val="20"/>
          <w:szCs w:val="20"/>
          <w:color w:val="auto"/>
        </w:rPr>
      </w:pPr>
      <w:r>
        <w:rPr>
          <w:rFonts w:ascii="Courier New" w:cs="Courier New" w:eastAsia="Courier New" w:hAnsi="Courier New"/>
          <w:sz w:val="14"/>
          <w:szCs w:val="14"/>
          <w:color w:val="auto"/>
        </w:rPr>
        <w:t>*Includes restructuring costs of $24.9 million, or $1.41 per share. **The company's consolidated financial statements include results of</w:t>
      </w:r>
    </w:p>
    <w:p>
      <w:pPr>
        <w:ind w:left="270"/>
        <w:spacing w:after="0" w:line="233" w:lineRule="auto"/>
        <w:rPr>
          <w:sz w:val="20"/>
          <w:szCs w:val="20"/>
          <w:color w:val="auto"/>
        </w:rPr>
      </w:pPr>
      <w:r>
        <w:rPr>
          <w:rFonts w:ascii="Courier New" w:cs="Courier New" w:eastAsia="Courier New" w:hAnsi="Courier New"/>
          <w:sz w:val="15"/>
          <w:szCs w:val="15"/>
          <w:color w:val="auto"/>
        </w:rPr>
        <w:t>operations of Lawn-Boy Inc. from November 7, 1989, the date of acquisition.</w:t>
      </w:r>
    </w:p>
    <w:p>
      <w:pPr>
        <w:spacing w:after="0" w:line="5" w:lineRule="exact"/>
        <w:rPr>
          <w:sz w:val="20"/>
          <w:szCs w:val="20"/>
          <w:color w:val="auto"/>
        </w:rPr>
      </w:pPr>
    </w:p>
    <w:p>
      <w:pPr>
        <w:ind w:left="270" w:right="3259" w:hanging="263"/>
        <w:spacing w:after="0" w:line="237" w:lineRule="auto"/>
        <w:rPr>
          <w:sz w:val="20"/>
          <w:szCs w:val="20"/>
          <w:color w:val="auto"/>
        </w:rPr>
      </w:pPr>
      <w:r>
        <w:rPr>
          <w:rFonts w:ascii="Courier New" w:cs="Courier New" w:eastAsia="Courier New" w:hAnsi="Courier New"/>
          <w:sz w:val="15"/>
          <w:szCs w:val="15"/>
          <w:color w:val="auto"/>
        </w:rPr>
        <w:t>***The company's consolidated financial statements include results of operations of Wheel Horse Products, Inc. from December 19, 1986, the date of acquisition.</w:t>
      </w:r>
    </w:p>
    <w:p>
      <w:pPr>
        <w:spacing w:after="0" w:line="339" w:lineRule="exact"/>
        <w:rPr>
          <w:sz w:val="20"/>
          <w:szCs w:val="20"/>
          <w:color w:val="auto"/>
        </w:rPr>
      </w:pPr>
    </w:p>
    <w:p>
      <w:pPr>
        <w:ind w:left="10"/>
        <w:spacing w:after="0"/>
        <w:tabs>
          <w:tab w:leader="none" w:pos="1829" w:val="left"/>
        </w:tabs>
        <w:rPr>
          <w:sz w:val="20"/>
          <w:szCs w:val="20"/>
          <w:color w:val="auto"/>
        </w:rPr>
      </w:pPr>
      <w:r>
        <w:rPr>
          <w:rFonts w:ascii="Courier New" w:cs="Courier New" w:eastAsia="Courier New" w:hAnsi="Courier New"/>
          <w:sz w:val="15"/>
          <w:szCs w:val="15"/>
          <w:color w:val="auto"/>
        </w:rPr>
        <w:t>12 The Toro Company</w:t>
      </w:r>
      <w:r>
        <w:rPr>
          <w:sz w:val="20"/>
          <w:szCs w:val="20"/>
          <w:color w:val="auto"/>
        </w:rPr>
        <w:tab/>
      </w:r>
      <w:r>
        <w:rPr>
          <w:rFonts w:ascii="Courier New" w:cs="Courier New" w:eastAsia="Courier New" w:hAnsi="Courier New"/>
          <w:sz w:val="14"/>
          <w:szCs w:val="14"/>
          <w:color w:val="auto"/>
        </w:rPr>
        <w:t>1995 Annual Report</w:t>
      </w:r>
    </w:p>
    <w:p>
      <w:pPr>
        <w:sectPr>
          <w:pgSz w:w="11900" w:h="16838" w:orient="portrait"/>
          <w:cols w:equalWidth="0" w:num="1">
            <w:col w:w="10229"/>
          </w:cols>
          <w:pgMar w:left="230" w:top="622" w:right="1440" w:bottom="1440" w:gutter="0" w:footer="0" w:header="0"/>
        </w:sectPr>
      </w:pPr>
    </w:p>
    <w:bookmarkStart w:id="53" w:name="page54"/>
    <w:bookmarkEnd w:id="53"/>
    <w:p>
      <w:pPr>
        <w:ind w:left="170" w:hanging="170"/>
        <w:spacing w:after="0"/>
        <w:tabs>
          <w:tab w:leader="none" w:pos="17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data)</w:t>
      </w:r>
    </w:p>
    <w:tbl>
      <w:tblPr>
        <w:tblLayout w:type="fixed"/>
        <w:tblInd w:w="10" w:type="dxa"/>
        <w:tblCellMar>
          <w:top w:w="0" w:type="dxa"/>
          <w:left w:w="0" w:type="dxa"/>
          <w:bottom w:w="0" w:type="dxa"/>
          <w:right w:w="0" w:type="dxa"/>
        </w:tblCellMar>
      </w:tblPr>
      <w:tr>
        <w:trPr>
          <w:trHeight w:val="169"/>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1987***</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1985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DATA:</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8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$718,105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750,931</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$643,566</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609,205</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$521,123</w:t>
            </w:r>
          </w:p>
        </w:tc>
        <w:tc>
          <w:tcPr>
            <w:tcW w:w="10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$406,664</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336,813</w:t>
            </w:r>
          </w:p>
        </w:tc>
        <w:tc>
          <w:tcPr>
            <w:tcW w:w="26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w:t>
            </w:r>
          </w:p>
        </w:tc>
        <w:tc>
          <w:tcPr>
            <w:tcW w:w="1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9,700</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16,558</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22,096</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20,048</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17,032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15,491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13,224</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Percent of sales</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of common stock and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equivalent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DIVIDENDS: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On common</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stock outstanding</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5,700</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4,797</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4,793</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4,410</w:t>
            </w:r>
          </w:p>
        </w:tc>
        <w:tc>
          <w:tcPr>
            <w:tcW w:w="4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3,599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2,942</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2,034</w:t>
            </w:r>
          </w:p>
        </w:tc>
        <w:tc>
          <w:tcPr>
            <w:tcW w:w="26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of 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0.48</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0.43</w:t>
            </w:r>
          </w:p>
        </w:tc>
        <w:tc>
          <w:tcPr>
            <w:tcW w:w="4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RETURN ON:</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common stockholders'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Average common stockholders'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260" w:type="dxa"/>
            <w:vAlign w:val="bottom"/>
          </w:tcPr>
          <w:p>
            <w:pPr>
              <w:spacing w:after="0"/>
              <w:rPr>
                <w:sz w:val="14"/>
                <w:szCs w:val="14"/>
                <w:color w:val="auto"/>
              </w:rPr>
            </w:pPr>
          </w:p>
        </w:tc>
      </w:tr>
      <w:tr>
        <w:trPr>
          <w:trHeight w:val="33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SUMMARY OF FINANCIAL POSITION: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$318,753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320,204</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$266,176</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262,638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$245,574</w:t>
            </w:r>
          </w:p>
        </w:tc>
        <w:tc>
          <w:tcPr>
            <w:tcW w:w="10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$195,635</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186,678</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107,981</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130,452</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123,377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126,796</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102,913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89,382</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69,713</w:t>
            </w:r>
          </w:p>
        </w:tc>
        <w:tc>
          <w:tcPr>
            <w:tcW w:w="26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Working</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210,772</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189,752</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142,799</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135,842</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142,661</w:t>
            </w:r>
          </w:p>
        </w:tc>
        <w:tc>
          <w:tcPr>
            <w:tcW w:w="300" w:type="dxa"/>
            <w:vAlign w:val="bottom"/>
          </w:tcPr>
          <w:p>
            <w:pPr>
              <w:spacing w:after="0"/>
              <w:rPr>
                <w:sz w:val="14"/>
                <w:szCs w:val="14"/>
                <w:color w:val="auto"/>
              </w:rPr>
            </w:pP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106,253</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116,965</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Non-current assets</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96,551</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103,347</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59,807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57,430</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53,970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32,930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29,452</w:t>
            </w:r>
          </w:p>
        </w:tc>
        <w:tc>
          <w:tcPr>
            <w:tcW w:w="260" w:type="dxa"/>
            <w:vAlign w:val="bottom"/>
          </w:tcPr>
          <w:p>
            <w:pPr>
              <w:spacing w:after="0"/>
              <w:rPr>
                <w:sz w:val="14"/>
                <w:szCs w:val="14"/>
                <w:color w:val="auto"/>
              </w:rPr>
            </w:pPr>
          </w:p>
        </w:tc>
      </w:tr>
      <w:tr>
        <w:trPr>
          <w:trHeight w:val="170"/>
        </w:trPr>
        <w:tc>
          <w:tcPr>
            <w:tcW w:w="2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 assets</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415,304</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423,551</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325,983</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320,068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299,544</w:t>
            </w:r>
          </w:p>
        </w:tc>
        <w:tc>
          <w:tcPr>
            <w:tcW w:w="300" w:type="dxa"/>
            <w:vAlign w:val="bottom"/>
          </w:tcPr>
          <w:p>
            <w:pPr>
              <w:spacing w:after="0"/>
              <w:rPr>
                <w:sz w:val="14"/>
                <w:szCs w:val="14"/>
                <w:color w:val="auto"/>
              </w:rPr>
            </w:pP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228,565</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216,130</w:t>
            </w:r>
          </w:p>
        </w:tc>
        <w:tc>
          <w:tcPr>
            <w:tcW w:w="260" w:type="dxa"/>
            <w:vAlign w:val="bottom"/>
          </w:tcPr>
          <w:p>
            <w:pPr>
              <w:spacing w:after="0"/>
              <w:rPr>
                <w:sz w:val="14"/>
                <w:szCs w:val="14"/>
                <w:color w:val="auto"/>
              </w:rPr>
            </w:pPr>
          </w:p>
        </w:tc>
      </w:tr>
      <w:tr>
        <w:trPr>
          <w:trHeight w:val="170"/>
        </w:trPr>
        <w:tc>
          <w:tcPr>
            <w:tcW w:w="2980" w:type="dxa"/>
            <w:vAlign w:val="bottom"/>
            <w:gridSpan w:val="3"/>
          </w:tcPr>
          <w:p>
            <w:pPr>
              <w:spacing w:after="0"/>
              <w:rPr>
                <w:sz w:val="20"/>
                <w:szCs w:val="20"/>
                <w:color w:val="auto"/>
              </w:rPr>
            </w:pPr>
            <w:r>
              <w:rPr>
                <w:rFonts w:ascii="Courier New" w:cs="Courier New" w:eastAsia="Courier New" w:hAnsi="Courier New"/>
                <w:sz w:val="15"/>
                <w:szCs w:val="15"/>
                <w:color w:val="auto"/>
                <w:w w:val="96"/>
              </w:rPr>
              <w:t>Non-current liabilities, excluding</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long-term debt</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1,469</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6,112</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2,329</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2,887</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3,273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2,432</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3,922</w:t>
            </w:r>
          </w:p>
        </w:tc>
        <w:tc>
          <w:tcPr>
            <w:tcW w:w="260" w:type="dxa"/>
            <w:vAlign w:val="bottom"/>
          </w:tcPr>
          <w:p>
            <w:pPr>
              <w:spacing w:after="0"/>
              <w:rPr>
                <w:sz w:val="14"/>
                <w:szCs w:val="14"/>
                <w:color w:val="auto"/>
              </w:rPr>
            </w:pPr>
          </w:p>
        </w:tc>
      </w:tr>
      <w:tr>
        <w:trPr>
          <w:trHeight w:val="33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debt, less current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portion</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145,295</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134,400</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96,730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99,347</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110,903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63,198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61,935</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9,000</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10,500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10,500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10,500</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stockholders' equity</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160,559</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152,587</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97,547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82,038</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71,957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63,053</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70,060</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Total capitalization</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305,854</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286,987</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200,277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190,385</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193,360</w:t>
            </w:r>
          </w:p>
        </w:tc>
        <w:tc>
          <w:tcPr>
            <w:tcW w:w="300" w:type="dxa"/>
            <w:vAlign w:val="bottom"/>
          </w:tcPr>
          <w:p>
            <w:pPr>
              <w:spacing w:after="0"/>
              <w:rPr>
                <w:sz w:val="14"/>
                <w:szCs w:val="14"/>
                <w:color w:val="auto"/>
              </w:rPr>
            </w:pP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136,751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142,495</w:t>
            </w:r>
          </w:p>
        </w:tc>
        <w:tc>
          <w:tcPr>
            <w:tcW w:w="260" w:type="dxa"/>
            <w:vAlign w:val="bottom"/>
          </w:tcPr>
          <w:p>
            <w:pPr>
              <w:spacing w:after="0"/>
              <w:rPr>
                <w:sz w:val="14"/>
                <w:szCs w:val="14"/>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Book value per common share</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13.48</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12.92</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9.85</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8.16</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6.84</w:t>
            </w:r>
          </w:p>
        </w:tc>
        <w:tc>
          <w:tcPr>
            <w:tcW w:w="260" w:type="dxa"/>
            <w:vAlign w:val="bottom"/>
          </w:tcPr>
          <w:p>
            <w:pPr>
              <w:spacing w:after="0"/>
              <w:rPr>
                <w:sz w:val="14"/>
                <w:szCs w:val="14"/>
                <w:color w:val="auto"/>
              </w:rPr>
            </w:pPr>
          </w:p>
        </w:tc>
      </w:tr>
      <w:tr>
        <w:trPr>
          <w:trHeight w:val="339"/>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STOCK DATA:</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shares of 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11,913</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11,814</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9,902</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10,049</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10,272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10,401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10,245</w:t>
            </w:r>
          </w:p>
        </w:tc>
        <w:tc>
          <w:tcPr>
            <w:tcW w:w="26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common stockholders</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8,503</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7,706</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6,802</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5,587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4,288</w:t>
            </w:r>
          </w:p>
        </w:tc>
        <w:tc>
          <w:tcPr>
            <w:tcW w:w="26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Low price</w:t>
            </w:r>
          </w:p>
        </w:tc>
        <w:tc>
          <w:tcPr>
            <w:tcW w:w="19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1/2 $</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 1/8 $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 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High price</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7/8</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7/8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Close price</w:t>
            </w:r>
          </w:p>
        </w:tc>
        <w:tc>
          <w:tcPr>
            <w:tcW w:w="1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3/4</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bl>
    <w:p>
      <w:pPr>
        <w:spacing w:after="0" w:line="5" w:lineRule="exact"/>
        <w:rPr>
          <w:sz w:val="20"/>
          <w:szCs w:val="20"/>
          <w:color w:val="auto"/>
        </w:rPr>
      </w:pPr>
    </w:p>
    <w:p>
      <w:pPr>
        <w:ind w:left="170" w:hanging="170"/>
        <w:spacing w:after="0"/>
        <w:tabs>
          <w:tab w:leader="none" w:pos="1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30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Toro Company  1995 Annual Report  13</w:t>
      </w:r>
    </w:p>
    <w:p>
      <w:pPr>
        <w:sectPr>
          <w:pgSz w:w="11900" w:h="16838" w:orient="portrait"/>
          <w:cols w:equalWidth="0" w:num="1">
            <w:col w:w="11010"/>
          </w:cols>
          <w:pgMar w:left="230" w:top="1136" w:right="659" w:bottom="1440" w:gutter="0" w:footer="0" w:header="0"/>
        </w:sectPr>
      </w:pPr>
    </w:p>
    <w:bookmarkStart w:id="54" w:name="page55"/>
    <w:bookmarkEnd w:id="54"/>
    <w:p>
      <w:pPr>
        <w:ind w:left="10"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THE TORO COMPANY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company continued to execute operational strategies in 1995 resulting in increased net sales and earnings. Worldwide net sales rose to $932.9 million, a 17.4% increase from $794.3 million in 1994. Net earnings for 1995 were $36.7 million compared with $22.2 million in 1994.</w:t>
      </w:r>
    </w:p>
    <w:p>
      <w:pPr>
        <w:spacing w:after="0" w:line="176" w:lineRule="exact"/>
        <w:rPr>
          <w:sz w:val="20"/>
          <w:szCs w:val="20"/>
          <w:color w:val="auto"/>
        </w:rPr>
      </w:pPr>
    </w:p>
    <w:p>
      <w:pPr>
        <w:ind w:left="10" w:right="3539" w:firstLine="264"/>
        <w:spacing w:after="0" w:line="235" w:lineRule="auto"/>
        <w:rPr>
          <w:sz w:val="20"/>
          <w:szCs w:val="20"/>
          <w:color w:val="auto"/>
        </w:rPr>
      </w:pPr>
      <w:r>
        <w:rPr>
          <w:rFonts w:ascii="Courier New" w:cs="Courier New" w:eastAsia="Courier New" w:hAnsi="Courier New"/>
          <w:sz w:val="15"/>
          <w:szCs w:val="15"/>
          <w:color w:val="auto"/>
        </w:rPr>
        <w:t>The table below summarizes operating results included in the Consolidated Statements of Earnings for 1995, 1994, and 1993.</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0" w:right="82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except per share data)</w:t>
      </w:r>
    </w:p>
    <w:p>
      <w:pPr>
        <w:ind w:left="10"/>
        <w:spacing w:after="0"/>
        <w:tabs>
          <w:tab w:leader="none" w:pos="2629" w:val="left"/>
          <w:tab w:leader="none" w:pos="3249" w:val="left"/>
          <w:tab w:leader="none" w:pos="4469" w:val="left"/>
          <w:tab w:leader="none" w:pos="5089" w:val="left"/>
          <w:tab w:leader="none" w:pos="6329" w:val="left"/>
        </w:tabs>
        <w:rPr>
          <w:sz w:val="20"/>
          <w:szCs w:val="20"/>
          <w:color w:val="auto"/>
        </w:rPr>
      </w:pPr>
      <w:r>
        <w:rPr>
          <w:rFonts w:ascii="Courier New" w:cs="Courier New" w:eastAsia="Courier New" w:hAnsi="Courier New"/>
          <w:sz w:val="15"/>
          <w:szCs w:val="15"/>
          <w:color w:val="auto"/>
        </w:rPr>
        <w:t>Years ended July 31</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 CHANGE</w:t>
      </w:r>
      <w:r>
        <w:rPr>
          <w:sz w:val="20"/>
          <w:szCs w:val="20"/>
          <w:color w:val="auto"/>
        </w:rPr>
        <w:tab/>
      </w:r>
      <w:r>
        <w:rPr>
          <w:rFonts w:ascii="Courier New" w:cs="Courier New" w:eastAsia="Courier New" w:hAnsi="Courier New"/>
          <w:sz w:val="15"/>
          <w:szCs w:val="15"/>
          <w:color w:val="auto"/>
        </w:rPr>
        <w:t>1994</w:t>
        <w:tab/>
        <w:t>% Change</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$932.9</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$794.3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16.1%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598.3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18.1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506.8</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13.8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445.5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Gross profit</w:t>
            </w:r>
          </w:p>
        </w:tc>
        <w:tc>
          <w:tcPr>
            <w:tcW w:w="8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334.6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238.8</w:t>
            </w: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Selling, general</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269.8</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203.4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Earnings from</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64.8</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52.1</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42.6</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20.3</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35.4</w:t>
            </w: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11.9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13.6</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(20.9)</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17.2</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Other income,</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(8.0)</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158.1</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w w:val="93"/>
              </w:rPr>
              <w:t>(3.1)</w:t>
            </w:r>
          </w:p>
        </w:tc>
      </w:tr>
    </w:tbl>
    <w:p>
      <w:pPr>
        <w:spacing w:after="0" w:line="5" w:lineRule="exact"/>
        <w:rPr>
          <w:sz w:val="20"/>
          <w:szCs w:val="20"/>
          <w:color w:val="auto"/>
        </w:rPr>
      </w:pPr>
    </w:p>
    <w:p>
      <w:pPr>
        <w:ind w:left="170" w:hanging="170"/>
        <w:spacing w:after="0"/>
        <w:tabs>
          <w:tab w:leader="none" w:pos="17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Earnings before income</w:t>
      </w:r>
    </w:p>
    <w:tbl>
      <w:tblPr>
        <w:tblLayout w:type="fixed"/>
        <w:tblInd w:w="10" w:type="dxa"/>
        <w:tblCellMar>
          <w:top w:w="0" w:type="dxa"/>
          <w:left w:w="0" w:type="dxa"/>
          <w:bottom w:w="0" w:type="dxa"/>
          <w:right w:w="0" w:type="dxa"/>
        </w:tblCellMar>
      </w:tblPr>
      <w:tr>
        <w:trPr>
          <w:trHeight w:val="169"/>
        </w:trPr>
        <w:tc>
          <w:tcPr>
            <w:tcW w:w="2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taxes</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61.1</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65.1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73.7</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21.3</w:t>
            </w: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24.4</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64.9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78.3</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8.3</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2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$36.7</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64.9%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70.8%</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$13.0</w:t>
            </w:r>
          </w:p>
        </w:tc>
      </w:tr>
    </w:tbl>
    <w:p>
      <w:pPr>
        <w:spacing w:after="0" w:line="5" w:lineRule="exact"/>
        <w:rPr>
          <w:sz w:val="20"/>
          <w:szCs w:val="20"/>
          <w:color w:val="auto"/>
        </w:rPr>
      </w:pPr>
    </w:p>
    <w:p>
      <w:pPr>
        <w:ind w:left="170" w:hanging="170"/>
        <w:spacing w:after="0"/>
        <w:tabs>
          <w:tab w:leader="none" w:pos="17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right="8299" w:hanging="176"/>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w:t>
      </w:r>
    </w:p>
    <w:tbl>
      <w:tblPr>
        <w:tblLayout w:type="fixed"/>
        <w:tblInd w:w="170" w:type="dxa"/>
        <w:tblCellMar>
          <w:top w:w="0" w:type="dxa"/>
          <w:left w:w="0" w:type="dxa"/>
          <w:bottom w:w="0" w:type="dxa"/>
          <w:right w:w="0" w:type="dxa"/>
        </w:tblCellMar>
      </w:tblPr>
      <w:tr>
        <w:trPr>
          <w:trHeight w:val="165"/>
        </w:trPr>
        <w:tc>
          <w:tcPr>
            <w:tcW w:w="2220" w:type="dxa"/>
            <w:vAlign w:val="bottom"/>
          </w:tcPr>
          <w:p>
            <w:pPr>
              <w:spacing w:after="0" w:line="165" w:lineRule="exact"/>
              <w:rPr>
                <w:sz w:val="20"/>
                <w:szCs w:val="20"/>
                <w:color w:val="auto"/>
              </w:rPr>
            </w:pPr>
            <w:r>
              <w:rPr>
                <w:rFonts w:ascii="Courier New" w:cs="Courier New" w:eastAsia="Courier New" w:hAnsi="Courier New"/>
                <w:sz w:val="15"/>
                <w:szCs w:val="15"/>
                <w:color w:val="auto"/>
              </w:rPr>
              <w:t>common stock equivalent</w:t>
            </w:r>
          </w:p>
        </w:tc>
        <w:tc>
          <w:tcPr>
            <w:tcW w:w="880" w:type="dxa"/>
            <w:vAlign w:val="bottom"/>
          </w:tcPr>
          <w:p>
            <w:pPr>
              <w:jc w:val="right"/>
              <w:ind w:right="207"/>
              <w:spacing w:after="0" w:line="165" w:lineRule="exact"/>
              <w:rPr>
                <w:sz w:val="20"/>
                <w:szCs w:val="20"/>
                <w:color w:val="auto"/>
              </w:rPr>
            </w:pPr>
            <w:r>
              <w:rPr>
                <w:rFonts w:ascii="Courier New" w:cs="Courier New" w:eastAsia="Courier New" w:hAnsi="Courier New"/>
                <w:sz w:val="15"/>
                <w:szCs w:val="15"/>
                <w:color w:val="auto"/>
              </w:rPr>
              <w:t>$2.81</w:t>
            </w:r>
          </w:p>
        </w:tc>
        <w:tc>
          <w:tcPr>
            <w:tcW w:w="920" w:type="dxa"/>
            <w:vAlign w:val="bottom"/>
          </w:tcPr>
          <w:p>
            <w:pPr>
              <w:jc w:val="right"/>
              <w:ind w:right="147"/>
              <w:spacing w:after="0" w:line="165" w:lineRule="exact"/>
              <w:rPr>
                <w:sz w:val="20"/>
                <w:szCs w:val="20"/>
                <w:color w:val="auto"/>
              </w:rPr>
            </w:pPr>
            <w:r>
              <w:rPr>
                <w:rFonts w:ascii="Courier New" w:cs="Courier New" w:eastAsia="Courier New" w:hAnsi="Courier New"/>
                <w:sz w:val="15"/>
                <w:szCs w:val="15"/>
                <w:color w:val="auto"/>
              </w:rPr>
              <w:t>64.3%</w:t>
            </w:r>
          </w:p>
        </w:tc>
        <w:tc>
          <w:tcPr>
            <w:tcW w:w="920" w:type="dxa"/>
            <w:vAlign w:val="bottom"/>
          </w:tcPr>
          <w:p>
            <w:pPr>
              <w:jc w:val="right"/>
              <w:ind w:right="187"/>
              <w:spacing w:after="0" w:line="165" w:lineRule="exact"/>
              <w:rPr>
                <w:sz w:val="20"/>
                <w:szCs w:val="20"/>
                <w:color w:val="auto"/>
              </w:rPr>
            </w:pPr>
            <w:r>
              <w:rPr>
                <w:rFonts w:ascii="Courier New" w:cs="Courier New" w:eastAsia="Courier New" w:hAnsi="Courier New"/>
                <w:sz w:val="15"/>
                <w:szCs w:val="15"/>
                <w:color w:val="auto"/>
              </w:rPr>
              <w:t>$1.71</w:t>
            </w:r>
          </w:p>
        </w:tc>
        <w:tc>
          <w:tcPr>
            <w:tcW w:w="920" w:type="dxa"/>
            <w:vAlign w:val="bottom"/>
          </w:tcPr>
          <w:p>
            <w:pPr>
              <w:jc w:val="right"/>
              <w:ind w:right="147"/>
              <w:spacing w:after="0" w:line="165" w:lineRule="exact"/>
              <w:rPr>
                <w:sz w:val="20"/>
                <w:szCs w:val="20"/>
                <w:color w:val="auto"/>
              </w:rPr>
            </w:pPr>
            <w:r>
              <w:rPr>
                <w:rFonts w:ascii="Courier New" w:cs="Courier New" w:eastAsia="Courier New" w:hAnsi="Courier New"/>
                <w:sz w:val="15"/>
                <w:szCs w:val="15"/>
                <w:color w:val="auto"/>
              </w:rPr>
              <w:t>62.9%</w:t>
            </w:r>
          </w:p>
        </w:tc>
        <w:tc>
          <w:tcPr>
            <w:tcW w:w="6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$1.05</w:t>
            </w:r>
          </w:p>
        </w:tc>
      </w:tr>
    </w:tbl>
    <w:p>
      <w:pPr>
        <w:spacing w:after="0" w:line="5" w:lineRule="exact"/>
        <w:rPr>
          <w:sz w:val="20"/>
          <w:szCs w:val="20"/>
          <w:color w:val="auto"/>
        </w:rPr>
      </w:pPr>
    </w:p>
    <w:p>
      <w:pPr>
        <w:ind w:left="170" w:hanging="170"/>
        <w:spacing w:after="0"/>
        <w:tabs>
          <w:tab w:leader="none" w:pos="17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SALES</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Sales</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millions</w:t>
      </w:r>
    </w:p>
    <w:p>
      <w:pPr>
        <w:ind w:left="10"/>
        <w:spacing w:after="0"/>
        <w:tabs>
          <w:tab w:leader="none" w:pos="2629" w:val="left"/>
          <w:tab w:leader="none" w:pos="3249" w:val="left"/>
          <w:tab w:leader="none" w:pos="4469" w:val="left"/>
          <w:tab w:leader="none" w:pos="5089" w:val="left"/>
          <w:tab w:leader="none" w:pos="6329" w:val="left"/>
        </w:tabs>
        <w:rPr>
          <w:sz w:val="20"/>
          <w:szCs w:val="20"/>
          <w:color w:val="auto"/>
        </w:rPr>
      </w:pPr>
      <w:r>
        <w:rPr>
          <w:rFonts w:ascii="Courier New" w:cs="Courier New" w:eastAsia="Courier New" w:hAnsi="Courier New"/>
          <w:sz w:val="15"/>
          <w:szCs w:val="15"/>
          <w:color w:val="auto"/>
        </w:rPr>
        <w:t>Years ended July 31</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 CHANGE</w:t>
      </w:r>
      <w:r>
        <w:rPr>
          <w:sz w:val="20"/>
          <w:szCs w:val="20"/>
          <w:color w:val="auto"/>
        </w:rPr>
        <w:tab/>
      </w:r>
      <w:r>
        <w:rPr>
          <w:rFonts w:ascii="Courier New" w:cs="Courier New" w:eastAsia="Courier New" w:hAnsi="Courier New"/>
          <w:sz w:val="15"/>
          <w:szCs w:val="15"/>
          <w:color w:val="auto"/>
        </w:rPr>
        <w:t>1994</w:t>
        <w:tab/>
        <w:t>% Change</w:t>
      </w:r>
      <w:r>
        <w:rPr>
          <w:sz w:val="20"/>
          <w:szCs w:val="20"/>
          <w:color w:val="auto"/>
        </w:rPr>
        <w:tab/>
      </w:r>
      <w:r>
        <w:rPr>
          <w:rFonts w:ascii="Courier New" w:cs="Courier New" w:eastAsia="Courier New" w:hAnsi="Courier New"/>
          <w:sz w:val="14"/>
          <w:szCs w:val="14"/>
          <w:color w:val="auto"/>
        </w:rPr>
        <w:t>1993</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$488.1</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14.6%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$338.0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Commercial</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305.3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20.6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234.5</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Irrigation</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139.5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21.0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111.8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$794.3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bl>
    <w:p>
      <w:pPr>
        <w:spacing w:after="0" w:line="5" w:lineRule="exact"/>
        <w:rPr>
          <w:sz w:val="20"/>
          <w:szCs w:val="20"/>
          <w:color w:val="auto"/>
        </w:rPr>
      </w:pPr>
    </w:p>
    <w:p>
      <w:pPr>
        <w:ind w:left="170" w:hanging="170"/>
        <w:spacing w:after="0"/>
        <w:tabs>
          <w:tab w:leader="none" w:pos="17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*Includes international</w:t>
      </w:r>
    </w:p>
    <w:tbl>
      <w:tblPr>
        <w:tblLayout w:type="fixed"/>
        <w:tblInd w:w="350" w:type="dxa"/>
        <w:tblCellMar>
          <w:top w:w="0" w:type="dxa"/>
          <w:left w:w="0" w:type="dxa"/>
          <w:bottom w:w="0" w:type="dxa"/>
          <w:right w:w="0" w:type="dxa"/>
        </w:tblCellMar>
      </w:tblPr>
      <w:tr>
        <w:trPr>
          <w:trHeight w:val="169"/>
        </w:trPr>
        <w:tc>
          <w:tcPr>
            <w:tcW w:w="1420" w:type="dxa"/>
            <w:vAlign w:val="bottom"/>
          </w:tcPr>
          <w:p>
            <w:pPr>
              <w:spacing w:after="0"/>
              <w:rPr>
                <w:sz w:val="20"/>
                <w:szCs w:val="20"/>
                <w:color w:val="auto"/>
              </w:rPr>
            </w:pPr>
            <w:r>
              <w:rPr>
                <w:rFonts w:ascii="Courier New" w:cs="Courier New" w:eastAsia="Courier New" w:hAnsi="Courier New"/>
                <w:sz w:val="15"/>
                <w:szCs w:val="15"/>
                <w:color w:val="auto"/>
              </w:rPr>
              <w:t>sales of</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$152.4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$129.4</w:t>
            </w:r>
          </w:p>
        </w:tc>
      </w:tr>
    </w:tbl>
    <w:p>
      <w:pPr>
        <w:spacing w:after="0" w:line="5" w:lineRule="exact"/>
        <w:rPr>
          <w:sz w:val="20"/>
          <w:szCs w:val="20"/>
          <w:color w:val="auto"/>
        </w:rPr>
      </w:pPr>
    </w:p>
    <w:p>
      <w:pPr>
        <w:ind w:left="170" w:hanging="170"/>
        <w:spacing w:after="0"/>
        <w:tabs>
          <w:tab w:leader="none" w:pos="17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Worldwide sales increased $138.6 million to $932.9 million with increases in all product lines.</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tab/>
        <w:t>CONSUMER</w:t>
      </w:r>
    </w:p>
    <w:p>
      <w:pPr>
        <w:spacing w:after="0" w:line="17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Worldwide consumer product sales rose 14.6% to $488.1 million in 1995. Consumer product sales represented 52.3% and 53.6% of consolidated net sales for 1995 and 1994, respectively. International sales included in consumer product sales increased $5.6 million from the prior year.</w:t>
      </w:r>
    </w:p>
    <w:p>
      <w:pPr>
        <w:spacing w:after="0" w:line="176" w:lineRule="exact"/>
        <w:rPr>
          <w:sz w:val="20"/>
          <w:szCs w:val="20"/>
          <w:color w:val="auto"/>
        </w:rPr>
      </w:pPr>
    </w:p>
    <w:p>
      <w:pPr>
        <w:ind w:left="10" w:right="3439" w:firstLine="264"/>
        <w:spacing w:after="0" w:line="238" w:lineRule="auto"/>
        <w:rPr>
          <w:sz w:val="20"/>
          <w:szCs w:val="20"/>
          <w:color w:val="auto"/>
        </w:rPr>
      </w:pPr>
      <w:r>
        <w:rPr>
          <w:rFonts w:ascii="Courier New" w:cs="Courier New" w:eastAsia="Courier New" w:hAnsi="Courier New"/>
          <w:sz w:val="15"/>
          <w:szCs w:val="15"/>
          <w:color w:val="auto"/>
        </w:rPr>
        <w:t>Exceptional sales of snow removal equipment as well as increased sales of riding products and Toro brand walk power mowers contributed to the increase over the prior year. This increase was offset partially by a decline in Lawn-Boy-Registration Mark walk power mower sales as a result of reduced shipments in response to a delayed spring season as well as actions to reduce excess retail inventory.</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COMMERCIAL</w:t>
      </w:r>
    </w:p>
    <w:p>
      <w:pPr>
        <w:sectPr>
          <w:pgSz w:w="11900" w:h="16838" w:orient="portrait"/>
          <w:cols w:equalWidth="0" w:num="1">
            <w:col w:w="10229"/>
          </w:cols>
          <w:pgMar w:left="230" w:top="627" w:right="1440" w:bottom="0" w:gutter="0" w:footer="0" w:header="0"/>
        </w:sectPr>
      </w:pPr>
    </w:p>
    <w:bookmarkStart w:id="55" w:name="page56"/>
    <w:bookmarkEnd w:id="55"/>
    <w:p>
      <w:pPr>
        <w:ind w:right="3439"/>
        <w:spacing w:after="0" w:line="237" w:lineRule="auto"/>
        <w:rPr>
          <w:sz w:val="20"/>
          <w:szCs w:val="20"/>
          <w:color w:val="auto"/>
        </w:rPr>
      </w:pPr>
      <w:r>
        <w:rPr>
          <w:rFonts w:ascii="Courier New" w:cs="Courier New" w:eastAsia="Courier New" w:hAnsi="Courier New"/>
          <w:sz w:val="15"/>
          <w:szCs w:val="15"/>
          <w:color w:val="auto"/>
        </w:rPr>
        <w:t>Worldwide commercial product sales increased $52.1 million over the prior year. International sales included in commercial product sales increased $9.0 million from the prior year.</w:t>
      </w:r>
    </w:p>
    <w:p>
      <w:pPr>
        <w:spacing w:after="0" w:line="175"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Sales were strong in both the golf and municipal markets because of new golf course openings and increased spending in the municipal market. Sales of equipment to landscape contractors as well as increased sales of recycling equipment products in 1995 also contributed to the increase.</w:t>
      </w:r>
    </w:p>
    <w:p>
      <w:pPr>
        <w:spacing w:after="0" w:line="171"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IRRIGATION</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Worldwide irrigation product sales increased 21.0% to $139.5 million in 1995. International sales included in irrigation product sales increased $6.0 million.</w:t>
      </w:r>
    </w:p>
    <w:p>
      <w:pPr>
        <w:spacing w:after="0" w:line="175"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Increased sales of irrigation products in the golf industry as well as an improved market share for do-it-yourself products contributed to the sales increase. The company's change to direct distribution to irrigation product wholesale dealers in the California and Texas markets, made in 1994 to better respond to customer needs, has been favorably received in the marketplace. Improved international economies and weather conditions have also resulted in increased sales.</w:t>
      </w:r>
    </w:p>
    <w:p>
      <w:pPr>
        <w:spacing w:after="0" w:line="340" w:lineRule="exact"/>
        <w:rPr>
          <w:sz w:val="20"/>
          <w:szCs w:val="20"/>
          <w:color w:val="auto"/>
        </w:rPr>
      </w:pPr>
    </w:p>
    <w:p>
      <w:pPr>
        <w:spacing w:after="0"/>
        <w:tabs>
          <w:tab w:leader="none" w:pos="320" w:val="left"/>
          <w:tab w:leader="none" w:pos="1900" w:val="left"/>
        </w:tabs>
        <w:rPr>
          <w:sz w:val="20"/>
          <w:szCs w:val="20"/>
          <w:color w:val="auto"/>
        </w:rPr>
      </w:pPr>
      <w:r>
        <w:rPr>
          <w:rFonts w:ascii="Courier New" w:cs="Courier New" w:eastAsia="Courier New" w:hAnsi="Courier New"/>
          <w:sz w:val="15"/>
          <w:szCs w:val="15"/>
          <w:color w:val="auto"/>
        </w:rPr>
        <w:t>14</w:t>
        <w:tab/>
        <w:t>The Toro Company</w:t>
      </w:r>
      <w:r>
        <w:rPr>
          <w:sz w:val="20"/>
          <w:szCs w:val="20"/>
          <w:color w:val="auto"/>
        </w:rPr>
        <w:tab/>
      </w:r>
      <w:r>
        <w:rPr>
          <w:rFonts w:ascii="Courier New" w:cs="Courier New" w:eastAsia="Courier New" w:hAnsi="Courier New"/>
          <w:sz w:val="14"/>
          <w:szCs w:val="14"/>
          <w:color w:val="auto"/>
        </w:rPr>
        <w:t>1995 Annual Report</w:t>
      </w:r>
    </w:p>
    <w:p>
      <w:pPr>
        <w:sectPr>
          <w:pgSz w:w="11900" w:h="16838" w:orient="portrait"/>
          <w:cols w:equalWidth="0" w:num="1">
            <w:col w:w="10219"/>
          </w:cols>
          <w:pgMar w:left="240" w:top="142" w:right="1440" w:bottom="1440" w:gutter="0" w:footer="0" w:header="0"/>
        </w:sectPr>
      </w:pPr>
    </w:p>
    <w:bookmarkStart w:id="56" w:name="page57"/>
    <w:bookmarkEnd w:id="56"/>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INTERNATIONAL MARKETS</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International sales are included in the preceding net sales table. International sales increased 17.1% to $152.4 million in 1995. Sales in Canada have improved over the prior year because of the strengthened economy. The drought in Australia has curtailed sales slightly, but was offset by increased sales in Europe because of the weak U.S. Dollar.</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Worldwide sales increased $110.0 million to $794.3 million with increases in all product lines.</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tab/>
        <w:t>CONSUMER</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Worldwide consumer product sales rose 26.0% to $425.8 million in 1994. Consumer product sales represented 53.6% and 49.4% of consolidated sales for 1994 and 1993, respectively. International sales included in consumer product sales increased $4.4 million from the previous year.</w:t>
      </w:r>
    </w:p>
    <w:p>
      <w:pPr>
        <w:spacing w:after="0" w:line="176" w:lineRule="exact"/>
        <w:rPr>
          <w:sz w:val="20"/>
          <w:szCs w:val="20"/>
          <w:color w:val="auto"/>
        </w:rPr>
      </w:pPr>
    </w:p>
    <w:p>
      <w:pPr>
        <w:ind w:left="10" w:right="3439" w:firstLine="264"/>
        <w:spacing w:after="0" w:line="258" w:lineRule="auto"/>
        <w:rPr>
          <w:sz w:val="20"/>
          <w:szCs w:val="20"/>
          <w:color w:val="auto"/>
        </w:rPr>
      </w:pPr>
      <w:r>
        <w:rPr>
          <w:rFonts w:ascii="Courier New" w:cs="Courier New" w:eastAsia="Courier New" w:hAnsi="Courier New"/>
          <w:sz w:val="14"/>
          <w:szCs w:val="14"/>
          <w:color w:val="auto"/>
        </w:rPr>
        <w:t>There were strong performances in all consumer products. The new lawn and garden tractor lines were well accepted and all snow products sold out. Lawn-Boy-Registration Mark walk power mowers were successful because of new product offerings and lower retail price points. Increased sales of electric appliance products including blowers, trimmers, and low-voltage lighting were primarily the result of product improvements and retail pricing strategies.</w:t>
      </w:r>
    </w:p>
    <w:p>
      <w:pPr>
        <w:spacing w:after="0" w:line="158"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COMMERCIAL</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Worldwide commercial product sales increased $18.7 million over the prior year. Domestic sales rose 11.8%, while international sales declined 1.5%. The domestic increase was attributed to strong golf and commercial turf markets. The improved economy had a positive impact on municipalities and other tax-supported customers as these entities continued to purchase more efficient, labor-saving equipment. Golf sales continued to be strong because of new course openings as well as existing courses updating their maintenance equipment. ProLine sales strengthened compared with the prior year as a result of the improved economy combined with increased market share. Sluggish economies in Europe and Japan had a slightly negative impact on international sales.</w:t>
      </w:r>
    </w:p>
    <w:p>
      <w:pPr>
        <w:spacing w:after="0" w:line="1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IRRIGATION</w:t>
      </w:r>
    </w:p>
    <w:p>
      <w:pPr>
        <w:spacing w:after="0" w:line="175" w:lineRule="exact"/>
        <w:rPr>
          <w:sz w:val="20"/>
          <w:szCs w:val="20"/>
          <w:color w:val="auto"/>
        </w:rPr>
      </w:pPr>
    </w:p>
    <w:p>
      <w:pPr>
        <w:ind w:left="10" w:right="3799"/>
        <w:spacing w:after="0" w:line="237" w:lineRule="auto"/>
        <w:rPr>
          <w:sz w:val="20"/>
          <w:szCs w:val="20"/>
          <w:color w:val="auto"/>
        </w:rPr>
      </w:pPr>
      <w:r>
        <w:rPr>
          <w:rFonts w:ascii="Courier New" w:cs="Courier New" w:eastAsia="Courier New" w:hAnsi="Courier New"/>
          <w:sz w:val="15"/>
          <w:szCs w:val="15"/>
          <w:color w:val="auto"/>
        </w:rPr>
        <w:t>Worldwide irrigation product sales rose 3.1% to $115.3 million in 1994. Domestic irrigation sales increased $3.6 million over 1993 while international irrigation sales decreased $0.1 million. During 1994, the company reorganized irrigation distribution to better respond to customer needs.</w:t>
      </w:r>
    </w:p>
    <w:p>
      <w:pPr>
        <w:spacing w:after="0" w:line="17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INTERNATIONAL MARKETS</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International sales are included in the preceding net sales table. International sales increased 0.5% to $130.1 million in 1994. The majority of the international sales increase was because of the change from a two-step distribution system to a direct distribution system in Canada which resulted in volume increases. Increases in the Pacific Rim were related to the expansion of the golf market. These increases were offset by a decline in European sales because of the weak economy.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COST TRENDS AND PROFIT MARGINS</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Margins (Percent of net sales)</w:t>
      </w:r>
    </w:p>
    <w:tbl>
      <w:tblPr>
        <w:tblLayout w:type="fixed"/>
        <w:tblInd w:w="10" w:type="dxa"/>
        <w:tblCellMar>
          <w:top w:w="0" w:type="dxa"/>
          <w:left w:w="0" w:type="dxa"/>
          <w:bottom w:w="0" w:type="dxa"/>
          <w:right w:w="0" w:type="dxa"/>
        </w:tblCellMar>
      </w:tblP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35.9%</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36.2%</w:t>
            </w:r>
          </w:p>
        </w:tc>
        <w:tc>
          <w:tcPr>
            <w:tcW w:w="23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34.9%</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Operating profit</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w:t>
            </w:r>
          </w:p>
        </w:tc>
        <w:tc>
          <w:tcPr>
            <w:tcW w:w="230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5.2</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Pretax earnings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c>
          <w:tcPr>
            <w:tcW w:w="230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3.1</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w:t>
            </w:r>
          </w:p>
        </w:tc>
        <w:tc>
          <w:tcPr>
            <w:tcW w:w="230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1.9</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Gross profit of $334.6 million increased 16.4% over the $287.5 million in 1994. As a percent of net sales, gross profit decreased slightly to 35.9% for 1995 compared with 36.2% in 1994. The percentage decrease resulted from the mix of product sales and increased costs of raw materials. Gross profit increased $47.1 million to $334.6 million. This was the result of the increased sales volume which was offset by the items mentioned above.</w:t>
      </w:r>
    </w:p>
    <w:p>
      <w:pPr>
        <w:spacing w:after="0" w:line="176" w:lineRule="exact"/>
        <w:rPr>
          <w:sz w:val="20"/>
          <w:szCs w:val="20"/>
          <w:color w:val="auto"/>
        </w:rPr>
      </w:pPr>
    </w:p>
    <w:p>
      <w:pPr>
        <w:ind w:left="10" w:right="3439" w:firstLine="264"/>
        <w:spacing w:after="0" w:line="235" w:lineRule="auto"/>
        <w:rPr>
          <w:sz w:val="20"/>
          <w:szCs w:val="20"/>
          <w:color w:val="auto"/>
        </w:rPr>
      </w:pPr>
      <w:r>
        <w:rPr>
          <w:rFonts w:ascii="Courier New" w:cs="Courier New" w:eastAsia="Courier New" w:hAnsi="Courier New"/>
          <w:sz w:val="15"/>
          <w:szCs w:val="15"/>
          <w:color w:val="auto"/>
        </w:rPr>
        <w:t>Operating profit has improved from the prior year by $22.2 million because of improved operating leverage as a result of increased sales.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Gross profit for 1994 increased 20.4% to $287.5 million over the 1993 amount of $238.8 million because of a combination of increased sales, improved plant utilization, and improved inventory controls.</w:t>
      </w:r>
    </w:p>
    <w:p>
      <w:pPr>
        <w:sectPr>
          <w:pgSz w:w="11900" w:h="16838" w:orient="portrait"/>
          <w:cols w:equalWidth="0" w:num="1">
            <w:col w:w="10229"/>
          </w:cols>
          <w:pgMar w:left="230" w:top="622" w:right="1440" w:bottom="0" w:gutter="0" w:footer="0" w:header="0"/>
        </w:sectPr>
      </w:pPr>
    </w:p>
    <w:bookmarkStart w:id="57" w:name="page58"/>
    <w:bookmarkEnd w:id="57"/>
    <w:p>
      <w:pPr>
        <w:ind w:left="2060"/>
        <w:spacing w:after="0"/>
        <w:tabs>
          <w:tab w:leader="none" w:pos="3620" w:val="left"/>
          <w:tab w:leader="none" w:pos="5380" w:val="left"/>
        </w:tabs>
        <w:rPr>
          <w:sz w:val="20"/>
          <w:szCs w:val="20"/>
          <w:color w:val="auto"/>
        </w:rPr>
      </w:pPr>
      <w:r>
        <w:rPr>
          <w:rFonts w:ascii="Courier New" w:cs="Courier New" w:eastAsia="Courier New" w:hAnsi="Courier New"/>
          <w:sz w:val="15"/>
          <w:szCs w:val="15"/>
          <w:color w:val="auto"/>
        </w:rPr>
        <w:t>The Toro Company</w:t>
        <w:tab/>
        <w:t>1995 Annual Report</w:t>
        <w:tab/>
        <w:t>15</w:t>
      </w:r>
    </w:p>
    <w:p>
      <w:pPr>
        <w:sectPr>
          <w:pgSz w:w="11900" w:h="16838" w:orient="portrait"/>
          <w:cols w:equalWidth="0" w:num="1">
            <w:col w:w="9019"/>
          </w:cols>
          <w:pgMar w:left="1440" w:top="305" w:right="1440" w:bottom="1440" w:gutter="0" w:footer="0" w:header="0"/>
        </w:sectPr>
      </w:pPr>
    </w:p>
    <w:bookmarkStart w:id="58" w:name="page59"/>
    <w:bookmarkEnd w:id="58"/>
    <w:p>
      <w:pPr>
        <w:ind w:left="10"/>
        <w:spacing w:after="0"/>
        <w:rPr>
          <w:sz w:val="20"/>
          <w:szCs w:val="20"/>
          <w:color w:val="auto"/>
        </w:rPr>
      </w:pPr>
      <w:r>
        <w:rPr>
          <w:rFonts w:ascii="Courier New" w:cs="Courier New" w:eastAsia="Courier New" w:hAnsi="Courier New"/>
          <w:sz w:val="15"/>
          <w:szCs w:val="15"/>
          <w:color w:val="auto"/>
        </w:rPr>
        <w:t>SELLING, GENERAL AND ADMINISTRATIVE EXPENSE (SG&amp;A)</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SG&amp;A Expense</w:t>
            </w:r>
          </w:p>
        </w:tc>
        <w:tc>
          <w:tcPr>
            <w:tcW w:w="10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OF</w:t>
            </w:r>
          </w:p>
        </w:tc>
        <w:tc>
          <w:tcPr>
            <w:tcW w:w="8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of</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of</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(Dollars in</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millions)</w:t>
            </w:r>
          </w:p>
        </w:tc>
        <w:tc>
          <w:tcPr>
            <w:tcW w:w="10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w:t>
            </w:r>
          </w:p>
        </w:tc>
        <w:tc>
          <w:tcPr>
            <w:tcW w:w="8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Net</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Years ended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July 31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SALES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Sales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Sales</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$ 89.5</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$ 80.3</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$ 73.0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106.6</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96.1</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Warranty</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Distributor/dealer financing</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$244.9</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bl>
    <w:p>
      <w:pPr>
        <w:spacing w:after="0" w:line="5" w:lineRule="exact"/>
        <w:rPr>
          <w:sz w:val="20"/>
          <w:szCs w:val="20"/>
          <w:color w:val="auto"/>
        </w:rPr>
      </w:pPr>
    </w:p>
    <w:p>
      <w:pPr>
        <w:ind w:left="170" w:hanging="170"/>
        <w:spacing w:after="0"/>
        <w:tabs>
          <w:tab w:leader="none" w:pos="17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SG&amp;A expense was up $24.9 million from 1994 and was 28.9% of net sales in 1995 compared with 30.8% in 1994. The decline as a percent of sales was the result of improved leverage and solid expense control.</w:t>
      </w:r>
    </w:p>
    <w:p>
      <w:pPr>
        <w:spacing w:after="0" w:line="175" w:lineRule="exact"/>
        <w:rPr>
          <w:sz w:val="20"/>
          <w:szCs w:val="20"/>
          <w:color w:val="auto"/>
        </w:rPr>
      </w:pPr>
    </w:p>
    <w:p>
      <w:pPr>
        <w:ind w:left="10" w:right="3439" w:firstLine="264"/>
        <w:spacing w:after="0" w:line="238" w:lineRule="auto"/>
        <w:rPr>
          <w:sz w:val="20"/>
          <w:szCs w:val="20"/>
          <w:color w:val="auto"/>
        </w:rPr>
      </w:pPr>
      <w:r>
        <w:rPr>
          <w:rFonts w:ascii="Courier New" w:cs="Courier New" w:eastAsia="Courier New" w:hAnsi="Courier New"/>
          <w:sz w:val="15"/>
          <w:szCs w:val="15"/>
          <w:color w:val="auto"/>
        </w:rPr>
        <w:t>The increase in administrative expense of $9.2 million occurred principally as a result of a company-wide initiative to replace existing information systems, increased payouts in various employee incentive and profit sharing plans, the addition of a joint venture with a distributor, the addition of dealer direct financing through Toro Credit Company, and distribution support.</w:t>
      </w:r>
    </w:p>
    <w:p>
      <w:pPr>
        <w:spacing w:after="0" w:line="176"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Sales and marketing expense was up $10.5 million from the prior year. As a percent of net sales, sales and marketing was 11.4%, a decrease from 12.1% in 1994. The dollar increase reflected the company's increased sales volume as well as an increase in brand advertising.</w:t>
      </w:r>
    </w:p>
    <w:p>
      <w:pPr>
        <w:spacing w:after="0" w:line="176" w:lineRule="exact"/>
        <w:rPr>
          <w:sz w:val="20"/>
          <w:szCs w:val="20"/>
          <w:color w:val="auto"/>
        </w:rPr>
      </w:pPr>
    </w:p>
    <w:p>
      <w:pPr>
        <w:ind w:left="10" w:right="3359" w:firstLine="264"/>
        <w:spacing w:after="0" w:line="260" w:lineRule="auto"/>
        <w:rPr>
          <w:sz w:val="20"/>
          <w:szCs w:val="20"/>
          <w:color w:val="auto"/>
        </w:rPr>
      </w:pPr>
      <w:r>
        <w:rPr>
          <w:rFonts w:ascii="Courier New" w:cs="Courier New" w:eastAsia="Courier New" w:hAnsi="Courier New"/>
          <w:sz w:val="14"/>
          <w:szCs w:val="14"/>
          <w:color w:val="auto"/>
        </w:rPr>
        <w:t>Warranty expense increased by $2.0 million and as a percent of net sales was 3.3% in 1995 compared with 3.7% in 1994. The $2.0 million increase was primarily the result of increased sales volume, and new product introductions.</w:t>
      </w:r>
    </w:p>
    <w:p>
      <w:pPr>
        <w:spacing w:after="0" w:line="163" w:lineRule="exact"/>
        <w:rPr>
          <w:sz w:val="20"/>
          <w:szCs w:val="20"/>
          <w:color w:val="auto"/>
        </w:rPr>
      </w:pPr>
    </w:p>
    <w:p>
      <w:pPr>
        <w:ind w:left="10" w:right="3439" w:firstLine="264"/>
        <w:spacing w:after="0" w:line="256" w:lineRule="auto"/>
        <w:rPr>
          <w:sz w:val="20"/>
          <w:szCs w:val="20"/>
          <w:color w:val="auto"/>
        </w:rPr>
      </w:pPr>
      <w:r>
        <w:rPr>
          <w:rFonts w:ascii="Courier New" w:cs="Courier New" w:eastAsia="Courier New" w:hAnsi="Courier New"/>
          <w:sz w:val="14"/>
          <w:szCs w:val="14"/>
          <w:color w:val="auto"/>
        </w:rPr>
        <w:t>Distributor/dealer financing expense represents the cost incurred by the company to contract with a third party financing source to finance dealer inventory purchases. The $9.7 million charge reflected in SG&amp;A represents credit facility origination costs and interest charges for a pre-established length of time. Interest is charged at market rates based on prime plus a negotiated mark-up. These financing arrangements are used by the company as a marketing tool to enable customers to buy inventory. This expense increased $1.1 million in 1995 because of the increased sales volume and was offset partially by the reduction of third party financing expense which was taken</w:t>
      </w:r>
    </w:p>
    <w:p>
      <w:pPr>
        <w:ind w:left="10"/>
        <w:spacing w:after="0" w:line="236" w:lineRule="auto"/>
        <w:rPr>
          <w:sz w:val="20"/>
          <w:szCs w:val="20"/>
          <w:color w:val="auto"/>
        </w:rPr>
      </w:pPr>
      <w:r>
        <w:rPr>
          <w:rFonts w:ascii="Courier New" w:cs="Courier New" w:eastAsia="Courier New" w:hAnsi="Courier New"/>
          <w:sz w:val="15"/>
          <w:szCs w:val="15"/>
          <w:color w:val="auto"/>
        </w:rPr>
        <w:t>on through the addition of dealer direct financing through Toro Credit Company.</w:t>
      </w:r>
    </w:p>
    <w:p>
      <w:pPr>
        <w:spacing w:after="0" w:line="175" w:lineRule="exact"/>
        <w:rPr>
          <w:sz w:val="20"/>
          <w:szCs w:val="20"/>
          <w:color w:val="auto"/>
        </w:rPr>
      </w:pPr>
    </w:p>
    <w:p>
      <w:pPr>
        <w:ind w:left="10" w:right="3879" w:firstLine="264"/>
        <w:spacing w:after="0" w:line="235" w:lineRule="auto"/>
        <w:rPr>
          <w:sz w:val="20"/>
          <w:szCs w:val="20"/>
          <w:color w:val="auto"/>
        </w:rPr>
      </w:pPr>
      <w:r>
        <w:rPr>
          <w:rFonts w:ascii="Courier New" w:cs="Courier New" w:eastAsia="Courier New" w:hAnsi="Courier New"/>
          <w:sz w:val="15"/>
          <w:szCs w:val="15"/>
          <w:color w:val="auto"/>
        </w:rPr>
        <w:t>Research and development expense was up $2.1 million primarily as the result of continued investment in product innovation.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5"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SG&amp;A expense was up $41.5 million from 1993 and as a percent of sales, SG&amp;A expense was 30.8% for 1994 compared with 29.7% for 1993.</w:t>
      </w:r>
    </w:p>
    <w:p>
      <w:pPr>
        <w:spacing w:after="0" w:line="176" w:lineRule="exact"/>
        <w:rPr>
          <w:sz w:val="20"/>
          <w:szCs w:val="20"/>
          <w:color w:val="auto"/>
        </w:rPr>
      </w:pPr>
    </w:p>
    <w:p>
      <w:pPr>
        <w:ind w:left="10" w:right="3699" w:firstLine="264"/>
        <w:spacing w:after="0" w:line="257" w:lineRule="auto"/>
        <w:rPr>
          <w:sz w:val="20"/>
          <w:szCs w:val="20"/>
          <w:color w:val="auto"/>
        </w:rPr>
      </w:pPr>
      <w:r>
        <w:rPr>
          <w:rFonts w:ascii="Courier New" w:cs="Courier New" w:eastAsia="Courier New" w:hAnsi="Courier New"/>
          <w:sz w:val="14"/>
          <w:szCs w:val="14"/>
          <w:color w:val="auto"/>
        </w:rPr>
        <w:t>The increase in administrative expense of $7.3 million consisted of the start up cost of the company's recycling equipment product area, increased investment in information systems technology, the cost associated with the realignment of the irrigation manufacturing operations in Riverside, California, and distributor marketing support for the company's product lines. These increases were offset by a reduction in employee performance based incentives, product liability, and group health insurance costs.</w:t>
      </w:r>
    </w:p>
    <w:p>
      <w:pPr>
        <w:spacing w:after="0" w:line="167"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Sales and marketing expense was up $24.9 million from the prior year. As a percent of net sales, sales and marketing expense was 12.1%, up from 10.4% in 1993. This increase reflected the company's increased sales volume, additional marketing personnel, and an increase in brand advertising and market research.</w:t>
      </w:r>
    </w:p>
    <w:p>
      <w:pPr>
        <w:spacing w:after="0" w:line="178" w:lineRule="exact"/>
        <w:rPr>
          <w:sz w:val="20"/>
          <w:szCs w:val="20"/>
          <w:color w:val="auto"/>
        </w:rPr>
      </w:pPr>
    </w:p>
    <w:p>
      <w:pPr>
        <w:ind w:left="10" w:right="3439" w:firstLine="264"/>
        <w:spacing w:after="0" w:line="259" w:lineRule="auto"/>
        <w:rPr>
          <w:sz w:val="20"/>
          <w:szCs w:val="20"/>
          <w:color w:val="auto"/>
        </w:rPr>
      </w:pPr>
      <w:r>
        <w:rPr>
          <w:rFonts w:ascii="Courier New" w:cs="Courier New" w:eastAsia="Courier New" w:hAnsi="Courier New"/>
          <w:sz w:val="14"/>
          <w:szCs w:val="14"/>
          <w:color w:val="auto"/>
        </w:rPr>
        <w:t>Warranty expense increased by $2.7 million and as a percent of sales was 3.7% as compared with 3.8% in 1993. The $2.7 million increase related to increased sales volume and charges for a lawn tractor component modification, a walk power mower gas tank issue, and a walk power mower brake issue.</w:t>
      </w:r>
    </w:p>
    <w:p>
      <w:pPr>
        <w:spacing w:after="0" w:line="163"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Distributor/dealer financing expense represents the cost incurred by the company to share the costs of financing dealer and distributor inventory. This expense was up $1.0 million in 1994 because of the sales increase, which was offset partially by lower field inventory levels held by dealers.</w:t>
      </w:r>
    </w:p>
    <w:p>
      <w:pPr>
        <w:spacing w:after="0" w:line="176" w:lineRule="exact"/>
        <w:rPr>
          <w:sz w:val="20"/>
          <w:szCs w:val="20"/>
          <w:color w:val="auto"/>
        </w:rPr>
      </w:pPr>
    </w:p>
    <w:p>
      <w:pPr>
        <w:jc w:val="both"/>
        <w:ind w:left="10" w:right="3619" w:firstLine="264"/>
        <w:spacing w:after="0" w:line="237" w:lineRule="auto"/>
        <w:rPr>
          <w:sz w:val="20"/>
          <w:szCs w:val="20"/>
          <w:color w:val="auto"/>
        </w:rPr>
      </w:pPr>
      <w:r>
        <w:rPr>
          <w:rFonts w:ascii="Courier New" w:cs="Courier New" w:eastAsia="Courier New" w:hAnsi="Courier New"/>
          <w:sz w:val="15"/>
          <w:szCs w:val="15"/>
          <w:color w:val="auto"/>
        </w:rPr>
        <w:t>Research and development expense was up $5.6 million from 1993 primarily because of the addition of personnel to support new product development and enhancements to existing products.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INTEREST EXPENSE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1995 COMPARED WITH FISCAL 1994</w:t>
      </w:r>
    </w:p>
    <w:p>
      <w:pPr>
        <w:sectPr>
          <w:pgSz w:w="11900" w:h="16838" w:orient="portrait"/>
          <w:cols w:equalWidth="0" w:num="1">
            <w:col w:w="10229"/>
          </w:cols>
          <w:pgMar w:left="230" w:top="622" w:right="1440" w:bottom="0" w:gutter="0" w:footer="0" w:header="0"/>
        </w:sectPr>
      </w:pPr>
    </w:p>
    <w:bookmarkStart w:id="59" w:name="page60"/>
    <w:bookmarkEnd w:id="59"/>
    <w:p>
      <w:pPr>
        <w:ind w:right="3259"/>
        <w:spacing w:after="0" w:line="237" w:lineRule="auto"/>
        <w:rPr>
          <w:sz w:val="20"/>
          <w:szCs w:val="20"/>
          <w:color w:val="auto"/>
        </w:rPr>
      </w:pPr>
      <w:r>
        <w:rPr>
          <w:rFonts w:ascii="Courier New" w:cs="Courier New" w:eastAsia="Courier New" w:hAnsi="Courier New"/>
          <w:sz w:val="15"/>
          <w:szCs w:val="15"/>
          <w:color w:val="auto"/>
        </w:rPr>
        <w:t>Interest expense for 1995 decreased to $11.9 million from the $13.6 million reported in 1994 as the result of the company's continued reduction in long-term debt and utilization of short-term borrowing at lower interest rates.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Interest expense for 1994 was down $3.6 million from the $17.2 million reported for 1993. This decline was primarily the result of calling $24.9 million of outstanding debt in July 1993 and a lower interest rate on short-term borrowing.</w:t>
      </w:r>
    </w:p>
    <w:p>
      <w:pPr>
        <w:spacing w:after="0" w:line="171" w:lineRule="exact"/>
        <w:rPr>
          <w:sz w:val="20"/>
          <w:szCs w:val="20"/>
          <w:color w:val="auto"/>
        </w:rPr>
      </w:pPr>
    </w:p>
    <w:p>
      <w:pPr>
        <w:spacing w:after="0"/>
        <w:tabs>
          <w:tab w:leader="none" w:pos="320" w:val="left"/>
          <w:tab w:leader="none" w:pos="1900" w:val="left"/>
        </w:tabs>
        <w:rPr>
          <w:sz w:val="20"/>
          <w:szCs w:val="20"/>
          <w:color w:val="auto"/>
        </w:rPr>
      </w:pPr>
      <w:r>
        <w:rPr>
          <w:rFonts w:ascii="Courier New" w:cs="Courier New" w:eastAsia="Courier New" w:hAnsi="Courier New"/>
          <w:sz w:val="15"/>
          <w:szCs w:val="15"/>
          <w:color w:val="auto"/>
        </w:rPr>
        <w:t>16</w:t>
        <w:tab/>
        <w:t>The Toro Company</w:t>
      </w:r>
      <w:r>
        <w:rPr>
          <w:sz w:val="20"/>
          <w:szCs w:val="20"/>
          <w:color w:val="auto"/>
        </w:rPr>
        <w:tab/>
      </w:r>
      <w:r>
        <w:rPr>
          <w:rFonts w:ascii="Courier New" w:cs="Courier New" w:eastAsia="Courier New" w:hAnsi="Courier New"/>
          <w:sz w:val="14"/>
          <w:szCs w:val="14"/>
          <w:color w:val="auto"/>
        </w:rPr>
        <w:t>1995 Annual Report</w:t>
      </w:r>
    </w:p>
    <w:p>
      <w:pPr>
        <w:sectPr>
          <w:pgSz w:w="11900" w:h="16838" w:orient="portrait"/>
          <w:cols w:equalWidth="0" w:num="1">
            <w:col w:w="10219"/>
          </w:cols>
          <w:pgMar w:left="240" w:top="311" w:right="1440" w:bottom="1440" w:gutter="0" w:footer="0" w:header="0"/>
        </w:sectPr>
      </w:pPr>
    </w:p>
    <w:bookmarkStart w:id="60" w:name="page61"/>
    <w:bookmarkEnd w:id="60"/>
    <w:p>
      <w:pPr>
        <w:ind w:left="10"/>
        <w:spacing w:after="0"/>
        <w:rPr>
          <w:sz w:val="20"/>
          <w:szCs w:val="20"/>
          <w:color w:val="auto"/>
        </w:rPr>
      </w:pPr>
      <w:r>
        <w:rPr>
          <w:rFonts w:ascii="Courier New" w:cs="Courier New" w:eastAsia="Courier New" w:hAnsi="Courier New"/>
          <w:sz w:val="15"/>
          <w:szCs w:val="15"/>
          <w:color w:val="auto"/>
        </w:rPr>
        <w:t>OTHER INCOME, NET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5"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Other income, net was $0.2 million greater than the $8.0 million reported in 1994. Excluding the effect of two lawsuit settlements and the sale of the portable heater business in the prior year, other income increased because of gains on fixed asset disposals versus losses in the prior year, favorable foreign currency activity, and income resulting from joint venture activity.</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Other income, net was $4.9 million greater than the $3.1 million reported in 1993. This increase was principally the result of the settlement of a patent infringement lawsuit and a lawsuit relating to the purchase of Lawn-Boy, Inc. The majority of the other income, net was finance revenue from dealers and distributors of $4.2 million which was earned by the Toro Credit Company (TCC), a consolidated finance subsidiary of The Toro Company (see footnote 13 regarding TCC).</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PROVISION FOR TAXES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The effective tax rate remained at 40% of pretax earnings in 1995. In accordance with Financial Accounting Standards No. 109, the company has determined that it is not necessary to establish a valuation reserve for the deferred income tax benefit because it is more likely than not that the net deferred income tax benefit of $30.9 million will be principally realized through carry back to taxable income in prior years, and future reversals of existing taxable temporary differences, and, to a lesser extent, future taxable income.</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5" w:lineRule="exact"/>
        <w:rPr>
          <w:sz w:val="20"/>
          <w:szCs w:val="20"/>
          <w:color w:val="auto"/>
        </w:rPr>
      </w:pPr>
    </w:p>
    <w:p>
      <w:pPr>
        <w:ind w:left="10" w:right="3539"/>
        <w:spacing w:after="0" w:line="256" w:lineRule="auto"/>
        <w:rPr>
          <w:sz w:val="20"/>
          <w:szCs w:val="20"/>
          <w:color w:val="auto"/>
        </w:rPr>
      </w:pPr>
      <w:r>
        <w:rPr>
          <w:rFonts w:ascii="Courier New" w:cs="Courier New" w:eastAsia="Courier New" w:hAnsi="Courier New"/>
          <w:sz w:val="14"/>
          <w:szCs w:val="14"/>
          <w:color w:val="auto"/>
        </w:rPr>
        <w:t>The effective tax rate increased to 40.0% of pretax earnings in 1994 from 38.9% of pretax earnings in 1993. The increase was the result of an increase in the effective tax rate on reversing timing differences and the effect of state income taxes. Effective August 1, 1992, the company adopted Financial Accounting Standards No.109 and has reflected a deferred tax asset/liability on the accompanying balance sheets. The net deferred tax asset was $26.0 million which was principally the result of timing differences on warranty reserves, the provision for bad debts and distributor reserves (see footnote</w:t>
      </w:r>
    </w:p>
    <w:p>
      <w:pPr>
        <w:spacing w:after="0" w:line="3" w:lineRule="exact"/>
        <w:rPr>
          <w:sz w:val="20"/>
          <w:szCs w:val="20"/>
          <w:color w:val="auto"/>
        </w:rPr>
      </w:pPr>
    </w:p>
    <w:p>
      <w:pPr>
        <w:ind w:left="10" w:right="3539" w:hanging="10"/>
        <w:spacing w:after="0" w:line="235" w:lineRule="auto"/>
        <w:tabs>
          <w:tab w:leader="none" w:pos="27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for financial statement purposes which are not deductible for tax purposes.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 EARNINGS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5" w:lineRule="exact"/>
        <w:rPr>
          <w:sz w:val="20"/>
          <w:szCs w:val="20"/>
          <w:color w:val="auto"/>
        </w:rPr>
      </w:pPr>
    </w:p>
    <w:p>
      <w:pPr>
        <w:ind w:left="10" w:right="3539"/>
        <w:spacing w:after="0" w:line="259" w:lineRule="auto"/>
        <w:rPr>
          <w:sz w:val="20"/>
          <w:szCs w:val="20"/>
          <w:color w:val="auto"/>
        </w:rPr>
      </w:pPr>
      <w:r>
        <w:rPr>
          <w:rFonts w:ascii="Courier New" w:cs="Courier New" w:eastAsia="Courier New" w:hAnsi="Courier New"/>
          <w:sz w:val="14"/>
          <w:szCs w:val="14"/>
          <w:color w:val="auto"/>
        </w:rPr>
        <w:t>Net earnings for 1995 was $36.7 million or $2.81 per share, as compared with net earnings of $22.2 million or $1.71 per share in 1994. The increase in earnings was primarily the result of increased sales, improved operating leverage, and cost control measures such as lower borrowing costs.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Net earnings for 1994 was $22.2 million or $1.71 per share, as compared with net earnings of $13.0 million or $1.05 per share in 1993. The improved earnings was principally the result of increased sales and improved gross margin which were partially offset by investments in new products, manufacturing, and distri-bution enhancements.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The company continued to strengthen its balance sheet in 1995 by focusing on cash management strategies such as the continued reduction of long-term debt and the utilization of short-term borrowing instruments that offer lower interest rates.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FLOW</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PROVIDED BY OPERATING ACTIVITIES:</w:t>
      </w:r>
    </w:p>
    <w:p>
      <w:pPr>
        <w:spacing w:after="0" w:line="17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The majority of cash provided by operating activities was the result of changes in accounts payable and accrued expenses and increased accounts receivable attributed to sales growth and the initiation of dealer direct financing through Toro Credit Company. This was partially offset by a slower rate of inventory growth and the increase in earnings.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USED IN INVESTING ACTIVITIES:</w:t>
      </w:r>
    </w:p>
    <w:p>
      <w:pPr>
        <w:spacing w:after="0" w:line="175" w:lineRule="exact"/>
        <w:rPr>
          <w:sz w:val="20"/>
          <w:szCs w:val="20"/>
          <w:color w:val="auto"/>
        </w:rPr>
      </w:pPr>
    </w:p>
    <w:p>
      <w:pPr>
        <w:ind w:left="10" w:right="3799"/>
        <w:spacing w:after="0" w:line="238" w:lineRule="auto"/>
        <w:rPr>
          <w:sz w:val="20"/>
          <w:szCs w:val="20"/>
          <w:color w:val="auto"/>
        </w:rPr>
      </w:pPr>
      <w:r>
        <w:rPr>
          <w:rFonts w:ascii="Courier New" w:cs="Courier New" w:eastAsia="Courier New" w:hAnsi="Courier New"/>
          <w:sz w:val="15"/>
          <w:szCs w:val="15"/>
          <w:color w:val="auto"/>
        </w:rPr>
        <w:t>Purchases of property plant and equipment reflect the initial purchase of tooling components used to manufacture new products, an addition to the Windom, Minnesota manufacturing plant, costs to re-open the Sardis, Mississippi manufacturing plant, the acquisition of a majority-owned subsidiary, and a variety of expenditures to improve and modernize the manufacturing plants.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USED IN FINANCING ACTIVITIES:</w:t>
      </w:r>
    </w:p>
    <w:p>
      <w:pPr>
        <w:spacing w:after="0" w:line="175" w:lineRule="exact"/>
        <w:rPr>
          <w:sz w:val="20"/>
          <w:szCs w:val="20"/>
          <w:color w:val="auto"/>
        </w:rPr>
      </w:pPr>
    </w:p>
    <w:p>
      <w:pPr>
        <w:ind w:left="10" w:right="3539"/>
        <w:spacing w:after="0" w:line="260" w:lineRule="auto"/>
        <w:rPr>
          <w:sz w:val="20"/>
          <w:szCs w:val="20"/>
          <w:color w:val="auto"/>
        </w:rPr>
      </w:pPr>
      <w:r>
        <w:rPr>
          <w:rFonts w:ascii="Courier New" w:cs="Courier New" w:eastAsia="Courier New" w:hAnsi="Courier New"/>
          <w:sz w:val="14"/>
          <w:szCs w:val="14"/>
          <w:color w:val="auto"/>
        </w:rPr>
        <w:t>The majority of the cash used in financing activities was used for the purchase of the company's stock and repayment of long-term debt. The company purchased the stock to take advantage of market conditions and will utilize</w:t>
      </w:r>
    </w:p>
    <w:p>
      <w:pPr>
        <w:sectPr>
          <w:pgSz w:w="11900" w:h="16838" w:orient="portrait"/>
          <w:cols w:equalWidth="0" w:num="1">
            <w:col w:w="10229"/>
          </w:cols>
          <w:pgMar w:left="230" w:top="622" w:right="1440" w:bottom="0" w:gutter="0" w:footer="0" w:header="0"/>
        </w:sectPr>
      </w:pPr>
    </w:p>
    <w:bookmarkStart w:id="61" w:name="page62"/>
    <w:bookmarkEnd w:id="61"/>
    <w:p>
      <w:pPr>
        <w:ind w:right="3699"/>
        <w:spacing w:after="0" w:line="237" w:lineRule="auto"/>
        <w:rPr>
          <w:sz w:val="20"/>
          <w:szCs w:val="20"/>
          <w:color w:val="auto"/>
        </w:rPr>
      </w:pPr>
      <w:r>
        <w:rPr>
          <w:rFonts w:ascii="Courier New" w:cs="Courier New" w:eastAsia="Courier New" w:hAnsi="Courier New"/>
          <w:sz w:val="15"/>
          <w:szCs w:val="15"/>
          <w:color w:val="auto"/>
        </w:rPr>
        <w:t>the shares in the future for employee incentive and option plans. The significant cash source was the increase in short-term borrowing which was used for the items described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Total assets as of July 31, 1995, were $468.3 million, up $24.7 million from 1994. The majority of the increase was from accounts receivable because of the increase in sales and the addition of dealer direct financing as well as an increase in property, plant and equipment. These increases were offset by a decrease in cash and cash equivalents because of the repayment of $20.3 million in long-term debt and continued effective cash management.</w:t>
      </w:r>
    </w:p>
    <w:p>
      <w:pPr>
        <w:spacing w:after="0" w:line="158" w:lineRule="exact"/>
        <w:rPr>
          <w:sz w:val="20"/>
          <w:szCs w:val="20"/>
          <w:color w:val="auto"/>
        </w:rPr>
      </w:pPr>
    </w:p>
    <w:p>
      <w:pPr>
        <w:ind w:left="2820"/>
        <w:spacing w:after="0"/>
        <w:tabs>
          <w:tab w:leader="none" w:pos="4380" w:val="left"/>
          <w:tab w:leader="none" w:pos="6140" w:val="left"/>
        </w:tabs>
        <w:rPr>
          <w:sz w:val="20"/>
          <w:szCs w:val="20"/>
          <w:color w:val="auto"/>
        </w:rPr>
      </w:pPr>
      <w:r>
        <w:rPr>
          <w:rFonts w:ascii="Courier New" w:cs="Courier New" w:eastAsia="Courier New" w:hAnsi="Courier New"/>
          <w:sz w:val="15"/>
          <w:szCs w:val="15"/>
          <w:color w:val="auto"/>
        </w:rPr>
        <w:t>The Toro Company</w:t>
        <w:tab/>
        <w:t>1995 Annual Report</w:t>
        <w:tab/>
        <w:t>17</w:t>
      </w:r>
    </w:p>
    <w:p>
      <w:pPr>
        <w:sectPr>
          <w:pgSz w:w="11900" w:h="16838" w:orient="portrait"/>
          <w:cols w:equalWidth="0" w:num="1">
            <w:col w:w="10219"/>
          </w:cols>
          <w:pgMar w:left="240" w:top="141" w:right="1440" w:bottom="1440" w:gutter="0" w:footer="0" w:header="0"/>
        </w:sectPr>
      </w:pPr>
    </w:p>
    <w:bookmarkStart w:id="62" w:name="page63"/>
    <w:bookmarkEnd w:id="62"/>
    <w:p>
      <w:pPr>
        <w:ind w:left="10"/>
        <w:spacing w:after="0"/>
        <w:rPr>
          <w:sz w:val="20"/>
          <w:szCs w:val="20"/>
          <w:color w:val="auto"/>
        </w:rPr>
      </w:pPr>
      <w:r>
        <w:rPr>
          <w:rFonts w:ascii="Courier New" w:cs="Courier New" w:eastAsia="Courier New" w:hAnsi="Courier New"/>
          <w:sz w:val="15"/>
          <w:szCs w:val="15"/>
          <w:color w:val="auto"/>
        </w:rPr>
        <w:t>WORKING CAPITAL</w:t>
      </w:r>
    </w:p>
    <w:p>
      <w:pPr>
        <w:spacing w:after="0" w:line="17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Working capital at July 31, 1995 was $169.0 million, a decrease of $6.8 million from the $175.8 million reported in 1994. The current ratio for 1995 was 1.8 compared with 1.9 in 1994. Working capital as a percent of net sales was 18.1% in 1995 versus 22.1% in 1994.</w:t>
      </w:r>
    </w:p>
    <w:p>
      <w:pPr>
        <w:spacing w:after="0" w:line="176"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The changes listed above result from current assets increasing $17.1 million while current liabilities increased $23.9 million. The majority of the increase in current liabilities was short-term borrowing of $22.5 million as the result of the company's acquisition of its common stock.</w:t>
      </w:r>
    </w:p>
    <w:p>
      <w:pPr>
        <w:spacing w:after="0" w:line="176"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The Company acquired $26.2 million in Toro stock in 1995 to take advantage of market conditions. The stock acquired will be used for a variety of company purposes.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CAPITAL STRUCTURE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debt includes:</w:t>
      </w:r>
    </w:p>
    <w:p>
      <w:pPr>
        <w:spacing w:after="0" w:line="5" w:lineRule="exact"/>
        <w:rPr>
          <w:sz w:val="20"/>
          <w:szCs w:val="20"/>
          <w:color w:val="auto"/>
        </w:rPr>
      </w:pPr>
    </w:p>
    <w:p>
      <w:pPr>
        <w:ind w:left="10" w:right="3179" w:hanging="10"/>
        <w:spacing w:after="0" w:line="235" w:lineRule="auto"/>
        <w:tabs>
          <w:tab w:leader="none" w:pos="1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$50.0 million of 11% sinking fund debentures, due August 2017 with sinking fund payments after 1998:</w:t>
      </w:r>
    </w:p>
    <w:p>
      <w:pPr>
        <w:spacing w:after="0" w:line="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$2.3 million of variable rate industrial revenue bonds, due annually August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1995 through August 2009:</w:t>
      </w:r>
    </w:p>
    <w:p>
      <w:pPr>
        <w:spacing w:after="0" w:line="4" w:lineRule="exact"/>
        <w:rPr>
          <w:rFonts w:ascii="Courier New" w:cs="Courier New" w:eastAsia="Courier New" w:hAnsi="Courier New"/>
          <w:sz w:val="15"/>
          <w:szCs w:val="15"/>
          <w:color w:val="auto"/>
        </w:rPr>
      </w:pPr>
    </w:p>
    <w:p>
      <w:pPr>
        <w:ind w:left="10" w:right="3179" w:hanging="10"/>
        <w:spacing w:after="0" w:line="235" w:lineRule="auto"/>
        <w:tabs>
          <w:tab w:leader="none" w:pos="1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$3.7 million variable rate industrial revenue bond, due annually June 1996 through June 2004:</w:t>
      </w:r>
    </w:p>
    <w:p>
      <w:pPr>
        <w:spacing w:after="0" w:line="6" w:lineRule="exact"/>
        <w:rPr>
          <w:rFonts w:ascii="Courier New" w:cs="Courier New" w:eastAsia="Courier New" w:hAnsi="Courier New"/>
          <w:sz w:val="15"/>
          <w:szCs w:val="15"/>
          <w:color w:val="auto"/>
        </w:rPr>
      </w:pPr>
    </w:p>
    <w:p>
      <w:pPr>
        <w:ind w:left="10" w:right="2819" w:hanging="10"/>
        <w:spacing w:after="0" w:line="235" w:lineRule="auto"/>
        <w:tabs>
          <w:tab w:leader="none" w:pos="1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$25.0 million of subordinated and senior notes, due August 1995 through August 1996 bearing interest rates of 7.38% to 9.57%.</w:t>
      </w:r>
    </w:p>
    <w:p>
      <w:pPr>
        <w:spacing w:after="0" w:line="176" w:lineRule="exact"/>
        <w:rPr>
          <w:sz w:val="20"/>
          <w:szCs w:val="20"/>
          <w:color w:val="auto"/>
        </w:rPr>
      </w:pPr>
    </w:p>
    <w:p>
      <w:pPr>
        <w:ind w:left="10" w:right="3539" w:firstLine="264"/>
        <w:spacing w:after="0" w:line="258" w:lineRule="auto"/>
        <w:rPr>
          <w:sz w:val="20"/>
          <w:szCs w:val="20"/>
          <w:color w:val="auto"/>
        </w:rPr>
      </w:pPr>
      <w:r>
        <w:rPr>
          <w:rFonts w:ascii="Courier New" w:cs="Courier New" w:eastAsia="Courier New" w:hAnsi="Courier New"/>
          <w:sz w:val="14"/>
          <w:szCs w:val="14"/>
          <w:color w:val="auto"/>
        </w:rPr>
        <w:t>Total long-term debt at July 31, 1995, was $81.0 million, down $20.3 million from $101.3 million at July 31, 1994. Of this balance $16.1 million is current. The amount of total long-term debt attributable to Toro Credit Company, the company's consolidated finance subsidiary, was $25.0 million at July 31, 1995, compared to $45.0 million at July 31, 1994.</w:t>
      </w:r>
    </w:p>
    <w:p>
      <w:pPr>
        <w:spacing w:after="0" w:line="32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EDGAR REPRESENTATION OF TOTAL DEBT GRAPH</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Millions</w:t>
      </w:r>
    </w:p>
    <w:p>
      <w:pPr>
        <w:ind w:left="170" w:hanging="170"/>
        <w:spacing w:after="0"/>
        <w:tabs>
          <w:tab w:leader="none" w:pos="1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$103.6</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138.0</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164.1</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155.3</w:t>
            </w:r>
          </w:p>
        </w:tc>
      </w:tr>
      <w:tr>
        <w:trPr>
          <w:trHeight w:val="170"/>
        </w:trPr>
        <w:tc>
          <w:tcPr>
            <w:tcW w:w="10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77"/>
              </w:rPr>
              <w:t>90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154.5</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344" w:lineRule="exact"/>
        <w:rPr>
          <w:sz w:val="20"/>
          <w:szCs w:val="20"/>
          <w:color w:val="auto"/>
        </w:rPr>
      </w:pPr>
    </w:p>
    <w:p>
      <w:pPr>
        <w:ind w:left="10" w:right="3619" w:firstLine="264"/>
        <w:spacing w:after="0" w:line="258" w:lineRule="auto"/>
        <w:rPr>
          <w:sz w:val="20"/>
          <w:szCs w:val="20"/>
          <w:color w:val="auto"/>
        </w:rPr>
      </w:pPr>
      <w:r>
        <w:rPr>
          <w:rFonts w:ascii="Courier New" w:cs="Courier New" w:eastAsia="Courier New" w:hAnsi="Courier New"/>
          <w:sz w:val="14"/>
          <w:szCs w:val="14"/>
          <w:color w:val="auto"/>
        </w:rPr>
        <w:t>Total debt at July 31, 1995, was $103.6 million, up $2.3 million from $101.3 million at July 31, 1994. The total debt to total capital ratio decreased from 37.5% in 1994 to 35.8% in 1995 as the result of increased short-term borrowing offset by an increase in current year earnings and the payment of the company's Employee Stock Ownership Plan (ESOP) receivable.</w:t>
      </w:r>
    </w:p>
    <w:p>
      <w:pPr>
        <w:spacing w:after="0" w:line="165" w:lineRule="exact"/>
        <w:rPr>
          <w:sz w:val="20"/>
          <w:szCs w:val="20"/>
          <w:color w:val="auto"/>
        </w:rPr>
      </w:pPr>
    </w:p>
    <w:p>
      <w:pPr>
        <w:ind w:left="10" w:right="3979" w:firstLine="264"/>
        <w:spacing w:after="0" w:line="235" w:lineRule="auto"/>
        <w:rPr>
          <w:sz w:val="20"/>
          <w:szCs w:val="20"/>
          <w:color w:val="auto"/>
        </w:rPr>
      </w:pPr>
      <w:r>
        <w:rPr>
          <w:rFonts w:ascii="Courier New" w:cs="Courier New" w:eastAsia="Courier New" w:hAnsi="Courier New"/>
          <w:sz w:val="15"/>
          <w:szCs w:val="15"/>
          <w:color w:val="auto"/>
        </w:rPr>
        <w:t>Total capitalization at July 31, 1995, consisted of $64.9 million of long-term debt and $185.5 million of stockholders' equity.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CREDIT LINES AND OTHER CAPITAL RESOURCES</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The company's seasonal working capital requirements are funded with $103.5 million of unsecured bank credit lines. Average borrowings under these lines were $31.5 million in 1995 and $12.9 million in 1994. The company had $22.5 million outstanding at July 31, 1995, and no outstanding borrowings under these lines at July 31, 1994. The increase in average borrowing was the result of the reduction in long-term debt, the addition of dealer direct financing through Toro Credit Company, and the investment in the company's stock.</w:t>
      </w:r>
    </w:p>
    <w:p>
      <w:pPr>
        <w:spacing w:after="0" w:line="178"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Additionally, the company's resources included two bankers' acceptance financing agreements totaling $40.0 million. The company had $2.3 million and no amount outstanding under these agreements at July 31, 1995, and 1994, respectively.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Continued growth in sales and successful cash management strategies contributed to the increase in net earnings in 1995. Sales increased as the result of product introductions and modifications, improved economies and weather conditions, continued product line expansion, and market growth. Net earnings increased because of the growth in sales and effective cost controls by management. Strategic cash management and the continued reduction of long-term debt strengthened the balance sheet in 1995.</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EDGAR REPRESENTATION OF CAPITALIZATION GRAPH</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Millions</w:t>
      </w:r>
    </w:p>
    <w:p>
      <w:pPr>
        <w:ind w:left="170" w:hanging="170"/>
        <w:spacing w:after="0"/>
        <w:tabs>
          <w:tab w:leader="none" w:pos="1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622" w:right="1440" w:bottom="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32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$250.4</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94</w:t>
            </w:r>
          </w:p>
        </w:tc>
        <w:tc>
          <w:tcPr>
            <w:tcW w:w="32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249.7</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93</w:t>
            </w:r>
          </w:p>
        </w:tc>
        <w:tc>
          <w:tcPr>
            <w:tcW w:w="32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267.6</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32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296.7</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32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305.9</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90</w:t>
            </w:r>
          </w:p>
        </w:tc>
        <w:tc>
          <w:tcPr>
            <w:tcW w:w="32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287.0</w:t>
            </w: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r>
      <w:tr>
        <w:trPr>
          <w:trHeight w:val="678"/>
        </w:trPr>
        <w:tc>
          <w:tcPr>
            <w:tcW w:w="2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99"/>
              </w:rPr>
              <w:t>The Toro Company  1995 Annual Report</w:t>
            </w:r>
          </w:p>
        </w:tc>
      </w:tr>
    </w:tbl>
    <w:p>
      <w:pPr>
        <w:sectPr>
          <w:pgSz w:w="11900" w:h="16838" w:orient="portrait"/>
          <w:cols w:equalWidth="0" w:num="1">
            <w:col w:w="10219"/>
          </w:cols>
          <w:pgMar w:left="240" w:top="305" w:right="1440" w:bottom="1440" w:gutter="0" w:footer="0" w:header="0"/>
        </w:sectPr>
      </w:pPr>
    </w:p>
    <w:bookmarkStart w:id="64" w:name="page65"/>
    <w:bookmarkEnd w:id="64"/>
    <w:p>
      <w:pPr>
        <w:ind w:left="10"/>
        <w:spacing w:after="0"/>
        <w:tabs>
          <w:tab w:leader="none" w:pos="2629" w:val="left"/>
          <w:tab w:leader="none" w:pos="2889" w:val="left"/>
        </w:tabs>
        <w:rPr>
          <w:sz w:val="20"/>
          <w:szCs w:val="20"/>
          <w:color w:val="auto"/>
        </w:rPr>
      </w:pPr>
      <w:r>
        <w:rPr>
          <w:rFonts w:ascii="Courier New" w:cs="Courier New" w:eastAsia="Courier New" w:hAnsi="Courier New"/>
          <w:sz w:val="15"/>
          <w:szCs w:val="15"/>
          <w:color w:val="auto"/>
        </w:rPr>
        <w:t>INDEPENDENT AUDITORS' REPORT</w:t>
        <w:tab/>
        <w:t>*</w:t>
      </w:r>
      <w:r>
        <w:rPr>
          <w:sz w:val="20"/>
          <w:szCs w:val="20"/>
          <w:color w:val="auto"/>
        </w:rPr>
        <w:tab/>
      </w:r>
      <w:r>
        <w:rPr>
          <w:rFonts w:ascii="Courier New" w:cs="Courier New" w:eastAsia="Courier New" w:hAnsi="Courier New"/>
          <w:sz w:val="14"/>
          <w:szCs w:val="14"/>
          <w:color w:val="auto"/>
        </w:rPr>
        <w:t>THE TORO COMPANY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Stockholders and Board of Directors</w:t>
      </w:r>
    </w:p>
    <w:p>
      <w:pPr>
        <w:ind w:left="10"/>
        <w:spacing w:after="0"/>
        <w:rPr>
          <w:sz w:val="20"/>
          <w:szCs w:val="20"/>
          <w:color w:val="auto"/>
        </w:rPr>
      </w:pPr>
      <w:r>
        <w:rPr>
          <w:rFonts w:ascii="Courier New" w:cs="Courier New" w:eastAsia="Courier New" w:hAnsi="Courier New"/>
          <w:sz w:val="15"/>
          <w:szCs w:val="15"/>
          <w:color w:val="auto"/>
        </w:rPr>
        <w:t>The Toro Company:</w:t>
      </w:r>
    </w:p>
    <w:p>
      <w:pPr>
        <w:spacing w:after="0" w:line="174"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The Toro Company and subsidiaries as of July 31, 1995 and 1994, and the related consolidated statements of earnings and cash flows for each of the years in the three-year period ended July 31, 1995.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left="10" w:right="3539" w:firstLine="264"/>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left="10" w:right="3439" w:firstLine="264"/>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The Toro Company and subsidiaries as of July 31, 1995 and 1994, and the results of their operations and their cash flows for each of the years in the three-year period ended July 31, 1995 in conformity with generally accepted accounting principles.</w:t>
      </w:r>
    </w:p>
    <w:p>
      <w:pPr>
        <w:spacing w:after="0" w:line="170" w:lineRule="exact"/>
        <w:rPr>
          <w:sz w:val="20"/>
          <w:szCs w:val="20"/>
          <w:color w:val="auto"/>
        </w:rPr>
      </w:pPr>
    </w:p>
    <w:p>
      <w:pPr>
        <w:ind w:left="4590"/>
        <w:spacing w:after="0"/>
        <w:rPr>
          <w:sz w:val="20"/>
          <w:szCs w:val="20"/>
          <w:color w:val="auto"/>
        </w:rPr>
      </w:pPr>
      <w:r>
        <w:rPr>
          <w:rFonts w:ascii="Courier New" w:cs="Courier New" w:eastAsia="Courier New" w:hAnsi="Courier New"/>
          <w:sz w:val="15"/>
          <w:szCs w:val="15"/>
          <w:color w:val="auto"/>
        </w:rPr>
        <w:t>KPMG Peat Marwick LLP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Minneapolis, Minnesota</w:t>
      </w:r>
    </w:p>
    <w:p>
      <w:pPr>
        <w:ind w:left="10"/>
        <w:spacing w:after="0"/>
        <w:rPr>
          <w:sz w:val="20"/>
          <w:szCs w:val="20"/>
          <w:color w:val="auto"/>
        </w:rPr>
      </w:pPr>
      <w:r>
        <w:rPr>
          <w:rFonts w:ascii="Courier New" w:cs="Courier New" w:eastAsia="Courier New" w:hAnsi="Courier New"/>
          <w:sz w:val="15"/>
          <w:szCs w:val="15"/>
          <w:color w:val="auto"/>
        </w:rPr>
        <w:t>September 7, 1995</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3249" w:val="left"/>
          <w:tab w:leader="none" w:pos="3509" w:val="left"/>
        </w:tabs>
        <w:rPr>
          <w:sz w:val="20"/>
          <w:szCs w:val="20"/>
          <w:color w:val="auto"/>
        </w:rPr>
      </w:pPr>
      <w:r>
        <w:rPr>
          <w:rFonts w:ascii="Courier New" w:cs="Courier New" w:eastAsia="Courier New" w:hAnsi="Courier New"/>
          <w:sz w:val="15"/>
          <w:szCs w:val="15"/>
          <w:color w:val="auto"/>
        </w:rPr>
        <w:t>CONSOLIDATED STATEMENTS OF EARNINGS</w:t>
        <w:tab/>
        <w:t>*</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data)</w:t>
      </w:r>
    </w:p>
    <w:tbl>
      <w:tblPr>
        <w:tblLayout w:type="fixed"/>
        <w:tblInd w:w="1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$932,853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$794,341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$684,324</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598,275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506,816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445,495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Gross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334,578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287,525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238,829</w:t>
            </w: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Selling,</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general and administrative expense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269,757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244,943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203,377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Earnings from</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2080" w:type="dxa"/>
            <w:vAlign w:val="bottom"/>
          </w:tcPr>
          <w:p>
            <w:pPr>
              <w:ind w:left="1200"/>
              <w:spacing w:after="0"/>
              <w:rPr>
                <w:sz w:val="20"/>
                <w:szCs w:val="20"/>
                <w:color w:val="auto"/>
              </w:rPr>
            </w:pPr>
            <w:r>
              <w:rPr>
                <w:rFonts w:ascii="Courier New" w:cs="Courier New" w:eastAsia="Courier New" w:hAnsi="Courier New"/>
                <w:sz w:val="15"/>
                <w:szCs w:val="15"/>
                <w:color w:val="auto"/>
              </w:rPr>
              <w:t>64,821</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42,582</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35,452</w:t>
            </w: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Interest expense</w:t>
            </w:r>
          </w:p>
        </w:tc>
        <w:tc>
          <w:tcPr>
            <w:tcW w:w="2120" w:type="dxa"/>
            <w:vAlign w:val="bottom"/>
          </w:tcPr>
          <w:p>
            <w:pPr>
              <w:spacing w:after="0"/>
              <w:rPr>
                <w:sz w:val="14"/>
                <w:szCs w:val="14"/>
                <w:color w:val="auto"/>
              </w:rPr>
            </w:pPr>
          </w:p>
        </w:tc>
        <w:tc>
          <w:tcPr>
            <w:tcW w:w="2080" w:type="dxa"/>
            <w:vAlign w:val="bottom"/>
          </w:tcPr>
          <w:p>
            <w:pPr>
              <w:ind w:left="1200"/>
              <w:spacing w:after="0"/>
              <w:rPr>
                <w:sz w:val="20"/>
                <w:szCs w:val="20"/>
                <w:color w:val="auto"/>
              </w:rPr>
            </w:pPr>
            <w:r>
              <w:rPr>
                <w:rFonts w:ascii="Courier New" w:cs="Courier New" w:eastAsia="Courier New" w:hAnsi="Courier New"/>
                <w:sz w:val="15"/>
                <w:szCs w:val="15"/>
                <w:color w:val="auto"/>
              </w:rPr>
              <w:t>11,902</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13,562</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17,150</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net</w:t>
            </w:r>
          </w:p>
        </w:tc>
        <w:tc>
          <w:tcPr>
            <w:tcW w:w="2080" w:type="dxa"/>
            <w:vAlign w:val="bottom"/>
          </w:tcPr>
          <w:p>
            <w:pPr>
              <w:ind w:left="1200"/>
              <w:spacing w:after="0"/>
              <w:rPr>
                <w:sz w:val="20"/>
                <w:szCs w:val="20"/>
                <w:color w:val="auto"/>
              </w:rPr>
            </w:pPr>
            <w:r>
              <w:rPr>
                <w:rFonts w:ascii="Courier New" w:cs="Courier New" w:eastAsia="Courier New" w:hAnsi="Courier New"/>
                <w:sz w:val="15"/>
                <w:szCs w:val="15"/>
                <w:color w:val="auto"/>
              </w:rPr>
              <w:t>(8,193)</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(8,030)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(3,053)</w:t>
            </w: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 -</w:t>
            </w:r>
          </w:p>
        </w:tc>
        <w:tc>
          <w:tcPr>
            <w:tcW w:w="77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6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61,112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37,050</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21,355</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24,445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14,820</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8,315</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 -</w:t>
            </w:r>
          </w:p>
        </w:tc>
        <w:tc>
          <w:tcPr>
            <w:tcW w:w="77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6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$ 36,667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$ 22,230</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$ 13,040</w:t>
            </w:r>
          </w:p>
        </w:tc>
      </w:tr>
    </w:tbl>
    <w:p>
      <w:pPr>
        <w:spacing w:after="0" w:line="5" w:lineRule="exact"/>
        <w:rPr>
          <w:sz w:val="20"/>
          <w:szCs w:val="20"/>
          <w:color w:val="auto"/>
        </w:rPr>
      </w:pPr>
    </w:p>
    <w:p>
      <w:pPr>
        <w:ind w:left="170" w:hanging="170"/>
        <w:spacing w:after="0"/>
        <w:tabs>
          <w:tab w:leader="none" w:pos="17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earnings per share of common stock</w:t>
      </w:r>
    </w:p>
    <w:tbl>
      <w:tblPr>
        <w:tblLayout w:type="fixed"/>
        <w:tblInd w:w="270" w:type="dxa"/>
        <w:tblCellMar>
          <w:top w:w="0" w:type="dxa"/>
          <w:left w:w="0" w:type="dxa"/>
          <w:bottom w:w="0" w:type="dxa"/>
          <w:right w:w="0" w:type="dxa"/>
        </w:tblCellMar>
      </w:tblPr>
      <w:tr>
        <w:trPr>
          <w:trHeight w:val="169"/>
        </w:trPr>
        <w:tc>
          <w:tcPr>
            <w:tcW w:w="3340" w:type="dxa"/>
            <w:vAlign w:val="bottom"/>
          </w:tcPr>
          <w:p>
            <w:pPr>
              <w:spacing w:after="0"/>
              <w:rPr>
                <w:sz w:val="20"/>
                <w:szCs w:val="20"/>
                <w:color w:val="auto"/>
              </w:rPr>
            </w:pPr>
            <w:r>
              <w:rPr>
                <w:rFonts w:ascii="Courier New" w:cs="Courier New" w:eastAsia="Courier New" w:hAnsi="Courier New"/>
                <w:sz w:val="15"/>
                <w:szCs w:val="15"/>
                <w:color w:val="auto"/>
              </w:rPr>
              <w:t>and common stock equivalent</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2.81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1.05</w:t>
            </w:r>
          </w:p>
        </w:tc>
      </w:tr>
    </w:tbl>
    <w:p>
      <w:pPr>
        <w:spacing w:after="0" w:line="5" w:lineRule="exact"/>
        <w:rPr>
          <w:sz w:val="20"/>
          <w:szCs w:val="20"/>
          <w:color w:val="auto"/>
        </w:rPr>
      </w:pPr>
    </w:p>
    <w:p>
      <w:pPr>
        <w:ind w:left="170" w:hanging="170"/>
        <w:spacing w:after="0"/>
        <w:tabs>
          <w:tab w:leader="none" w:pos="17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The financial statements should be read in conjunction with the Notes to Consolidated Financial Statements.</w:t>
      </w:r>
    </w:p>
    <w:p>
      <w:pPr>
        <w:spacing w:after="0" w:line="340" w:lineRule="exact"/>
        <w:rPr>
          <w:sz w:val="20"/>
          <w:szCs w:val="20"/>
          <w:color w:val="auto"/>
        </w:rPr>
      </w:pPr>
    </w:p>
    <w:p>
      <w:pPr>
        <w:ind w:left="3170"/>
        <w:spacing w:after="0"/>
        <w:tabs>
          <w:tab w:leader="none" w:pos="4749" w:val="left"/>
          <w:tab w:leader="none" w:pos="6509" w:val="left"/>
        </w:tabs>
        <w:rPr>
          <w:sz w:val="20"/>
          <w:szCs w:val="20"/>
          <w:color w:val="auto"/>
        </w:rPr>
      </w:pPr>
      <w:r>
        <w:rPr>
          <w:rFonts w:ascii="Courier New" w:cs="Courier New" w:eastAsia="Courier New" w:hAnsi="Courier New"/>
          <w:sz w:val="15"/>
          <w:szCs w:val="15"/>
          <w:color w:val="auto"/>
        </w:rPr>
        <w:t>The Toro Company</w:t>
        <w:tab/>
        <w:t>1995 Annual Report</w:t>
      </w:r>
      <w:r>
        <w:rPr>
          <w:sz w:val="20"/>
          <w:szCs w:val="20"/>
          <w:color w:val="auto"/>
        </w:rPr>
        <w:tab/>
      </w:r>
      <w:r>
        <w:rPr>
          <w:rFonts w:ascii="Courier New" w:cs="Courier New" w:eastAsia="Courier New" w:hAnsi="Courier New"/>
          <w:sz w:val="13"/>
          <w:szCs w:val="13"/>
          <w:color w:val="auto"/>
        </w:rPr>
        <w:t>19</w:t>
      </w:r>
    </w:p>
    <w:p>
      <w:pPr>
        <w:sectPr>
          <w:pgSz w:w="11900" w:h="16838" w:orient="portrait"/>
          <w:cols w:equalWidth="0" w:num="1">
            <w:col w:w="10229"/>
          </w:cols>
          <w:pgMar w:left="230" w:top="622" w:right="1440" w:bottom="1440" w:gutter="0" w:footer="0" w:header="0"/>
        </w:sectPr>
      </w:pPr>
    </w:p>
    <w:bookmarkStart w:id="65" w:name="page66"/>
    <w:bookmarkEnd w:id="65"/>
    <w:p>
      <w:pPr>
        <w:ind w:left="10"/>
        <w:spacing w:after="0"/>
        <w:tabs>
          <w:tab w:leader="none" w:pos="2529" w:val="left"/>
          <w:tab w:leader="none" w:pos="2809" w:val="left"/>
        </w:tabs>
        <w:rPr>
          <w:sz w:val="20"/>
          <w:szCs w:val="20"/>
          <w:color w:val="auto"/>
        </w:rPr>
      </w:pPr>
      <w:r>
        <w:rPr>
          <w:rFonts w:ascii="Courier New" w:cs="Courier New" w:eastAsia="Courier New" w:hAnsi="Courier New"/>
          <w:sz w:val="15"/>
          <w:szCs w:val="15"/>
          <w:color w:val="auto"/>
        </w:rPr>
        <w:t>CONSOLIDATED BALANCE SHEETS</w:t>
        <w:tab/>
        <w:t>*</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data)</w:t>
      </w:r>
    </w:p>
    <w:tbl>
      <w:tblPr>
        <w:tblLayout w:type="fixed"/>
        <w:tblInd w:w="10" w:type="dxa"/>
        <w:tblCellMar>
          <w:top w:w="0" w:type="dxa"/>
          <w:left w:w="0" w:type="dxa"/>
          <w:bottom w:w="0" w:type="dxa"/>
          <w:right w:w="0" w:type="dxa"/>
        </w:tblCellMar>
      </w:tblP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July 31</w:t>
            </w:r>
          </w:p>
        </w:tc>
        <w:tc>
          <w:tcPr>
            <w:tcW w:w="29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2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$ 11,924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$36,231</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Receivables:</w:t>
            </w: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Customers</w:t>
            </w:r>
          </w:p>
        </w:tc>
        <w:tc>
          <w:tcPr>
            <w:tcW w:w="2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210,090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185,620</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7,378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5,765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217,468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191,385</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Less allowance for doubtful accounts</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7,343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receivables</w:t>
            </w:r>
          </w:p>
        </w:tc>
        <w:tc>
          <w:tcPr>
            <w:tcW w:w="2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210,125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183,683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123,720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118,764</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1,111</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Deferred income tax benefits</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28,314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24,706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381,610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364,495</w:t>
            </w:r>
          </w:p>
        </w:tc>
      </w:tr>
    </w:tbl>
    <w:p>
      <w:pPr>
        <w:spacing w:after="0" w:line="5" w:lineRule="exact"/>
        <w:rPr>
          <w:sz w:val="20"/>
          <w:szCs w:val="20"/>
          <w:color w:val="auto"/>
        </w:rPr>
      </w:pPr>
    </w:p>
    <w:p>
      <w:pPr>
        <w:ind w:left="170" w:hanging="170"/>
        <w:spacing w:after="0"/>
        <w:tabs>
          <w:tab w:leader="none" w:pos="17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Property, plant and equipment:</w:t>
      </w:r>
    </w:p>
    <w:tbl>
      <w:tblPr>
        <w:tblLayout w:type="fixed"/>
        <w:tblInd w:w="170" w:type="dxa"/>
        <w:tblCellMar>
          <w:top w:w="0" w:type="dxa"/>
          <w:left w:w="0" w:type="dxa"/>
          <w:bottom w:w="0" w:type="dxa"/>
          <w:right w:w="0" w:type="dxa"/>
        </w:tblCellMar>
      </w:tblPr>
      <w:tr>
        <w:trPr>
          <w:trHeight w:val="169"/>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Land and land improvements</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6,143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5,516</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and leasehold improvements</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45,447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42,359</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2860" w:type="dxa"/>
            <w:vAlign w:val="bottom"/>
          </w:tcPr>
          <w:p>
            <w:pPr>
              <w:spacing w:after="0"/>
              <w:rPr>
                <w:sz w:val="14"/>
                <w:szCs w:val="1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157,031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137,603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208,621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185,478</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138,550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126,635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 property, plant and equipment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70,071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58,843</w:t>
            </w: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2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2,578</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1,296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14,056</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19,005</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00" w:type="dxa"/>
            <w:vAlign w:val="bottom"/>
          </w:tcPr>
          <w:p>
            <w:pPr>
              <w:spacing w:after="0"/>
              <w:rPr>
                <w:sz w:val="14"/>
                <w:szCs w:val="14"/>
                <w:color w:val="auto"/>
              </w:rPr>
            </w:pPr>
          </w:p>
        </w:tc>
        <w:tc>
          <w:tcPr>
            <w:tcW w:w="2780" w:type="dxa"/>
            <w:vAlign w:val="bottom"/>
          </w:tcPr>
          <w:p>
            <w:pPr>
              <w:ind w:left="220"/>
              <w:spacing w:after="0"/>
              <w:rPr>
                <w:sz w:val="20"/>
                <w:szCs w:val="20"/>
                <w:color w:val="auto"/>
              </w:rPr>
            </w:pPr>
            <w:r>
              <w:rPr>
                <w:rFonts w:ascii="Courier New" w:cs="Courier New" w:eastAsia="Courier New" w:hAnsi="Courier New"/>
                <w:sz w:val="15"/>
                <w:szCs w:val="15"/>
                <w:color w:val="auto"/>
              </w:rPr>
              <w:t>Total assets</w:t>
            </w:r>
          </w:p>
        </w:tc>
        <w:tc>
          <w:tcPr>
            <w:tcW w:w="2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$468,315</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$443,639</w:t>
            </w:r>
          </w:p>
        </w:tc>
      </w:tr>
    </w:tbl>
    <w:p>
      <w:pPr>
        <w:spacing w:after="0" w:line="5" w:lineRule="exact"/>
        <w:rPr>
          <w:sz w:val="20"/>
          <w:szCs w:val="20"/>
          <w:color w:val="auto"/>
        </w:rPr>
      </w:pPr>
    </w:p>
    <w:p>
      <w:pPr>
        <w:ind w:left="170" w:hanging="170"/>
        <w:spacing w:after="0"/>
        <w:tabs>
          <w:tab w:leader="none" w:pos="17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LIABILITIES AND COMMON STOCKHOLDERS' EQUITY</w:t>
            </w: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 of long-term debt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$ 16,090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$ 20,300</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Short-term borrowing</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22,535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37,035</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Accrued warranty</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37,493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32,476</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Accrued marketing programs</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26,145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29,290</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Other accrued liabilities</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69,324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69,611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212,659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188,712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w w:val="96"/>
              </w:rPr>
              <w:t>Long-term debt, less</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current portion</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64,935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81,025</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23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5,250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5,250</w:t>
            </w:r>
          </w:p>
        </w:tc>
      </w:t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w w:val="96"/>
              </w:rPr>
              <w:t>Common stockholders'</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equity:</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par value $1.00, authorized</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35,000,000 shares; issued and outstanding</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12,039,776 shares in 1995 (net of 802,549</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treasury shares)</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and 12,561,204 shares in</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1994 (net of 76,153 treasury shares)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12,040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12,561</w:t>
            </w:r>
          </w:p>
        </w:tc>
      </w:tr>
      <w:tr>
        <w:trPr>
          <w:trHeight w:val="170"/>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33,145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49,420</w:t>
            </w:r>
          </w:p>
        </w:tc>
      </w:tr>
      <w:tr>
        <w:trPr>
          <w:trHeight w:val="170"/>
        </w:trPr>
        <w:tc>
          <w:tcPr>
            <w:tcW w:w="180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w:t>
            </w:r>
          </w:p>
        </w:tc>
        <w:tc>
          <w:tcPr>
            <w:tcW w:w="23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140,353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109,688</w:t>
            </w:r>
          </w:p>
        </w:tc>
      </w:tr>
      <w:tr>
        <w:trPr>
          <w:trHeight w:val="170"/>
        </w:trPr>
        <w:tc>
          <w:tcPr>
            <w:tcW w:w="4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 adjustment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 -</w:t>
            </w:r>
          </w:p>
        </w:tc>
        <w:tc>
          <w:tcPr>
            <w:tcW w:w="6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0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Courier New" w:cs="Courier New" w:eastAsia="Courier New" w:hAnsi="Courier New"/>
                <w:sz w:val="15"/>
                <w:szCs w:val="15"/>
                <w:color w:val="auto"/>
              </w:rPr>
              <w:t>Subtotal</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185,471</w:t>
            </w:r>
          </w:p>
        </w:tc>
        <w:tc>
          <w:tcPr>
            <w:tcW w:w="17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171,264</w:t>
            </w: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Receivable from ESOP</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(2,612)</w:t>
            </w: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 -</w:t>
            </w:r>
          </w:p>
        </w:tc>
        <w:tc>
          <w:tcPr>
            <w:tcW w:w="6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0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Courier New" w:cs="Courier New" w:eastAsia="Courier New" w:hAnsi="Courier New"/>
                <w:sz w:val="15"/>
                <w:szCs w:val="15"/>
                <w:color w:val="auto"/>
              </w:rPr>
              <w:t>Total common stockholders' equity</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185,471</w:t>
            </w:r>
          </w:p>
        </w:tc>
        <w:tc>
          <w:tcPr>
            <w:tcW w:w="17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168,652</w:t>
            </w:r>
          </w:p>
        </w:tc>
      </w:tr>
    </w:tbl>
    <w:p>
      <w:pPr>
        <w:spacing w:after="0" w:line="5" w:lineRule="exact"/>
        <w:rPr>
          <w:sz w:val="20"/>
          <w:szCs w:val="20"/>
          <w:color w:val="auto"/>
        </w:rPr>
      </w:pPr>
    </w:p>
    <w:p>
      <w:pPr>
        <w:ind w:left="170" w:hanging="170"/>
        <w:spacing w:after="0"/>
        <w:tabs>
          <w:tab w:leader="none" w:pos="17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 liabilities and common</w:t>
      </w:r>
    </w:p>
    <w:tbl>
      <w:tblPr>
        <w:tblLayout w:type="fixed"/>
        <w:tblInd w:w="710" w:type="dxa"/>
        <w:tblCellMar>
          <w:top w:w="0" w:type="dxa"/>
          <w:left w:w="0" w:type="dxa"/>
          <w:bottom w:w="0" w:type="dxa"/>
          <w:right w:w="0" w:type="dxa"/>
        </w:tblCellMar>
      </w:tblPr>
      <w:tr>
        <w:trPr>
          <w:trHeight w:val="16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$468,315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$443,639</w:t>
            </w:r>
          </w:p>
        </w:tc>
      </w:tr>
    </w:tbl>
    <w:p>
      <w:pPr>
        <w:spacing w:after="0" w:line="5" w:lineRule="exact"/>
        <w:rPr>
          <w:sz w:val="20"/>
          <w:szCs w:val="20"/>
          <w:color w:val="auto"/>
        </w:rPr>
      </w:pPr>
    </w:p>
    <w:p>
      <w:pPr>
        <w:ind w:left="170" w:hanging="170"/>
        <w:spacing w:after="0"/>
        <w:tabs>
          <w:tab w:leader="none" w:pos="17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The financial statements should be read in conjunction with the Notes to Consolidated Financial Statements.</w:t>
      </w:r>
    </w:p>
    <w:p>
      <w:pPr>
        <w:spacing w:after="0" w:line="340" w:lineRule="exact"/>
        <w:rPr>
          <w:sz w:val="20"/>
          <w:szCs w:val="20"/>
          <w:color w:val="auto"/>
        </w:rPr>
      </w:pPr>
    </w:p>
    <w:p>
      <w:pPr>
        <w:ind w:left="10"/>
        <w:spacing w:after="0"/>
        <w:tabs>
          <w:tab w:leader="none" w:pos="329" w:val="left"/>
          <w:tab w:leader="none" w:pos="1909" w:val="left"/>
        </w:tabs>
        <w:rPr>
          <w:sz w:val="20"/>
          <w:szCs w:val="20"/>
          <w:color w:val="auto"/>
        </w:rPr>
      </w:pPr>
      <w:r>
        <w:rPr>
          <w:rFonts w:ascii="Courier New" w:cs="Courier New" w:eastAsia="Courier New" w:hAnsi="Courier New"/>
          <w:sz w:val="15"/>
          <w:szCs w:val="15"/>
          <w:color w:val="auto"/>
        </w:rPr>
        <w:t>20</w:t>
        <w:tab/>
        <w:t>The Toro Company</w:t>
      </w:r>
      <w:r>
        <w:rPr>
          <w:sz w:val="20"/>
          <w:szCs w:val="20"/>
          <w:color w:val="auto"/>
        </w:rPr>
        <w:tab/>
      </w:r>
      <w:r>
        <w:rPr>
          <w:rFonts w:ascii="Courier New" w:cs="Courier New" w:eastAsia="Courier New" w:hAnsi="Courier New"/>
          <w:sz w:val="14"/>
          <w:szCs w:val="14"/>
          <w:color w:val="auto"/>
        </w:rPr>
        <w:t>1995 Annual Report</w:t>
      </w:r>
    </w:p>
    <w:p>
      <w:pPr>
        <w:sectPr>
          <w:pgSz w:w="11900" w:h="16838" w:orient="portrait"/>
          <w:cols w:equalWidth="0" w:num="1">
            <w:col w:w="10229"/>
          </w:cols>
          <w:pgMar w:left="230" w:top="791" w:right="1440" w:bottom="735" w:gutter="0" w:footer="0" w:header="0"/>
        </w:sectPr>
      </w:pPr>
    </w:p>
    <w:bookmarkStart w:id="66" w:name="page67"/>
    <w:bookmarkEnd w:id="66"/>
    <w:p>
      <w:pPr>
        <w:ind w:left="10"/>
        <w:spacing w:after="0"/>
        <w:tabs>
          <w:tab w:leader="none" w:pos="3509" w:val="left"/>
          <w:tab w:leader="none" w:pos="3849" w:val="left"/>
        </w:tabs>
        <w:rPr>
          <w:sz w:val="20"/>
          <w:szCs w:val="20"/>
          <w:color w:val="auto"/>
        </w:rPr>
      </w:pPr>
      <w:r>
        <w:rPr>
          <w:rFonts w:ascii="Courier New" w:cs="Courier New" w:eastAsia="Courier New" w:hAnsi="Courier New"/>
          <w:sz w:val="15"/>
          <w:szCs w:val="15"/>
          <w:color w:val="auto"/>
        </w:rPr>
        <w:t>CONSOLIDATED STATEMENTS OF CASH FLOWS</w:t>
        <w:tab/>
        <w:t>*</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(Dollars in thousands) Years ended July 31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Net earnings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$36,667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$22,230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$ 13,040</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earnings to net</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cash provided by operating activities:</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Provision for depreciation and amortization</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17,240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18,839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19,245</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(Gain) loss on disposal of property, plant</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and equipment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1,230</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(1,547)</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Tax benefits related to employee stock option</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transactions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Net receivables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(28,773)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28,199</w:t>
            </w: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Inventories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(4,956)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(4,583)</w:t>
            </w: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 and deferred income tax</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benefits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(10,024)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3,396</w:t>
            </w: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5,622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33,152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15,537</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27,844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72,132</w:t>
            </w:r>
          </w:p>
        </w:tc>
      </w:tr>
    </w:tbl>
    <w:p>
      <w:pPr>
        <w:spacing w:after="0" w:line="5" w:lineRule="exact"/>
        <w:rPr>
          <w:sz w:val="20"/>
          <w:szCs w:val="20"/>
          <w:color w:val="auto"/>
        </w:rPr>
      </w:pPr>
    </w:p>
    <w:p>
      <w:pPr>
        <w:ind w:left="170" w:hanging="170"/>
        <w:spacing w:after="0"/>
        <w:tabs>
          <w:tab w:leader="none" w:pos="17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INVESTING ACTIVITIES:</w:t>
      </w:r>
    </w:p>
    <w:tbl>
      <w:tblPr>
        <w:tblLayout w:type="fixed"/>
        <w:tblInd w:w="170" w:type="dxa"/>
        <w:tblCellMar>
          <w:top w:w="0" w:type="dxa"/>
          <w:left w:w="0" w:type="dxa"/>
          <w:bottom w:w="0" w:type="dxa"/>
          <w:right w:w="0" w:type="dxa"/>
        </w:tblCellMar>
      </w:tblPr>
      <w:tr>
        <w:trPr>
          <w:trHeight w:val="169"/>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Purchases of property,</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plant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and equipment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(28,162)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(11,397)</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Proceeds from asset</w:t>
            </w:r>
          </w:p>
        </w:tc>
        <w:tc>
          <w:tcPr>
            <w:tcW w:w="2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disposals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2,323</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(Increase) decrease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other</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3,935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(23,384)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(6,755)</w:t>
            </w:r>
          </w:p>
        </w:tc>
      </w:tr>
    </w:tbl>
    <w:p>
      <w:pPr>
        <w:spacing w:after="0" w:line="5" w:lineRule="exact"/>
        <w:rPr>
          <w:sz w:val="20"/>
          <w:szCs w:val="20"/>
          <w:color w:val="auto"/>
        </w:rPr>
      </w:pPr>
    </w:p>
    <w:p>
      <w:pPr>
        <w:ind w:left="170" w:hanging="170"/>
        <w:spacing w:after="0"/>
        <w:tabs>
          <w:tab w:leader="none" w:pos="17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FINANCING ACTIVITIES:</w:t>
      </w:r>
    </w:p>
    <w:tbl>
      <w:tblPr>
        <w:tblLayout w:type="fixed"/>
        <w:tblInd w:w="17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Increase (decrease) in</w:t>
            </w:r>
          </w:p>
        </w:tc>
        <w:tc>
          <w:tcPr>
            <w:tcW w:w="2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sale of receivables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2,331</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(1,892)</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Increase in short-term</w:t>
            </w:r>
          </w:p>
        </w:tc>
        <w:tc>
          <w:tcPr>
            <w:tcW w:w="2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borrowing</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22,535</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Proceeds from issuance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Repayments of long-term debt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(40,645)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(26,130)</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Proceeds from deferred</w:t>
            </w:r>
          </w:p>
        </w:tc>
        <w:tc>
          <w:tcPr>
            <w:tcW w:w="2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5,250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Proceeds from exercise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stock options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8,251</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6,144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3,771</w:t>
            </w:r>
          </w:p>
        </w:tc>
      </w:tr>
      <w:tr>
        <w:trPr>
          <w:trHeight w:val="170"/>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w w:val="99"/>
              </w:rPr>
              <w:t>Purchases of common stock</w:t>
            </w:r>
          </w:p>
        </w:tc>
        <w:tc>
          <w:tcPr>
            <w:tcW w:w="1940" w:type="dxa"/>
            <w:vAlign w:val="bottom"/>
          </w:tcPr>
          <w:p>
            <w:pPr>
              <w:spacing w:after="0"/>
              <w:rPr>
                <w:sz w:val="14"/>
                <w:szCs w:val="1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(26,225)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(816)</w:t>
            </w:r>
          </w:p>
        </w:tc>
      </w:tr>
      <w:tr>
        <w:trPr>
          <w:trHeight w:val="170"/>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w w:val="99"/>
              </w:rPr>
              <w:t>Dividends on common stock</w:t>
            </w:r>
          </w:p>
        </w:tc>
        <w:tc>
          <w:tcPr>
            <w:tcW w:w="1940" w:type="dxa"/>
            <w:vAlign w:val="bottom"/>
          </w:tcPr>
          <w:p>
            <w:pPr>
              <w:spacing w:after="0"/>
              <w:rPr>
                <w:sz w:val="14"/>
                <w:szCs w:val="1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(5,824)</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Repayments from ESOP</w:t>
            </w: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2,612</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(16,798)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(28,280)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w w:val="98"/>
              </w:rPr>
              <w:t>Foreign currency translation</w:t>
            </w:r>
          </w:p>
        </w:tc>
        <w:tc>
          <w:tcPr>
            <w:tcW w:w="2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adjustment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(795)</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8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increase (decrease) in cash and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(24,307)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(25,562)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36,302</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Cash and cash</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equivalents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2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beginning of year</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36,231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61,793</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25,491</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Cash and cash</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equivalents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end of</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$ 11,924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$ 36,231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$ 61,793</w:t>
            </w:r>
          </w:p>
        </w:tc>
      </w:tr>
    </w:tbl>
    <w:p>
      <w:pPr>
        <w:spacing w:after="0" w:line="5" w:lineRule="exact"/>
        <w:rPr>
          <w:sz w:val="20"/>
          <w:szCs w:val="20"/>
          <w:color w:val="auto"/>
        </w:rPr>
      </w:pPr>
    </w:p>
    <w:p>
      <w:pPr>
        <w:ind w:left="170" w:hanging="170"/>
        <w:spacing w:after="0"/>
        <w:tabs>
          <w:tab w:leader="none" w:pos="17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right="5819" w:hanging="176"/>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Supplemental disclosures of cash flow information: Cash paid during the year for:</w:t>
      </w:r>
    </w:p>
    <w:p>
      <w:pPr>
        <w:spacing w:after="0" w:line="1"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9,567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$ 14,092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$ 17,138</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34,936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8,148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350"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The financial statements should be read in conjunction with the Notes to Consolidated Financial Statements.</w:t>
      </w:r>
    </w:p>
    <w:p>
      <w:pPr>
        <w:spacing w:after="0" w:line="170" w:lineRule="exact"/>
        <w:rPr>
          <w:sz w:val="20"/>
          <w:szCs w:val="20"/>
          <w:color w:val="auto"/>
        </w:rPr>
      </w:pPr>
    </w:p>
    <w:p>
      <w:pPr>
        <w:ind w:left="3170"/>
        <w:spacing w:after="0"/>
        <w:tabs>
          <w:tab w:leader="none" w:pos="4749" w:val="left"/>
          <w:tab w:leader="none" w:pos="6509" w:val="left"/>
        </w:tabs>
        <w:rPr>
          <w:sz w:val="20"/>
          <w:szCs w:val="20"/>
          <w:color w:val="auto"/>
        </w:rPr>
      </w:pPr>
      <w:r>
        <w:rPr>
          <w:rFonts w:ascii="Courier New" w:cs="Courier New" w:eastAsia="Courier New" w:hAnsi="Courier New"/>
          <w:sz w:val="15"/>
          <w:szCs w:val="15"/>
          <w:color w:val="auto"/>
        </w:rPr>
        <w:t>The Toro Company</w:t>
        <w:tab/>
        <w:t>1995 Annual Report</w:t>
      </w:r>
      <w:r>
        <w:rPr>
          <w:sz w:val="20"/>
          <w:szCs w:val="20"/>
          <w:color w:val="auto"/>
        </w:rPr>
        <w:tab/>
      </w:r>
      <w:r>
        <w:rPr>
          <w:rFonts w:ascii="Courier New" w:cs="Courier New" w:eastAsia="Courier New" w:hAnsi="Courier New"/>
          <w:sz w:val="13"/>
          <w:szCs w:val="13"/>
          <w:color w:val="auto"/>
        </w:rPr>
        <w:t>21</w:t>
      </w:r>
    </w:p>
    <w:p>
      <w:pPr>
        <w:sectPr>
          <w:pgSz w:w="11900" w:h="16838" w:orient="portrait"/>
          <w:cols w:equalWidth="0" w:num="1">
            <w:col w:w="10229"/>
          </w:cols>
          <w:pgMar w:left="230" w:top="622" w:right="1440" w:bottom="1440" w:gutter="0" w:footer="0" w:header="0"/>
        </w:sectPr>
      </w:pPr>
    </w:p>
    <w:bookmarkStart w:id="67" w:name="page68"/>
    <w:bookmarkEnd w:id="67"/>
    <w:p>
      <w:pPr>
        <w:ind w:left="10"/>
        <w:spacing w:after="0"/>
        <w:tabs>
          <w:tab w:leader="none" w:pos="3949" w:val="left"/>
          <w:tab w:leader="none" w:pos="4289" w:val="left"/>
        </w:tabs>
        <w:rPr>
          <w:sz w:val="20"/>
          <w:szCs w:val="20"/>
          <w:color w:val="auto"/>
        </w:rPr>
      </w:pPr>
      <w:r>
        <w:rPr>
          <w:rFonts w:ascii="Courier New" w:cs="Courier New" w:eastAsia="Courier New" w:hAnsi="Courier New"/>
          <w:sz w:val="15"/>
          <w:szCs w:val="15"/>
          <w:color w:val="auto"/>
        </w:rPr>
        <w:t>NOTES TO CONSOLIDATED FINANCIAL STATEMENTS</w:t>
        <w:tab/>
        <w:t>*</w:t>
      </w:r>
      <w:r>
        <w:rPr>
          <w:sz w:val="20"/>
          <w:szCs w:val="20"/>
          <w:color w:val="auto"/>
        </w:rPr>
        <w:tab/>
      </w:r>
      <w:r>
        <w:rPr>
          <w:rFonts w:ascii="Courier New" w:cs="Courier New" w:eastAsia="Courier New" w:hAnsi="Courier New"/>
          <w:sz w:val="14"/>
          <w:szCs w:val="14"/>
          <w:color w:val="auto"/>
        </w:rPr>
        <w:t>THE TORO COMPANY</w:t>
      </w:r>
    </w:p>
    <w:p>
      <w:pPr>
        <w:spacing w:after="0" w:line="175" w:lineRule="exact"/>
        <w:rPr>
          <w:sz w:val="20"/>
          <w:szCs w:val="20"/>
          <w:color w:val="auto"/>
        </w:rPr>
      </w:pPr>
    </w:p>
    <w:p>
      <w:pPr>
        <w:ind w:left="270" w:right="6259" w:hanging="270"/>
        <w:spacing w:after="0" w:line="235" w:lineRule="auto"/>
        <w:tabs>
          <w:tab w:leader="none" w:pos="27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AND RELATED DATA</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BASIS OF CONSOLIDATION</w:t>
      </w:r>
    </w:p>
    <w:p>
      <w:pPr>
        <w:spacing w:after="0" w:line="175"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Toro Company and all wholly-owned and majority-owned domestic and foreign subsidiaries (the company). Investments in 50% or less owned companies are accounted for by the equity method. The accounts of foreign subsidiaries, which are not material, have been adjusted to conform to U.S. accounting principles and practices and have been translated to appropriate U.S. dollar equivalents. All material intercompany accounts and transactions have been eliminated from the consolidated financial statements.</w:t>
      </w:r>
    </w:p>
    <w:p>
      <w:pPr>
        <w:spacing w:after="0" w:line="161"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The company considers all highly liquid investments purchased with a maturity of three months or less to be cash equivalents.</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ALLOWANCE FOR DOUBTFUL ACCOUNTS</w:t>
      </w:r>
    </w:p>
    <w:p>
      <w:pPr>
        <w:spacing w:after="0" w:line="175" w:lineRule="exact"/>
        <w:rPr>
          <w:sz w:val="20"/>
          <w:szCs w:val="20"/>
          <w:color w:val="auto"/>
        </w:rPr>
      </w:pPr>
    </w:p>
    <w:p>
      <w:pPr>
        <w:ind w:left="10" w:right="4059"/>
        <w:spacing w:after="0" w:line="237" w:lineRule="auto"/>
        <w:rPr>
          <w:sz w:val="20"/>
          <w:szCs w:val="20"/>
          <w:color w:val="auto"/>
        </w:rPr>
      </w:pPr>
      <w:r>
        <w:rPr>
          <w:rFonts w:ascii="Courier New" w:cs="Courier New" w:eastAsia="Courier New" w:hAnsi="Courier New"/>
          <w:sz w:val="15"/>
          <w:szCs w:val="15"/>
          <w:color w:val="auto"/>
        </w:rPr>
        <w:t>The provision for doubtful accounts included in selling, general and administrative expense was $1,543,000 in 1995, $3,032,000 in 1994, and $2,500,000 in 1993.</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INVENTORIES</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The majority of all inventories are valued at the lower of cost or net realizable value with cost determined by the last-in, first-out (LIFO) method. Had the first-in, first-out (FIFO) method of cost determination been used, inventories would have been $24,730,000 and $19,204,000 higher than reported at July 31, 1995, and 1994, respectively. Under the FIFO method, work-in-process inventories were $68,683,000 and $63,473,000 and finished goods inventories were $79,767,000 and $74,495,000 at July 31, 1995, and 1994, respectively.</w:t>
      </w:r>
    </w:p>
    <w:p>
      <w:pPr>
        <w:spacing w:after="0" w:line="172"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PROPERTY AND DEPRECIATION</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The cost and related accumulated depreciation of all plant and equipment disposed of are removed from the accounts, and any gain or loss from such disposal is included in current period earnings.</w:t>
      </w:r>
    </w:p>
    <w:p>
      <w:pPr>
        <w:spacing w:after="0" w:line="176"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ACCRUED WARRANTY</w:t>
      </w:r>
    </w:p>
    <w:p>
      <w:pPr>
        <w:spacing w:after="0" w:line="175"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The company provides an accrual for estimated future warranty costs based upon the historical relationship of warranty costs to sales.</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DEFERRED INCOME</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An interest rate exchange agreement was entered into primarily as a hedge against interest costs on long-term debt. The net interest differential to be received or paid and the $5,250,000 deferred income will be recognized, commencing August 1, 1997, over the term of the agreement as an adjustment to interest expense.</w:t>
      </w:r>
    </w:p>
    <w:p>
      <w:pPr>
        <w:spacing w:after="0" w:line="17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FOREIGN CURRENCY TRANSLATION</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The functional currency of the company's foreign operations is the applicable local currency. The functional currency is translated into U.S. dollars in accordance with Statement of Financial Accounting Standards No. 52, "Foreign Currency Translation" which is performed for balance sheet accounts using current exchange rates in effect at the balance sheet date and for revenue and expense accounts using a weighted average exchange rate during the period. The gains or losses resulting from such translations are included in stockholders' equity. Gains or losses resulting from foreign currency transactions are included in other income, net.</w:t>
      </w:r>
    </w:p>
    <w:p>
      <w:pPr>
        <w:spacing w:after="0" w:line="17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ACCOUNTING FOR REVENUES</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Revenue is recognized at the time products are shipped to distributors, dealers or mass merchandisers.</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COST OF FINANCING DISTRIBUTOR/DEALER INVENTORY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Included in selling, general and administrative expense are costs associated</w:t>
      </w:r>
    </w:p>
    <w:p>
      <w:pPr>
        <w:ind w:left="10"/>
        <w:spacing w:after="0"/>
        <w:rPr>
          <w:sz w:val="20"/>
          <w:szCs w:val="20"/>
          <w:color w:val="auto"/>
        </w:rPr>
      </w:pPr>
      <w:r>
        <w:rPr>
          <w:rFonts w:ascii="Courier New" w:cs="Courier New" w:eastAsia="Courier New" w:hAnsi="Courier New"/>
          <w:sz w:val="15"/>
          <w:szCs w:val="15"/>
          <w:color w:val="auto"/>
        </w:rPr>
        <w:t>with various programs in which the company shares costs of financing</w:t>
      </w:r>
    </w:p>
    <w:p>
      <w:pPr>
        <w:ind w:left="10"/>
        <w:spacing w:after="0"/>
        <w:rPr>
          <w:sz w:val="20"/>
          <w:szCs w:val="20"/>
          <w:color w:val="auto"/>
        </w:rPr>
      </w:pPr>
      <w:r>
        <w:rPr>
          <w:rFonts w:ascii="Courier New" w:cs="Courier New" w:eastAsia="Courier New" w:hAnsi="Courier New"/>
          <w:sz w:val="15"/>
          <w:szCs w:val="15"/>
          <w:color w:val="auto"/>
        </w:rPr>
        <w:t>distributor and dealer inventories. These costs of $9,675,000 in 1995,</w:t>
      </w:r>
    </w:p>
    <w:p>
      <w:pPr>
        <w:ind w:left="10"/>
        <w:spacing w:after="0" w:line="238" w:lineRule="auto"/>
        <w:rPr>
          <w:sz w:val="20"/>
          <w:szCs w:val="20"/>
          <w:color w:val="auto"/>
        </w:rPr>
      </w:pPr>
      <w:r>
        <w:rPr>
          <w:rFonts w:ascii="Courier New" w:cs="Courier New" w:eastAsia="Courier New" w:hAnsi="Courier New"/>
          <w:sz w:val="15"/>
          <w:szCs w:val="15"/>
          <w:color w:val="auto"/>
        </w:rPr>
        <w:t>$8,587,000 in 1994, and $7,606,000 in 1993 are charged against operations as</w:t>
      </w:r>
    </w:p>
    <w:p>
      <w:pPr>
        <w:ind w:left="10"/>
        <w:spacing w:after="0"/>
        <w:rPr>
          <w:sz w:val="20"/>
          <w:szCs w:val="20"/>
          <w:color w:val="auto"/>
        </w:rPr>
      </w:pPr>
      <w:r>
        <w:rPr>
          <w:rFonts w:ascii="Courier New" w:cs="Courier New" w:eastAsia="Courier New" w:hAnsi="Courier New"/>
          <w:sz w:val="15"/>
          <w:szCs w:val="15"/>
          <w:color w:val="auto"/>
        </w:rPr>
        <w:t>incurred.</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RESEARCH AND DEVELOPMENT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Expenditures for research and development, including engineering, of</w:t>
      </w:r>
    </w:p>
    <w:p>
      <w:pPr>
        <w:sectPr>
          <w:pgSz w:w="11900" w:h="16838" w:orient="portrait"/>
          <w:cols w:equalWidth="0" w:num="1">
            <w:col w:w="10229"/>
          </w:cols>
          <w:pgMar w:left="230" w:top="622" w:right="1440" w:bottom="0" w:gutter="0" w:footer="0" w:header="0"/>
        </w:sectPr>
      </w:pPr>
    </w:p>
    <w:bookmarkStart w:id="68" w:name="page69"/>
    <w:bookmarkEnd w:id="68"/>
    <w:p>
      <w:pPr>
        <w:ind w:right="3439"/>
        <w:spacing w:after="0" w:line="235" w:lineRule="auto"/>
        <w:rPr>
          <w:sz w:val="20"/>
          <w:szCs w:val="20"/>
          <w:color w:val="auto"/>
        </w:rPr>
      </w:pPr>
      <w:r>
        <w:rPr>
          <w:rFonts w:ascii="Courier New" w:cs="Courier New" w:eastAsia="Courier New" w:hAnsi="Courier New"/>
          <w:sz w:val="15"/>
          <w:szCs w:val="15"/>
          <w:color w:val="auto"/>
        </w:rPr>
        <w:t>$33,022,000 in 1995, $30,864,000 in 1994, and $25,293,000 in 1993 are charged against operations as incurred.</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DISTRIBUTION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selling, general and administrative expense are costs associated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changes to the company's distribution channels. These costs were</w:t>
      </w:r>
    </w:p>
    <w:p>
      <w:pPr>
        <w:spacing w:after="0"/>
        <w:rPr>
          <w:sz w:val="20"/>
          <w:szCs w:val="20"/>
          <w:color w:val="auto"/>
        </w:rPr>
      </w:pPr>
      <w:r>
        <w:rPr>
          <w:rFonts w:ascii="Courier New" w:cs="Courier New" w:eastAsia="Courier New" w:hAnsi="Courier New"/>
          <w:sz w:val="15"/>
          <w:szCs w:val="15"/>
          <w:color w:val="auto"/>
        </w:rPr>
        <w:t>$3,400,000 in 1995, $4,300,000 in 1994, and $4,500,000 in 1993. Those costs</w:t>
      </w:r>
    </w:p>
    <w:p>
      <w:pPr>
        <w:spacing w:after="0"/>
        <w:rPr>
          <w:sz w:val="20"/>
          <w:szCs w:val="20"/>
          <w:color w:val="auto"/>
        </w:rPr>
      </w:pPr>
      <w:r>
        <w:rPr>
          <w:rFonts w:ascii="Courier New" w:cs="Courier New" w:eastAsia="Courier New" w:hAnsi="Courier New"/>
          <w:sz w:val="15"/>
          <w:szCs w:val="15"/>
          <w:color w:val="auto"/>
        </w:rPr>
        <w:t>associated with business changes are accrued on the basis of historical</w:t>
      </w:r>
    </w:p>
    <w:p>
      <w:pPr>
        <w:spacing w:after="0" w:line="238" w:lineRule="auto"/>
        <w:rPr>
          <w:sz w:val="20"/>
          <w:szCs w:val="20"/>
          <w:color w:val="auto"/>
        </w:rPr>
      </w:pPr>
      <w:r>
        <w:rPr>
          <w:rFonts w:ascii="Courier New" w:cs="Courier New" w:eastAsia="Courier New" w:hAnsi="Courier New"/>
          <w:sz w:val="15"/>
          <w:szCs w:val="15"/>
          <w:color w:val="auto"/>
        </w:rPr>
        <w:t>experience, while costs related to specific changes to the company's</w:t>
      </w:r>
    </w:p>
    <w:p>
      <w:pPr>
        <w:spacing w:after="0"/>
        <w:rPr>
          <w:sz w:val="20"/>
          <w:szCs w:val="20"/>
          <w:color w:val="auto"/>
        </w:rPr>
      </w:pPr>
      <w:r>
        <w:rPr>
          <w:rFonts w:ascii="Courier New" w:cs="Courier New" w:eastAsia="Courier New" w:hAnsi="Courier New"/>
          <w:sz w:val="15"/>
          <w:szCs w:val="15"/>
          <w:color w:val="auto"/>
        </w:rPr>
        <w:t>distribution system are recorded when authorized.</w:t>
      </w:r>
    </w:p>
    <w:p>
      <w:pPr>
        <w:spacing w:after="0" w:line="169" w:lineRule="exact"/>
        <w:rPr>
          <w:sz w:val="20"/>
          <w:szCs w:val="20"/>
          <w:color w:val="auto"/>
        </w:rPr>
      </w:pPr>
    </w:p>
    <w:p>
      <w:pPr>
        <w:spacing w:after="0"/>
        <w:tabs>
          <w:tab w:leader="none" w:pos="320" w:val="left"/>
          <w:tab w:leader="none" w:pos="1900" w:val="left"/>
        </w:tabs>
        <w:rPr>
          <w:sz w:val="20"/>
          <w:szCs w:val="20"/>
          <w:color w:val="auto"/>
        </w:rPr>
      </w:pPr>
      <w:r>
        <w:rPr>
          <w:rFonts w:ascii="Courier New" w:cs="Courier New" w:eastAsia="Courier New" w:hAnsi="Courier New"/>
          <w:sz w:val="15"/>
          <w:szCs w:val="15"/>
          <w:color w:val="auto"/>
        </w:rPr>
        <w:t>22</w:t>
        <w:tab/>
        <w:t>The Toro Company</w:t>
      </w:r>
      <w:r>
        <w:rPr>
          <w:sz w:val="20"/>
          <w:szCs w:val="20"/>
          <w:color w:val="auto"/>
        </w:rPr>
        <w:tab/>
      </w:r>
      <w:r>
        <w:rPr>
          <w:rFonts w:ascii="Courier New" w:cs="Courier New" w:eastAsia="Courier New" w:hAnsi="Courier New"/>
          <w:sz w:val="14"/>
          <w:szCs w:val="14"/>
          <w:color w:val="auto"/>
        </w:rPr>
        <w:t>1995 Annual Report</w:t>
      </w:r>
    </w:p>
    <w:p>
      <w:pPr>
        <w:sectPr>
          <w:pgSz w:w="11900" w:h="16838" w:orient="portrait"/>
          <w:cols w:equalWidth="0" w:num="1">
            <w:col w:w="10219"/>
          </w:cols>
          <w:pgMar w:left="240" w:top="141" w:right="1440" w:bottom="1440" w:gutter="0" w:footer="0" w:header="0"/>
        </w:sectPr>
      </w:pPr>
    </w:p>
    <w:bookmarkStart w:id="69" w:name="page70"/>
    <w:bookmarkEnd w:id="69"/>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INCOME TAXES</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In compliance with Statement of Financial Accounting Standards No. 109, "Accounting for Income Taxes," (FAS 109),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has reflected the necessary deferred tax asset/liability in the accompanying balance sheets. Management believes the future tax deductions will be realized in periods in which the company will generate sufficient taxable income to realize the benefit of the tax deductions.</w:t>
      </w:r>
    </w:p>
    <w:p>
      <w:pPr>
        <w:spacing w:after="0" w:line="184" w:lineRule="exact"/>
        <w:rPr>
          <w:sz w:val="20"/>
          <w:szCs w:val="20"/>
          <w:color w:val="auto"/>
        </w:rPr>
      </w:pPr>
    </w:p>
    <w:p>
      <w:pPr>
        <w:ind w:left="270" w:right="5919" w:hanging="270"/>
        <w:spacing w:after="0" w:line="235" w:lineRule="auto"/>
        <w:tabs>
          <w:tab w:leader="none" w:pos="18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NET EARNINGS PER SHARE OF COMMON STOCK AND COMMON STOCK EQUIVALENT</w:t>
      </w:r>
    </w:p>
    <w:p>
      <w:pPr>
        <w:spacing w:after="0" w:line="176"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4"/>
          <w:szCs w:val="14"/>
          <w:color w:val="auto"/>
        </w:rPr>
        <w:t>Net earnings per share of common stock and common stock equiv-alent are computed by dividing net earnings by the weighted average number of common shares and common stock equivalents outstanding during the respective periods. Common stock equivalents include potentially dilutive stock options. These shares are included under the treasury stock method using the average market price of the company's stock during each period. The effect of full dilution using the year-end price of the company's stock is immaterial.</w:t>
      </w:r>
    </w:p>
    <w:p>
      <w:pPr>
        <w:spacing w:after="0" w:line="162"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RECLASSIFICATIONS</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Certain prior year amounts have been reclassified to conform with the current year presentation.</w:t>
      </w:r>
    </w:p>
    <w:p>
      <w:pPr>
        <w:spacing w:after="0" w:line="170" w:lineRule="exact"/>
        <w:rPr>
          <w:sz w:val="20"/>
          <w:szCs w:val="20"/>
          <w:color w:val="auto"/>
        </w:rPr>
      </w:pPr>
    </w:p>
    <w:p>
      <w:pPr>
        <w:ind w:left="270" w:hanging="270"/>
        <w:spacing w:after="0"/>
        <w:tabs>
          <w:tab w:leader="none" w:pos="27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CAPITAL RESOURCES</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At July 31, 1995, the company had available unsecured lines of credit with six banks in the aggregate of $103,500,000. Most of these agreements require the company to pay a fee of 1/4 percent per year on the available lines of credit. This fee is recorded by the company as interest expense. The company had $22,535,000 outstanding at July 31, 1995, and no amount outstanding at July 31, 1994. The weighted average interest rate on short-term borrowing for 1995 was 7.7% (6.5% in 1994 and 8.1% in 1993). Interest expense was $2,498,000 in 1995 ($822,000 in 1994 and $920,000 in 1993), including facility fees. The weighted average short-term borrowing was $32,335,000 in 1995 ($12,755,000 in 1994 and $11,384,000 in 1993).</w:t>
      </w:r>
    </w:p>
    <w:p>
      <w:pPr>
        <w:spacing w:after="0" w:line="174" w:lineRule="exact"/>
        <w:rPr>
          <w:sz w:val="20"/>
          <w:szCs w:val="20"/>
          <w:color w:val="auto"/>
        </w:rPr>
      </w:pPr>
    </w:p>
    <w:p>
      <w:pPr>
        <w:jc w:val="center"/>
        <w:ind w:right="3690"/>
        <w:spacing w:after="0"/>
        <w:rPr>
          <w:sz w:val="20"/>
          <w:szCs w:val="20"/>
          <w:color w:val="auto"/>
        </w:rPr>
      </w:pPr>
      <w:r>
        <w:rPr>
          <w:rFonts w:ascii="Courier New" w:cs="Courier New" w:eastAsia="Courier New" w:hAnsi="Courier New"/>
          <w:sz w:val="15"/>
          <w:szCs w:val="15"/>
          <w:color w:val="auto"/>
        </w:rPr>
        <w:t>In addition, the company's capital resources include two $20,000,000</w:t>
      </w:r>
    </w:p>
    <w:p>
      <w:pPr>
        <w:spacing w:after="0" w:line="5" w:lineRule="exact"/>
        <w:rPr>
          <w:sz w:val="20"/>
          <w:szCs w:val="20"/>
          <w:color w:val="auto"/>
        </w:rPr>
      </w:pPr>
    </w:p>
    <w:p>
      <w:pPr>
        <w:jc w:val="center"/>
        <w:ind w:right="3690"/>
        <w:spacing w:after="0"/>
        <w:rPr>
          <w:sz w:val="20"/>
          <w:szCs w:val="20"/>
          <w:color w:val="auto"/>
        </w:rPr>
      </w:pPr>
      <w:r>
        <w:rPr>
          <w:rFonts w:ascii="Courier New" w:cs="Courier New" w:eastAsia="Courier New" w:hAnsi="Courier New"/>
          <w:sz w:val="14"/>
          <w:szCs w:val="14"/>
          <w:color w:val="auto"/>
        </w:rPr>
        <w:t>bankers' acceptance financing agreements in 1995 and 1994. The company had</w:t>
      </w:r>
    </w:p>
    <w:p>
      <w:pPr>
        <w:spacing w:after="0" w:line="11"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$2,331,000 outstanding under these agreements at July 31, 1995, and no amount outstanding at July 31, 1994.</w:t>
      </w:r>
    </w:p>
    <w:p>
      <w:pPr>
        <w:spacing w:after="0" w:line="170" w:lineRule="exact"/>
        <w:rPr>
          <w:sz w:val="20"/>
          <w:szCs w:val="20"/>
          <w:color w:val="auto"/>
        </w:rPr>
      </w:pPr>
    </w:p>
    <w:p>
      <w:pPr>
        <w:ind w:left="270" w:hanging="270"/>
        <w:spacing w:after="0"/>
        <w:tabs>
          <w:tab w:leader="none" w:pos="27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summary of long-term debt is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0" w:hanging="170"/>
        <w:spacing w:after="0"/>
        <w:tabs>
          <w:tab w:leader="none" w:pos="17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(Dollars in thousands) July 31</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gridSpan w:val="3"/>
          </w:tcPr>
          <w:p>
            <w:pPr>
              <w:spacing w:after="0"/>
              <w:rPr>
                <w:sz w:val="20"/>
                <w:szCs w:val="20"/>
                <w:color w:val="auto"/>
              </w:rPr>
            </w:pPr>
            <w:r>
              <w:rPr>
                <w:rFonts w:ascii="Courier New" w:cs="Courier New" w:eastAsia="Courier New" w:hAnsi="Courier New"/>
                <w:sz w:val="15"/>
                <w:szCs w:val="15"/>
                <w:color w:val="auto"/>
              </w:rPr>
              <w:t>11% Sinking Fund Debentures due annually</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August 1998-2017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0"/>
        </w:trPr>
        <w:tc>
          <w:tcPr>
            <w:tcW w:w="4360" w:type="dxa"/>
            <w:vAlign w:val="bottom"/>
            <w:gridSpan w:val="3"/>
          </w:tcPr>
          <w:p>
            <w:pPr>
              <w:spacing w:after="0"/>
              <w:rPr>
                <w:sz w:val="20"/>
                <w:szCs w:val="20"/>
                <w:color w:val="auto"/>
              </w:rPr>
            </w:pPr>
            <w:r>
              <w:rPr>
                <w:rFonts w:ascii="Courier New" w:cs="Courier New" w:eastAsia="Courier New" w:hAnsi="Courier New"/>
                <w:sz w:val="15"/>
                <w:szCs w:val="15"/>
                <w:color w:val="auto"/>
              </w:rPr>
              <w:t>Industrial Revenue Bonds due annually</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August 1995-2009 with various interest rates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2,325</w:t>
            </w:r>
          </w:p>
        </w:tc>
      </w:tr>
      <w:tr>
        <w:trPr>
          <w:trHeight w:val="170"/>
        </w:trPr>
        <w:tc>
          <w:tcPr>
            <w:tcW w:w="4360" w:type="dxa"/>
            <w:vAlign w:val="bottom"/>
            <w:gridSpan w:val="3"/>
          </w:tcPr>
          <w:p>
            <w:pPr>
              <w:spacing w:after="0"/>
              <w:rPr>
                <w:sz w:val="20"/>
                <w:szCs w:val="20"/>
                <w:color w:val="auto"/>
              </w:rPr>
            </w:pPr>
            <w:r>
              <w:rPr>
                <w:rFonts w:ascii="Courier New" w:cs="Courier New" w:eastAsia="Courier New" w:hAnsi="Courier New"/>
                <w:sz w:val="15"/>
                <w:szCs w:val="15"/>
                <w:color w:val="auto"/>
              </w:rPr>
              <w:t>Industrial Revenue Bond due annually</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1996-2004</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with various interest rates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9.4% senior notes</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due September 1994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9.45%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senior note</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due February 1995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7.38%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senior note</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due August 1995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9.57%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senior note</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due January 1996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senior note</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due August 1996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bl>
    <w:p>
      <w:pPr>
        <w:spacing w:after="0" w:line="5" w:lineRule="exact"/>
        <w:rPr>
          <w:sz w:val="20"/>
          <w:szCs w:val="20"/>
          <w:color w:val="auto"/>
        </w:rPr>
      </w:pPr>
    </w:p>
    <w:p>
      <w:pPr>
        <w:ind w:left="170" w:hanging="170"/>
        <w:spacing w:after="0"/>
        <w:tabs>
          <w:tab w:leader="none" w:pos="17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46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81,025</w:t>
      </w:r>
      <w:r>
        <w:rPr>
          <w:rFonts w:ascii="Courier New" w:cs="Courier New" w:eastAsia="Courier New" w:hAnsi="Courier New"/>
          <w:sz w:val="14"/>
          <w:szCs w:val="14"/>
          <w:color w:val="auto"/>
        </w:rPr>
        <w:t>101,325</w:t>
      </w:r>
    </w:p>
    <w:tbl>
      <w:tblPr>
        <w:tblLayout w:type="fixed"/>
        <w:tblInd w:w="270" w:type="dxa"/>
        <w:tblCellMar>
          <w:top w:w="0" w:type="dxa"/>
          <w:left w:w="0" w:type="dxa"/>
          <w:bottom w:w="0" w:type="dxa"/>
          <w:right w:w="0" w:type="dxa"/>
        </w:tblCellMar>
      </w:tblP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16,090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20,300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$64,935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$ 81,025</w:t>
            </w:r>
          </w:p>
        </w:tc>
      </w:tr>
    </w:tbl>
    <w:p>
      <w:pPr>
        <w:spacing w:after="0" w:line="5" w:lineRule="exact"/>
        <w:rPr>
          <w:sz w:val="20"/>
          <w:szCs w:val="20"/>
          <w:color w:val="auto"/>
        </w:rPr>
      </w:pPr>
    </w:p>
    <w:p>
      <w:pPr>
        <w:ind w:left="170" w:hanging="170"/>
        <w:spacing w:after="0"/>
        <w:tabs>
          <w:tab w:leader="none" w:pos="17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10" w:right="3539" w:firstLine="264"/>
        <w:spacing w:after="0" w:line="237" w:lineRule="auto"/>
        <w:rPr>
          <w:sz w:val="20"/>
          <w:szCs w:val="20"/>
          <w:color w:val="auto"/>
        </w:rPr>
      </w:pPr>
      <w:r>
        <w:rPr>
          <w:rFonts w:ascii="Courier New" w:cs="Courier New" w:eastAsia="Courier New" w:hAnsi="Courier New"/>
          <w:sz w:val="15"/>
          <w:szCs w:val="15"/>
          <w:color w:val="auto"/>
        </w:rPr>
        <w:t>The weighted average interest rate on long-term debt for 1995 was 9.9 percent (9.8 percent in 1994 and 1993). Interest expense was $8,673,000 in 1995 ($12,236,000 in 1994 and $16,118,000 in 1993), including commitment and facility fees. The weighted average long-term debt outstanding was $87,330,000 in 1995 ($125,388,000 in 1994 and $164,107,000 in 1993).</w:t>
      </w:r>
    </w:p>
    <w:p>
      <w:pPr>
        <w:spacing w:after="0" w:line="173"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During 1994 the company entered into an interest rate exchange agreement</w:t>
      </w:r>
    </w:p>
    <w:p>
      <w:pPr>
        <w:ind w:left="10"/>
        <w:spacing w:after="0"/>
        <w:rPr>
          <w:sz w:val="20"/>
          <w:szCs w:val="20"/>
          <w:color w:val="auto"/>
        </w:rPr>
      </w:pPr>
      <w:r>
        <w:rPr>
          <w:rFonts w:ascii="Courier New" w:cs="Courier New" w:eastAsia="Courier New" w:hAnsi="Courier New"/>
          <w:sz w:val="15"/>
          <w:szCs w:val="15"/>
          <w:color w:val="auto"/>
        </w:rPr>
        <w:t>with a bank to preserve the value of the call option included in the</w:t>
      </w:r>
    </w:p>
    <w:p>
      <w:pPr>
        <w:ind w:left="10"/>
        <w:spacing w:after="0"/>
        <w:rPr>
          <w:sz w:val="20"/>
          <w:szCs w:val="20"/>
          <w:color w:val="auto"/>
        </w:rPr>
      </w:pPr>
      <w:r>
        <w:rPr>
          <w:rFonts w:ascii="Courier New" w:cs="Courier New" w:eastAsia="Courier New" w:hAnsi="Courier New"/>
          <w:sz w:val="15"/>
          <w:szCs w:val="15"/>
          <w:color w:val="auto"/>
        </w:rPr>
        <w:t>$50,000,000, 11%, long-term sinking fund debentures due August 1, 1998-2017,</w:t>
      </w:r>
    </w:p>
    <w:p>
      <w:pPr>
        <w:ind w:left="10"/>
        <w:spacing w:after="0" w:line="238" w:lineRule="auto"/>
        <w:rPr>
          <w:sz w:val="20"/>
          <w:szCs w:val="20"/>
          <w:color w:val="auto"/>
        </w:rPr>
      </w:pPr>
      <w:r>
        <w:rPr>
          <w:rFonts w:ascii="Courier New" w:cs="Courier New" w:eastAsia="Courier New" w:hAnsi="Courier New"/>
          <w:sz w:val="15"/>
          <w:szCs w:val="15"/>
          <w:color w:val="auto"/>
        </w:rPr>
        <w:t>and to benefit from favorable current interest rates. As a result of this</w:t>
      </w:r>
    </w:p>
    <w:p>
      <w:pPr>
        <w:sectPr>
          <w:pgSz w:w="11900" w:h="16838" w:orient="portrait"/>
          <w:cols w:equalWidth="0" w:num="1">
            <w:col w:w="10229"/>
          </w:cols>
          <w:pgMar w:left="230" w:top="622" w:right="1440" w:bottom="0" w:gutter="0" w:footer="0" w:header="0"/>
        </w:sectPr>
      </w:pPr>
    </w:p>
    <w:bookmarkStart w:id="70" w:name="page71"/>
    <w:bookmarkEnd w:id="70"/>
    <w:p>
      <w:pPr>
        <w:ind w:right="3439"/>
        <w:spacing w:after="0" w:line="257" w:lineRule="auto"/>
        <w:rPr>
          <w:sz w:val="20"/>
          <w:szCs w:val="20"/>
          <w:color w:val="auto"/>
        </w:rPr>
      </w:pPr>
      <w:r>
        <w:rPr>
          <w:rFonts w:ascii="Courier New" w:cs="Courier New" w:eastAsia="Courier New" w:hAnsi="Courier New"/>
          <w:sz w:val="14"/>
          <w:szCs w:val="14"/>
          <w:color w:val="auto"/>
        </w:rPr>
        <w:t>agreement the company received $5,250,000 which is recorded as deferred income on the consolidated balance sheets and will be amortized to interest expense over the term of the interest rate exchange agreement. In return, the company is obligated to pay 10.25% on a notational amount of $50,000,000 from August 1, 1997 through July 31, 2002 and the company will receive payments based on a floating rate equal to the London Interbank Offered Rate (LIBOR) on the notational amount of $50,000,000 for the same period.</w:t>
      </w:r>
    </w:p>
    <w:p>
      <w:pPr>
        <w:spacing w:after="0" w:line="167" w:lineRule="exact"/>
        <w:rPr>
          <w:sz w:val="20"/>
          <w:szCs w:val="20"/>
          <w:color w:val="auto"/>
        </w:rPr>
      </w:pPr>
    </w:p>
    <w:p>
      <w:pPr>
        <w:ind w:right="3539" w:firstLine="264"/>
        <w:spacing w:after="0" w:line="237" w:lineRule="auto"/>
        <w:rPr>
          <w:sz w:val="20"/>
          <w:szCs w:val="20"/>
          <w:color w:val="auto"/>
        </w:rPr>
      </w:pPr>
      <w:r>
        <w:rPr>
          <w:rFonts w:ascii="Courier New" w:cs="Courier New" w:eastAsia="Courier New" w:hAnsi="Courier New"/>
          <w:sz w:val="15"/>
          <w:szCs w:val="15"/>
          <w:color w:val="auto"/>
        </w:rPr>
        <w:t>Under the terms of the long-term debt agreements and the interest rate exchange agreement, the company is subject to certain covenants. At July 31, 1995, the company was in compliance with all such covenants.</w:t>
      </w:r>
    </w:p>
    <w:p>
      <w:pPr>
        <w:spacing w:after="0" w:line="175"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The terms of certain agreements of Toro Credit Company restrict the payment of dividends and loans or advances to the parent company. Of the Toro Credit Company retained earnings of $52,932,000, $28,769,000 were available for distribution to its parent at July 31, 1995.</w:t>
      </w:r>
    </w:p>
    <w:p>
      <w:pPr>
        <w:spacing w:after="0" w:line="176" w:lineRule="exact"/>
        <w:rPr>
          <w:sz w:val="20"/>
          <w:szCs w:val="20"/>
          <w:color w:val="auto"/>
        </w:rPr>
      </w:pPr>
    </w:p>
    <w:p>
      <w:pPr>
        <w:ind w:right="3539" w:firstLine="264"/>
        <w:spacing w:after="0" w:line="260"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July 31 are as follows: 1996, $16,090,000; 1997, $10,460,000; 1998, $485,000; 1999, $515,000; 2000, $545,000; and after 2000, $52,930,000.</w:t>
      </w:r>
    </w:p>
    <w:p>
      <w:pPr>
        <w:spacing w:after="0" w:line="327" w:lineRule="exact"/>
        <w:rPr>
          <w:sz w:val="20"/>
          <w:szCs w:val="20"/>
          <w:color w:val="auto"/>
        </w:rPr>
      </w:pPr>
    </w:p>
    <w:p>
      <w:pPr>
        <w:ind w:left="2820"/>
        <w:spacing w:after="0"/>
        <w:tabs>
          <w:tab w:leader="none" w:pos="4380" w:val="left"/>
          <w:tab w:leader="none" w:pos="6140" w:val="left"/>
        </w:tabs>
        <w:rPr>
          <w:sz w:val="20"/>
          <w:szCs w:val="20"/>
          <w:color w:val="auto"/>
        </w:rPr>
      </w:pPr>
      <w:r>
        <w:rPr>
          <w:rFonts w:ascii="Courier New" w:cs="Courier New" w:eastAsia="Courier New" w:hAnsi="Courier New"/>
          <w:sz w:val="15"/>
          <w:szCs w:val="15"/>
          <w:color w:val="auto"/>
        </w:rPr>
        <w:t>The Toro Company</w:t>
        <w:tab/>
        <w:t>1995 Annual Report</w:t>
        <w:tab/>
        <w:t>23</w:t>
      </w:r>
    </w:p>
    <w:p>
      <w:pPr>
        <w:sectPr>
          <w:pgSz w:w="11900" w:h="16838" w:orient="portrait"/>
          <w:cols w:equalWidth="0" w:num="1">
            <w:col w:w="10219"/>
          </w:cols>
          <w:pgMar w:left="240" w:top="142" w:right="1440" w:bottom="1440" w:gutter="0" w:footer="0" w:header="0"/>
        </w:sectPr>
      </w:pPr>
    </w:p>
    <w:bookmarkStart w:id="71" w:name="page72"/>
    <w:bookmarkEnd w:id="71"/>
    <w:p>
      <w:pPr>
        <w:ind w:left="270" w:hanging="270"/>
        <w:spacing w:after="0"/>
        <w:tabs>
          <w:tab w:leader="none" w:pos="27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A reconciliation of the statutory federal income tax rate to the company's consolidated effective tax rate is summarized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 w:hanging="170"/>
        <w:spacing w:after="0"/>
        <w:tabs>
          <w:tab w:leader="none" w:pos="17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Statutory</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federal</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income tax rate</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0"/>
        </w:trPr>
        <w:tc>
          <w:tcPr>
            <w:tcW w:w="3960" w:type="dxa"/>
            <w:vAlign w:val="bottom"/>
            <w:gridSpan w:val="3"/>
          </w:tcPr>
          <w:p>
            <w:pPr>
              <w:spacing w:after="0"/>
              <w:rPr>
                <w:sz w:val="20"/>
                <w:szCs w:val="20"/>
                <w:color w:val="auto"/>
              </w:rPr>
            </w:pPr>
            <w:r>
              <w:rPr>
                <w:rFonts w:ascii="Courier New" w:cs="Courier New" w:eastAsia="Courier New" w:hAnsi="Courier New"/>
                <w:sz w:val="15"/>
                <w:szCs w:val="15"/>
                <w:color w:val="auto"/>
              </w:rPr>
              <w:t>Increase (reduction) in income taxes</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resulting from:</w:t>
            </w: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Benefits from</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foreign sales corporation</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State and</w:t>
            </w:r>
          </w:p>
        </w:tc>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local income taxes, net of</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income tax benefit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foreign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source income</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Other, net</w:t>
            </w: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Consolidated effective tax rate</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bl>
    <w:p>
      <w:pPr>
        <w:spacing w:after="0" w:line="5" w:lineRule="exact"/>
        <w:rPr>
          <w:sz w:val="20"/>
          <w:szCs w:val="20"/>
          <w:color w:val="auto"/>
        </w:rPr>
      </w:pPr>
    </w:p>
    <w:p>
      <w:pPr>
        <w:ind w:left="170" w:hanging="170"/>
        <w:spacing w:after="0"/>
        <w:tabs>
          <w:tab w:leader="none" w:pos="17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Components of the provision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0" w:hanging="170"/>
        <w:spacing w:after="0"/>
        <w:tabs>
          <w:tab w:leader="none" w:pos="17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tbl>
      <w:tblPr>
        <w:tblLayout w:type="fixed"/>
        <w:tblInd w:w="10" w:type="dxa"/>
        <w:tblCellMar>
          <w:top w:w="0" w:type="dxa"/>
          <w:left w:w="0" w:type="dxa"/>
          <w:bottom w:w="0" w:type="dxa"/>
          <w:right w:w="0" w:type="dxa"/>
        </w:tblCellMar>
      </w:tblPr>
      <w:tr>
        <w:trPr>
          <w:trHeight w:val="169"/>
        </w:trPr>
        <w:tc>
          <w:tcPr>
            <w:tcW w:w="294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$24,878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$18,487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$8,986</w:t>
            </w: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Current provision</w:t>
            </w:r>
          </w:p>
        </w:tc>
        <w:tc>
          <w:tcPr>
            <w:tcW w:w="2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27,820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21,097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9,862</w:t>
            </w:r>
          </w:p>
        </w:tc>
      </w:tr>
    </w:tbl>
    <w:p>
      <w:pPr>
        <w:spacing w:after="0" w:line="5" w:lineRule="exact"/>
        <w:rPr>
          <w:sz w:val="20"/>
          <w:szCs w:val="20"/>
          <w:color w:val="auto"/>
        </w:rPr>
      </w:pPr>
    </w:p>
    <w:p>
      <w:pPr>
        <w:ind w:left="170" w:hanging="170"/>
        <w:spacing w:after="0"/>
        <w:tabs>
          <w:tab w:leader="none" w:pos="17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Deferred:</w:t>
      </w:r>
    </w:p>
    <w:tbl>
      <w:tblPr>
        <w:tblLayout w:type="fixed"/>
        <w:tblInd w:w="170" w:type="dxa"/>
        <w:tblCellMar>
          <w:top w:w="0" w:type="dxa"/>
          <w:left w:w="0" w:type="dxa"/>
          <w:bottom w:w="0" w:type="dxa"/>
          <w:right w:w="0" w:type="dxa"/>
        </w:tblCellMar>
      </w:tblPr>
      <w:tr>
        <w:trPr>
          <w:trHeight w:val="169"/>
        </w:trPr>
        <w:tc>
          <w:tcPr>
            <w:tcW w:w="226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2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(5,059)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(1,288)</w:t>
            </w:r>
          </w:p>
        </w:tc>
      </w:t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2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70"/>
        <w:spacing w:after="0"/>
        <w:tabs>
          <w:tab w:leader="none" w:pos="4029" w:val="left"/>
          <w:tab w:leader="none" w:pos="5189" w:val="left"/>
          <w:tab w:leader="none" w:pos="6509" w:val="left"/>
        </w:tabs>
        <w:rPr>
          <w:sz w:val="20"/>
          <w:szCs w:val="20"/>
          <w:color w:val="auto"/>
        </w:rPr>
      </w:pPr>
      <w:r>
        <w:rPr>
          <w:rFonts w:ascii="Courier New" w:cs="Courier New" w:eastAsia="Courier New" w:hAnsi="Courier New"/>
          <w:sz w:val="15"/>
          <w:szCs w:val="15"/>
          <w:color w:val="auto"/>
        </w:rPr>
        <w:t>Deferred provision</w:t>
      </w:r>
      <w:r>
        <w:rPr>
          <w:sz w:val="20"/>
          <w:szCs w:val="20"/>
          <w:color w:val="auto"/>
        </w:rPr>
        <w:tab/>
      </w:r>
      <w:r>
        <w:rPr>
          <w:rFonts w:ascii="Courier New" w:cs="Courier New" w:eastAsia="Courier New" w:hAnsi="Courier New"/>
          <w:sz w:val="15"/>
          <w:szCs w:val="15"/>
          <w:color w:val="auto"/>
        </w:rPr>
        <w:t>(3,375)</w:t>
      </w:r>
      <w:r>
        <w:rPr>
          <w:sz w:val="20"/>
          <w:szCs w:val="20"/>
          <w:color w:val="auto"/>
        </w:rPr>
        <w:tab/>
      </w:r>
      <w:r>
        <w:rPr>
          <w:rFonts w:ascii="Courier New" w:cs="Courier New" w:eastAsia="Courier New" w:hAnsi="Courier New"/>
          <w:sz w:val="15"/>
          <w:szCs w:val="15"/>
          <w:color w:val="auto"/>
        </w:rPr>
        <w:t>(6,277)</w:t>
      </w:r>
      <w:r>
        <w:rPr>
          <w:sz w:val="20"/>
          <w:szCs w:val="20"/>
          <w:color w:val="auto"/>
        </w:rPr>
        <w:tab/>
      </w:r>
      <w:r>
        <w:rPr>
          <w:rFonts w:ascii="Courier New" w:cs="Courier New" w:eastAsia="Courier New" w:hAnsi="Courier New"/>
          <w:sz w:val="14"/>
          <w:szCs w:val="14"/>
          <w:color w:val="auto"/>
        </w:rPr>
        <w:t>(1,547)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0"/>
        <w:spacing w:after="0"/>
        <w:tabs>
          <w:tab w:leader="none" w:pos="3949" w:val="left"/>
          <w:tab w:leader="none" w:pos="5089" w:val="left"/>
          <w:tab w:leader="none" w:pos="6509" w:val="left"/>
        </w:tabs>
        <w:rPr>
          <w:sz w:val="20"/>
          <w:szCs w:val="20"/>
          <w:color w:val="auto"/>
        </w:rPr>
      </w:pPr>
      <w:r>
        <w:rPr>
          <w:rFonts w:ascii="Courier New" w:cs="Courier New" w:eastAsia="Courier New" w:hAnsi="Courier New"/>
          <w:sz w:val="15"/>
          <w:szCs w:val="15"/>
          <w:color w:val="auto"/>
        </w:rPr>
        <w:t>Total provision for income taxes</w:t>
      </w:r>
      <w:r>
        <w:rPr>
          <w:sz w:val="20"/>
          <w:szCs w:val="20"/>
          <w:color w:val="auto"/>
        </w:rPr>
        <w:tab/>
      </w:r>
      <w:r>
        <w:rPr>
          <w:rFonts w:ascii="Courier New" w:cs="Courier New" w:eastAsia="Courier New" w:hAnsi="Courier New"/>
          <w:sz w:val="15"/>
          <w:szCs w:val="15"/>
          <w:color w:val="auto"/>
        </w:rPr>
        <w:t>$24,445</w:t>
      </w:r>
      <w:r>
        <w:rPr>
          <w:sz w:val="20"/>
          <w:szCs w:val="20"/>
          <w:color w:val="auto"/>
        </w:rPr>
        <w:tab/>
      </w:r>
      <w:r>
        <w:rPr>
          <w:rFonts w:ascii="Courier New" w:cs="Courier New" w:eastAsia="Courier New" w:hAnsi="Courier New"/>
          <w:sz w:val="15"/>
          <w:szCs w:val="15"/>
          <w:color w:val="auto"/>
        </w:rPr>
        <w:t>$14,820</w:t>
      </w:r>
      <w:r>
        <w:rPr>
          <w:sz w:val="20"/>
          <w:szCs w:val="20"/>
          <w:color w:val="auto"/>
        </w:rPr>
        <w:tab/>
      </w:r>
      <w:r>
        <w:rPr>
          <w:rFonts w:ascii="Courier New" w:cs="Courier New" w:eastAsia="Courier New" w:hAnsi="Courier New"/>
          <w:sz w:val="14"/>
          <w:szCs w:val="14"/>
          <w:color w:val="auto"/>
        </w:rPr>
        <w:t>$8,315</w:t>
      </w:r>
    </w:p>
    <w:p>
      <w:pPr>
        <w:spacing w:after="0" w:line="5" w:lineRule="exact"/>
        <w:rPr>
          <w:sz w:val="20"/>
          <w:szCs w:val="20"/>
          <w:color w:val="auto"/>
        </w:rPr>
      </w:pPr>
    </w:p>
    <w:p>
      <w:pPr>
        <w:ind w:left="170" w:hanging="170"/>
        <w:spacing w:after="0"/>
        <w:tabs>
          <w:tab w:leader="none" w:pos="17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10" w:right="4139" w:firstLine="264"/>
        <w:spacing w:after="0" w:line="265" w:lineRule="auto"/>
        <w:rPr>
          <w:sz w:val="20"/>
          <w:szCs w:val="20"/>
          <w:color w:val="auto"/>
        </w:rPr>
      </w:pPr>
      <w:r>
        <w:rPr>
          <w:rFonts w:ascii="Courier New" w:cs="Courier New" w:eastAsia="Courier New" w:hAnsi="Courier New"/>
          <w:sz w:val="14"/>
          <w:szCs w:val="14"/>
          <w:color w:val="auto"/>
        </w:rPr>
        <w:t>The tax effects of temporary differences that give rise to the net deferred tax assets at July 31, 1995, and 1994 are presented below.</w:t>
      </w:r>
    </w:p>
    <w:p>
      <w:pPr>
        <w:spacing w:after="0" w:line="200" w:lineRule="exact"/>
        <w:rPr>
          <w:sz w:val="20"/>
          <w:szCs w:val="20"/>
          <w:color w:val="auto"/>
        </w:rPr>
      </w:pPr>
    </w:p>
    <w:p>
      <w:pPr>
        <w:spacing w:after="0" w:line="292" w:lineRule="exact"/>
        <w:rPr>
          <w:sz w:val="20"/>
          <w:szCs w:val="20"/>
          <w:color w:val="auto"/>
        </w:rPr>
      </w:pPr>
    </w:p>
    <w:p>
      <w:pPr>
        <w:ind w:left="170" w:hanging="170"/>
        <w:spacing w:after="0"/>
        <w:tabs>
          <w:tab w:leader="none" w:pos="17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w:t>
      </w:r>
    </w:p>
    <w:tbl>
      <w:tblPr>
        <w:tblLayout w:type="fixed"/>
        <w:tblInd w:w="10" w:type="dxa"/>
        <w:tblCellMar>
          <w:top w:w="0" w:type="dxa"/>
          <w:left w:w="0" w:type="dxa"/>
          <w:bottom w:w="0" w:type="dxa"/>
          <w:right w:w="0" w:type="dxa"/>
        </w:tblCellMar>
      </w:tblPr>
      <w:tr>
        <w:trPr>
          <w:trHeight w:val="169"/>
        </w:trPr>
        <w:tc>
          <w:tcPr>
            <w:tcW w:w="294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$ 3,971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$ 3,256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Inventory reserves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Uniform capitalization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Warranty reserves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13,694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12,688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Marketing programs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Distributor reserves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Restructuring reserves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Accrued retirement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(538)</w:t>
            </w:r>
          </w:p>
        </w:tc>
      </w:tr>
    </w:tbl>
    <w:p>
      <w:pPr>
        <w:ind w:left="10"/>
        <w:spacing w:after="0"/>
        <w:rPr>
          <w:sz w:val="20"/>
          <w:szCs w:val="20"/>
          <w:color w:val="auto"/>
        </w:rPr>
      </w:pPr>
      <w:r>
        <w:rPr>
          <w:rFonts w:ascii="Courier New" w:cs="Courier New" w:eastAsia="Courier New" w:hAnsi="Courier New"/>
          <w:sz w:val="15"/>
          <w:szCs w:val="15"/>
          <w:color w:val="auto"/>
        </w:rPr>
        <w:t>- - --------------------------------------------------------------------</w:t>
      </w:r>
    </w:p>
    <w:tbl>
      <w:tblPr>
        <w:tblLayout w:type="fixed"/>
        <w:tblInd w:w="10" w:type="dxa"/>
        <w:tblCellMar>
          <w:top w:w="0" w:type="dxa"/>
          <w:left w:w="0" w:type="dxa"/>
          <w:bottom w:w="0" w:type="dxa"/>
          <w:right w:w="0" w:type="dxa"/>
        </w:tblCellMar>
      </w:tblPr>
      <w:tr>
        <w:trPr>
          <w:trHeight w:val="16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Consolidated deferred income tax assets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$26,002</w:t>
            </w:r>
          </w:p>
        </w:tc>
      </w:tr>
    </w:tbl>
    <w:p>
      <w:pPr>
        <w:ind w:left="170" w:hanging="170"/>
        <w:spacing w:after="0"/>
        <w:tabs>
          <w:tab w:leader="none" w:pos="17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left="10" w:right="3539" w:firstLine="264"/>
        <w:spacing w:after="0" w:line="237" w:lineRule="auto"/>
        <w:rPr>
          <w:sz w:val="20"/>
          <w:szCs w:val="20"/>
          <w:color w:val="auto"/>
        </w:rPr>
      </w:pPr>
      <w:r>
        <w:rPr>
          <w:rFonts w:ascii="Courier New" w:cs="Courier New" w:eastAsia="Courier New" w:hAnsi="Courier New"/>
          <w:sz w:val="15"/>
          <w:szCs w:val="15"/>
          <w:color w:val="auto"/>
        </w:rPr>
        <w:t>During the year ended July 31, 1995, and 1994, respectively, $1,178,000 and $953,000 were added to additional paid-in capital in accordance with "Accounting Principal Board" opinion 25 reflecting the permanent book to tax difference in accounting for tax benefits related to employee stock option transactions.</w:t>
      </w:r>
    </w:p>
    <w:p>
      <w:pPr>
        <w:spacing w:after="0" w:line="342" w:lineRule="exact"/>
        <w:rPr>
          <w:sz w:val="20"/>
          <w:szCs w:val="20"/>
          <w:color w:val="auto"/>
        </w:rPr>
      </w:pPr>
    </w:p>
    <w:p>
      <w:pPr>
        <w:ind w:left="10"/>
        <w:spacing w:after="0"/>
        <w:tabs>
          <w:tab w:leader="none" w:pos="329" w:val="left"/>
          <w:tab w:leader="none" w:pos="1909" w:val="left"/>
        </w:tabs>
        <w:rPr>
          <w:sz w:val="20"/>
          <w:szCs w:val="20"/>
          <w:color w:val="auto"/>
        </w:rPr>
      </w:pPr>
      <w:r>
        <w:rPr>
          <w:rFonts w:ascii="Courier New" w:cs="Courier New" w:eastAsia="Courier New" w:hAnsi="Courier New"/>
          <w:sz w:val="15"/>
          <w:szCs w:val="15"/>
          <w:color w:val="auto"/>
        </w:rPr>
        <w:t>24</w:t>
        <w:tab/>
        <w:t>The Toro Company</w:t>
      </w:r>
      <w:r>
        <w:rPr>
          <w:sz w:val="20"/>
          <w:szCs w:val="20"/>
          <w:color w:val="auto"/>
        </w:rPr>
        <w:tab/>
      </w:r>
      <w:r>
        <w:rPr>
          <w:rFonts w:ascii="Courier New" w:cs="Courier New" w:eastAsia="Courier New" w:hAnsi="Courier New"/>
          <w:sz w:val="14"/>
          <w:szCs w:val="14"/>
          <w:color w:val="auto"/>
        </w:rPr>
        <w:t>1995 Annual Report</w:t>
      </w:r>
    </w:p>
    <w:p>
      <w:pPr>
        <w:sectPr>
          <w:pgSz w:w="11900" w:h="16838" w:orient="portrait"/>
          <w:cols w:equalWidth="0" w:num="1">
            <w:col w:w="10229"/>
          </w:cols>
          <w:pgMar w:left="230" w:top="791" w:right="1440" w:bottom="226" w:gutter="0" w:footer="0" w:header="0"/>
        </w:sectPr>
      </w:pPr>
    </w:p>
    <w:bookmarkStart w:id="72" w:name="page73"/>
    <w:bookmarkEnd w:id="72"/>
    <w:p>
      <w:pPr>
        <w:ind w:left="270" w:hanging="270"/>
        <w:spacing w:after="0"/>
        <w:tabs>
          <w:tab w:leader="none" w:pos="27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STOCKHOLDERS' EQUITY</w:t>
      </w:r>
    </w:p>
    <w:p>
      <w:pPr>
        <w:spacing w:after="0" w:line="17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Changes in the components of common stockholders' equity during fiscal years ended July 31, 1995, 1994, and 1993 were as follows:</w:t>
      </w:r>
    </w:p>
    <w:p>
      <w:pPr>
        <w:spacing w:after="0" w:line="200" w:lineRule="exact"/>
        <w:rPr>
          <w:sz w:val="20"/>
          <w:szCs w:val="20"/>
          <w:color w:val="auto"/>
        </w:rPr>
      </w:pPr>
    </w:p>
    <w:p>
      <w:pPr>
        <w:spacing w:after="0" w:line="315" w:lineRule="exact"/>
        <w:rPr>
          <w:sz w:val="20"/>
          <w:szCs w:val="20"/>
          <w:color w:val="auto"/>
        </w:rPr>
      </w:pPr>
    </w:p>
    <w:p>
      <w:pPr>
        <w:ind w:left="170" w:hanging="170"/>
        <w:spacing w:after="0"/>
        <w:tabs>
          <w:tab w:leader="none" w:pos="1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8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Foreign</w:t>
      </w:r>
    </w:p>
    <w:tbl>
      <w:tblPr>
        <w:tblLayout w:type="fixed"/>
        <w:tblInd w:w="10" w:type="dxa"/>
        <w:tblCellMar>
          <w:top w:w="0" w:type="dxa"/>
          <w:left w:w="0" w:type="dxa"/>
          <w:bottom w:w="0" w:type="dxa"/>
          <w:right w:w="0" w:type="dxa"/>
        </w:tblCellMar>
      </w:tblPr>
      <w:tr>
        <w:trPr>
          <w:trHeight w:val="169"/>
        </w:trPr>
        <w:tc>
          <w:tcPr>
            <w:tcW w:w="2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Receivable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Currency</w:t>
            </w:r>
          </w:p>
        </w:tc>
      </w:tr>
      <w:tr>
        <w:trPr>
          <w:trHeight w:val="170"/>
        </w:trPr>
        <w:tc>
          <w:tcPr>
            <w:tcW w:w="2940" w:type="dxa"/>
            <w:vAlign w:val="bottom"/>
          </w:tcPr>
          <w:p>
            <w:pPr>
              <w:spacing w:after="0"/>
              <w:rPr>
                <w:sz w:val="14"/>
                <w:szCs w:val="14"/>
                <w:color w:val="auto"/>
              </w:rPr>
            </w:pP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Paid-in</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Retained</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from</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Translation</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Earnings</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ESOP</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Adjustment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10"/>
        <w:spacing w:after="0"/>
        <w:tabs>
          <w:tab w:leader="none" w:pos="3849" w:val="left"/>
          <w:tab w:leader="none" w:pos="4909" w:val="left"/>
          <w:tab w:leader="none" w:pos="6069" w:val="left"/>
          <w:tab w:leader="none" w:pos="7289" w:val="left"/>
          <w:tab w:leader="none" w:pos="8269" w:val="left"/>
          <w:tab w:leader="none" w:pos="8969" w:val="left"/>
        </w:tabs>
        <w:rPr>
          <w:sz w:val="20"/>
          <w:szCs w:val="20"/>
          <w:color w:val="auto"/>
        </w:rPr>
      </w:pPr>
      <w:r>
        <w:rPr>
          <w:rFonts w:ascii="Courier New" w:cs="Courier New" w:eastAsia="Courier New" w:hAnsi="Courier New"/>
          <w:sz w:val="15"/>
          <w:szCs w:val="15"/>
          <w:color w:val="auto"/>
        </w:rPr>
        <w:t>Balance at July 31, 1992</w:t>
      </w:r>
      <w:r>
        <w:rPr>
          <w:sz w:val="20"/>
          <w:szCs w:val="20"/>
          <w:color w:val="auto"/>
        </w:rPr>
        <w:tab/>
      </w:r>
      <w:r>
        <w:rPr>
          <w:rFonts w:ascii="Courier New" w:cs="Courier New" w:eastAsia="Courier New" w:hAnsi="Courier New"/>
          <w:sz w:val="15"/>
          <w:szCs w:val="15"/>
          <w:color w:val="auto"/>
        </w:rPr>
        <w:t>$12,042</w:t>
      </w:r>
      <w:r>
        <w:rPr>
          <w:sz w:val="20"/>
          <w:szCs w:val="20"/>
          <w:color w:val="auto"/>
        </w:rPr>
        <w:tab/>
      </w:r>
      <w:r>
        <w:rPr>
          <w:rFonts w:ascii="Courier New" w:cs="Courier New" w:eastAsia="Courier New" w:hAnsi="Courier New"/>
          <w:sz w:val="15"/>
          <w:szCs w:val="15"/>
          <w:color w:val="auto"/>
        </w:rPr>
        <w:t>$42,171</w:t>
      </w:r>
      <w:r>
        <w:rPr>
          <w:sz w:val="20"/>
          <w:szCs w:val="20"/>
          <w:color w:val="auto"/>
        </w:rPr>
        <w:tab/>
      </w:r>
      <w:r>
        <w:rPr>
          <w:rFonts w:ascii="Courier New" w:cs="Courier New" w:eastAsia="Courier New" w:hAnsi="Courier New"/>
          <w:sz w:val="15"/>
          <w:szCs w:val="15"/>
          <w:color w:val="auto"/>
        </w:rPr>
        <w:t>$86,235</w:t>
      </w:r>
      <w:r>
        <w:rPr>
          <w:sz w:val="20"/>
          <w:szCs w:val="20"/>
          <w:color w:val="auto"/>
        </w:rPr>
        <w:tab/>
      </w:r>
      <w:r>
        <w:rPr>
          <w:rFonts w:ascii="Courier New" w:cs="Courier New" w:eastAsia="Courier New" w:hAnsi="Courier New"/>
          <w:sz w:val="15"/>
          <w:szCs w:val="15"/>
          <w:color w:val="auto"/>
        </w:rPr>
        <w:t>$(7,834)</w:t>
        <w:tab/>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70" w:hanging="170"/>
        <w:spacing w:after="0"/>
        <w:tabs>
          <w:tab w:leader="none" w:pos="1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Common dividends</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paid ($0.48 per share)</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(5,824)</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272,149 shares under stock</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440" w:type="dxa"/>
            <w:vAlign w:val="bottom"/>
          </w:tcPr>
          <w:p>
            <w:pPr>
              <w:ind w:left="160"/>
              <w:spacing w:after="0"/>
              <w:rPr>
                <w:sz w:val="20"/>
                <w:szCs w:val="20"/>
                <w:color w:val="auto"/>
              </w:rPr>
            </w:pPr>
            <w:r>
              <w:rPr>
                <w:rFonts w:ascii="Courier New" w:cs="Courier New" w:eastAsia="Courier New" w:hAnsi="Courier New"/>
                <w:sz w:val="15"/>
                <w:szCs w:val="15"/>
                <w:color w:val="auto"/>
              </w:rPr>
              <w:t>option plans</w:t>
            </w:r>
          </w:p>
        </w:tc>
        <w:tc>
          <w:tcPr>
            <w:tcW w:w="23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272</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3,499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Purchase of 43,242 common shares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(772)</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Payment received</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from ESOP</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Foreign currency</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(795)</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3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13,040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at July 31, 1993</w:t>
            </w:r>
          </w:p>
        </w:tc>
        <w:tc>
          <w:tcPr>
            <w:tcW w:w="1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12,270</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44,898</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93,451</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(5,223)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(795)</w:t>
            </w:r>
          </w:p>
        </w:tc>
      </w:tr>
    </w:tbl>
    <w:p>
      <w:pPr>
        <w:spacing w:after="0" w:line="5" w:lineRule="exact"/>
        <w:rPr>
          <w:sz w:val="20"/>
          <w:szCs w:val="20"/>
          <w:color w:val="auto"/>
        </w:rPr>
      </w:pPr>
    </w:p>
    <w:p>
      <w:pPr>
        <w:ind w:left="170" w:hanging="170"/>
        <w:spacing w:after="0"/>
        <w:tabs>
          <w:tab w:leader="none" w:pos="17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Common dividends paid ($0.48 per share)</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(5,993)</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Issuance of 388,558 shares under stock</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option plans</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5,756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Purchase of 97,758 common shares</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Payment received from ESOP</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2,611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Tax benefits related to employee stock option</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transactions</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953</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22,230</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at July 31, 1994</w:t>
            </w:r>
          </w:p>
        </w:tc>
        <w:tc>
          <w:tcPr>
            <w:tcW w:w="1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12,561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49,420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109,688</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bl>
    <w:p>
      <w:pPr>
        <w:spacing w:after="0" w:line="5" w:lineRule="exact"/>
        <w:rPr>
          <w:sz w:val="20"/>
          <w:szCs w:val="20"/>
          <w:color w:val="auto"/>
        </w:rPr>
      </w:pPr>
    </w:p>
    <w:p>
      <w:pPr>
        <w:ind w:left="170" w:hanging="170"/>
        <w:spacing w:after="0"/>
        <w:tabs>
          <w:tab w:leader="none" w:pos="17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Common dividends paid ($0.48 per share)</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(6,002)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Issuance of 444,783 shares under stock</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option plans</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7,806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Purchase of 965,757 common shares</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(25,259)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Payment received from ESOP</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338</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Tax benefits related to employee stock option</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transactions</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1,178</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36,667</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0"/>
        <w:spacing w:after="0"/>
        <w:tabs>
          <w:tab w:leader="none" w:pos="3849" w:val="left"/>
          <w:tab w:leader="none" w:pos="4829" w:val="left"/>
          <w:tab w:leader="none" w:pos="5969" w:val="left"/>
          <w:tab w:leader="none" w:pos="7289" w:val="left"/>
          <w:tab w:leader="none" w:pos="7829" w:val="left"/>
          <w:tab w:leader="none" w:pos="8349" w:val="left"/>
          <w:tab w:leader="none" w:pos="8889" w:val="left"/>
        </w:tabs>
        <w:rPr>
          <w:sz w:val="20"/>
          <w:szCs w:val="20"/>
          <w:color w:val="auto"/>
        </w:rPr>
      </w:pPr>
      <w:r>
        <w:rPr>
          <w:rFonts w:ascii="Courier New" w:cs="Courier New" w:eastAsia="Courier New" w:hAnsi="Courier New"/>
          <w:sz w:val="15"/>
          <w:szCs w:val="15"/>
          <w:color w:val="auto"/>
        </w:rPr>
        <w:t>Balance at July 31, 1995</w:t>
      </w:r>
      <w:r>
        <w:rPr>
          <w:sz w:val="20"/>
          <w:szCs w:val="20"/>
          <w:color w:val="auto"/>
        </w:rPr>
        <w:tab/>
      </w:r>
      <w:r>
        <w:rPr>
          <w:rFonts w:ascii="Courier New" w:cs="Courier New" w:eastAsia="Courier New" w:hAnsi="Courier New"/>
          <w:sz w:val="15"/>
          <w:szCs w:val="15"/>
          <w:color w:val="auto"/>
        </w:rPr>
        <w:t>$12,040</w:t>
      </w:r>
      <w:r>
        <w:rPr>
          <w:sz w:val="20"/>
          <w:szCs w:val="20"/>
          <w:color w:val="auto"/>
        </w:rPr>
        <w:tab/>
      </w:r>
      <w:r>
        <w:rPr>
          <w:rFonts w:ascii="Courier New" w:cs="Courier New" w:eastAsia="Courier New" w:hAnsi="Courier New"/>
          <w:sz w:val="15"/>
          <w:szCs w:val="15"/>
          <w:color w:val="auto"/>
        </w:rPr>
        <w:t>$ 33,145</w:t>
      </w:r>
      <w:r>
        <w:rPr>
          <w:sz w:val="20"/>
          <w:szCs w:val="20"/>
          <w:color w:val="auto"/>
        </w:rPr>
        <w:tab/>
      </w:r>
      <w:r>
        <w:rPr>
          <w:rFonts w:ascii="Courier New" w:cs="Courier New" w:eastAsia="Courier New" w:hAnsi="Courier New"/>
          <w:sz w:val="15"/>
          <w:szCs w:val="15"/>
          <w:color w:val="auto"/>
        </w:rPr>
        <w:t>$140,353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(67)</w:t>
      </w:r>
    </w:p>
    <w:p>
      <w:pPr>
        <w:spacing w:after="0" w:line="5" w:lineRule="exact"/>
        <w:rPr>
          <w:sz w:val="20"/>
          <w:szCs w:val="20"/>
          <w:color w:val="auto"/>
        </w:rPr>
      </w:pPr>
    </w:p>
    <w:p>
      <w:pPr>
        <w:ind w:left="170" w:hanging="170"/>
        <w:spacing w:after="0"/>
        <w:tabs>
          <w:tab w:leader="none" w:pos="17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10" w:right="3439" w:firstLine="264"/>
        <w:spacing w:after="0" w:line="238" w:lineRule="auto"/>
        <w:rPr>
          <w:sz w:val="20"/>
          <w:szCs w:val="20"/>
          <w:color w:val="auto"/>
        </w:rPr>
      </w:pPr>
      <w:r>
        <w:rPr>
          <w:rFonts w:ascii="Courier New" w:cs="Courier New" w:eastAsia="Courier New" w:hAnsi="Courier New"/>
          <w:sz w:val="15"/>
          <w:szCs w:val="15"/>
          <w:color w:val="auto"/>
        </w:rPr>
        <w:t>Under the terms of a Preferred Stock Rights Agreement established June 14, 1988,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$85 per one one-hundredth of a Preferred Share. The rights become exercisable and tradable 10 days after a person or a group acquires 20% or more, or makes an offer to acquire 20% or more, of the company's outstanding common stock. At no time do the rights have any voting power. The rights may be redeemed by the company for $0.01 per right at any time prior to the time that a person or group has acquired beneficial ownership of 20% or more of the common shares.</w:t>
      </w:r>
    </w:p>
    <w:p>
      <w:pPr>
        <w:spacing w:after="0" w:line="346" w:lineRule="exact"/>
        <w:rPr>
          <w:sz w:val="20"/>
          <w:szCs w:val="20"/>
          <w:color w:val="auto"/>
        </w:rPr>
      </w:pPr>
    </w:p>
    <w:p>
      <w:pPr>
        <w:ind w:left="2830"/>
        <w:spacing w:after="0"/>
        <w:tabs>
          <w:tab w:leader="none" w:pos="4389" w:val="left"/>
          <w:tab w:leader="none" w:pos="6149" w:val="left"/>
        </w:tabs>
        <w:rPr>
          <w:sz w:val="20"/>
          <w:szCs w:val="20"/>
          <w:color w:val="auto"/>
        </w:rPr>
      </w:pPr>
      <w:r>
        <w:rPr>
          <w:rFonts w:ascii="Courier New" w:cs="Courier New" w:eastAsia="Courier New" w:hAnsi="Courier New"/>
          <w:sz w:val="15"/>
          <w:szCs w:val="15"/>
          <w:color w:val="auto"/>
        </w:rPr>
        <w:t>The Toro Company</w:t>
        <w:tab/>
        <w:t>1995 Annual Report</w:t>
        <w:tab/>
        <w:t>25</w:t>
      </w:r>
    </w:p>
    <w:p>
      <w:pPr>
        <w:sectPr>
          <w:pgSz w:w="11900" w:h="16838" w:orient="portrait"/>
          <w:cols w:equalWidth="0" w:num="1">
            <w:col w:w="10229"/>
          </w:cols>
          <w:pgMar w:left="230" w:top="791" w:right="1440" w:bottom="1440" w:gutter="0" w:footer="0" w:header="0"/>
        </w:sectPr>
      </w:pPr>
    </w:p>
    <w:bookmarkStart w:id="73" w:name="page74"/>
    <w:bookmarkEnd w:id="73"/>
    <w:p>
      <w:pPr>
        <w:ind w:left="270" w:hanging="270"/>
        <w:spacing w:after="0"/>
        <w:tabs>
          <w:tab w:leader="none" w:pos="27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75" w:lineRule="exact"/>
        <w:rPr>
          <w:sz w:val="20"/>
          <w:szCs w:val="20"/>
          <w:color w:val="auto"/>
        </w:rPr>
      </w:pPr>
    </w:p>
    <w:p>
      <w:pPr>
        <w:ind w:left="10" w:right="3439"/>
        <w:spacing w:after="0" w:line="239" w:lineRule="auto"/>
        <w:rPr>
          <w:sz w:val="20"/>
          <w:szCs w:val="20"/>
          <w:color w:val="auto"/>
        </w:rPr>
      </w:pPr>
      <w:r>
        <w:rPr>
          <w:rFonts w:ascii="Courier New" w:cs="Courier New" w:eastAsia="Courier New" w:hAnsi="Courier New"/>
          <w:sz w:val="15"/>
          <w:szCs w:val="15"/>
          <w:color w:val="auto"/>
        </w:rPr>
        <w:t>Incentive stock options and non-qualified options may be granted under the terms of the 1985 Incentive Stock Option Plan, the 1989 Stock Option Plan and the 1993 Stock Option Plan (the "Plans"). Each incentive stock option is granted at an exercise price equal to 100% of the fair market value of the common stock on the date of the grant. The exercise price of a non-qualified stock option may be determined by the Compensation Committee of the Board of Directors, but may not be less than 50% of the fair market value of the common stock on the date of grant. Stock options granted under the Plans may be exercised in whole or in part from time to time, not later than 10 years from the date of grant or other period, as specified in the option agreement. Most stock options are subject to cancellation upon termination of the optionee's employment. However, some non-qualified options granted under the Plans can be exercised for up to four years after retirement, at or after age 60, but not beyond the date the option originally expires. During 1992, the stockholders voted to increase the shares reserved for future stock option grants under the 1989 plan by 500,000 shares. During 1994, the stockholders approved the 1993 Stock Option Plan authorizing a reserve of 1,000,000 shares for future stock option grants. Stock option transactions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 w:hanging="170"/>
        <w:spacing w:after="0"/>
        <w:tabs>
          <w:tab w:leader="none" w:pos="17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1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1,259,509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1,421,923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1,329,069</w:t>
            </w: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323,474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264,217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418,200</w:t>
            </w:r>
          </w:p>
        </w:tc>
      </w:tr>
      <w:tr>
        <w:trPr>
          <w:trHeight w:val="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Exercised or cancelled</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(416,404)</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(426,631)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(325,346)</w:t>
            </w:r>
          </w:p>
        </w:tc>
      </w:tr>
    </w:tbl>
    <w:p>
      <w:pPr>
        <w:spacing w:after="0" w:line="175" w:lineRule="exact"/>
        <w:rPr>
          <w:sz w:val="20"/>
          <w:szCs w:val="20"/>
          <w:color w:val="auto"/>
        </w:rPr>
      </w:pPr>
    </w:p>
    <w:p>
      <w:pPr>
        <w:ind w:left="10" w:right="2559"/>
        <w:spacing w:after="0" w:line="237" w:lineRule="auto"/>
        <w:rPr>
          <w:sz w:val="20"/>
          <w:szCs w:val="20"/>
          <w:color w:val="auto"/>
        </w:rPr>
      </w:pPr>
      <w:r>
        <w:rPr>
          <w:rFonts w:ascii="Courier New" w:cs="Courier New" w:eastAsia="Courier New" w:hAnsi="Courier New"/>
          <w:sz w:val="15"/>
          <w:szCs w:val="15"/>
          <w:color w:val="auto"/>
        </w:rPr>
        <w:t>- - ----------------------------------------------------------------------------------- Outstanding at end of year 1,166,579 1,259,509 1,421,923 - - ----------------------------------------------------------------------------------- Price range of granted options $23.625-29.50 $18.75-25.50 $10.90-19.75</w:t>
      </w:r>
    </w:p>
    <w:p>
      <w:pPr>
        <w:spacing w:after="0" w:line="7" w:lineRule="exact"/>
        <w:rPr>
          <w:sz w:val="20"/>
          <w:szCs w:val="20"/>
          <w:color w:val="auto"/>
        </w:rPr>
      </w:pPr>
    </w:p>
    <w:p>
      <w:pPr>
        <w:ind w:left="170" w:hanging="170"/>
        <w:spacing w:after="0"/>
        <w:tabs>
          <w:tab w:leader="none" w:pos="17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right="7139" w:hanging="176"/>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Shares reserved for granting future stock options:</w:t>
      </w:r>
    </w:p>
    <w:p>
      <w:pPr>
        <w:spacing w:after="0" w:line="1"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July 31,</w:t>
            </w:r>
          </w:p>
        </w:tc>
        <w:tc>
          <w:tcPr>
            <w:tcW w:w="2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621,738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923,240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136,642</w:t>
            </w:r>
          </w:p>
        </w:tc>
      </w:tr>
    </w:tbl>
    <w:p>
      <w:pPr>
        <w:spacing w:after="0" w:line="5" w:lineRule="exact"/>
        <w:rPr>
          <w:sz w:val="20"/>
          <w:szCs w:val="20"/>
          <w:color w:val="auto"/>
        </w:rPr>
      </w:pPr>
    </w:p>
    <w:p>
      <w:pPr>
        <w:ind w:left="170" w:hanging="170"/>
        <w:spacing w:after="0"/>
        <w:tabs>
          <w:tab w:leader="none" w:pos="17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Options exercisable at end of year</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780,169</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765,510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941,090</w:t>
            </w:r>
          </w:p>
        </w:tc>
      </w:tr>
    </w:tbl>
    <w:p>
      <w:pPr>
        <w:spacing w:after="0" w:line="5" w:lineRule="exact"/>
        <w:rPr>
          <w:sz w:val="20"/>
          <w:szCs w:val="20"/>
          <w:color w:val="auto"/>
        </w:rPr>
      </w:pPr>
    </w:p>
    <w:p>
      <w:pPr>
        <w:ind w:left="170" w:hanging="170"/>
        <w:spacing w:after="0"/>
        <w:tabs>
          <w:tab w:leader="none" w:pos="17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Price range of exercisable options</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$10.70-29.50</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$10.70-25.875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$10.70-22.50</w:t>
            </w:r>
          </w:p>
        </w:tc>
      </w:tr>
    </w:tbl>
    <w:p>
      <w:pPr>
        <w:spacing w:after="0" w:line="5" w:lineRule="exact"/>
        <w:rPr>
          <w:sz w:val="20"/>
          <w:szCs w:val="20"/>
          <w:color w:val="auto"/>
        </w:rPr>
      </w:pPr>
    </w:p>
    <w:p>
      <w:pPr>
        <w:ind w:left="170" w:hanging="170"/>
        <w:spacing w:after="0"/>
        <w:tabs>
          <w:tab w:leader="none" w:pos="17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10" w:right="3699" w:firstLine="264"/>
        <w:spacing w:after="0" w:line="237" w:lineRule="auto"/>
        <w:rPr>
          <w:sz w:val="20"/>
          <w:szCs w:val="20"/>
          <w:color w:val="auto"/>
        </w:rPr>
      </w:pPr>
      <w:r>
        <w:rPr>
          <w:rFonts w:ascii="Courier New" w:cs="Courier New" w:eastAsia="Courier New" w:hAnsi="Courier New"/>
          <w:sz w:val="15"/>
          <w:szCs w:val="15"/>
          <w:color w:val="auto"/>
        </w:rPr>
        <w:t>The options outstanding at July 31, 1995, were granted in 1991, (31,502 shares); 1992, (413,920 shares); 1993, (166,668 shares); 1994, (275,351 shares); and 1995, (279,138 shares).</w:t>
      </w:r>
    </w:p>
    <w:p>
      <w:pPr>
        <w:spacing w:after="0" w:line="169" w:lineRule="exact"/>
        <w:rPr>
          <w:sz w:val="20"/>
          <w:szCs w:val="20"/>
          <w:color w:val="auto"/>
        </w:rPr>
      </w:pPr>
    </w:p>
    <w:p>
      <w:pPr>
        <w:ind w:left="270" w:hanging="270"/>
        <w:spacing w:after="0"/>
        <w:tabs>
          <w:tab w:leader="none" w:pos="27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The company has an Employee Stock Ownership Plan (ESOP) which covers substantially all employees. Funding of the ESOP was completed on July 31, 1995. The Plan was a leveraged ESOP which means funds were borrowed to purchase the shares. The company's contributions to the Plan, net of dividends, were $2,762,000 in 1995, $2,929,000 in 1994, and $3,085,000 in 1993. Principal payments of ESOP debt were $2,612,000 in 1995, $2,611,000 in 1994, and $2,611,000 in 1993. Interest incurred on ESOP debt and interest received by the company was $258,000 in 1995, $512,000 in 1994, and $774,000 in 1993. Dividends on the ESOP shares used for debt service by the ESOP were $107,000 in 1995, $195,000 in 1994, and $300,000 in 1993. The expenses recognized related to the ESOP were $2,504,000 in 1995, $2,417,000 in 1994, and $2,311,000 in 1993. At July 31, 1995, the ESOP indebtedness to the company was paid in full.</w:t>
      </w:r>
    </w:p>
    <w:p>
      <w:pPr>
        <w:spacing w:after="0" w:line="183"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Contributions to employees' profit sharing plans which cover substantially all employees of the company and its subsidiaries were $4,100,000 in 1995, $4,150,000 in 1994, and $4,254,000 in 1993. Such amounts are based upon annual earnings before income taxes and minimum contributions required under the plans.</w:t>
      </w:r>
    </w:p>
    <w:p>
      <w:pPr>
        <w:spacing w:after="0" w:line="178" w:lineRule="exact"/>
        <w:rPr>
          <w:sz w:val="20"/>
          <w:szCs w:val="20"/>
          <w:color w:val="auto"/>
        </w:rPr>
      </w:pPr>
    </w:p>
    <w:p>
      <w:pPr>
        <w:ind w:left="10" w:right="3799" w:firstLine="264"/>
        <w:spacing w:after="0" w:line="237" w:lineRule="auto"/>
        <w:rPr>
          <w:sz w:val="20"/>
          <w:szCs w:val="20"/>
          <w:color w:val="auto"/>
        </w:rPr>
      </w:pPr>
      <w:r>
        <w:rPr>
          <w:rFonts w:ascii="Courier New" w:cs="Courier New" w:eastAsia="Courier New" w:hAnsi="Courier New"/>
          <w:sz w:val="15"/>
          <w:szCs w:val="15"/>
          <w:color w:val="auto"/>
        </w:rPr>
        <w:t>Under the company's matching stock plan, shares of common stock may be acquired by employees through payroll deductions and employer matching contributions pursuant to the plan. Contributions were $660,000 in 1995, $485,000 in 1994, and $510,000 in 1993.</w:t>
      </w:r>
    </w:p>
    <w:p>
      <w:pPr>
        <w:spacing w:after="0" w:line="176" w:lineRule="exact"/>
        <w:rPr>
          <w:sz w:val="20"/>
          <w:szCs w:val="20"/>
          <w:color w:val="auto"/>
        </w:rPr>
      </w:pPr>
    </w:p>
    <w:p>
      <w:pPr>
        <w:ind w:left="10" w:right="3539" w:firstLine="264"/>
        <w:spacing w:after="0" w:line="237" w:lineRule="auto"/>
        <w:rPr>
          <w:sz w:val="20"/>
          <w:szCs w:val="20"/>
          <w:color w:val="auto"/>
        </w:rPr>
      </w:pPr>
      <w:r>
        <w:rPr>
          <w:rFonts w:ascii="Courier New" w:cs="Courier New" w:eastAsia="Courier New" w:hAnsi="Courier New"/>
          <w:sz w:val="15"/>
          <w:szCs w:val="15"/>
          <w:color w:val="auto"/>
        </w:rPr>
        <w:t>In addition, the company and its subsidiaries have supplemental and other retirement plans covering certain employees. Pension expense under these plans in 1995, 1994, and 1993 was not significant.</w:t>
      </w:r>
    </w:p>
    <w:p>
      <w:pPr>
        <w:spacing w:after="0" w:line="175" w:lineRule="exact"/>
        <w:rPr>
          <w:sz w:val="20"/>
          <w:szCs w:val="20"/>
          <w:color w:val="auto"/>
        </w:rPr>
      </w:pPr>
    </w:p>
    <w:p>
      <w:pPr>
        <w:ind w:left="10" w:right="3619" w:firstLine="264"/>
        <w:spacing w:after="0" w:line="265" w:lineRule="auto"/>
        <w:rPr>
          <w:sz w:val="20"/>
          <w:szCs w:val="20"/>
          <w:color w:val="auto"/>
        </w:rPr>
      </w:pPr>
      <w:r>
        <w:rPr>
          <w:rFonts w:ascii="Courier New" w:cs="Courier New" w:eastAsia="Courier New" w:hAnsi="Courier New"/>
          <w:sz w:val="14"/>
          <w:szCs w:val="14"/>
          <w:color w:val="auto"/>
        </w:rPr>
        <w:t>Effective August 1, 1995, the company has adopted a new employee benefit program which replaces the ESOP, profit sharing, and matching stock plans.</w:t>
      </w:r>
    </w:p>
    <w:p>
      <w:pPr>
        <w:spacing w:after="0" w:line="158" w:lineRule="exact"/>
        <w:rPr>
          <w:sz w:val="20"/>
          <w:szCs w:val="20"/>
          <w:color w:val="auto"/>
        </w:rPr>
      </w:pPr>
    </w:p>
    <w:p>
      <w:pPr>
        <w:ind w:left="10" w:right="3699" w:firstLine="264"/>
        <w:spacing w:after="0" w:line="259" w:lineRule="auto"/>
        <w:rPr>
          <w:sz w:val="20"/>
          <w:szCs w:val="20"/>
          <w:color w:val="auto"/>
        </w:rPr>
      </w:pPr>
      <w:r>
        <w:rPr>
          <w:rFonts w:ascii="Courier New" w:cs="Courier New" w:eastAsia="Courier New" w:hAnsi="Courier New"/>
          <w:sz w:val="14"/>
          <w:szCs w:val="14"/>
          <w:color w:val="auto"/>
        </w:rPr>
        <w:t>The program includes: The Employee Stock Ownership Plan and The Toro Investment Fund under which eligible employees receive a pre-established percentage of salary in either stock or cash. In addition, the company has established the Toro 401(k) Employee Savings and Toro Matching Plan which</w:t>
      </w:r>
    </w:p>
    <w:p>
      <w:pPr>
        <w:sectPr>
          <w:pgSz w:w="11900" w:h="16838" w:orient="portrait"/>
          <w:cols w:equalWidth="0" w:num="1">
            <w:col w:w="10229"/>
          </w:cols>
          <w:pgMar w:left="230" w:top="622" w:right="1440" w:bottom="0" w:gutter="0" w:footer="0" w:header="0"/>
        </w:sectPr>
      </w:pPr>
    </w:p>
    <w:bookmarkStart w:id="74" w:name="page75"/>
    <w:bookmarkEnd w:id="74"/>
    <w:p>
      <w:pPr>
        <w:jc w:val="both"/>
        <w:ind w:left="10" w:right="3619"/>
        <w:spacing w:after="0" w:line="237" w:lineRule="auto"/>
        <w:rPr>
          <w:sz w:val="20"/>
          <w:szCs w:val="20"/>
          <w:color w:val="auto"/>
        </w:rPr>
      </w:pPr>
      <w:r>
        <w:rPr>
          <w:rFonts w:ascii="Courier New" w:cs="Courier New" w:eastAsia="Courier New" w:hAnsi="Courier New"/>
          <w:sz w:val="15"/>
          <w:szCs w:val="15"/>
          <w:color w:val="auto"/>
        </w:rPr>
        <w:t>provides eligible employees the opportunity to contribute to various mutual funds with a pre-determined company match up to a maximum of two percent of annual salary.</w:t>
      </w:r>
    </w:p>
    <w:p>
      <w:pPr>
        <w:spacing w:after="0" w:line="169" w:lineRule="exact"/>
        <w:rPr>
          <w:sz w:val="20"/>
          <w:szCs w:val="20"/>
          <w:color w:val="auto"/>
        </w:rPr>
      </w:pPr>
    </w:p>
    <w:p>
      <w:pPr>
        <w:ind w:left="270" w:hanging="270"/>
        <w:spacing w:after="0"/>
        <w:tabs>
          <w:tab w:leader="none" w:pos="27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DATA</w:t>
      </w:r>
    </w:p>
    <w:p>
      <w:pPr>
        <w:spacing w:after="0" w:line="175"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The company classifies its operations into one industry segment, yard maintenance equipment. International sales were $152,409,000, $130,053,000, and $129,422,000 for 1995, 1994, and 1993, respectively. Of these amounts, export sales were $126,560,000, $109,344,000, and $111,263,000 for 1995, 1994, and 1993, respectively. Export sales by geographic area are as follows:</w:t>
      </w:r>
    </w:p>
    <w:p>
      <w:pPr>
        <w:spacing w:after="0" w:line="200" w:lineRule="exact"/>
        <w:rPr>
          <w:sz w:val="20"/>
          <w:szCs w:val="20"/>
          <w:color w:val="auto"/>
        </w:rPr>
      </w:pPr>
    </w:p>
    <w:p>
      <w:pPr>
        <w:spacing w:after="0" w:line="298" w:lineRule="exact"/>
        <w:rPr>
          <w:sz w:val="20"/>
          <w:szCs w:val="20"/>
          <w:color w:val="auto"/>
        </w:rPr>
      </w:pPr>
    </w:p>
    <w:p>
      <w:pPr>
        <w:ind w:left="170" w:hanging="170"/>
        <w:spacing w:after="0"/>
        <w:tabs>
          <w:tab w:leader="none" w:pos="17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w:t>
      </w:r>
    </w:p>
    <w:tbl>
      <w:tblPr>
        <w:tblLayout w:type="fixed"/>
        <w:tblInd w:w="10" w:type="dxa"/>
        <w:tblCellMar>
          <w:top w:w="0" w:type="dxa"/>
          <w:left w:w="0" w:type="dxa"/>
          <w:bottom w:w="0" w:type="dxa"/>
          <w:right w:w="0" w:type="dxa"/>
        </w:tblCellMar>
      </w:tblPr>
      <w:tr>
        <w:trPr>
          <w:trHeight w:val="169"/>
        </w:trPr>
        <w:tc>
          <w:tcPr>
            <w:tcW w:w="250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$ 60,239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$ 48,976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$ 53,992</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31,921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26,573</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Pacific Rim</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28,979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26,208</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5,421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4,490</w:t>
            </w:r>
          </w:p>
        </w:tc>
      </w:tr>
    </w:tbl>
    <w:p>
      <w:pPr>
        <w:ind w:left="10"/>
        <w:spacing w:after="0"/>
        <w:rPr>
          <w:sz w:val="20"/>
          <w:szCs w:val="20"/>
          <w:color w:val="auto"/>
        </w:rPr>
      </w:pPr>
      <w:r>
        <w:rPr>
          <w:rFonts w:ascii="Courier New" w:cs="Courier New" w:eastAsia="Courier New" w:hAnsi="Courier New"/>
          <w:sz w:val="15"/>
          <w:szCs w:val="15"/>
          <w:color w:val="auto"/>
        </w:rPr>
        <w:t>- - ---------------------------------------------------------------------</w:t>
      </w:r>
    </w:p>
    <w:tbl>
      <w:tblPr>
        <w:tblLayout w:type="fixed"/>
        <w:tblInd w:w="10" w:type="dxa"/>
        <w:tblCellMar>
          <w:top w:w="0" w:type="dxa"/>
          <w:left w:w="0" w:type="dxa"/>
          <w:bottom w:w="0" w:type="dxa"/>
          <w:right w:w="0" w:type="dxa"/>
        </w:tblCellMar>
      </w:tblPr>
      <w:tr>
        <w:trPr>
          <w:trHeight w:val="169"/>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export sales</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$126,560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$109,344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$111,263</w:t>
            </w:r>
          </w:p>
        </w:tc>
      </w:tr>
    </w:tbl>
    <w:p>
      <w:pPr>
        <w:ind w:left="170" w:hanging="170"/>
        <w:spacing w:after="0"/>
        <w:tabs>
          <w:tab w:leader="none" w:pos="17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Sales to any particular customer were not significant.</w:t>
      </w:r>
    </w:p>
    <w:p>
      <w:pPr>
        <w:spacing w:after="0" w:line="339" w:lineRule="exact"/>
        <w:rPr>
          <w:sz w:val="20"/>
          <w:szCs w:val="20"/>
          <w:color w:val="auto"/>
        </w:rPr>
      </w:pPr>
    </w:p>
    <w:p>
      <w:pPr>
        <w:ind w:left="10"/>
        <w:spacing w:after="0"/>
        <w:tabs>
          <w:tab w:leader="none" w:pos="429" w:val="left"/>
          <w:tab w:leader="none" w:pos="2009"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1995 Annual Report</w:t>
      </w:r>
    </w:p>
    <w:p>
      <w:pPr>
        <w:sectPr>
          <w:pgSz w:w="11900" w:h="16838" w:orient="portrait"/>
          <w:cols w:equalWidth="0" w:num="1">
            <w:col w:w="10229"/>
          </w:cols>
          <w:pgMar w:left="230" w:top="142" w:right="1440" w:bottom="1440" w:gutter="0" w:footer="0" w:header="0"/>
        </w:sectPr>
      </w:pPr>
    </w:p>
    <w:bookmarkStart w:id="75" w:name="page76"/>
    <w:bookmarkEnd w:id="75"/>
    <w:p>
      <w:pPr>
        <w:ind w:left="270" w:hanging="270"/>
        <w:spacing w:after="0"/>
        <w:tabs>
          <w:tab w:leader="none" w:pos="27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5" w:lineRule="exact"/>
        <w:rPr>
          <w:sz w:val="20"/>
          <w:szCs w:val="20"/>
          <w:color w:val="auto"/>
        </w:rPr>
      </w:pPr>
    </w:p>
    <w:p>
      <w:pPr>
        <w:ind w:left="10" w:right="3539"/>
        <w:spacing w:after="0" w:line="260" w:lineRule="auto"/>
        <w:rPr>
          <w:sz w:val="20"/>
          <w:szCs w:val="20"/>
          <w:color w:val="auto"/>
        </w:rPr>
      </w:pPr>
      <w:r>
        <w:rPr>
          <w:rFonts w:ascii="Courier New" w:cs="Courier New" w:eastAsia="Courier New" w:hAnsi="Courier New"/>
          <w:sz w:val="14"/>
          <w:szCs w:val="14"/>
          <w:color w:val="auto"/>
        </w:rPr>
        <w:t>Minimum lease commitments in future years under noncancelable operating leases are as follows: 1996, $5,423,000; 1997, $4,262,000; 1998, $2,624,000; 1999, $1,910,000; 2000, $1,117,000; and after 2000, $2,621,000.</w:t>
      </w:r>
    </w:p>
    <w:p>
      <w:pPr>
        <w:spacing w:after="0" w:line="157"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Total lease expense was as follows:</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w:t>
      </w:r>
    </w:p>
    <w:tbl>
      <w:tblPr>
        <w:tblLayout w:type="fixed"/>
        <w:tblInd w:w="10" w:type="dxa"/>
        <w:tblCellMar>
          <w:top w:w="0" w:type="dxa"/>
          <w:left w:w="0" w:type="dxa"/>
          <w:bottom w:w="0" w:type="dxa"/>
          <w:right w:w="0" w:type="dxa"/>
        </w:tblCellMar>
      </w:tblPr>
      <w:tr>
        <w:trPr>
          <w:trHeight w:val="169"/>
        </w:trPr>
        <w:tc>
          <w:tcPr>
            <w:tcW w:w="250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Warehouse</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and office space</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$3,360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Trucks and autos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1,890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Equipment</w:t>
            </w:r>
          </w:p>
        </w:tc>
        <w:tc>
          <w:tcPr>
            <w:tcW w:w="190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3,721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3,154</w:t>
            </w:r>
          </w:p>
        </w:tc>
      </w:tr>
    </w:tbl>
    <w:p>
      <w:pPr>
        <w:ind w:left="10"/>
        <w:spacing w:after="0"/>
        <w:rPr>
          <w:sz w:val="20"/>
          <w:szCs w:val="20"/>
          <w:color w:val="auto"/>
        </w:rPr>
      </w:pPr>
      <w:r>
        <w:rPr>
          <w:rFonts w:ascii="Courier New" w:cs="Courier New" w:eastAsia="Courier New" w:hAnsi="Courier New"/>
          <w:sz w:val="15"/>
          <w:szCs w:val="15"/>
          <w:color w:val="auto"/>
        </w:rPr>
        <w:t>- - ---------------------------------------------------------------------</w:t>
      </w:r>
    </w:p>
    <w:tbl>
      <w:tblPr>
        <w:tblLayout w:type="fixed"/>
        <w:tblInd w:w="270" w:type="dxa"/>
        <w:tblCellMar>
          <w:top w:w="0" w:type="dxa"/>
          <w:left w:w="0" w:type="dxa"/>
          <w:bottom w:w="0" w:type="dxa"/>
          <w:right w:w="0" w:type="dxa"/>
        </w:tblCellMar>
      </w:tblP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$8,971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$5,978</w:t>
            </w:r>
          </w:p>
        </w:tc>
      </w:tr>
    </w:tbl>
    <w:p>
      <w:pPr>
        <w:ind w:left="170" w:hanging="170"/>
        <w:spacing w:after="0"/>
        <w:tabs>
          <w:tab w:leader="none" w:pos="17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COMMITMENTS AND CONTINGENT LIABILITIES</w:t>
      </w:r>
    </w:p>
    <w:p>
      <w:pPr>
        <w:spacing w:after="0" w:line="175"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4"/>
          <w:szCs w:val="14"/>
          <w:color w:val="auto"/>
        </w:rPr>
        <w:t>Certain receivables are sold to financial institutions. Under these arrangements, the company acts as agent for collections and was contingently liable to repurchase receivables of $1,429,000 at July 31, 1995, and $659,000 at July 31, 1994. The company was also contingently liable to repurchase $5,220,000 at July 31, 1995 and $5,222,000 at July 31, 1994, of inventory relating to receivables under dealer financing arrangements. Additionally, debts incurred by certain distributors, aggregating $1,268,000 at July 31, 1995, and $1,486,000 at July 31, 1994, have been guaranteed by the company.</w:t>
      </w:r>
    </w:p>
    <w:p>
      <w:pPr>
        <w:spacing w:after="0" w:line="167" w:lineRule="exact"/>
        <w:rPr>
          <w:sz w:val="20"/>
          <w:szCs w:val="20"/>
          <w:color w:val="auto"/>
        </w:rPr>
      </w:pPr>
    </w:p>
    <w:p>
      <w:pPr>
        <w:ind w:left="10" w:right="3439" w:firstLine="264"/>
        <w:spacing w:after="0" w:line="238" w:lineRule="auto"/>
        <w:rPr>
          <w:sz w:val="20"/>
          <w:szCs w:val="20"/>
          <w:color w:val="auto"/>
        </w:rPr>
      </w:pPr>
      <w:r>
        <w:rPr>
          <w:rFonts w:ascii="Courier New" w:cs="Courier New" w:eastAsia="Courier New" w:hAnsi="Courier New"/>
          <w:sz w:val="15"/>
          <w:szCs w:val="15"/>
          <w:color w:val="auto"/>
        </w:rPr>
        <w:t>In the ordinary course of business, the company may become liable with respect to pending and threatened litigation, taxes,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 FINANCIAL INSTRUMENTS</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OFF-BALANCE SHEET RISK</w:t>
      </w:r>
    </w:p>
    <w:p>
      <w:pPr>
        <w:spacing w:after="0" w:line="175" w:lineRule="exact"/>
        <w:rPr>
          <w:sz w:val="20"/>
          <w:szCs w:val="20"/>
          <w:color w:val="auto"/>
        </w:rPr>
      </w:pPr>
    </w:p>
    <w:p>
      <w:pPr>
        <w:ind w:left="10" w:right="3799"/>
        <w:spacing w:after="0" w:line="259" w:lineRule="auto"/>
        <w:rPr>
          <w:sz w:val="20"/>
          <w:szCs w:val="20"/>
          <w:color w:val="auto"/>
        </w:rPr>
      </w:pPr>
      <w:r>
        <w:rPr>
          <w:rFonts w:ascii="Courier New" w:cs="Courier New" w:eastAsia="Courier New" w:hAnsi="Courier New"/>
          <w:sz w:val="14"/>
          <w:szCs w:val="14"/>
          <w:color w:val="auto"/>
        </w:rPr>
        <w:t>Letters of credit are issued by the company during the ordinary course of business, as required by certain vendor contracts, through major domestic banks. As of July 31, 1995, and 1994, the company had $24,212,000 and $16,872,000, respectively, in outstanding letters of credit.</w:t>
      </w:r>
    </w:p>
    <w:p>
      <w:pPr>
        <w:spacing w:after="0" w:line="157"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CONCENTRATIONS OF CREDIT RISK</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concentrations of credit risk consist principally of accounts receivable which are concentrated in the company's business segment, yard maintenance equipment. The credit risk associated with this segment is limited because of the large number of customers in the company's customer base and their geographic dispersion.</w:t>
      </w:r>
    </w:p>
    <w:p>
      <w:pPr>
        <w:spacing w:after="0" w:line="170"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FOREIGN CURRENCY INVESTMENTS</w:t>
      </w:r>
    </w:p>
    <w:p>
      <w:pPr>
        <w:spacing w:after="0" w:line="17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anticipated foreign currency transactions.</w:t>
      </w:r>
    </w:p>
    <w:p>
      <w:pPr>
        <w:spacing w:after="0" w:line="176" w:lineRule="exact"/>
        <w:rPr>
          <w:sz w:val="20"/>
          <w:szCs w:val="20"/>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At July 31, 1995, the company had contracts maturing at various dates to purchase $11,209,000 in foreign currencies and to sell $20,817,000 in foreign currencies at the spot rate. In addition, the company had range forward options of $3,246,000 at July 31, 1995.</w:t>
      </w:r>
    </w:p>
    <w:p>
      <w:pPr>
        <w:spacing w:after="0" w:line="176" w:lineRule="exact"/>
        <w:rPr>
          <w:sz w:val="20"/>
          <w:szCs w:val="20"/>
          <w:color w:val="auto"/>
        </w:rPr>
      </w:pPr>
    </w:p>
    <w:p>
      <w:pPr>
        <w:ind w:left="10" w:right="4059" w:firstLine="264"/>
        <w:spacing w:after="0" w:line="237" w:lineRule="auto"/>
        <w:rPr>
          <w:sz w:val="20"/>
          <w:szCs w:val="20"/>
          <w:color w:val="auto"/>
        </w:rPr>
      </w:pPr>
      <w:r>
        <w:rPr>
          <w:rFonts w:ascii="Courier New" w:cs="Courier New" w:eastAsia="Courier New" w:hAnsi="Courier New"/>
          <w:sz w:val="15"/>
          <w:szCs w:val="15"/>
          <w:color w:val="auto"/>
        </w:rPr>
        <w:t>Changes in the market value of the foreign currency instruments are recognized in the financial statements upon settlement of the hedged transaction.</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FAIR VALUE</w:t>
      </w:r>
    </w:p>
    <w:p>
      <w:pPr>
        <w:spacing w:after="0" w:line="175"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4"/>
          <w:szCs w:val="14"/>
          <w:color w:val="auto"/>
        </w:rPr>
        <w:t>The following disclosure of the estimated fair value of financial instruments is made in accordance with the requirements of FAS Statement 107 "Disclosures about Fair Value of Financial Instruments." Estimated fair value amounts have been determined using available information and appropriate valuation methodologies. Because considerable judgement is required in developing the estimates of fair value, these estimates are not necessarily indicative of the amounts that could be realized in a current market exchange.</w:t>
      </w:r>
    </w:p>
    <w:p>
      <w:pPr>
        <w:spacing w:after="0" w:line="167" w:lineRule="exact"/>
        <w:rPr>
          <w:sz w:val="20"/>
          <w:szCs w:val="20"/>
          <w:color w:val="auto"/>
        </w:rPr>
      </w:pPr>
    </w:p>
    <w:p>
      <w:pPr>
        <w:ind w:left="10" w:right="4239" w:firstLine="264"/>
        <w:spacing w:after="0" w:line="235" w:lineRule="auto"/>
        <w:rPr>
          <w:sz w:val="20"/>
          <w:szCs w:val="20"/>
          <w:color w:val="auto"/>
        </w:rPr>
      </w:pPr>
      <w:r>
        <w:rPr>
          <w:rFonts w:ascii="Courier New" w:cs="Courier New" w:eastAsia="Courier New" w:hAnsi="Courier New"/>
          <w:sz w:val="15"/>
          <w:szCs w:val="15"/>
          <w:color w:val="auto"/>
        </w:rPr>
        <w:t>The carrying and estimated fair values of the company's financial instruments at July 31, 1995, are as follows:</w:t>
      </w:r>
    </w:p>
    <w:p>
      <w:pPr>
        <w:sectPr>
          <w:pgSz w:w="11900" w:h="16838" w:orient="portrait"/>
          <w:cols w:equalWidth="0" w:num="1">
            <w:col w:w="10229"/>
          </w:cols>
          <w:pgMar w:left="230" w:top="622" w:right="1440" w:bottom="227" w:gutter="0" w:footer="0" w:header="0"/>
        </w:sectPr>
      </w:pPr>
    </w:p>
    <w:bookmarkStart w:id="76" w:name="page77"/>
    <w:bookmarkEnd w:id="76"/>
    <w:p>
      <w:pPr>
        <w:ind w:left="170" w:hanging="170"/>
        <w:spacing w:after="0"/>
        <w:tabs>
          <w:tab w:leader="none" w:pos="17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45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Carrying</w:t>
      </w:r>
      <w:r>
        <w:rPr>
          <w:rFonts w:ascii="Courier New" w:cs="Courier New" w:eastAsia="Courier New" w:hAnsi="Courier New"/>
          <w:sz w:val="14"/>
          <w:szCs w:val="14"/>
          <w:color w:val="auto"/>
        </w:rPr>
        <w:t>Estimated</w:t>
      </w:r>
    </w:p>
    <w:tbl>
      <w:tblPr>
        <w:tblLayout w:type="fixed"/>
        <w:tblInd w:w="10" w:type="dxa"/>
        <w:tblCellMar>
          <w:top w:w="0" w:type="dxa"/>
          <w:left w:w="0" w:type="dxa"/>
          <w:bottom w:w="0" w:type="dxa"/>
          <w:right w:w="0" w:type="dxa"/>
        </w:tblCellMar>
      </w:tblPr>
      <w:tr>
        <w:trPr>
          <w:trHeight w:val="169"/>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(Dollars in millions)</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Value</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$81,025</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$90,295</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Deferred income (interest rate exchange agreement)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5,250</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6,543</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44" w:lineRule="exact"/>
        <w:rPr>
          <w:sz w:val="20"/>
          <w:szCs w:val="20"/>
          <w:color w:val="auto"/>
        </w:rPr>
      </w:pPr>
    </w:p>
    <w:p>
      <w:pPr>
        <w:ind w:left="10" w:right="3439" w:firstLine="264"/>
        <w:spacing w:after="0" w:line="235" w:lineRule="auto"/>
        <w:rPr>
          <w:sz w:val="20"/>
          <w:szCs w:val="20"/>
          <w:color w:val="auto"/>
        </w:rPr>
      </w:pPr>
      <w:r>
        <w:rPr>
          <w:rFonts w:ascii="Courier New" w:cs="Courier New" w:eastAsia="Courier New" w:hAnsi="Courier New"/>
          <w:sz w:val="15"/>
          <w:szCs w:val="15"/>
          <w:color w:val="auto"/>
        </w:rPr>
        <w:t>For cash and cash equivalents, receivables, and accounts payable, carrying value is a reasonable estimate of fair value.</w:t>
      </w:r>
    </w:p>
    <w:p>
      <w:pPr>
        <w:spacing w:after="0" w:line="176" w:lineRule="exact"/>
        <w:rPr>
          <w:sz w:val="20"/>
          <w:szCs w:val="20"/>
          <w:color w:val="auto"/>
        </w:rPr>
      </w:pPr>
    </w:p>
    <w:p>
      <w:pPr>
        <w:ind w:left="10" w:right="3539" w:firstLine="264"/>
        <w:spacing w:after="0" w:line="237" w:lineRule="auto"/>
        <w:rPr>
          <w:sz w:val="20"/>
          <w:szCs w:val="20"/>
          <w:color w:val="auto"/>
        </w:rPr>
      </w:pPr>
      <w:r>
        <w:rPr>
          <w:rFonts w:ascii="Courier New" w:cs="Courier New" w:eastAsia="Courier New" w:hAnsi="Courier New"/>
          <w:sz w:val="15"/>
          <w:szCs w:val="15"/>
          <w:color w:val="auto"/>
        </w:rPr>
        <w:t>For long-term debt with fixed interest rates, fair value is estimated by discounting the projected cash flows using the rate at which similar amounts could currently be borrowed.</w:t>
      </w:r>
    </w:p>
    <w:p>
      <w:pPr>
        <w:spacing w:after="0" w:line="175" w:lineRule="exact"/>
        <w:rPr>
          <w:sz w:val="20"/>
          <w:szCs w:val="20"/>
          <w:color w:val="auto"/>
        </w:rPr>
      </w:pPr>
    </w:p>
    <w:p>
      <w:pPr>
        <w:ind w:left="10" w:right="3359" w:firstLine="264"/>
        <w:spacing w:after="0" w:line="265" w:lineRule="auto"/>
        <w:rPr>
          <w:sz w:val="20"/>
          <w:szCs w:val="20"/>
          <w:color w:val="auto"/>
        </w:rPr>
      </w:pPr>
      <w:r>
        <w:rPr>
          <w:rFonts w:ascii="Courier New" w:cs="Courier New" w:eastAsia="Courier New" w:hAnsi="Courier New"/>
          <w:sz w:val="14"/>
          <w:szCs w:val="14"/>
          <w:color w:val="auto"/>
        </w:rPr>
        <w:t>The fair value of the 11% sinking fund debentures represents the amount the company would pay to redeem the notes based on the terms of the debenture.</w:t>
      </w:r>
    </w:p>
    <w:p>
      <w:pPr>
        <w:spacing w:after="0" w:line="158" w:lineRule="exact"/>
        <w:rPr>
          <w:sz w:val="20"/>
          <w:szCs w:val="20"/>
          <w:color w:val="auto"/>
        </w:rPr>
      </w:pPr>
    </w:p>
    <w:p>
      <w:pPr>
        <w:ind w:left="10" w:right="3539" w:firstLine="264"/>
        <w:spacing w:after="0" w:line="237" w:lineRule="auto"/>
        <w:rPr>
          <w:sz w:val="20"/>
          <w:szCs w:val="20"/>
          <w:color w:val="auto"/>
        </w:rPr>
      </w:pPr>
      <w:r>
        <w:rPr>
          <w:rFonts w:ascii="Courier New" w:cs="Courier New" w:eastAsia="Courier New" w:hAnsi="Courier New"/>
          <w:sz w:val="15"/>
          <w:szCs w:val="15"/>
          <w:color w:val="auto"/>
        </w:rPr>
        <w:t>The estimated fair value of the deferred income represents the cost to terminate the interest rate exchange agreement, had management elected to do so, which would have resulted in a loss of approximately $1,300,000.</w:t>
      </w:r>
    </w:p>
    <w:p>
      <w:pPr>
        <w:spacing w:after="0" w:line="339" w:lineRule="exact"/>
        <w:rPr>
          <w:sz w:val="20"/>
          <w:szCs w:val="20"/>
          <w:color w:val="auto"/>
        </w:rPr>
      </w:pPr>
    </w:p>
    <w:p>
      <w:pPr>
        <w:ind w:left="3090"/>
        <w:spacing w:after="0"/>
        <w:tabs>
          <w:tab w:leader="none" w:pos="4649" w:val="left"/>
          <w:tab w:leader="none" w:pos="6409" w:val="left"/>
        </w:tabs>
        <w:rPr>
          <w:sz w:val="20"/>
          <w:szCs w:val="20"/>
          <w:color w:val="auto"/>
        </w:rPr>
      </w:pPr>
      <w:r>
        <w:rPr>
          <w:rFonts w:ascii="Courier New" w:cs="Courier New" w:eastAsia="Courier New" w:hAnsi="Courier New"/>
          <w:sz w:val="15"/>
          <w:szCs w:val="15"/>
          <w:color w:val="auto"/>
        </w:rPr>
        <w:t>The Toro Company</w:t>
        <w:tab/>
        <w:t>1995 Annual Report</w:t>
        <w:tab/>
        <w:t>27</w:t>
      </w:r>
    </w:p>
    <w:p>
      <w:pPr>
        <w:sectPr>
          <w:pgSz w:w="11900" w:h="16838" w:orient="portrait"/>
          <w:cols w:equalWidth="0" w:num="1">
            <w:col w:w="10229"/>
          </w:cols>
          <w:pgMar w:left="230" w:top="311" w:right="1440" w:bottom="1440" w:gutter="0" w:footer="0" w:header="0"/>
        </w:sectPr>
      </w:pPr>
    </w:p>
    <w:bookmarkStart w:id="77" w:name="page78"/>
    <w:bookmarkEnd w:id="77"/>
    <w:p>
      <w:pPr>
        <w:ind w:left="10"/>
        <w:spacing w:after="0"/>
        <w:tabs>
          <w:tab w:leader="none" w:pos="329" w:val="left"/>
        </w:tabs>
        <w:rPr>
          <w:sz w:val="20"/>
          <w:szCs w:val="20"/>
          <w:color w:val="auto"/>
        </w:rPr>
      </w:pPr>
      <w:r>
        <w:rPr>
          <w:rFonts w:ascii="Courier New" w:cs="Courier New" w:eastAsia="Courier New" w:hAnsi="Courier New"/>
          <w:sz w:val="15"/>
          <w:szCs w:val="15"/>
          <w:color w:val="auto"/>
        </w:rPr>
        <w:t>12</w:t>
        <w:tab/>
        <w:t>CONSOLIDATED FINANCE SUBSIDIARY --</w:t>
      </w:r>
    </w:p>
    <w:p>
      <w:pPr>
        <w:ind w:left="350"/>
        <w:spacing w:after="0"/>
        <w:rPr>
          <w:sz w:val="20"/>
          <w:szCs w:val="20"/>
          <w:color w:val="auto"/>
        </w:rPr>
      </w:pPr>
      <w:r>
        <w:rPr>
          <w:rFonts w:ascii="Courier New" w:cs="Courier New" w:eastAsia="Courier New" w:hAnsi="Courier New"/>
          <w:sz w:val="15"/>
          <w:szCs w:val="15"/>
          <w:color w:val="auto"/>
        </w:rPr>
        <w:t>TORO CREDIT COMPANY</w:t>
      </w:r>
    </w:p>
    <w:p>
      <w:pPr>
        <w:spacing w:after="0" w:line="174"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Toro Credit Company is a consolidated finance subsidiary of the company and operates primarily in the finance industry with wholesale financing of distributor and dealer inventories under various financing arrangements and other programs.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70" w:hanging="170"/>
        <w:spacing w:after="0"/>
        <w:tabs>
          <w:tab w:leader="none" w:pos="17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w:t>
      </w:r>
    </w:p>
    <w:tbl>
      <w:tblPr>
        <w:tblLayout w:type="fixed"/>
        <w:tblInd w:w="10" w:type="dxa"/>
        <w:tblCellMar>
          <w:top w:w="0" w:type="dxa"/>
          <w:left w:w="0" w:type="dxa"/>
          <w:bottom w:w="0" w:type="dxa"/>
          <w:right w:w="0" w:type="dxa"/>
        </w:tblCellMar>
      </w:tblPr>
      <w:tr>
        <w:trPr>
          <w:trHeight w:val="169"/>
        </w:trPr>
        <w:tc>
          <w:tcPr>
            <w:tcW w:w="250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SUMMARY OF EARNINGS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Finance revenues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$21,259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$17,060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3,428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1,841</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4,902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5,879</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Foreign currency exchange net</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(gains) losses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ind w:left="10"/>
        <w:spacing w:after="0"/>
        <w:rPr>
          <w:sz w:val="20"/>
          <w:szCs w:val="20"/>
          <w:color w:val="auto"/>
        </w:rPr>
      </w:pPr>
      <w:r>
        <w:rPr>
          <w:rFonts w:ascii="Courier New" w:cs="Courier New" w:eastAsia="Courier New" w:hAnsi="Courier New"/>
          <w:sz w:val="15"/>
          <w:szCs w:val="15"/>
          <w:color w:val="auto"/>
        </w:rPr>
        <w:t>- - ---------------------------------------------------------------------</w:t>
      </w:r>
    </w:p>
    <w:tbl>
      <w:tblPr>
        <w:tblLayout w:type="fixed"/>
        <w:tblInd w:w="10" w:type="dxa"/>
        <w:tblCellMar>
          <w:top w:w="0" w:type="dxa"/>
          <w:left w:w="0" w:type="dxa"/>
          <w:bottom w:w="0" w:type="dxa"/>
          <w:right w:w="0" w:type="dxa"/>
        </w:tblCellMar>
      </w:tblPr>
      <w:tr>
        <w:trPr>
          <w:trHeight w:val="16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Total expenses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8,293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7,751</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Earnings before income taxes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12,966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9,309</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4,744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3,669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3,310</w:t>
            </w:r>
          </w:p>
        </w:tc>
      </w:tr>
    </w:tbl>
    <w:p>
      <w:pPr>
        <w:ind w:left="10"/>
        <w:spacing w:after="0"/>
        <w:rPr>
          <w:sz w:val="20"/>
          <w:szCs w:val="20"/>
          <w:color w:val="auto"/>
        </w:rPr>
      </w:pPr>
      <w:r>
        <w:rPr>
          <w:rFonts w:ascii="Courier New" w:cs="Courier New" w:eastAsia="Courier New" w:hAnsi="Courier New"/>
          <w:sz w:val="15"/>
          <w:szCs w:val="15"/>
          <w:color w:val="auto"/>
        </w:rPr>
        <w:t>- - ---------------------------------------------------------------------</w:t>
      </w:r>
    </w:p>
    <w:tbl>
      <w:tblPr>
        <w:tblLayout w:type="fixed"/>
        <w:tblInd w:w="17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$ 8,222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$ 6,866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$ 5,999</w:t>
            </w:r>
          </w:p>
        </w:tc>
      </w:tr>
    </w:tbl>
    <w:p>
      <w:pPr>
        <w:ind w:left="170" w:hanging="170"/>
        <w:spacing w:after="0"/>
        <w:tabs>
          <w:tab w:leader="none" w:pos="17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1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w:t>
      </w:r>
    </w:p>
    <w:tbl>
      <w:tblPr>
        <w:tblLayout w:type="fixed"/>
        <w:tblInd w:w="10" w:type="dxa"/>
        <w:tblCellMar>
          <w:top w:w="0" w:type="dxa"/>
          <w:left w:w="0" w:type="dxa"/>
          <w:bottom w:w="0" w:type="dxa"/>
          <w:right w:w="0" w:type="dxa"/>
        </w:tblCellMar>
      </w:tblPr>
      <w:tr>
        <w:trPr>
          <w:trHeight w:val="169"/>
        </w:trPr>
        <w:tc>
          <w:tcPr>
            <w:tcW w:w="308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ind w:left="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SUMMARY BALANCE SHEETS</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3,048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4,394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Receivables-net</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119,204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99,932</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receivables and assets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1,377</w:t>
            </w:r>
          </w:p>
        </w:tc>
      </w:tr>
    </w:tbl>
    <w:p>
      <w:pPr>
        <w:ind w:left="10"/>
        <w:spacing w:after="0"/>
        <w:rPr>
          <w:sz w:val="20"/>
          <w:szCs w:val="20"/>
          <w:color w:val="auto"/>
        </w:rPr>
      </w:pPr>
      <w:r>
        <w:rPr>
          <w:rFonts w:ascii="Courier New" w:cs="Courier New" w:eastAsia="Courier New" w:hAnsi="Courier New"/>
          <w:sz w:val="15"/>
          <w:szCs w:val="15"/>
          <w:color w:val="auto"/>
        </w:rPr>
        <w:t>- - ---------------------------------------------------------------------</w:t>
      </w:r>
    </w:p>
    <w:tbl>
      <w:tblPr>
        <w:tblLayout w:type="fixed"/>
        <w:tblInd w:w="170" w:type="dxa"/>
        <w:tblCellMar>
          <w:top w:w="0" w:type="dxa"/>
          <w:left w:w="0" w:type="dxa"/>
          <w:bottom w:w="0" w:type="dxa"/>
          <w:right w:w="0" w:type="dxa"/>
        </w:tblCellMar>
      </w:tblPr>
      <w:tr>
        <w:trPr>
          <w:trHeight w:val="169"/>
        </w:trPr>
        <w:tc>
          <w:tcPr>
            <w:tcW w:w="25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$124,167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$105,703</w:t>
            </w:r>
          </w:p>
        </w:tc>
      </w:tr>
    </w:tbl>
    <w:p>
      <w:pPr>
        <w:ind w:left="170" w:hanging="170"/>
        <w:spacing w:after="0"/>
        <w:tabs>
          <w:tab w:leader="none" w:pos="1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SHAREHOLDERS' EQUITY</w:t>
      </w:r>
    </w:p>
    <w:tbl>
      <w:tblPr>
        <w:tblLayout w:type="fixed"/>
        <w:tblInd w:w="10" w:type="dxa"/>
        <w:tblCellMar>
          <w:top w:w="0" w:type="dxa"/>
          <w:left w:w="0" w:type="dxa"/>
          <w:bottom w:w="0" w:type="dxa"/>
          <w:right w:w="0" w:type="dxa"/>
        </w:tblCellMar>
      </w:tblPr>
      <w:tr>
        <w:trPr>
          <w:trHeight w:val="169"/>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Current portion of long-term</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$ 20,000</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140" w:type="dxa"/>
            <w:vAlign w:val="bottom"/>
          </w:tcPr>
          <w:p>
            <w:pPr>
              <w:spacing w:after="0"/>
              <w:rPr>
                <w:sz w:val="14"/>
                <w:szCs w:val="14"/>
                <w:color w:val="auto"/>
              </w:rPr>
            </w:pP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7,994</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Long-term debt, less current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portion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40" w:type="dxa"/>
            <w:vAlign w:val="bottom"/>
          </w:tcPr>
          <w:p>
            <w:pPr>
              <w:spacing w:after="0"/>
              <w:rPr>
                <w:sz w:val="14"/>
                <w:szCs w:val="14"/>
                <w:color w:val="auto"/>
              </w:rPr>
            </w:pP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60,932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52,709</w:t>
            </w:r>
          </w:p>
        </w:tc>
      </w:tr>
    </w:tbl>
    <w:p>
      <w:pPr>
        <w:ind w:left="10"/>
        <w:spacing w:after="0"/>
        <w:rPr>
          <w:sz w:val="20"/>
          <w:szCs w:val="20"/>
          <w:color w:val="auto"/>
        </w:rPr>
      </w:pPr>
      <w:r>
        <w:rPr>
          <w:rFonts w:ascii="Courier New" w:cs="Courier New" w:eastAsia="Courier New" w:hAnsi="Courier New"/>
          <w:sz w:val="15"/>
          <w:szCs w:val="15"/>
          <w:color w:val="auto"/>
        </w:rPr>
        <w:t>- - ---------------------------------------------------------------------</w:t>
      </w:r>
    </w:p>
    <w:tbl>
      <w:tblPr>
        <w:tblLayout w:type="fixed"/>
        <w:tblInd w:w="170" w:type="dxa"/>
        <w:tblCellMar>
          <w:top w:w="0" w:type="dxa"/>
          <w:left w:w="0" w:type="dxa"/>
          <w:bottom w:w="0" w:type="dxa"/>
          <w:right w:w="0" w:type="dxa"/>
        </w:tblCellMar>
      </w:tblPr>
      <w:tr>
        <w:trPr>
          <w:trHeight w:val="169"/>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   $124,167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$105,703</w:t>
            </w:r>
          </w:p>
        </w:tc>
      </w:tr>
    </w:tbl>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Of the finance revenues presented previously, $17,114,000 in 1995,</w:t>
      </w:r>
    </w:p>
    <w:p>
      <w:pPr>
        <w:ind w:left="10"/>
        <w:spacing w:after="0"/>
        <w:rPr>
          <w:sz w:val="20"/>
          <w:szCs w:val="20"/>
          <w:color w:val="auto"/>
        </w:rPr>
      </w:pPr>
      <w:r>
        <w:rPr>
          <w:rFonts w:ascii="Courier New" w:cs="Courier New" w:eastAsia="Courier New" w:hAnsi="Courier New"/>
          <w:sz w:val="15"/>
          <w:szCs w:val="15"/>
          <w:color w:val="auto"/>
        </w:rPr>
        <w:t>$13,272,000 in 1994, and $12,659,000 in 1993 represent transactions with Toro</w:t>
      </w:r>
    </w:p>
    <w:p>
      <w:pPr>
        <w:ind w:left="10"/>
        <w:spacing w:after="0"/>
        <w:rPr>
          <w:sz w:val="20"/>
          <w:szCs w:val="20"/>
          <w:color w:val="auto"/>
        </w:rPr>
      </w:pPr>
      <w:r>
        <w:rPr>
          <w:rFonts w:ascii="Courier New" w:cs="Courier New" w:eastAsia="Courier New" w:hAnsi="Courier New"/>
          <w:sz w:val="15"/>
          <w:szCs w:val="15"/>
          <w:color w:val="auto"/>
        </w:rPr>
        <w:t>Credit Company's parent company, The Toro Company, which are eliminated in</w:t>
      </w:r>
    </w:p>
    <w:p>
      <w:pPr>
        <w:ind w:left="10"/>
        <w:spacing w:after="0" w:line="238" w:lineRule="auto"/>
        <w:rPr>
          <w:sz w:val="20"/>
          <w:szCs w:val="20"/>
          <w:color w:val="auto"/>
        </w:rPr>
      </w:pPr>
      <w:r>
        <w:rPr>
          <w:rFonts w:ascii="Courier New" w:cs="Courier New" w:eastAsia="Courier New" w:hAnsi="Courier New"/>
          <w:sz w:val="15"/>
          <w:szCs w:val="15"/>
          <w:color w:val="auto"/>
        </w:rPr>
        <w:t>consolidation. The remaining finance revenues of $4,145,000 in 1995,</w:t>
      </w:r>
    </w:p>
    <w:p>
      <w:pPr>
        <w:ind w:left="10"/>
        <w:spacing w:after="0"/>
        <w:rPr>
          <w:sz w:val="20"/>
          <w:szCs w:val="20"/>
          <w:color w:val="auto"/>
        </w:rPr>
      </w:pPr>
      <w:r>
        <w:rPr>
          <w:rFonts w:ascii="Courier New" w:cs="Courier New" w:eastAsia="Courier New" w:hAnsi="Courier New"/>
          <w:sz w:val="15"/>
          <w:szCs w:val="15"/>
          <w:color w:val="auto"/>
        </w:rPr>
        <w:t>$4,164,000 in 1994, and $4,401,000 in 1993 are included in other income, in</w:t>
      </w:r>
    </w:p>
    <w:p>
      <w:pPr>
        <w:ind w:left="10"/>
        <w:spacing w:after="0"/>
        <w:rPr>
          <w:sz w:val="20"/>
          <w:szCs w:val="20"/>
          <w:color w:val="auto"/>
        </w:rPr>
      </w:pPr>
      <w:r>
        <w:rPr>
          <w:rFonts w:ascii="Courier New" w:cs="Courier New" w:eastAsia="Courier New" w:hAnsi="Courier New"/>
          <w:sz w:val="15"/>
          <w:szCs w:val="15"/>
          <w:color w:val="auto"/>
        </w:rPr>
        <w:t>The Toro Company's Consolidated Statements of Earnings. The expenses and</w:t>
      </w:r>
    </w:p>
    <w:p>
      <w:pPr>
        <w:ind w:left="10"/>
        <w:spacing w:after="0" w:line="238" w:lineRule="auto"/>
        <w:rPr>
          <w:sz w:val="20"/>
          <w:szCs w:val="20"/>
          <w:color w:val="auto"/>
        </w:rPr>
      </w:pPr>
      <w:r>
        <w:rPr>
          <w:rFonts w:ascii="Courier New" w:cs="Courier New" w:eastAsia="Courier New" w:hAnsi="Courier New"/>
          <w:sz w:val="15"/>
          <w:szCs w:val="15"/>
          <w:color w:val="auto"/>
        </w:rPr>
        <w:t>balance sheet items (net of eliminations) are included in the Consolidated</w:t>
      </w:r>
    </w:p>
    <w:p>
      <w:pPr>
        <w:ind w:left="10"/>
        <w:spacing w:after="0"/>
        <w:rPr>
          <w:sz w:val="20"/>
          <w:szCs w:val="20"/>
          <w:color w:val="auto"/>
        </w:rPr>
      </w:pPr>
      <w:r>
        <w:rPr>
          <w:rFonts w:ascii="Courier New" w:cs="Courier New" w:eastAsia="Courier New" w:hAnsi="Courier New"/>
          <w:sz w:val="15"/>
          <w:szCs w:val="15"/>
          <w:color w:val="auto"/>
        </w:rPr>
        <w:t>Statements of Earnings and Consolidated Balance Sheets under the</w:t>
      </w:r>
    </w:p>
    <w:p>
      <w:pPr>
        <w:ind w:left="10"/>
        <w:spacing w:after="0"/>
        <w:rPr>
          <w:sz w:val="20"/>
          <w:szCs w:val="20"/>
          <w:color w:val="auto"/>
        </w:rPr>
      </w:pPr>
      <w:r>
        <w:rPr>
          <w:rFonts w:ascii="Courier New" w:cs="Courier New" w:eastAsia="Courier New" w:hAnsi="Courier New"/>
          <w:sz w:val="15"/>
          <w:szCs w:val="15"/>
          <w:color w:val="auto"/>
        </w:rPr>
        <w:t>corresponding classifications.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 QUARTERLY FINANCIAL DATA (unaudited)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Summarized quarterly financial data for 1995 and 1994 is as follows:</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data)</w:t>
      </w:r>
    </w:p>
    <w:p>
      <w:pPr>
        <w:ind w:left="10"/>
        <w:spacing w:after="0"/>
        <w:tabs>
          <w:tab w:leader="none" w:pos="2969" w:val="left"/>
          <w:tab w:leader="none" w:pos="4289" w:val="left"/>
          <w:tab w:leader="none" w:pos="5709" w:val="left"/>
          <w:tab w:leader="none" w:pos="7029"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$205,704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$213,950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$310,613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$202,586</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76,065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76,068</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107,342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75,103</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8,302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6,799</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17,539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4,027</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earnings per share of</w:t>
            </w: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common stock and common</w:t>
            </w: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stock equivalent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0.51</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bl>
    <w:p>
      <w:pPr>
        <w:sectPr>
          <w:pgSz w:w="11900" w:h="16838" w:orient="portrait"/>
          <w:cols w:equalWidth="0" w:num="1">
            <w:col w:w="10229"/>
          </w:cols>
          <w:pgMar w:left="230" w:top="791" w:right="1440" w:bottom="0" w:gutter="0" w:footer="0" w:header="0"/>
        </w:sectPr>
      </w:pPr>
    </w:p>
    <w:bookmarkStart w:id="78" w:name="page79"/>
    <w:bookmarkEnd w:id="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Dividends per common share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6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6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300" w:type="dxa"/>
            <w:vAlign w:val="bottom"/>
          </w:tcPr>
          <w:p>
            <w:pPr>
              <w:spacing w:after="0"/>
              <w:rPr>
                <w:sz w:val="14"/>
                <w:szCs w:val="14"/>
                <w:color w:val="auto"/>
              </w:rPr>
            </w:pP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Market</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price of common stock</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bid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2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Low bid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bl>
    <w:p>
      <w:pPr>
        <w:spacing w:after="0" w:line="5" w:lineRule="exact"/>
        <w:rPr>
          <w:sz w:val="20"/>
          <w:szCs w:val="20"/>
          <w:color w:val="auto"/>
        </w:rPr>
      </w:pPr>
    </w:p>
    <w:p>
      <w:pPr>
        <w:ind w:left="170" w:hanging="170"/>
        <w:spacing w:after="0"/>
        <w:tabs>
          <w:tab w:leader="none" w:pos="17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1994</w:t>
      </w:r>
    </w:p>
    <w:tbl>
      <w:tblPr>
        <w:tblLayout w:type="fixed"/>
        <w:tblInd w:w="10" w:type="dxa"/>
        <w:tblCellMar>
          <w:top w:w="0" w:type="dxa"/>
          <w:left w:w="0" w:type="dxa"/>
          <w:bottom w:w="0" w:type="dxa"/>
          <w:right w:w="0" w:type="dxa"/>
        </w:tblCellMar>
      </w:tblPr>
      <w:tr>
        <w:trPr>
          <w:trHeight w:val="169"/>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$135,761</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$189,413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$276,476</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$192,691</w:t>
            </w:r>
          </w:p>
        </w:tc>
        <w:tc>
          <w:tcPr>
            <w:tcW w:w="26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49,035</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66,587</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97,689</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74,214</w:t>
            </w:r>
          </w:p>
        </w:tc>
        <w:tc>
          <w:tcPr>
            <w:tcW w:w="26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(1,895)</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4,477</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15,637</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c>
          <w:tcPr>
            <w:tcW w:w="26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earnings per share of</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common stock and common</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stock equivalent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44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0.31</w:t>
            </w:r>
          </w:p>
        </w:tc>
        <w:tc>
          <w:tcPr>
            <w:tcW w:w="26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Dividends per common</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26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Market price of common stock</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High bid</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Low bid</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bl>
    <w:p>
      <w:pPr>
        <w:ind w:left="170" w:hanging="170"/>
        <w:spacing w:after="0"/>
        <w:tabs>
          <w:tab w:leader="none" w:pos="17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00" w:lineRule="exact"/>
        <w:rPr>
          <w:rFonts w:ascii="Courier New" w:cs="Courier New" w:eastAsia="Courier New" w:hAnsi="Courier New"/>
          <w:sz w:val="15"/>
          <w:szCs w:val="15"/>
          <w:color w:val="auto"/>
        </w:rPr>
      </w:pPr>
    </w:p>
    <w:p>
      <w:pPr>
        <w:spacing w:after="0" w:line="307"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  The Toro Company  1995 Annual Report</w:t>
      </w:r>
    </w:p>
    <w:p>
      <w:pPr>
        <w:sectPr>
          <w:pgSz w:w="11900" w:h="16838" w:orient="portrait"/>
          <w:cols w:equalWidth="0" w:num="1">
            <w:col w:w="10229"/>
          </w:cols>
          <w:pgMar w:left="230" w:top="136" w:right="1440" w:bottom="1440" w:gutter="0" w:footer="0" w:header="0"/>
        </w:sectPr>
      </w:pPr>
    </w:p>
    <w:bookmarkStart w:id="79" w:name="page80"/>
    <w:bookmarkEnd w:id="79"/>
    <w:p>
      <w:pPr>
        <w:ind w:left="5980"/>
        <w:spacing w:after="0"/>
        <w:rPr>
          <w:sz w:val="20"/>
          <w:szCs w:val="20"/>
          <w:color w:val="auto"/>
        </w:rPr>
      </w:pPr>
      <w:r>
        <w:rPr>
          <w:rFonts w:ascii="Courier New" w:cs="Courier New" w:eastAsia="Courier New" w:hAnsi="Courier New"/>
          <w:sz w:val="15"/>
          <w:szCs w:val="15"/>
          <w:color w:val="auto"/>
        </w:rPr>
        <w:t>Exhibit 21</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TORO COMPANY</w:t>
      </w:r>
    </w:p>
    <w:p>
      <w:pPr>
        <w:jc w:val="center"/>
        <w:ind w:right="3359"/>
        <w:spacing w:after="0"/>
        <w:rPr>
          <w:sz w:val="20"/>
          <w:szCs w:val="20"/>
          <w:color w:val="auto"/>
        </w:rPr>
      </w:pPr>
      <w:r>
        <w:rPr>
          <w:rFonts w:ascii="Courier New" w:cs="Courier New" w:eastAsia="Courier New" w:hAnsi="Courier New"/>
          <w:sz w:val="15"/>
          <w:szCs w:val="15"/>
          <w:color w:val="auto"/>
        </w:rPr>
        <w:t>SUBSIDIARIES OF REGISTRANT</w:t>
      </w:r>
    </w:p>
    <w:p>
      <w:pPr>
        <w:spacing w:after="0" w:line="200" w:lineRule="exact"/>
        <w:rPr>
          <w:sz w:val="20"/>
          <w:szCs w:val="20"/>
          <w:color w:val="auto"/>
        </w:rPr>
      </w:pPr>
    </w:p>
    <w:p>
      <w:pPr>
        <w:spacing w:after="0" w:line="313"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All the following subsidiaries are included in the consolidated financial statements of The Toro Company as of July 31, 1995.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64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8"/>
              </w:rPr>
              <w:t>State or Other</w:t>
            </w:r>
          </w:p>
        </w:tc>
        <w:tc>
          <w:tcPr>
            <w:tcW w:w="2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3160" w:type="dxa"/>
            <w:vAlign w:val="bottom"/>
          </w:tcPr>
          <w:p>
            <w:pPr>
              <w:spacing w:after="0"/>
              <w:rPr>
                <w:sz w:val="14"/>
                <w:szCs w:val="14"/>
                <w:color w:val="auto"/>
              </w:rPr>
            </w:pPr>
          </w:p>
        </w:tc>
        <w:tc>
          <w:tcPr>
            <w:tcW w:w="26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Jurisdiction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3160" w:type="dxa"/>
            <w:vAlign w:val="bottom"/>
          </w:tcPr>
          <w:p>
            <w:pPr>
              <w:ind w:left="1140"/>
              <w:spacing w:after="0"/>
              <w:rPr>
                <w:sz w:val="20"/>
                <w:szCs w:val="20"/>
                <w:color w:val="auto"/>
              </w:rPr>
            </w:pPr>
            <w:r>
              <w:rPr>
                <w:rFonts w:ascii="Courier New" w:cs="Courier New" w:eastAsia="Courier New" w:hAnsi="Courier New"/>
                <w:sz w:val="15"/>
                <w:szCs w:val="15"/>
                <w:color w:val="auto"/>
              </w:rPr>
              <w:t>Name</w:t>
            </w:r>
          </w:p>
        </w:tc>
        <w:tc>
          <w:tcPr>
            <w:tcW w:w="264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of Incorporation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by Immediate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Parent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Australia Pty. Limited</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Australia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Credit Company</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Minnesota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Europe</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Belgium</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Foreign Sales Corporation</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Barbados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Lawn-Boy Inc.</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Probiotic Products, Inc.</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Minnesota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Sales Company</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Minnesota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Southwest, Inc.</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California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Toro International Company</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Minnesota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Hahn Equipment Co.</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Minnesota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spacing w:after="0"/>
              <w:rPr>
                <w:sz w:val="14"/>
                <w:szCs w:val="14"/>
                <w:color w:val="auto"/>
              </w:rPr>
            </w:pPr>
          </w:p>
        </w:tc>
      </w:tr>
      <w:tr>
        <w:trPr>
          <w:trHeight w:val="678"/>
        </w:trPr>
        <w:tc>
          <w:tcPr>
            <w:tcW w:w="3160" w:type="dxa"/>
            <w:vAlign w:val="bottom"/>
          </w:tcPr>
          <w:p>
            <w:pPr>
              <w:spacing w:after="0"/>
              <w:rPr>
                <w:sz w:val="24"/>
                <w:szCs w:val="2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475" w:right="1440" w:bottom="1440" w:gutter="0" w:footer="0" w:header="0"/>
        </w:sectPr>
      </w:pPr>
    </w:p>
    <w:bookmarkStart w:id="80" w:name="page81"/>
    <w:bookmarkEnd w:id="80"/>
    <w:p>
      <w:pPr>
        <w:ind w:left="1920"/>
        <w:spacing w:after="0"/>
        <w:rPr>
          <w:sz w:val="20"/>
          <w:szCs w:val="20"/>
          <w:color w:val="auto"/>
        </w:rPr>
      </w:pPr>
      <w:r>
        <w:rPr>
          <w:rFonts w:ascii="Courier New" w:cs="Courier New" w:eastAsia="Courier New" w:hAnsi="Courier New"/>
          <w:sz w:val="15"/>
          <w:szCs w:val="15"/>
          <w:color w:val="auto"/>
        </w:rPr>
        <w:t>[Peat Marwick LLP Letterhead]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Independent Auditors' Consent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The Toro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consent to incorporation by reference in the Registration Statements (Nos.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33-26268, 33-31586, 33-38308, 33-44668, 33-51563, 33-55550, 33-67748,</w:t>
      </w:r>
    </w:p>
    <w:p>
      <w:pPr>
        <w:spacing w:after="0" w:line="5" w:lineRule="exact"/>
        <w:rPr>
          <w:sz w:val="20"/>
          <w:szCs w:val="20"/>
          <w:color w:val="auto"/>
        </w:rPr>
      </w:pPr>
    </w:p>
    <w:p>
      <w:pPr>
        <w:ind w:right="3799"/>
        <w:spacing w:after="0" w:line="256" w:lineRule="auto"/>
        <w:rPr>
          <w:sz w:val="20"/>
          <w:szCs w:val="20"/>
          <w:color w:val="auto"/>
        </w:rPr>
      </w:pPr>
      <w:r>
        <w:rPr>
          <w:rFonts w:ascii="Courier New" w:cs="Courier New" w:eastAsia="Courier New" w:hAnsi="Courier New"/>
          <w:sz w:val="14"/>
          <w:szCs w:val="14"/>
          <w:color w:val="auto"/>
        </w:rPr>
        <w:t>33-59563, and 33-62748) on Forms S-3 and S-8 of The Toro Company of our reports dated September 7, 1995, relating to the consolidated balance sheets of The Toro Company and subsidiaries as of July 31, 1995 and 1994, and the related consolidated statements of earnings and cash flows and related financial statement schedules for each of the years in the three-year period ended July 31, 1995, which reports are included in</w:t>
      </w:r>
    </w:p>
    <w:p>
      <w:pPr>
        <w:spacing w:after="0" w:line="2"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or incorporated by reference in the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rPr>
          <w:sz w:val="20"/>
          <w:szCs w:val="20"/>
          <w:color w:val="auto"/>
        </w:rPr>
      </w:pPr>
      <w:r>
        <w:rPr>
          <w:rFonts w:ascii="Courier New" w:cs="Courier New" w:eastAsia="Courier New" w:hAnsi="Courier New"/>
          <w:sz w:val="15"/>
          <w:szCs w:val="15"/>
          <w:color w:val="auto"/>
        </w:rPr>
        <w:t>October 27, 1995</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91" w:right="1440" w:bottom="1440" w:gutter="0" w:footer="0" w:header="0"/>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ind w:left="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20" w:right="333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Earnings, the Balance Sheet and 10-K Schedule II and Exhibit 11 and is qualified in its entirety by reference to such financial statements.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ind w:left="2280"/>
        <w:spacing w:after="0"/>
        <w:rPr>
          <w:sz w:val="20"/>
          <w:szCs w:val="20"/>
          <w:color w:val="auto"/>
        </w:rPr>
      </w:pPr>
      <w:r>
        <w:rPr>
          <w:rFonts w:ascii="Courier New" w:cs="Courier New" w:eastAsia="Courier New" w:hAnsi="Courier New"/>
          <w:sz w:val="15"/>
          <w:szCs w:val="15"/>
          <w:color w:val="auto"/>
        </w:rPr>
        <w:t>JUL-31-1995</w:t>
      </w:r>
    </w:p>
    <w:p>
      <w:pPr>
        <w:ind w:left="2540"/>
        <w:spacing w:after="0"/>
        <w:rPr>
          <w:sz w:val="20"/>
          <w:szCs w:val="20"/>
          <w:color w:val="auto"/>
        </w:rPr>
      </w:pPr>
      <w:r>
        <w:rPr>
          <w:rFonts w:ascii="Courier New" w:cs="Courier New" w:eastAsia="Courier New" w:hAnsi="Courier New"/>
          <w:sz w:val="15"/>
          <w:szCs w:val="15"/>
          <w:color w:val="auto"/>
        </w:rPr>
        <w:t>AUG-01-1994</w:t>
      </w:r>
    </w:p>
    <w:p>
      <w:pPr>
        <w:ind w:left="2720"/>
        <w:spacing w:after="0" w:line="238" w:lineRule="auto"/>
        <w:rPr>
          <w:sz w:val="20"/>
          <w:szCs w:val="20"/>
          <w:color w:val="auto"/>
        </w:rPr>
      </w:pPr>
      <w:r>
        <w:rPr>
          <w:rFonts w:ascii="Courier New" w:cs="Courier New" w:eastAsia="Courier New" w:hAnsi="Courier New"/>
          <w:sz w:val="15"/>
          <w:szCs w:val="15"/>
          <w:color w:val="auto"/>
        </w:rPr>
        <w:t>JUL-31-1995</w:t>
      </w:r>
    </w:p>
    <w:p>
      <w:pPr>
        <w:ind w:left="3700"/>
        <w:spacing w:after="0"/>
        <w:rPr>
          <w:sz w:val="20"/>
          <w:szCs w:val="20"/>
          <w:color w:val="auto"/>
        </w:rPr>
      </w:pPr>
      <w:r>
        <w:rPr>
          <w:rFonts w:ascii="Courier New" w:cs="Courier New" w:eastAsia="Courier New" w:hAnsi="Courier New"/>
          <w:sz w:val="15"/>
          <w:szCs w:val="15"/>
          <w:color w:val="auto"/>
        </w:rPr>
        <w:t>11,924</w:t>
      </w:r>
    </w:p>
    <w:p>
      <w:pPr>
        <w:ind w:left="3600"/>
        <w:spacing w:after="0"/>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210,090</w:t>
      </w:r>
    </w:p>
    <w:p>
      <w:pPr>
        <w:ind w:left="3260"/>
        <w:spacing w:after="0"/>
        <w:rPr>
          <w:sz w:val="20"/>
          <w:szCs w:val="20"/>
          <w:color w:val="auto"/>
        </w:rPr>
      </w:pPr>
      <w:r>
        <w:rPr>
          <w:rFonts w:ascii="Courier New" w:cs="Courier New" w:eastAsia="Courier New" w:hAnsi="Courier New"/>
          <w:sz w:val="15"/>
          <w:szCs w:val="15"/>
          <w:color w:val="auto"/>
        </w:rPr>
        <w:t>7,343</w:t>
      </w:r>
    </w:p>
    <w:p>
      <w:pPr>
        <w:ind w:left="3160"/>
        <w:spacing w:after="0"/>
        <w:rPr>
          <w:sz w:val="20"/>
          <w:szCs w:val="20"/>
          <w:color w:val="auto"/>
        </w:rPr>
      </w:pPr>
      <w:r>
        <w:rPr>
          <w:rFonts w:ascii="Courier New" w:cs="Courier New" w:eastAsia="Courier New" w:hAnsi="Courier New"/>
          <w:sz w:val="15"/>
          <w:szCs w:val="15"/>
          <w:color w:val="auto"/>
        </w:rPr>
        <w:t>123,720</w:t>
      </w:r>
    </w:p>
    <w:p>
      <w:pPr>
        <w:ind w:left="2720"/>
        <w:spacing w:after="0"/>
        <w:rPr>
          <w:sz w:val="20"/>
          <w:szCs w:val="20"/>
          <w:color w:val="auto"/>
        </w:rPr>
      </w:pPr>
      <w:r>
        <w:rPr>
          <w:rFonts w:ascii="Courier New" w:cs="Courier New" w:eastAsia="Courier New" w:hAnsi="Courier New"/>
          <w:sz w:val="15"/>
          <w:szCs w:val="15"/>
          <w:color w:val="auto"/>
        </w:rPr>
        <w:t>381,610</w:t>
      </w:r>
    </w:p>
    <w:p>
      <w:pPr>
        <w:ind w:left="3600"/>
        <w:spacing w:after="0" w:line="238" w:lineRule="auto"/>
        <w:rPr>
          <w:sz w:val="20"/>
          <w:szCs w:val="20"/>
          <w:color w:val="auto"/>
        </w:rPr>
      </w:pPr>
      <w:r>
        <w:rPr>
          <w:rFonts w:ascii="Courier New" w:cs="Courier New" w:eastAsia="Courier New" w:hAnsi="Courier New"/>
          <w:sz w:val="15"/>
          <w:szCs w:val="15"/>
          <w:color w:val="auto"/>
        </w:rPr>
        <w:t>208,621</w:t>
      </w:r>
    </w:p>
    <w:p>
      <w:pPr>
        <w:ind w:left="2900"/>
        <w:spacing w:after="0"/>
        <w:rPr>
          <w:sz w:val="20"/>
          <w:szCs w:val="20"/>
          <w:color w:val="auto"/>
        </w:rPr>
      </w:pPr>
      <w:r>
        <w:rPr>
          <w:rFonts w:ascii="Courier New" w:cs="Courier New" w:eastAsia="Courier New" w:hAnsi="Courier New"/>
          <w:sz w:val="15"/>
          <w:szCs w:val="15"/>
          <w:color w:val="auto"/>
        </w:rPr>
        <w:t>138,550</w:t>
      </w:r>
    </w:p>
    <w:p>
      <w:pPr>
        <w:ind w:left="2900"/>
        <w:spacing w:after="0"/>
        <w:rPr>
          <w:sz w:val="20"/>
          <w:szCs w:val="20"/>
          <w:color w:val="auto"/>
        </w:rPr>
      </w:pPr>
      <w:r>
        <w:rPr>
          <w:rFonts w:ascii="Courier New" w:cs="Courier New" w:eastAsia="Courier New" w:hAnsi="Courier New"/>
          <w:sz w:val="15"/>
          <w:szCs w:val="15"/>
          <w:color w:val="auto"/>
        </w:rPr>
        <w:t>468,315</w:t>
      </w:r>
    </w:p>
    <w:p>
      <w:pPr>
        <w:ind w:left="2280"/>
        <w:spacing w:after="0" w:line="238" w:lineRule="auto"/>
        <w:rPr>
          <w:sz w:val="20"/>
          <w:szCs w:val="20"/>
          <w:color w:val="auto"/>
        </w:rPr>
      </w:pPr>
      <w:r>
        <w:rPr>
          <w:rFonts w:ascii="Courier New" w:cs="Courier New" w:eastAsia="Courier New" w:hAnsi="Courier New"/>
          <w:sz w:val="15"/>
          <w:szCs w:val="15"/>
          <w:color w:val="auto"/>
        </w:rPr>
        <w:t>212,659</w:t>
      </w:r>
    </w:p>
    <w:p>
      <w:pPr>
        <w:ind w:left="3600"/>
        <w:spacing w:after="0"/>
        <w:rPr>
          <w:sz w:val="20"/>
          <w:szCs w:val="20"/>
          <w:color w:val="auto"/>
        </w:rPr>
      </w:pPr>
      <w:r>
        <w:rPr>
          <w:rFonts w:ascii="Courier New" w:cs="Courier New" w:eastAsia="Courier New" w:hAnsi="Courier New"/>
          <w:sz w:val="15"/>
          <w:szCs w:val="15"/>
          <w:color w:val="auto"/>
        </w:rPr>
        <w:t>81,025</w:t>
      </w:r>
    </w:p>
    <w:p>
      <w:pPr>
        <w:ind w:left="3520"/>
        <w:spacing w:after="0"/>
        <w:rPr>
          <w:sz w:val="20"/>
          <w:szCs w:val="20"/>
          <w:color w:val="auto"/>
        </w:rPr>
      </w:pPr>
      <w:r>
        <w:rPr>
          <w:rFonts w:ascii="Courier New" w:cs="Courier New" w:eastAsia="Courier New" w:hAnsi="Courier New"/>
          <w:sz w:val="15"/>
          <w:szCs w:val="15"/>
          <w:color w:val="auto"/>
        </w:rPr>
        <w:t>12,040</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line="238" w:lineRule="auto"/>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173,431</w:t>
      </w:r>
    </w:p>
    <w:p>
      <w:pPr>
        <w:ind w:left="1660"/>
        <w:spacing w:after="0"/>
        <w:rPr>
          <w:sz w:val="20"/>
          <w:szCs w:val="20"/>
          <w:color w:val="auto"/>
        </w:rPr>
      </w:pPr>
      <w:r>
        <w:rPr>
          <w:rFonts w:ascii="Courier New" w:cs="Courier New" w:eastAsia="Courier New" w:hAnsi="Courier New"/>
          <w:sz w:val="15"/>
          <w:szCs w:val="15"/>
          <w:color w:val="auto"/>
        </w:rPr>
        <w:t>468,315</w:t>
      </w:r>
    </w:p>
    <w:p>
      <w:pPr>
        <w:ind w:left="3520"/>
        <w:spacing w:after="0" w:line="238" w:lineRule="auto"/>
        <w:rPr>
          <w:sz w:val="20"/>
          <w:szCs w:val="20"/>
          <w:color w:val="auto"/>
        </w:rPr>
      </w:pPr>
      <w:r>
        <w:rPr>
          <w:rFonts w:ascii="Courier New" w:cs="Courier New" w:eastAsia="Courier New" w:hAnsi="Courier New"/>
          <w:sz w:val="15"/>
          <w:szCs w:val="15"/>
          <w:color w:val="auto"/>
        </w:rPr>
        <w:t>932,853</w:t>
      </w:r>
    </w:p>
    <w:p>
      <w:pPr>
        <w:ind w:left="2720"/>
        <w:spacing w:after="0"/>
        <w:rPr>
          <w:sz w:val="20"/>
          <w:szCs w:val="20"/>
          <w:color w:val="auto"/>
        </w:rPr>
      </w:pPr>
      <w:r>
        <w:rPr>
          <w:rFonts w:ascii="Courier New" w:cs="Courier New" w:eastAsia="Courier New" w:hAnsi="Courier New"/>
          <w:sz w:val="15"/>
          <w:szCs w:val="15"/>
          <w:color w:val="auto"/>
        </w:rPr>
        <w:t>932,853</w:t>
      </w:r>
    </w:p>
    <w:p>
      <w:pPr>
        <w:ind w:left="3700"/>
        <w:spacing w:after="0"/>
        <w:rPr>
          <w:sz w:val="20"/>
          <w:szCs w:val="20"/>
          <w:color w:val="auto"/>
        </w:rPr>
      </w:pPr>
      <w:r>
        <w:rPr>
          <w:rFonts w:ascii="Courier New" w:cs="Courier New" w:eastAsia="Courier New" w:hAnsi="Courier New"/>
          <w:sz w:val="15"/>
          <w:szCs w:val="15"/>
          <w:color w:val="auto"/>
        </w:rPr>
        <w:t>598,275</w:t>
      </w:r>
    </w:p>
    <w:p>
      <w:pPr>
        <w:ind w:left="2980"/>
        <w:spacing w:after="0"/>
        <w:rPr>
          <w:sz w:val="20"/>
          <w:szCs w:val="20"/>
          <w:color w:val="auto"/>
        </w:rPr>
      </w:pPr>
      <w:r>
        <w:rPr>
          <w:rFonts w:ascii="Courier New" w:cs="Courier New" w:eastAsia="Courier New" w:hAnsi="Courier New"/>
          <w:sz w:val="15"/>
          <w:szCs w:val="15"/>
          <w:color w:val="auto"/>
        </w:rPr>
        <w:t>269,757</w:t>
      </w:r>
    </w:p>
    <w:p>
      <w:pPr>
        <w:ind w:left="2720"/>
        <w:spacing w:after="0" w:line="238" w:lineRule="auto"/>
        <w:rPr>
          <w:sz w:val="20"/>
          <w:szCs w:val="20"/>
          <w:color w:val="auto"/>
        </w:rPr>
      </w:pPr>
      <w:r>
        <w:rPr>
          <w:rFonts w:ascii="Courier New" w:cs="Courier New" w:eastAsia="Courier New" w:hAnsi="Courier New"/>
          <w:sz w:val="15"/>
          <w:szCs w:val="15"/>
          <w:color w:val="auto"/>
        </w:rPr>
        <w:t>(8,193)</w:t>
      </w:r>
    </w:p>
    <w:p>
      <w:pPr>
        <w:ind w:left="2900"/>
        <w:spacing w:after="0"/>
        <w:rPr>
          <w:sz w:val="20"/>
          <w:szCs w:val="20"/>
          <w:color w:val="auto"/>
        </w:rPr>
      </w:pPr>
      <w:r>
        <w:rPr>
          <w:rFonts w:ascii="Courier New" w:cs="Courier New" w:eastAsia="Courier New" w:hAnsi="Courier New"/>
          <w:sz w:val="15"/>
          <w:szCs w:val="15"/>
          <w:color w:val="auto"/>
        </w:rPr>
        <w:t>1,543</w:t>
      </w:r>
    </w:p>
    <w:p>
      <w:pPr>
        <w:ind w:left="2640"/>
        <w:spacing w:after="0"/>
        <w:rPr>
          <w:sz w:val="20"/>
          <w:szCs w:val="20"/>
          <w:color w:val="auto"/>
        </w:rPr>
      </w:pPr>
      <w:r>
        <w:rPr>
          <w:rFonts w:ascii="Courier New" w:cs="Courier New" w:eastAsia="Courier New" w:hAnsi="Courier New"/>
          <w:sz w:val="15"/>
          <w:szCs w:val="15"/>
          <w:color w:val="auto"/>
        </w:rPr>
        <w:t>11,902</w:t>
      </w:r>
    </w:p>
    <w:p>
      <w:pPr>
        <w:ind w:left="2900"/>
        <w:spacing w:after="0" w:line="238" w:lineRule="auto"/>
        <w:rPr>
          <w:sz w:val="20"/>
          <w:szCs w:val="20"/>
          <w:color w:val="auto"/>
        </w:rPr>
      </w:pPr>
      <w:r>
        <w:rPr>
          <w:rFonts w:ascii="Courier New" w:cs="Courier New" w:eastAsia="Courier New" w:hAnsi="Courier New"/>
          <w:sz w:val="15"/>
          <w:szCs w:val="15"/>
          <w:color w:val="auto"/>
        </w:rPr>
        <w:t>61,112</w:t>
      </w:r>
    </w:p>
    <w:p>
      <w:pPr>
        <w:ind w:left="3160"/>
        <w:spacing w:after="0"/>
        <w:rPr>
          <w:sz w:val="20"/>
          <w:szCs w:val="20"/>
          <w:color w:val="auto"/>
        </w:rPr>
      </w:pPr>
      <w:r>
        <w:rPr>
          <w:rFonts w:ascii="Courier New" w:cs="Courier New" w:eastAsia="Courier New" w:hAnsi="Courier New"/>
          <w:sz w:val="15"/>
          <w:szCs w:val="15"/>
          <w:color w:val="auto"/>
        </w:rPr>
        <w:t>24,445</w:t>
      </w:r>
    </w:p>
    <w:p>
      <w:pPr>
        <w:ind w:left="2540"/>
        <w:spacing w:after="0"/>
        <w:rPr>
          <w:sz w:val="20"/>
          <w:szCs w:val="20"/>
          <w:color w:val="auto"/>
        </w:rPr>
      </w:pPr>
      <w:r>
        <w:rPr>
          <w:rFonts w:ascii="Courier New" w:cs="Courier New" w:eastAsia="Courier New" w:hAnsi="Courier New"/>
          <w:sz w:val="15"/>
          <w:szCs w:val="15"/>
          <w:color w:val="auto"/>
        </w:rPr>
        <w:t>36,667</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rPr>
          <w:sz w:val="20"/>
          <w:szCs w:val="20"/>
          <w:color w:val="auto"/>
        </w:rPr>
      </w:pPr>
      <w:r>
        <w:rPr>
          <w:rFonts w:ascii="Courier New" w:cs="Courier New" w:eastAsia="Courier New" w:hAnsi="Courier New"/>
          <w:sz w:val="15"/>
          <w:szCs w:val="15"/>
          <w:color w:val="auto"/>
        </w:rPr>
        <w:t>0</w:t>
      </w:r>
    </w:p>
    <w:p>
      <w:pPr>
        <w:ind w:left="3860"/>
        <w:spacing w:after="0"/>
        <w:rPr>
          <w:sz w:val="20"/>
          <w:szCs w:val="20"/>
          <w:color w:val="auto"/>
        </w:rPr>
      </w:pPr>
      <w:r>
        <w:rPr>
          <w:rFonts w:ascii="Courier New" w:cs="Courier New" w:eastAsia="Courier New" w:hAnsi="Courier New"/>
          <w:sz w:val="15"/>
          <w:szCs w:val="15"/>
          <w:color w:val="auto"/>
        </w:rPr>
        <w:t>0</w:t>
      </w:r>
    </w:p>
    <w:p>
      <w:pPr>
        <w:jc w:val="center"/>
        <w:ind w:right="3359"/>
        <w:spacing w:after="0"/>
        <w:rPr>
          <w:sz w:val="20"/>
          <w:szCs w:val="20"/>
          <w:color w:val="auto"/>
        </w:rPr>
      </w:pPr>
      <w:r>
        <w:rPr>
          <w:rFonts w:ascii="Courier New" w:cs="Courier New" w:eastAsia="Courier New" w:hAnsi="Courier New"/>
          <w:sz w:val="15"/>
          <w:szCs w:val="15"/>
          <w:color w:val="auto"/>
        </w:rPr>
        <w:t>36,667</w:t>
      </w:r>
    </w:p>
    <w:p>
      <w:pPr>
        <w:jc w:val="center"/>
        <w:ind w:right="3359"/>
        <w:spacing w:after="0" w:line="238" w:lineRule="auto"/>
        <w:rPr>
          <w:sz w:val="20"/>
          <w:szCs w:val="20"/>
          <w:color w:val="auto"/>
        </w:rPr>
      </w:pPr>
      <w:r>
        <w:rPr>
          <w:rFonts w:ascii="Courier New" w:cs="Courier New" w:eastAsia="Courier New" w:hAnsi="Courier New"/>
          <w:sz w:val="15"/>
          <w:szCs w:val="15"/>
          <w:color w:val="auto"/>
        </w:rPr>
        <w:t>2.81</w:t>
      </w:r>
    </w:p>
    <w:p>
      <w:pPr>
        <w:jc w:val="center"/>
        <w:ind w:right="3359"/>
        <w:spacing w:after="0"/>
        <w:rPr>
          <w:sz w:val="20"/>
          <w:szCs w:val="20"/>
          <w:color w:val="auto"/>
        </w:rPr>
      </w:pPr>
      <w:r>
        <w:rPr>
          <w:rFonts w:ascii="Courier New" w:cs="Courier New" w:eastAsia="Courier New" w:hAnsi="Courier New"/>
          <w:sz w:val="15"/>
          <w:szCs w:val="15"/>
          <w:color w:val="auto"/>
        </w:rPr>
        <w:t>2.81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Long-Term Debt</w:t>
      </w:r>
    </w:p>
    <w:p>
      <w:pPr>
        <w:spacing w:after="0"/>
        <w:rPr>
          <w:sz w:val="20"/>
          <w:szCs w:val="20"/>
          <w:color w:val="auto"/>
        </w:rPr>
      </w:pPr>
      <w:r>
        <w:rPr>
          <w:rFonts w:ascii="Courier New" w:cs="Courier New" w:eastAsia="Courier New" w:hAnsi="Courier New"/>
          <w:sz w:val="15"/>
          <w:szCs w:val="15"/>
          <w:color w:val="auto"/>
        </w:rPr>
        <w:t>Does not include Additional Paid in Capital</w:t>
      </w:r>
    </w:p>
    <w:p>
      <w:pPr>
        <w:spacing w:after="0"/>
        <w:rPr>
          <w:sz w:val="20"/>
          <w:szCs w:val="20"/>
          <w:color w:val="auto"/>
        </w:rPr>
      </w:pPr>
      <w:r>
        <w:rPr>
          <w:rFonts w:ascii="Courier New" w:cs="Courier New" w:eastAsia="Courier New" w:hAnsi="Courier New"/>
          <w:sz w:val="15"/>
          <w:szCs w:val="15"/>
          <w:color w:val="auto"/>
        </w:rPr>
        <w:t>Other income-net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upperLetter"/>
      <w:start w:val="24"/>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lowerLetter"/>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1)"/>
      <w:numFmt w:val="lowerLetter"/>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1)"/>
      <w:numFmt w:val="lowerLetter"/>
      <w:start w:val="1"/>
    </w:lvl>
  </w:abstractNum>
  <w:abstractNum w:abstractNumId="9">
    <w:nsid w:val="799D0247"/>
    <w:multiLevelType w:val="hybridMultilevel"/>
    <w:lvl w:ilvl="0">
      <w:lvlJc w:val="left"/>
      <w:lvlText w:val="(%1)"/>
      <w:numFmt w:val="lowerLetter"/>
      <w:start w:val="2"/>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1)"/>
      <w:numFmt w:val="lowerLetter"/>
      <w:start w:val="1"/>
    </w:lvl>
  </w:abstractNum>
  <w:abstractNum w:abstractNumId="12">
    <w:nsid w:val="168E121F"/>
    <w:multiLevelType w:val="hybridMultilevel"/>
    <w:lvl w:ilvl="0">
      <w:lvlJc w:val="left"/>
      <w:lvlText w:val="%1."/>
      <w:numFmt w:val="decimal"/>
      <w:start w:val="1"/>
    </w:lvl>
  </w:abstractNum>
  <w:abstractNum w:abstractNumId="13">
    <w:nsid w:val="1EBA5D23"/>
    <w:multiLevelType w:val="hybridMultilevel"/>
    <w:lvl w:ilvl="0">
      <w:lvlJc w:val="left"/>
      <w:lvlText w:val="(%1)"/>
      <w:numFmt w:val="lowerLetter"/>
      <w:start w:val="2"/>
    </w:lvl>
  </w:abstractNum>
  <w:abstractNum w:abstractNumId="14">
    <w:nsid w:val="661E3F1E"/>
    <w:multiLevelType w:val="hybridMultilevel"/>
    <w:lvl w:ilvl="0">
      <w:lvlJc w:val="left"/>
      <w:lvlText w:val="%1."/>
      <w:numFmt w:val="decimal"/>
      <w:start w:val="2"/>
    </w:lvl>
  </w:abstractNum>
  <w:abstractNum w:abstractNumId="15">
    <w:nsid w:val="5DC79EA8"/>
    <w:multiLevelType w:val="hybridMultilevel"/>
    <w:lvl w:ilvl="0">
      <w:lvlJc w:val="left"/>
      <w:lvlText w:val="(%1)"/>
      <w:numFmt w:val="lowerLetter"/>
      <w:start w:val="1"/>
    </w:lvl>
  </w:abstractNum>
  <w:abstractNum w:abstractNumId="16">
    <w:nsid w:val="540A471C"/>
    <w:multiLevelType w:val="hybridMultilevel"/>
    <w:lvl w:ilvl="0">
      <w:lvlJc w:val="left"/>
      <w:lvlText w:val="(%1)"/>
      <w:numFmt w:val="lowerLetter"/>
      <w:start w:val="61"/>
    </w:lvl>
    <w:lvl w:ilvl="1">
      <w:lvlJc w:val="left"/>
      <w:lvlText w:val="(%2)"/>
      <w:numFmt w:val="lowerLetter"/>
      <w:start w:val="2"/>
    </w:lvl>
  </w:abstractNum>
  <w:abstractNum w:abstractNumId="17">
    <w:nsid w:val="7BD3EE7B"/>
    <w:multiLevelType w:val="hybridMultilevel"/>
    <w:lvl w:ilvl="0">
      <w:lvlJc w:val="left"/>
      <w:lvlText w:val="(%1)"/>
      <w:numFmt w:val="lowerLetter"/>
      <w:start w:val="4"/>
    </w:lvl>
  </w:abstractNum>
  <w:abstractNum w:abstractNumId="18">
    <w:nsid w:val="51D9C564"/>
    <w:multiLevelType w:val="hybridMultilevel"/>
    <w:lvl w:ilvl="0">
      <w:lvlJc w:val="left"/>
      <w:lvlText w:val="%1."/>
      <w:numFmt w:val="decimal"/>
      <w:start w:val="3"/>
    </w:lvl>
  </w:abstractNum>
  <w:abstractNum w:abstractNumId="19">
    <w:nsid w:val="613EFDC5"/>
    <w:multiLevelType w:val="hybridMultilevel"/>
    <w:lvl w:ilvl="0">
      <w:lvlJc w:val="left"/>
      <w:lvlText w:val="(%1)"/>
      <w:numFmt w:val="lowerRoman"/>
      <w:start w:val="2"/>
    </w:lvl>
  </w:abstractNum>
  <w:abstractNum w:abstractNumId="20">
    <w:nsid w:val="BF72B14"/>
    <w:multiLevelType w:val="hybridMultilevel"/>
    <w:lvl w:ilvl="0">
      <w:lvlJc w:val="left"/>
      <w:lvlText w:val="(%1)"/>
      <w:numFmt w:val="lowerLetter"/>
      <w:start w:val="2"/>
    </w:lvl>
  </w:abstractNum>
  <w:abstractNum w:abstractNumId="21">
    <w:nsid w:val="11447B73"/>
    <w:multiLevelType w:val="hybridMultilevel"/>
    <w:lvl w:ilvl="0">
      <w:lvlJc w:val="left"/>
      <w:lvlText w:val="(%1)"/>
      <w:numFmt w:val="lowerRoman"/>
      <w:start w:val="2"/>
    </w:lvl>
  </w:abstractNum>
  <w:abstractNum w:abstractNumId="22">
    <w:nsid w:val="42963E5A"/>
    <w:multiLevelType w:val="hybridMultilevel"/>
    <w:lvl w:ilvl="0">
      <w:lvlJc w:val="left"/>
      <w:lvlText w:val="(%1)"/>
      <w:numFmt w:val="lowerRoman"/>
      <w:start w:val="6"/>
    </w:lvl>
  </w:abstractNum>
  <w:abstractNum w:abstractNumId="23">
    <w:nsid w:val="A0382C5"/>
    <w:multiLevelType w:val="hybridMultilevel"/>
    <w:lvl w:ilvl="0">
      <w:lvlJc w:val="left"/>
      <w:lvlText w:val="(%1)"/>
      <w:numFmt w:val="lowerRoman"/>
      <w:start w:val="7"/>
    </w:lvl>
  </w:abstractNum>
  <w:abstractNum w:abstractNumId="24">
    <w:nsid w:val="8F2B15E"/>
    <w:multiLevelType w:val="hybridMultilevel"/>
    <w:lvl w:ilvl="0">
      <w:lvlJc w:val="left"/>
      <w:lvlText w:val="(%1)"/>
      <w:numFmt w:val="lowerRoman"/>
      <w:start w:val="8"/>
    </w:lvl>
  </w:abstractNum>
  <w:abstractNum w:abstractNumId="25">
    <w:nsid w:val="1A32234B"/>
    <w:multiLevelType w:val="hybridMultilevel"/>
    <w:lvl w:ilvl="0">
      <w:lvlJc w:val="left"/>
      <w:lvlText w:val="%1."/>
      <w:numFmt w:val="decimal"/>
      <w:start w:val="5"/>
    </w:lvl>
  </w:abstractNum>
  <w:abstractNum w:abstractNumId="26">
    <w:nsid w:val="3B0FD379"/>
    <w:multiLevelType w:val="hybridMultilevel"/>
    <w:lvl w:ilvl="0">
      <w:lvlJc w:val="left"/>
      <w:lvlText w:val="(%1)"/>
      <w:numFmt w:val="lowerLetter"/>
      <w:start w:val="2"/>
    </w:lvl>
  </w:abstractNum>
  <w:abstractNum w:abstractNumId="27">
    <w:nsid w:val="68EB2F63"/>
    <w:multiLevelType w:val="hybridMultilevel"/>
    <w:lvl w:ilvl="0">
      <w:lvlJc w:val="left"/>
      <w:lvlText w:val="(%1)"/>
      <w:numFmt w:val="lowerRoman"/>
      <w:start w:val="1"/>
    </w:lvl>
  </w:abstractNum>
  <w:abstractNum w:abstractNumId="28">
    <w:nsid w:val="4962813B"/>
    <w:multiLevelType w:val="hybridMultilevel"/>
    <w:lvl w:ilvl="0">
      <w:lvlJc w:val="left"/>
      <w:lvlText w:val="(%1)"/>
      <w:numFmt w:val="lowerLetter"/>
      <w:start w:val="3"/>
    </w:lvl>
    <w:lvl w:ilvl="1">
      <w:lvlJc w:val="left"/>
      <w:lvlText w:val="(%2)"/>
      <w:numFmt w:val="lowerRoman"/>
      <w:start w:val="1"/>
    </w:lvl>
  </w:abstractNum>
  <w:abstractNum w:abstractNumId="29">
    <w:nsid w:val="60B6DF70"/>
    <w:multiLevelType w:val="hybridMultilevel"/>
    <w:lvl w:ilvl="0">
      <w:lvlJc w:val="left"/>
      <w:lvlText w:val="(%1)"/>
      <w:numFmt w:val="lowerRoman"/>
      <w:start w:val="3"/>
    </w:lvl>
  </w:abstractNum>
  <w:abstractNum w:abstractNumId="30">
    <w:nsid w:val="6A5EE64"/>
    <w:multiLevelType w:val="hybridMultilevel"/>
    <w:lvl w:ilvl="0">
      <w:lvlJc w:val="left"/>
      <w:lvlText w:val="(%1)"/>
      <w:numFmt w:val="lowerLetter"/>
      <w:start w:val="4"/>
    </w:lvl>
  </w:abstractNum>
  <w:abstractNum w:abstractNumId="31">
    <w:nsid w:val="14330624"/>
    <w:multiLevelType w:val="hybridMultilevel"/>
    <w:lvl w:ilvl="0">
      <w:lvlJc w:val="left"/>
      <w:lvlText w:val="(%1)"/>
      <w:numFmt w:val="lowerLetter"/>
      <w:start w:val="5"/>
    </w:lvl>
  </w:abstractNum>
  <w:abstractNum w:abstractNumId="32">
    <w:nsid w:val="7FFFCA11"/>
    <w:multiLevelType w:val="hybridMultilevel"/>
    <w:lvl w:ilvl="0">
      <w:lvlJc w:val="left"/>
      <w:lvlText w:val="%1."/>
      <w:numFmt w:val="decimal"/>
      <w:start w:val="6"/>
    </w:lvl>
  </w:abstractNum>
  <w:abstractNum w:abstractNumId="33">
    <w:nsid w:val="1A27709E"/>
    <w:multiLevelType w:val="hybridMultilevel"/>
    <w:lvl w:ilvl="0">
      <w:lvlJc w:val="left"/>
      <w:lvlText w:val="(%1)"/>
      <w:numFmt w:val="lowerRoman"/>
      <w:start w:val="1"/>
    </w:lvl>
    <w:lvl w:ilvl="1">
      <w:lvlJc w:val="left"/>
      <w:lvlText w:val="%2."/>
      <w:numFmt w:val="upperLetter"/>
      <w:start w:val="1"/>
    </w:lvl>
  </w:abstractNum>
  <w:abstractNum w:abstractNumId="34">
    <w:nsid w:val="71EA1109"/>
    <w:multiLevelType w:val="hybridMultilevel"/>
    <w:lvl w:ilvl="0">
      <w:lvlJc w:val="left"/>
      <w:lvlText w:val="%1"/>
      <w:numFmt w:val="lowerLetter"/>
      <w:start w:val="1"/>
    </w:lvl>
    <w:lvl w:ilvl="1">
      <w:lvlJc w:val="left"/>
      <w:lvlText w:val="(%2)"/>
      <w:numFmt w:val="lowerRoman"/>
      <w:start w:val="3"/>
    </w:lvl>
  </w:abstractNum>
  <w:abstractNum w:abstractNumId="35">
    <w:nsid w:val="100F59DC"/>
    <w:multiLevelType w:val="hybridMultilevel"/>
    <w:lvl w:ilvl="0">
      <w:lvlJc w:val="left"/>
      <w:lvlText w:val="(%1)"/>
      <w:numFmt w:val="lowerLetter"/>
      <w:start w:val="2"/>
    </w:lvl>
    <w:lvl w:ilvl="1">
      <w:lvlJc w:val="left"/>
      <w:lvlText w:val="%2"/>
      <w:numFmt w:val="lowerRoman"/>
      <w:start w:val="1"/>
    </w:lvl>
  </w:abstractNum>
  <w:abstractNum w:abstractNumId="36">
    <w:nsid w:val="7FB7E0AA"/>
    <w:multiLevelType w:val="hybridMultilevel"/>
    <w:lvl w:ilvl="0">
      <w:lvlJc w:val="left"/>
      <w:lvlText w:val="(%1)"/>
      <w:numFmt w:val="lowerLetter"/>
      <w:start w:val="4"/>
    </w:lvl>
  </w:abstractNum>
  <w:abstractNum w:abstractNumId="37">
    <w:nsid w:val="6EB5BD4"/>
    <w:multiLevelType w:val="hybridMultilevel"/>
    <w:lvl w:ilvl="0">
      <w:lvlJc w:val="left"/>
      <w:lvlText w:val="%1."/>
      <w:numFmt w:val="decimal"/>
      <w:start w:val="7"/>
    </w:lvl>
  </w:abstractNum>
  <w:abstractNum w:abstractNumId="38">
    <w:nsid w:val="6F6DD9AC"/>
    <w:multiLevelType w:val="hybridMultilevel"/>
    <w:lvl w:ilvl="0">
      <w:lvlJc w:val="left"/>
      <w:lvlText w:val="(%1)"/>
      <w:numFmt w:val="lowerLetter"/>
      <w:start w:val="2"/>
    </w:lvl>
  </w:abstractNum>
  <w:abstractNum w:abstractNumId="39">
    <w:nsid w:val="94211F2"/>
    <w:multiLevelType w:val="hybridMultilevel"/>
    <w:lvl w:ilvl="0">
      <w:lvlJc w:val="left"/>
      <w:lvlText w:val="(%1)"/>
      <w:numFmt w:val="lowerLetter"/>
      <w:start w:val="3"/>
    </w:lvl>
    <w:lvl w:ilvl="1">
      <w:lvlJc w:val="left"/>
      <w:lvlText w:val="(%2)"/>
      <w:numFmt w:val="lowerRoman"/>
      <w:start w:val="1"/>
    </w:lvl>
  </w:abstractNum>
  <w:abstractNum w:abstractNumId="40">
    <w:nsid w:val="885E1B"/>
    <w:multiLevelType w:val="hybridMultilevel"/>
    <w:lvl w:ilvl="0">
      <w:lvlJc w:val="left"/>
      <w:lvlText w:val="(%1)"/>
      <w:numFmt w:val="lowerLetter"/>
      <w:start w:val="4"/>
    </w:lvl>
  </w:abstractNum>
  <w:abstractNum w:abstractNumId="41">
    <w:nsid w:val="76272110"/>
    <w:multiLevelType w:val="hybridMultilevel"/>
    <w:lvl w:ilvl="0">
      <w:lvlJc w:val="left"/>
      <w:lvlText w:val="%1."/>
      <w:numFmt w:val="decimal"/>
      <w:start w:val="10"/>
    </w:lvl>
  </w:abstractNum>
  <w:abstractNum w:abstractNumId="42">
    <w:nsid w:val="4C04A8AF"/>
    <w:multiLevelType w:val="hybridMultilevel"/>
    <w:lvl w:ilvl="0">
      <w:lvlJc w:val="left"/>
      <w:lvlText w:val="%1."/>
      <w:numFmt w:val="decimal"/>
      <w:start w:val="11"/>
    </w:lvl>
  </w:abstractNum>
  <w:abstractNum w:abstractNumId="43">
    <w:nsid w:val="1716703B"/>
    <w:multiLevelType w:val="hybridMultilevel"/>
    <w:lvl w:ilvl="0">
      <w:lvlJc w:val="left"/>
      <w:lvlText w:val="(%1)"/>
      <w:numFmt w:val="lowerLetter"/>
      <w:start w:val="2"/>
    </w:lvl>
  </w:abstractNum>
  <w:abstractNum w:abstractNumId="44">
    <w:nsid w:val="14E17E33"/>
    <w:multiLevelType w:val="hybridMultilevel"/>
    <w:lvl w:ilvl="0">
      <w:lvlJc w:val="left"/>
      <w:lvlText w:val="%1."/>
      <w:numFmt w:val="decimal"/>
      <w:start w:val="12"/>
    </w:lvl>
  </w:abstractNum>
  <w:abstractNum w:abstractNumId="45">
    <w:nsid w:val="3222E7CD"/>
    <w:multiLevelType w:val="hybridMultilevel"/>
    <w:lvl w:ilvl="0">
      <w:lvlJc w:val="left"/>
      <w:lvlText w:val="(%1)"/>
      <w:numFmt w:val="lowerLetter"/>
      <w:start w:val="2"/>
    </w:lvl>
  </w:abstractNum>
  <w:abstractNum w:abstractNumId="46">
    <w:nsid w:val="74DE0EE3"/>
    <w:multiLevelType w:val="hybridMultilevel"/>
    <w:lvl w:ilvl="0">
      <w:lvlJc w:val="left"/>
      <w:lvlText w:val="(%1)"/>
      <w:numFmt w:val="lowerLetter"/>
      <w:start w:val="3"/>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1)"/>
      <w:numFmt w:val="decimal"/>
      <w:start w:val="612"/>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1)"/>
      <w:numFmt w:val="decimal"/>
      <w:start w:val="4"/>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1"/>
      <w:numFmt w:val="bullet"/>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2"/>
      <w:numFmt w:val="bullet"/>
      <w:start w:val="1"/>
    </w:lvl>
  </w:abstractNum>
  <w:abstractNum w:abstractNumId="93">
    <w:nsid w:val="45E6D486"/>
    <w:multiLevelType w:val="hybridMultilevel"/>
    <w:lvl w:ilvl="0">
      <w:lvlJc w:val="left"/>
      <w:lvlText w:val="3"/>
      <w:numFmt w:val="bullet"/>
      <w:start w:val="1"/>
    </w:lvl>
  </w:abstractNum>
  <w:abstractNum w:abstractNumId="94">
    <w:nsid w:val="5C10FE21"/>
    <w:multiLevelType w:val="hybridMultilevel"/>
    <w:lvl w:ilvl="0">
      <w:lvlJc w:val="left"/>
      <w:lvlText w:val="-"/>
      <w:numFmt w:val="bullet"/>
      <w:start w:val="1"/>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4"/>
      <w:numFmt w:val="bullet"/>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5"/>
      <w:numFmt w:val="bullet"/>
      <w:start w:val="1"/>
    </w:lvl>
  </w:abstractNum>
  <w:abstractNum w:abstractNumId="106">
    <w:nsid w:val="6AA7B75C"/>
    <w:multiLevelType w:val="hybridMultilevel"/>
    <w:lvl w:ilvl="0">
      <w:lvlJc w:val="left"/>
      <w:lvlText w:val="-"/>
      <w:numFmt w:val="bullet"/>
      <w:start w:val="1"/>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
      <w:numFmt w:val="bullet"/>
      <w:start w:val="1"/>
    </w:lvl>
  </w:abstractNum>
  <w:abstractNum w:abstractNumId="110">
    <w:nsid w:val="3DB012B3"/>
    <w:multiLevelType w:val="hybridMultilevel"/>
    <w:lvl w:ilvl="0">
      <w:lvlJc w:val="left"/>
      <w:lvlText w:val="-"/>
      <w:numFmt w:val="bullet"/>
      <w:start w:val="1"/>
    </w:lvl>
  </w:abstractNum>
  <w:abstractNum w:abstractNumId="111">
    <w:nsid w:val="2708C9AF"/>
    <w:multiLevelType w:val="hybridMultilevel"/>
    <w:lvl w:ilvl="0">
      <w:lvlJc w:val="left"/>
      <w:lvlText w:val="6"/>
      <w:numFmt w:val="bullet"/>
      <w:start w:val="1"/>
    </w:lvl>
  </w:abstractNum>
  <w:abstractNum w:abstractNumId="112">
    <w:nsid w:val="5B25ACE2"/>
    <w:multiLevelType w:val="hybridMultilevel"/>
    <w:lvl w:ilvl="0">
      <w:lvlJc w:val="left"/>
      <w:lvlText w:val="-"/>
      <w:numFmt w:val="bullet"/>
      <w:start w:val="1"/>
    </w:lvl>
  </w:abstractNum>
  <w:abstractNum w:abstractNumId="113">
    <w:nsid w:val="175DFCF0"/>
    <w:multiLevelType w:val="hybridMultilevel"/>
    <w:lvl w:ilvl="0">
      <w:lvlJc w:val="left"/>
      <w:lvlText w:val="-"/>
      <w:numFmt w:val="bullet"/>
      <w:start w:val="1"/>
    </w:lvl>
  </w:abstractNum>
  <w:abstractNum w:abstractNumId="114">
    <w:nsid w:val="4F97E3E4"/>
    <w:multiLevelType w:val="hybridMultilevel"/>
    <w:lvl w:ilvl="0">
      <w:lvlJc w:val="left"/>
      <w:lvlText w:val="-"/>
      <w:numFmt w:val="bullet"/>
      <w:start w:val="1"/>
    </w:lvl>
  </w:abstractNum>
  <w:abstractNum w:abstractNumId="115">
    <w:nsid w:val="53B0A9E"/>
    <w:multiLevelType w:val="hybridMultilevel"/>
    <w:lvl w:ilvl="0">
      <w:lvlJc w:val="left"/>
      <w:lvlText w:val="-"/>
      <w:numFmt w:val="bullet"/>
      <w:start w:val="1"/>
    </w:lvl>
  </w:abstractNum>
  <w:abstractNum w:abstractNumId="116">
    <w:nsid w:val="34FD6B4F"/>
    <w:multiLevelType w:val="hybridMultilevel"/>
    <w:lvl w:ilvl="0">
      <w:lvlJc w:val="left"/>
      <w:lvlText w:val="-"/>
      <w:numFmt w:val="bullet"/>
      <w:start w:val="1"/>
    </w:lvl>
  </w:abstractNum>
  <w:abstractNum w:abstractNumId="117">
    <w:nsid w:val="5915FF32"/>
    <w:multiLevelType w:val="hybridMultilevel"/>
    <w:lvl w:ilvl="0">
      <w:lvlJc w:val="left"/>
      <w:lvlText w:val="7"/>
      <w:numFmt w:val="bullet"/>
      <w:start w:val="1"/>
    </w:lvl>
  </w:abstractNum>
  <w:abstractNum w:abstractNumId="118">
    <w:nsid w:val="56438D15"/>
    <w:multiLevelType w:val="hybridMultilevel"/>
    <w:lvl w:ilvl="0">
      <w:lvlJc w:val="left"/>
      <w:lvlText w:val="8"/>
      <w:numFmt w:val="bullet"/>
      <w:start w:val="1"/>
    </w:lvl>
  </w:abstractNum>
  <w:abstractNum w:abstractNumId="119">
    <w:nsid w:val="519E3149"/>
    <w:multiLevelType w:val="hybridMultilevel"/>
    <w:lvl w:ilvl="0">
      <w:lvlJc w:val="left"/>
      <w:lvlText w:val="-"/>
      <w:numFmt w:val="bullet"/>
      <w:start w:val="1"/>
    </w:lvl>
  </w:abstractNum>
  <w:abstractNum w:abstractNumId="120">
    <w:nsid w:val="2C6E4AFD"/>
    <w:multiLevelType w:val="hybridMultilevel"/>
    <w:lvl w:ilvl="0">
      <w:lvlJc w:val="left"/>
      <w:lvlText w:val="-"/>
      <w:numFmt w:val="bullet"/>
      <w:start w:val="1"/>
    </w:lvl>
  </w:abstractNum>
  <w:abstractNum w:abstractNumId="121">
    <w:nsid w:val="17A1B582"/>
    <w:multiLevelType w:val="hybridMultilevel"/>
    <w:lvl w:ilvl="0">
      <w:lvlJc w:val="left"/>
      <w:lvlText w:val="9"/>
      <w:numFmt w:val="bullet"/>
      <w:start w:val="1"/>
    </w:lvl>
  </w:abstractNum>
  <w:abstractNum w:abstractNumId="122">
    <w:nsid w:val="4DF72E4E"/>
    <w:multiLevelType w:val="hybridMultilevel"/>
    <w:lvl w:ilvl="0">
      <w:lvlJc w:val="left"/>
      <w:lvlText w:val="-"/>
      <w:numFmt w:val="bullet"/>
      <w:start w:val="1"/>
    </w:lvl>
  </w:abstractNum>
  <w:abstractNum w:abstractNumId="123">
    <w:nsid w:val="5046B5A9"/>
    <w:multiLevelType w:val="hybridMultilevel"/>
    <w:lvl w:ilvl="0">
      <w:lvlJc w:val="left"/>
      <w:lvlText w:val="-"/>
      <w:numFmt w:val="bullet"/>
      <w:start w:val="1"/>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
      <w:numFmt w:val="bullet"/>
      <w:start w:val="1"/>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
      <w:numFmt w:val="bullet"/>
      <w:start w:val="1"/>
    </w:lvl>
  </w:abstractNum>
  <w:abstractNum w:abstractNumId="131">
    <w:nsid w:val="20EE13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2019-12-13T14:06:21Z</dcterms:created>
  <dcterms:modified xsi:type="dcterms:W3CDTF">2019-12-13T14:06:21Z</dcterms:modified>
</cp:coreProperties>
</file>