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3320" w:type="dxa"/>
            <w:vAlign w:val="bottom"/>
          </w:tcPr>
          <w:p>
            <w:pPr>
              <w:jc w:val="center"/>
              <w:ind w:right="1797"/>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1319"/>
              <w:spacing w:after="0"/>
              <w:rPr>
                <w:sz w:val="20"/>
                <w:szCs w:val="20"/>
                <w:color w:val="auto"/>
              </w:rPr>
            </w:pPr>
            <w:r>
              <w:rPr>
                <w:rFonts w:ascii="Arial" w:cs="Arial" w:eastAsia="Arial" w:hAnsi="Arial"/>
                <w:sz w:val="18"/>
                <w:szCs w:val="18"/>
                <w:b w:val="1"/>
                <w:bCs w:val="1"/>
                <w:color w:val="auto"/>
              </w:rPr>
              <w:t>1-8649</w:t>
            </w:r>
          </w:p>
        </w:tc>
        <w:tc>
          <w:tcPr>
            <w:tcW w:w="3340" w:type="dxa"/>
            <w:vAlign w:val="bottom"/>
          </w:tcPr>
          <w:p>
            <w:pPr>
              <w:jc w:val="right"/>
              <w:ind w:right="719"/>
              <w:spacing w:after="0"/>
              <w:rPr>
                <w:sz w:val="20"/>
                <w:szCs w:val="20"/>
                <w:color w:val="auto"/>
              </w:rPr>
            </w:pPr>
            <w:r>
              <w:rPr>
                <w:rFonts w:ascii="Arial" w:cs="Arial" w:eastAsia="Arial" w:hAnsi="Arial"/>
                <w:sz w:val="18"/>
                <w:szCs w:val="18"/>
                <w:b w:val="1"/>
                <w:bCs w:val="1"/>
                <w:color w:val="auto"/>
              </w:rPr>
              <w:t>41-0580470</w:t>
            </w:r>
          </w:p>
        </w:tc>
      </w:tr>
      <w:tr>
        <w:trPr>
          <w:trHeight w:val="186"/>
        </w:trPr>
        <w:tc>
          <w:tcPr>
            <w:tcW w:w="3320" w:type="dxa"/>
            <w:vAlign w:val="bottom"/>
          </w:tcPr>
          <w:p>
            <w:pPr>
              <w:jc w:val="center"/>
              <w:ind w:right="1777"/>
              <w:spacing w:after="0"/>
              <w:rPr>
                <w:sz w:val="20"/>
                <w:szCs w:val="20"/>
                <w:color w:val="auto"/>
              </w:rPr>
            </w:pPr>
            <w:r>
              <w:rPr>
                <w:rFonts w:ascii="Arial" w:cs="Arial" w:eastAsia="Arial" w:hAnsi="Arial"/>
                <w:sz w:val="14"/>
                <w:szCs w:val="14"/>
                <w:b w:val="1"/>
                <w:bCs w:val="1"/>
                <w:color w:val="auto"/>
                <w:w w:val="94"/>
              </w:rPr>
              <w:t>(State of Incorporation)</w:t>
            </w:r>
          </w:p>
        </w:tc>
        <w:tc>
          <w:tcPr>
            <w:tcW w:w="296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(Commission File Number)</w:t>
            </w:r>
          </w:p>
        </w:tc>
        <w:tc>
          <w:tcPr>
            <w:tcW w:w="3340" w:type="dxa"/>
            <w:vAlign w:val="bottom"/>
          </w:tcPr>
          <w:p>
            <w:pPr>
              <w:jc w:val="center"/>
              <w:ind w:left="759"/>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426"/>
        </w:trPr>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7"/>
              </w:rPr>
              <w:t>8111 Lyndale Avenue South</w:t>
            </w:r>
          </w:p>
        </w:tc>
        <w:tc>
          <w:tcPr>
            <w:tcW w:w="2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5"/>
        </w:trPr>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0"/>
              </w:rPr>
              <w:t>Bloomington, Minnesota</w:t>
            </w:r>
          </w:p>
        </w:tc>
        <w:tc>
          <w:tcPr>
            <w:tcW w:w="2960" w:type="dxa"/>
            <w:vAlign w:val="bottom"/>
          </w:tcPr>
          <w:p>
            <w:pPr>
              <w:spacing w:after="0"/>
              <w:rPr>
                <w:sz w:val="19"/>
                <w:szCs w:val="19"/>
                <w:color w:val="auto"/>
              </w:rPr>
            </w:pPr>
          </w:p>
        </w:tc>
        <w:tc>
          <w:tcPr>
            <w:tcW w:w="3340" w:type="dxa"/>
            <w:vAlign w:val="bottom"/>
          </w:tcPr>
          <w:p>
            <w:pPr>
              <w:jc w:val="right"/>
              <w:ind w:right="1879"/>
              <w:spacing w:after="0"/>
              <w:rPr>
                <w:sz w:val="20"/>
                <w:szCs w:val="20"/>
                <w:color w:val="auto"/>
              </w:rPr>
            </w:pPr>
            <w:r>
              <w:rPr>
                <w:rFonts w:ascii="Arial" w:cs="Arial" w:eastAsia="Arial" w:hAnsi="Arial"/>
                <w:sz w:val="18"/>
                <w:szCs w:val="18"/>
                <w:b w:val="1"/>
                <w:bCs w:val="1"/>
                <w:color w:val="auto"/>
              </w:rPr>
              <w:t>55420</w:t>
            </w:r>
          </w:p>
        </w:tc>
      </w:tr>
      <w:tr>
        <w:trPr>
          <w:trHeight w:val="186"/>
        </w:trPr>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spacing w:after="0"/>
              <w:rPr>
                <w:sz w:val="16"/>
                <w:szCs w:val="16"/>
                <w:color w:val="auto"/>
              </w:rPr>
            </w:pPr>
          </w:p>
        </w:tc>
        <w:tc>
          <w:tcPr>
            <w:tcW w:w="3340" w:type="dxa"/>
            <w:vAlign w:val="bottom"/>
          </w:tcPr>
          <w:p>
            <w:pPr>
              <w:jc w:val="center"/>
              <w:ind w:right="95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(952) 888-8801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19, 2015, The Toro Company (the “Company”) filed a Current Report on Form 8-K (the “Original Filing”) to report the election of Richard M. Olson as the Company’s President and Chief Operating Officer, effective September 1, 2015. In accordance with Instruction 2 to Item 5.02 of Form 8-K, the Original Filing omitted the information called for in Item 5.02(c) with respect to the material terms of Mr. Olson’s base compensation as President and Chief Operating Officer because, at that time, the Compensation &amp; Human Resources Committee of the Board of Directors (the “Committee”) had not made a determination as to Mr. Olson’s base compensation relating to his new position. This Amendment No. 1 on Form 8-K/A (this “Form 8-K/A”) amends the Original Filing and is filed solely to report a recent determination of Mr. Olson’s base compensation as President and Chief Operating Officer of the Company and a recent change in his annual cash incentive for the remainder of fiscal 2015. No other information contained in the Original Filing is amended by this Form 8-K/A.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Corporate Governance and Management</w:t>
      </w:r>
    </w:p>
    <w:p>
      <w:pPr>
        <w:spacing w:after="0" w:line="11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On September 15, 2015, at a regularly scheduled meeting, the Committee approved the base compensation of Richard M. Olson in connection with his election as President and Chief Operating Officer of the Company. Effective as of September 1, 2015, Mr. Olson’s base salary was increased to $500,000. In addition, in light of Mr. Olson’s new position, the Committee also approved at such meeting a change in Mr. Olson’s total annual incentive payout target for the remainder of fiscal 2015 to reflect a pro rata increase in his annual incentive payout percentage to 80% of his base salary per year and a change in the performance measures and weightings for his annual cash incentive for the remainder of fiscal 2015 to 100% corporate performance measures.</w:t>
      </w:r>
    </w:p>
    <w:p>
      <w:pPr>
        <w:sectPr>
          <w:pgSz w:w="11900" w:h="16838" w:orient="portrait"/>
          <w:cols w:equalWidth="0" w:num="1">
            <w:col w:w="11420"/>
          </w:cols>
          <w:pgMar w:left="240" w:top="270"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September 16, 2015</w:t>
      </w:r>
      <w:r>
        <w:rPr>
          <w:sz w:val="20"/>
          <w:szCs w:val="20"/>
          <w:color w:val="auto"/>
        </w:rPr>
        <w:tab/>
      </w:r>
      <w:r>
        <w:rPr>
          <w:rFonts w:ascii="Arial" w:cs="Arial" w:eastAsia="Arial" w:hAnsi="Arial"/>
          <w:sz w:val="17"/>
          <w:szCs w:val="17"/>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2019-12-05T22:37:13Z</dcterms:created>
  <dcterms:modified xsi:type="dcterms:W3CDTF">2019-12-05T22:37:13Z</dcterms:modified>
</cp:coreProperties>
</file>