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40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40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24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DAHL AMY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VP, Human Resources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24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24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jc w:val="center"/>
              <w:ind w:left="52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center"/>
              <w:ind w:left="544"/>
              <w:spacing w:after="0"/>
              <w:rPr>
                <w:sz w:val="20"/>
                <w:szCs w:val="20"/>
                <w:color w:val="auto"/>
              </w:rPr>
            </w:pPr>
            <w:r>
              <w:rPr>
                <w:rFonts w:ascii="Arial" w:cs="Arial" w:eastAsia="Arial" w:hAnsi="Arial"/>
                <w:sz w:val="18"/>
                <w:szCs w:val="18"/>
                <w:color w:val="0000FF"/>
                <w:w w:val="88"/>
              </w:rPr>
              <w:t>03/01/2017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2,740</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7.155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5,039.256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544"/>
              <w:spacing w:after="0"/>
              <w:rPr>
                <w:sz w:val="20"/>
                <w:szCs w:val="20"/>
                <w:color w:val="auto"/>
              </w:rPr>
            </w:pPr>
            <w:r>
              <w:rPr>
                <w:rFonts w:ascii="Arial" w:cs="Arial" w:eastAsia="Arial" w:hAnsi="Arial"/>
                <w:sz w:val="18"/>
                <w:szCs w:val="18"/>
                <w:color w:val="0000FF"/>
                <w:w w:val="88"/>
              </w:rPr>
              <w:t>03/01/2017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4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2,740</w:t>
            </w:r>
          </w:p>
        </w:tc>
        <w:tc>
          <w:tcPr>
            <w:tcW w:w="56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61.207</w:t>
            </w:r>
            <w:r>
              <w:rPr>
                <w:rFonts w:ascii="Arial" w:cs="Arial" w:eastAsia="Arial" w:hAnsi="Arial"/>
                <w:sz w:val="22"/>
                <w:szCs w:val="22"/>
                <w:color w:val="008000"/>
                <w:w w:val="86"/>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2,299.256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center"/>
              <w:ind w:left="544"/>
              <w:spacing w:after="0"/>
              <w:rPr>
                <w:sz w:val="20"/>
                <w:szCs w:val="20"/>
                <w:color w:val="auto"/>
              </w:rPr>
            </w:pPr>
            <w:r>
              <w:rPr>
                <w:rFonts w:ascii="Arial" w:cs="Arial" w:eastAsia="Arial" w:hAnsi="Arial"/>
                <w:sz w:val="18"/>
                <w:szCs w:val="18"/>
                <w:color w:val="0000FF"/>
                <w:w w:val="88"/>
              </w:rPr>
              <w:t>03/01/2017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2,740</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7.155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5,039.256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jc w:val="center"/>
              <w:ind w:left="544"/>
              <w:spacing w:after="0"/>
              <w:rPr>
                <w:sz w:val="20"/>
                <w:szCs w:val="20"/>
                <w:color w:val="auto"/>
              </w:rPr>
            </w:pPr>
            <w:r>
              <w:rPr>
                <w:rFonts w:ascii="Arial" w:cs="Arial" w:eastAsia="Arial" w:hAnsi="Arial"/>
                <w:sz w:val="18"/>
                <w:szCs w:val="18"/>
                <w:color w:val="0000FF"/>
                <w:w w:val="88"/>
              </w:rPr>
              <w:t>03/01/2017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92"/>
              </w:rPr>
              <w:t>F</w:t>
            </w:r>
          </w:p>
        </w:tc>
        <w:tc>
          <w:tcPr>
            <w:tcW w:w="740" w:type="dxa"/>
            <w:vAlign w:val="bottom"/>
          </w:tcPr>
          <w:p>
            <w:pPr>
              <w:jc w:val="right"/>
              <w:ind w:right="64"/>
              <w:spacing w:after="0"/>
              <w:rPr>
                <w:sz w:val="20"/>
                <w:szCs w:val="20"/>
                <w:color w:val="auto"/>
              </w:rPr>
            </w:pPr>
            <w:r>
              <w:rPr>
                <w:rFonts w:ascii="Arial" w:cs="Arial" w:eastAsia="Arial" w:hAnsi="Arial"/>
                <w:sz w:val="18"/>
                <w:szCs w:val="18"/>
                <w:color w:val="0000FF"/>
              </w:rPr>
              <w:t>1,189</w:t>
            </w:r>
          </w:p>
        </w:tc>
        <w:tc>
          <w:tcPr>
            <w:tcW w:w="560" w:type="dxa"/>
            <w:vAlign w:val="bottom"/>
          </w:tcPr>
          <w:p>
            <w:pPr>
              <w:jc w:val="center"/>
              <w:ind w:left="21"/>
              <w:spacing w:after="0"/>
              <w:rPr>
                <w:sz w:val="20"/>
                <w:szCs w:val="20"/>
                <w:color w:val="auto"/>
              </w:rPr>
            </w:pPr>
            <w:r>
              <w:rPr>
                <w:rFonts w:ascii="Arial" w:cs="Arial" w:eastAsia="Arial" w:hAnsi="Arial"/>
                <w:sz w:val="18"/>
                <w:szCs w:val="18"/>
                <w:color w:val="0000FF"/>
              </w:rPr>
              <w:t>D</w:t>
            </w: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61.2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3,850.256</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3,065.72</w:t>
            </w:r>
            <w:r>
              <w:rPr>
                <w:rFonts w:ascii="Arial" w:cs="Arial" w:eastAsia="Arial" w:hAnsi="Arial"/>
                <w:sz w:val="22"/>
                <w:szCs w:val="22"/>
                <w:color w:val="008000"/>
                <w:w w:val="84"/>
                <w:vertAlign w:val="superscript"/>
              </w:rPr>
              <w:t>(2)</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03/01/2017</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2,740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12/03/2018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2,740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rPr>
                <w:sz w:val="20"/>
                <w:szCs w:val="20"/>
                <w:color w:val="auto"/>
              </w:rPr>
            </w:pPr>
            <w:r>
              <w:rPr>
                <w:rFonts w:ascii="Arial" w:cs="Arial" w:eastAsia="Arial" w:hAnsi="Arial"/>
                <w:sz w:val="14"/>
                <w:szCs w:val="14"/>
                <w:color w:val="0000FF"/>
              </w:rPr>
              <w:t>2,740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0"/>
        </w:trPr>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7.155</w:t>
            </w:r>
          </w:p>
        </w:tc>
        <w:tc>
          <w:tcPr>
            <w:tcW w:w="1140" w:type="dxa"/>
            <w:vAlign w:val="bottom"/>
          </w:tcPr>
          <w:p>
            <w:pPr>
              <w:jc w:val="right"/>
              <w:ind w:right="197"/>
              <w:spacing w:after="0"/>
              <w:rPr>
                <w:sz w:val="20"/>
                <w:szCs w:val="20"/>
                <w:color w:val="auto"/>
              </w:rPr>
            </w:pPr>
            <w:r>
              <w:rPr>
                <w:rFonts w:ascii="Arial" w:cs="Arial" w:eastAsia="Arial" w:hAnsi="Arial"/>
                <w:sz w:val="14"/>
                <w:szCs w:val="14"/>
                <w:color w:val="0000FF"/>
              </w:rPr>
              <w:t>03/01/2017</w:t>
            </w:r>
          </w:p>
        </w:tc>
        <w:tc>
          <w:tcPr>
            <w:tcW w:w="1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ind w:left="400"/>
              <w:spacing w:after="0"/>
              <w:rPr>
                <w:sz w:val="20"/>
                <w:szCs w:val="20"/>
                <w:color w:val="auto"/>
              </w:rPr>
            </w:pPr>
            <w:r>
              <w:rPr>
                <w:rFonts w:ascii="Arial" w:cs="Arial" w:eastAsia="Arial" w:hAnsi="Arial"/>
                <w:sz w:val="14"/>
                <w:szCs w:val="14"/>
                <w:color w:val="0000FF"/>
              </w:rPr>
              <w:t>2,740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12/03/2018</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2,740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rPr>
                <w:sz w:val="20"/>
                <w:szCs w:val="20"/>
                <w:color w:val="auto"/>
              </w:rPr>
            </w:pPr>
            <w:r>
              <w:rPr>
                <w:rFonts w:ascii="Arial" w:cs="Arial" w:eastAsia="Arial" w:hAnsi="Arial"/>
                <w:sz w:val="14"/>
                <w:szCs w:val="14"/>
                <w:color w:val="0000FF"/>
              </w:rPr>
              <w:t>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$61.205 to $61.21,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9.422 shares acquired through regular individual and issuer matching contributions to The Toro Company Investment, Savings &amp; ESOP (the "IS&amp;ESOP"); and 9.397 net shares acquired under the dividend reinvestment feature of the IS&amp;ESOP less quarterly non-discretionary administrative fees.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3, 2008.</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03/03/2017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2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2019-12-23T21:06:54Z</dcterms:created>
  <dcterms:modified xsi:type="dcterms:W3CDTF">2019-12-23T21:06:54Z</dcterms:modified>
</cp:coreProperties>
</file>